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2024</w:t>
      </w:r>
    </w:p>
    <w:p>
      <w:pPr>
        <w:spacing w:after="0" w:line="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right="1900" w:hanging="652"/>
        <w:spacing w:after="0" w:line="266"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 to ______________________</w:t>
      </w:r>
    </w:p>
    <w:p>
      <w:pPr>
        <w:sectPr>
          <w:pgSz w:w="11900" w:h="16838" w:orient="portrait"/>
          <w:cols w:equalWidth="0" w:num="1">
            <w:col w:w="11240"/>
          </w:cols>
          <w:pgMar w:left="320" w:top="320" w:right="339" w:bottom="1440" w:gutter="0" w:footer="0" w:header="0"/>
        </w:sectPr>
      </w:pPr>
    </w:p>
    <w:p>
      <w:pPr>
        <w:spacing w:after="0" w:line="6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0-422</w:t>
      </w:r>
    </w:p>
    <w:p>
      <w:pPr>
        <w:spacing w:after="0" w:line="124" w:lineRule="exact"/>
        <w:rPr>
          <w:sz w:val="24"/>
          <w:szCs w:val="24"/>
          <w:color w:val="auto"/>
        </w:rPr>
      </w:pPr>
    </w:p>
    <w:p>
      <w:pPr>
        <w:sectPr>
          <w:pgSz w:w="11900" w:h="16838" w:orient="portrait"/>
          <w:cols w:equalWidth="0" w:num="2">
            <w:col w:w="6240" w:space="220"/>
            <w:col w:w="4780"/>
          </w:cols>
          <w:pgMar w:left="320" w:top="32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320" w:right="339" w:bottom="1440" w:gutter="0" w:footer="0" w:header="0"/>
          <w:type w:val="continuous"/>
        </w:sectPr>
      </w:pPr>
    </w:p>
    <w:p>
      <w:pPr>
        <w:spacing w:after="0" w:line="95"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6" w:lineRule="exact"/>
        <w:rPr>
          <w:sz w:val="24"/>
          <w:szCs w:val="24"/>
          <w:color w:val="auto"/>
        </w:rPr>
      </w:pPr>
    </w:p>
    <w:p>
      <w:pPr>
        <w:sectPr>
          <w:pgSz w:w="11900" w:h="16838" w:orient="portrait"/>
          <w:cols w:equalWidth="0" w:num="2">
            <w:col w:w="6460" w:space="720"/>
            <w:col w:w="4060"/>
          </w:cols>
          <w:pgMar w:left="320" w:top="320" w:right="33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8"/>
          <w:szCs w:val="18"/>
          <w:b w:val="1"/>
          <w:bCs w:val="1"/>
          <w:color w:val="auto"/>
        </w:rPr>
        <w:t>485C Route 1 South, Suite 400, Iselin New Jersey 08830</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color w:val="auto"/>
        </w:rPr>
        <w:t>(Address o f principal executive offices, including zip code)</w:t>
      </w:r>
    </w:p>
    <w:p>
      <w:pPr>
        <w:sectPr>
          <w:pgSz w:w="11900" w:h="16838" w:orient="portrait"/>
          <w:cols w:equalWidth="0" w:num="1">
            <w:col w:w="11240"/>
          </w:cols>
          <w:pgMar w:left="320" w:top="32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160"/>
        <w:spacing w:after="0"/>
        <w:rPr>
          <w:sz w:val="20"/>
          <w:szCs w:val="20"/>
          <w:color w:val="auto"/>
        </w:rPr>
      </w:pPr>
      <w:r>
        <w:rPr>
          <w:rFonts w:ascii="Times New Roman" w:cs="Times New Roman" w:eastAsia="Times New Roman" w:hAnsi="Times New Roman"/>
          <w:sz w:val="17"/>
          <w:szCs w:val="17"/>
          <w:color w:val="auto"/>
        </w:rPr>
        <w:t>Common Stock, No Par Value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420"/>
        <w:spacing w:after="0"/>
        <w:tabs>
          <w:tab w:leader="none" w:pos="3720" w:val="left"/>
        </w:tabs>
        <w:rPr>
          <w:sz w:val="20"/>
          <w:szCs w:val="20"/>
          <w:color w:val="auto"/>
        </w:rPr>
      </w:pP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820"/>
        <w:spacing w:after="0"/>
        <w:tabs>
          <w:tab w:leader="none" w:pos="4160" w:val="left"/>
        </w:tabs>
        <w:rPr>
          <w:sz w:val="20"/>
          <w:szCs w:val="20"/>
          <w:color w:val="auto"/>
        </w:rPr>
      </w:pPr>
      <w:r>
        <w:rPr>
          <w:rFonts w:ascii="Times New Roman" w:cs="Times New Roman" w:eastAsia="Times New Roman" w:hAnsi="Times New Roman"/>
          <w:sz w:val="18"/>
          <w:szCs w:val="18"/>
          <w:color w:val="auto"/>
        </w:rPr>
        <w:t>MSEX</w:t>
      </w:r>
      <w:r>
        <w:rPr>
          <w:sz w:val="20"/>
          <w:szCs w:val="20"/>
          <w:color w:val="auto"/>
        </w:rPr>
        <w:tab/>
      </w:r>
      <w:r>
        <w:rPr>
          <w:rFonts w:ascii="Times New Roman" w:cs="Times New Roman" w:eastAsia="Times New Roman" w:hAnsi="Times New Roman"/>
          <w:sz w:val="18"/>
          <w:szCs w:val="18"/>
          <w:color w:val="auto"/>
        </w:rPr>
        <w:t>The NASDAQ Stock Market, LLC</w:t>
      </w:r>
    </w:p>
    <w:p>
      <w:pPr>
        <w:spacing w:after="0" w:line="95" w:lineRule="exact"/>
        <w:rPr>
          <w:sz w:val="24"/>
          <w:szCs w:val="24"/>
          <w:color w:val="auto"/>
        </w:rPr>
      </w:pPr>
    </w:p>
    <w:p>
      <w:pPr>
        <w:sectPr>
          <w:pgSz w:w="11900" w:h="16838" w:orient="portrait"/>
          <w:cols w:equalWidth="0" w:num="2">
            <w:col w:w="3340" w:space="220"/>
            <w:col w:w="7680"/>
          </w:cols>
          <w:pgMar w:left="320" w:top="32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7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7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20" w:right="339" w:bottom="1440" w:gutter="0" w:footer="0" w:header="0"/>
          <w:type w:val="continuous"/>
        </w:sectPr>
      </w:pPr>
    </w:p>
    <w:p>
      <w:pPr>
        <w:spacing w:after="0" w:line="27" w:lineRule="exact"/>
        <w:rPr>
          <w:sz w:val="24"/>
          <w:szCs w:val="24"/>
          <w:color w:val="auto"/>
        </w:rPr>
      </w:pPr>
    </w:p>
    <w:p>
      <w:pPr>
        <w:jc w:val="center"/>
        <w:ind w:left="10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left="108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44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5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5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09" w:lineRule="exact"/>
        <w:rPr>
          <w:sz w:val="24"/>
          <w:szCs w:val="24"/>
          <w:color w:val="auto"/>
        </w:rPr>
      </w:pPr>
    </w:p>
    <w:p>
      <w:pPr>
        <w:sectPr>
          <w:pgSz w:w="11900" w:h="16838" w:orient="portrait"/>
          <w:cols w:equalWidth="0" w:num="3">
            <w:col w:w="4260" w:space="720"/>
            <w:col w:w="1840" w:space="720"/>
            <w:col w:w="3700"/>
          </w:cols>
          <w:pgMar w:left="320" w:top="32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at June 30, 2024 was $906,502,416 based on the closing market price of $52.26 per share on the NASDAQ Global Select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for each of the registrant's classes of common stock, as of February 26,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Stock, No par Value 17,887,454 shares outstanding</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Documents Incorporated by Reference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Proxy Statement to be filed in connection with the Registrant’s Annual Meeting of Stockholders to be held on May 20, 2025, which will be filed with the Securities and Exchange Commission within 120 days of the end of our 2024 fiscal year, is incorporated by reference into Part III of this Annual Report on Form 10-K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2"/>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gridSpan w:val="10"/>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9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color w:val="auto"/>
                <w:w w:val="99"/>
              </w:rPr>
              <w:t>INDEX</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PAGE</w:t>
            </w:r>
          </w:p>
        </w:tc>
      </w:tr>
      <w:tr>
        <w:trPr>
          <w:trHeight w:val="196"/>
        </w:trPr>
        <w:tc>
          <w:tcPr>
            <w:tcW w:w="10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140" w:type="dxa"/>
            <w:vAlign w:val="bottom"/>
            <w:gridSpan w:val="2"/>
          </w:tcPr>
          <w:p>
            <w:pPr>
              <w:jc w:val="center"/>
              <w:ind w:left="61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412"/>
        </w:trPr>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380" w:type="dxa"/>
            <w:vAlign w:val="bottom"/>
            <w:tcBorders>
              <w:top w:val="single" w:sz="8" w:color="0000EE"/>
            </w:tcBorders>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380" w:type="dxa"/>
            <w:vAlign w:val="bottom"/>
            <w:gridSpan w:val="25"/>
          </w:tcPr>
          <w:p>
            <w:pPr>
              <w:spacing w:after="0"/>
              <w:rPr>
                <w:sz w:val="17"/>
                <w:szCs w:val="17"/>
                <w:color w:val="auto"/>
              </w:rPr>
            </w:pPr>
          </w:p>
        </w:tc>
        <w:tc>
          <w:tcPr>
            <w:tcW w:w="1140" w:type="dxa"/>
            <w:vAlign w:val="bottom"/>
            <w:gridSpan w:val="2"/>
          </w:tcPr>
          <w:p>
            <w:pPr>
              <w:jc w:val="center"/>
              <w:ind w:left="610"/>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980" w:type="dxa"/>
            <w:vAlign w:val="bottom"/>
            <w:gridSpan w:val="14"/>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8020" w:type="dxa"/>
            <w:vAlign w:val="bottom"/>
            <w:gridSpan w:val="21"/>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80" w:type="dxa"/>
            <w:vAlign w:val="bottom"/>
            <w:gridSpan w:val="18"/>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20</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21</w:t>
            </w:r>
          </w:p>
        </w:tc>
      </w:tr>
      <w:tr>
        <w:trPr>
          <w:trHeight w:val="412"/>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320" w:type="dxa"/>
            <w:vAlign w:val="bottom"/>
            <w:gridSpan w:val="3"/>
          </w:tcPr>
          <w:p>
            <w:pPr>
              <w:spacing w:after="0"/>
              <w:rPr>
                <w:sz w:val="17"/>
                <w:szCs w:val="17"/>
                <w:color w:val="auto"/>
              </w:rPr>
            </w:pP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Market for the Registrant's Common Equity, Related Stockholder Matters and Issuer Purchases of Equity Securities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22</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32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700" w:type="dxa"/>
            <w:vAlign w:val="bottom"/>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80" w:type="dxa"/>
            <w:vAlign w:val="bottom"/>
            <w:gridSpan w:val="4"/>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24</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Qualitative and Quantitative Disclosure About Market Risk</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740" w:type="dxa"/>
            <w:vAlign w:val="bottom"/>
            <w:gridSpan w:val="9"/>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540" w:type="dxa"/>
            <w:vAlign w:val="bottom"/>
            <w:gridSpan w:val="3"/>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68</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68</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7260" w:type="dxa"/>
            <w:vAlign w:val="bottom"/>
            <w:gridSpan w:val="16"/>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69</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69</w:t>
            </w:r>
          </w:p>
        </w:tc>
      </w:tr>
      <w:tr>
        <w:trPr>
          <w:trHeight w:val="304"/>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920" w:type="dxa"/>
            <w:vAlign w:val="bottom"/>
            <w:gridSpan w:val="10"/>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7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740" w:type="dxa"/>
            <w:vAlign w:val="bottom"/>
            <w:gridSpan w:val="2"/>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580" w:type="dxa"/>
            <w:vAlign w:val="bottom"/>
            <w:gridSpan w:val="5"/>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70</w:t>
            </w:r>
          </w:p>
        </w:tc>
      </w:tr>
      <w:tr>
        <w:trPr>
          <w:trHeight w:val="304"/>
        </w:trPr>
        <w:tc>
          <w:tcPr>
            <w:tcW w:w="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71</w:t>
            </w: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60" w:type="dxa"/>
            <w:vAlign w:val="bottom"/>
            <w:gridSpan w:val="2"/>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860" w:type="dxa"/>
            <w:vAlign w:val="bottom"/>
            <w:gridSpan w:val="12"/>
          </w:tcPr>
          <w:p>
            <w:pPr>
              <w:spacing w:after="0"/>
              <w:rPr>
                <w:sz w:val="17"/>
                <w:szCs w:val="17"/>
                <w:color w:val="auto"/>
              </w:rPr>
            </w:pP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196"/>
        </w:trPr>
        <w:tc>
          <w:tcPr>
            <w:tcW w:w="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0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140" w:type="dxa"/>
            <w:vAlign w:val="bottom"/>
            <w:gridSpan w:val="2"/>
          </w:tcPr>
          <w:p>
            <w:pPr>
              <w:jc w:val="center"/>
              <w:ind w:left="590"/>
              <w:spacing w:after="0" w:line="19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annual report and in the documents incorporated by reference constitute “forward-looking statements” within the meaning of Section 21E of the Securities Exchange Act of 1934 and Section 27A of the Securities Act of 1933. Some of these forward-looking statements can be identified by the use of forward-looking words such as “believes,” “expects,” “may,” “will,” “should,” “seeks,” “approximately,” “intends,” “plans,” “estimates,” “projects,” “strategy,” or “anticipates,” or the negative of those words or other comparable terminology. Middlesex Water Company (the Company) intends that these statements be covered by the safe harbors created under those laws. They include, but are not limited to statements as to:</w:t>
      </w:r>
    </w:p>
    <w:p>
      <w:pPr>
        <w:spacing w:after="0" w:line="3" w:lineRule="exact"/>
        <w:rPr>
          <w:sz w:val="20"/>
          <w:szCs w:val="20"/>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5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right="20" w:hanging="35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plan assets;</w:t>
      </w: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to renew municipal franchises and consents in the territories it serves;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81" w:lineRule="exact"/>
        <w:rPr>
          <w:sz w:val="20"/>
          <w:szCs w:val="20"/>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5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water;</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modified water quality standards and compliance with related legal and regulatory requirements;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 or privatizations;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housing development;</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materials and supplies for operations and for critical infrastructure projects;</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internal control over financial reporting; and</w:t>
      </w:r>
    </w:p>
    <w:p>
      <w:pPr>
        <w:spacing w:after="0" w:line="9" w:lineRule="exact"/>
        <w:rPr>
          <w:rFonts w:ascii="Times New Roman" w:cs="Times New Roman" w:eastAsia="Times New Roman" w:hAnsi="Times New Roman"/>
          <w:sz w:val="18"/>
          <w:szCs w:val="18"/>
          <w:color w:val="auto"/>
        </w:rPr>
      </w:pPr>
    </w:p>
    <w:p>
      <w:pPr>
        <w:ind w:left="660" w:hanging="35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annual report.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terms “the Company,” “we,” “our,” and “us” collectively refer to Middlesex Water Company (Middlesex)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and Utility Service Affiliates (Perth Amboy) Inc. (USA-PA).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 Across our regulated utility systems, we serve approximately 128,000 customers. We operate water and wastewater systems under unregulated contracts for governmental entities and private entities.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485C Route 1 South, Suite 400, Iselin, New Jersey 08830. Our telephone number is (732) 634-1500. Our website address is 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 We also periodically provide certain information for investors on our website, and our investor relations website, investors.middlesexwater.com. This includes press releases and other information about dividends on the Company’s equity securities.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Middlesex System</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Located in New Jersey, the Middlesex System provides water services to approximately 61,000 retail customers, primarily in eastern Middlesex County and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67% of our 2024 consolidated operating revenues.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primary source of water for the Borough of Highland Park and the Township of East Brunswick.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Tidewater System</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Tidewater, together with its wholly-owned subsidiary, Southern Shores, provides water services to approximately 62,000 retail customers for residential, commercial and fire protection purposes in over 480 separate communities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ind w:right="280"/>
        <w:spacing w:after="0" w:line="391" w:lineRule="auto"/>
        <w:rPr>
          <w:sz w:val="20"/>
          <w:szCs w:val="20"/>
          <w:color w:val="auto"/>
        </w:rPr>
      </w:pPr>
      <w:r>
        <w:rPr>
          <w:rFonts w:ascii="Times New Roman" w:cs="Times New Roman" w:eastAsia="Times New Roman" w:hAnsi="Times New Roman"/>
          <w:sz w:val="18"/>
          <w:szCs w:val="18"/>
          <w:color w:val="auto"/>
        </w:rPr>
        <w:t xml:space="preserve">in New Castle, Kent and Sussex Counties, Delaware. The Tidewater System produced approximately 24% of our 2024 consolidated operating revenues. </w:t>
      </w:r>
      <w:r>
        <w:rPr>
          <w:rFonts w:ascii="Times New Roman" w:cs="Times New Roman" w:eastAsia="Times New Roman" w:hAnsi="Times New Roman"/>
          <w:sz w:val="18"/>
          <w:szCs w:val="18"/>
          <w:b w:val="1"/>
          <w:bCs w:val="1"/>
          <w:i w:val="1"/>
          <w:iCs w:val="1"/>
          <w:color w:val="auto"/>
        </w:rPr>
        <w:t>USA-PA</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City of Perth Amboy, New Jersey’s (Perth Amboy) water and wastewater systems under a ten-year agreement, which expires in December 2028. In addition to performing day-to day operations, USA-PA is also responsible for emergency responses and management of capital projects funded by Perth Amboy. USA-PA produced approximately 3% of our 2024 consolidated operating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Pinelands Systems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Pinelands Water provides water services to approximately 2,500 residential customers in Burlington County, New Jersey. Pinelands Water is not physically interconnected with the Middlesex System. Pinelands Water produced approximately 1% of our 2024 consolidated operating revenues.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Pinelands Wastewater provides wastewater collection and treatment services to approximately 2,500 residential customers and one municipal wastewater system in Burlington County, New Jersey. Pinelands Wastewater produced approximately 1% of our 2024 consolidated operating revenues.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2032. In addition to performing day-to-day service operations, USA is responsible for emergency responses and management of capital projects funded by Avalon.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USA operates the Borough of Highland Park, New Jersey’s (Highland Park) water utility and sewer utility under a ten-year operations and maintenance contract expiring in 2030.</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marketing agreement with HomeServe USA Corp. (HomeServe) expiring in 2031,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 produced approximately 3% of our 2024 consolidated operating 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White Marsh</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White Marsh operates or maintains water and/or wastewater systems that serve approximately 4,300 service connections under 28 separate contracts, primarily in New Castle, Kent and Sussex Counties, Delaware. White Marsh also owns two commercial properties that are leased to Tidewater for its administrative office campus and its field operations center. White Marsh produced approximately 1% of our 2024 consolidated operating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operating revenues, operating income and net income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(Thousands of Dollars)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8"/>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191,877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166,274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162,434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39,223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31,524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42,429</w:t>
            </w:r>
          </w:p>
        </w:tc>
        <w:tc>
          <w:tcPr>
            <w:tcW w:w="560" w:type="dxa"/>
            <w:vAlign w:val="bottom"/>
          </w:tcPr>
          <w:p>
            <w:pPr>
              <w:spacing w:after="0"/>
              <w:rPr>
                <w:sz w:val="18"/>
                <w:szCs w:val="18"/>
                <w:color w:val="auto"/>
              </w:rPr>
            </w:pPr>
          </w:p>
        </w:tc>
      </w:tr>
      <w:tr>
        <w:trPr>
          <w:trHeight w:val="466"/>
        </w:trPr>
        <w:tc>
          <w:tcPr>
            <w:tcW w:w="5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revenues were earned from the following sources:</w:t>
            </w:r>
          </w:p>
        </w:tc>
        <w:tc>
          <w:tcPr>
            <w:tcW w:w="1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5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51.0%</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5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16.6</w:t>
            </w: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w:t>
            </w:r>
          </w:p>
        </w:tc>
        <w:tc>
          <w:tcPr>
            <w:tcW w:w="15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7.0</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Fire Protection</w:t>
            </w: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w:t>
            </w:r>
          </w:p>
        </w:tc>
        <w:tc>
          <w:tcPr>
            <w:tcW w:w="15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11.0</w:t>
            </w:r>
          </w:p>
        </w:tc>
        <w:tc>
          <w:tcPr>
            <w:tcW w:w="15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580" w:type="dxa"/>
            <w:vAlign w:val="bottom"/>
          </w:tcPr>
          <w:p>
            <w:pPr>
              <w:spacing w:after="0"/>
              <w:rPr>
                <w:sz w:val="19"/>
                <w:szCs w:val="19"/>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Operations</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c>
          <w:tcPr>
            <w:tcW w:w="15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7.4</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580" w:type="dxa"/>
            <w:vAlign w:val="bottom"/>
          </w:tcPr>
          <w:p>
            <w:pPr>
              <w:spacing w:after="0"/>
              <w:rPr>
                <w:sz w:val="18"/>
                <w:szCs w:val="18"/>
                <w:color w:val="auto"/>
              </w:rPr>
            </w:pPr>
          </w:p>
        </w:tc>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Supplies and Contracts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New Jersey and Delaware water supply systems are physically separate and are not interconnected. In New Jersey, the Pinelands System is not interconnected with the Middlesex System. We believe we have adequate sources of water supply to meet the current service requirements of our present customers in New Jersey and Delaware.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Middlesex System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Middlesex System produced approximately 14.3 billion gallons in 2024 from:</w:t>
      </w:r>
    </w:p>
    <w:p>
      <w:pPr>
        <w:spacing w:after="0" w:line="131" w:lineRule="exact"/>
        <w:rPr>
          <w:sz w:val="20"/>
          <w:szCs w:val="20"/>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Carl J. Olsen Surface Water Treatment Plant (CJO Plant)-10.3 billion gallons;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wells (ground water)-2.9 billion gallons; and</w:t>
      </w:r>
    </w:p>
    <w:p>
      <w:pPr>
        <w:spacing w:after="0" w:line="9" w:lineRule="exact"/>
        <w:rPr>
          <w:rFonts w:ascii="Times New Roman" w:cs="Times New Roman" w:eastAsia="Times New Roman" w:hAnsi="Times New Roman"/>
          <w:sz w:val="18"/>
          <w:szCs w:val="18"/>
          <w:color w:val="auto"/>
        </w:rPr>
      </w:pPr>
    </w:p>
    <w:p>
      <w:pPr>
        <w:jc w:val="both"/>
        <w:ind w:left="660" w:right="20" w:hanging="38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purchased from a non-affiliated water utility regulated by the New Jersey Board of Public Utilities (NJBPU) under an agreement which expires February 27, 2026. This agreement provides for minimum purchases of 3.0 million gallons per day (mgd) of treated water with provisions for additional purchases.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Middlesex System’s distribution storage facilities are used to supply water to customers at times of peak demand, outages and emergencies.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source of surface water for the Middlesex System is the Delaware &amp; Raritan Canal, which is owned by the State of New Jersey and operated by the New Jersey Water Supply Authority (NJWSA). Middlesex is under contract with the NJWSA, which expires November 30, 2048, and provides for average purchases of 27.0 mgd, with a peak up to 47.0 mgd, of untreated water from the Delaware &amp; Raritan Canal, augmented by the Round Valley/Spruce Run Reservoir System. The untreated surface water is pumped to, and treated at, the CJO Plant.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Tidewater System</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Tidewater System, together with our wholly-owned subsidiary, Southern Shores, produced approximately 3.3 billion gallons in 2024, primarily from 172 wells. Tidewater expects to submit applications to Delaware regulatory authorities for the approval of additional wells as growth, customer demand and water quality warrant. Tidewater augments its water production with annual purchases of up to 75.0 million gallons of treated water from the City of Dover, Delaware. Tidewater does not have a central water treatment facility for the over 480 separate communities it serves. As the number has grown, many of Tidewater’s individual systems have been interconnected, forming several regional systems that are served by multiple water treatment facilities owned by Tidewater.</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Pinelands Water System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Water supply to our Pinelands Water System is derived from four wells which produced approximately 141.1 million gallons in 2024. The aggregate pumping capacity of the four wells is 2.2 mgd.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Wastewater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Pinelands Wastewater System</w:t>
      </w:r>
    </w:p>
    <w:p>
      <w:pPr>
        <w:spacing w:after="0" w:line="13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92.6 million gallons in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strives to attract and retain employees by offering competitive compensation and benefits along with career development and training opportunities in a safe, supportive and inclusive work environment. Our mission, our business philosophy and the manner in which we deliver value for our customers, our shareholders and our employees is inherent in what we, as an enterprise, profess to be our core values of Respect, Integrity, Growth, Honesty and Teamwork. Our employees’ success is a key element of the Company’s success.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360 employees. None of our employees is subject to a collective bargaining agreement. We believe our employee relations are positive.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and Benefits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comprehensive competitive employee compensation and benefit programs consistent with job functions, skill levels, experience, knowledge and geographic location. These programs are periodically independently evaluated by a nationally recognized consulting firm to gauge effectiveness and are benchmarked against industry peers and the overall markets in which we operate our businesses. Compensation increases and incentive compensation are based on merit, which is communicated to employees and documented in our bi-annual performance evaluation process. Benefits include a variety of programs to enhance employee overall physical, mental and financial health and well-being, including healthcare insurance, employer funded retirement savings plans, life insurance, disability insurance, accident insurance, tuition reimbursement, flu shots, wellness newsletters and webinars, flexible hybrid office and remote work capabilities, incentive programs for achieving fitness milestones, financial counseling, elder care assistance, substance abuse support and more.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implemented safety programs and management practices designed to promote a culture of safety to protect its employees. This includes required trainings for employees, as well as specific qualifications and certifications for certain operational employees. All employees have been empowered to report, and immediately stop work which, in their personal judgement, is unsafe or is not consistent with our safety policies and procedures. They can take this action without fear of reprisal.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and Training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employs various training and other educational programs and has developed company-wide and project-specific training and educational programs, including tuition assistance for full-time employees enrolled in pre-approved undergraduate or graduate courses or professional licensing courses. All employees receive training to identify and report operational and financial risks, as well as risks to Company brand and reputation, which fosters a personal culture of accountability and reinforces our commitment to a safe and sustainable workplace. All employees receive cybersecurity training and other education regarding their use of sensitive data. Our Executive Management team and our Board of Directors continually assess succession plans, leadership development progress</w:t>
      </w:r>
    </w:p>
    <w:p>
      <w:pPr>
        <w:spacing w:after="0" w:line="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and policies and strategies regarding recruitment, retention, career development, diversity, equity and inclusion. Formalized succession planning strategies have been developed for key leadership positions.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Belonging &amp; Inclusion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fostering a workplace where employees feel valued, respected, and empowered to contribute their unique perspectives. The Company is focused on recruitment and/or development of both external and internal candidates so that all prospective and current employees are provided an opportunity to advance their careers. Statements on belonging and inclusion can be found on our website and are not part of this Annual Report on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 our franchised service areas is substantially free from direct competition for growth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has been granted exclusive franchises for its existing community water systems, the ability to expand service areas can be affected by the Delaware Public Service Commission (DEPSC) awarding franchises to other regulated water utilities with whom we compete for such franchises and for projects.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rates charged to customers for utility services, the quality of the services we provide and certain other matters are regulated by the state public utility commissions in the states where we operate, including the NJBPU and the DEPSC (collectively, the Public Utility Commissions).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environmental and water quality regulation by the following regulatory agencies (collectively, the Government Environmental Regulatory Agencies):</w:t>
      </w:r>
    </w:p>
    <w:p>
      <w:pPr>
        <w:spacing w:after="0" w:line="67" w:lineRule="exact"/>
        <w:rPr>
          <w:sz w:val="20"/>
          <w:szCs w:val="20"/>
          <w:color w:val="auto"/>
        </w:rPr>
      </w:pP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Environmental Protection Agency (USEPA);</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Jersey Department of Environmental Protection (NJDEP) with respect to operations in New Jersey; and</w:t>
      </w:r>
    </w:p>
    <w:p>
      <w:pPr>
        <w:spacing w:after="0" w:line="9" w:lineRule="exact"/>
        <w:rPr>
          <w:rFonts w:ascii="Times New Roman" w:cs="Times New Roman" w:eastAsia="Times New Roman" w:hAnsi="Times New Roman"/>
          <w:sz w:val="18"/>
          <w:szCs w:val="18"/>
          <w:color w:val="auto"/>
        </w:rPr>
      </w:pPr>
    </w:p>
    <w:p>
      <w:pPr>
        <w:ind w:left="660" w:hanging="382"/>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Department of Natural Resources and Environmental Control, the Delaware Department of Health and Social Services-Division of Public Health (DEDPH), and the Delaware River Basin Commission with respect to operations in Delaware.</w:t>
      </w:r>
    </w:p>
    <w:p>
      <w:pPr>
        <w:spacing w:after="0" w:line="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our issuances of equity securities are subject to the prior approval of the NJBPU and require registration with the United States Securities and Exchange Commission. Our issuances of long-term debt securities are subject to the prior approval of the respective state Public Utility Commissions.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Rates and Services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regulated rate setting purposes, we account separately for our regulated utility operations to facilitate independent rate setting by the applicable Public Utility Commissions.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our regulated utility rates, the respective Public Utility Commissions consider the revenue, expenses and utility infrastructure used and useful in providing service to the public. Rate determinations by the respective Public Utility Commissions do not guarantee achievement by our regulated utility companies of specific rates of return for our regulated utility operations. Thus, we may not achieve the rates of return authorized by the Public Utility Commissions. In addition, there can be no assurance that any future rate increases will be granted or, if granted, that they will be in the amounts requested.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Middlesex Rate Matters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approval by the NJBPU in February 2024 of the negotiated settlement of the Middlesex 2023 base 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Perfluoroalkyl Substances (PFAS) into the Company’s water supply for its Park Avenue Wellfield Treatment Plant (Park Avenue Plant). The rate case settlement provided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from the December 31, 2023 balance sheet. In 2024, the Company also recognized the recovery of $0.9 million for depreciation and $4.1 million for carrying costs associated with the Park Avenue Plant PFAS treatment upgrades, as well as the recovery of $2.6 million of previously incurred operating treatment costs while the Park Avenue Plant PFAS treatment upgrades were in process.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Middlesex Lead Service Line Replacement (LSLR) Plan, which was approved by the NJBPU in January 2024, has commenced and Middlesex is currently recovering $1.2 million of costs for replacing customer-owned lead service lines incurred through June 2024, which are being recovered between September 2024 and February 2025. Costs of $0.6 million for replacing customer-owned lead service lines incurred between July 2024 through December 2024 will be recovered beginning in March 2025 through August 2025. The LSLR surcharge is required to be reset every six months over the life of the LSLR Plan. Cost recovery for replacing Company-owned lead service lines are recoverable through traditional rate making in connection with general rate case filings.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NJBPU approved Middlesex’s petition for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November 2026.</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the NJBPU approved a DSIC rate, effective May 26, 2024, that is expected to result in $0.5 million of annual revenue. In November 2024, the NJBPU approved a DSIC rate, effective November 26, 2024, that is expected to result in an additional $0.6 million of annual revenue. Middlesex expects to file for an additional DSIC rate increase in April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recovery of increased purchased water costs between base rate case filings. The PWAC is reset to zero once those increased costs are included in base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PWAC rate will be effective March 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Tidewater Rate Matters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the DEPSC approved Tidewater’s petition to recover up to $2.1 million of costs associated with Tidewater’s obligation to identify and inventory lead service lines throughout Tidewater’s service area, as required by federal law and Delaware regulations. Recovery of these costs began February 1, 2025 and is expected to continue through January 2028. Through December 31, 2024, Tidewater has spent $1.8 million, which is included in Regulatory Assets.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Tidewater filed an application with the DEPSC to increase its general rates for water 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enhanced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Tidewater and the Town of Ocean View, Delaware’s (Ocean View) joint application of Tidewater’s purchase of all of the rights, title, and interest in the water utility assets of Ocean View for $4.6 million was approved by the DEPSC. Ocean View serves approximately 900 customers in Sussex County, Delaware. Tidewater currently provides water service to most residents of Ocean View other that the 900 customers currently served by Ocean View. Closing on this purchase is expected by April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Southern Shores Rate Matters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Southern Shores provides water service to a 2,200 unit condominium community in Sussex County, Delaware under a DEPSC-approved agreement expiring December 31, 2029 . Under the agreement, rates are increased when there are unanticipated capital expenditures or regulatory related changes in operating expenses exceed certain thresholds. In 2024, capital expenditures did exceed the established threshold. In addition, rates are increased annually by the lesser of the regional Consumer Price Index or 3%. Effective January 1, 2025, Southern Shores rates were increased $0.1 million or 6.51%.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Service Matters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Twin Lakes Utilities, Inc. (Twin Lakes) – </w:t>
      </w:r>
      <w:r>
        <w:rPr>
          <w:rFonts w:ascii="Times New Roman" w:cs="Times New Roman" w:eastAsia="Times New Roman" w:hAnsi="Times New Roman"/>
          <w:sz w:val="18"/>
          <w:szCs w:val="18"/>
          <w:color w:val="auto"/>
        </w:rPr>
        <w:t>Twin Lakes provides water services to approximately 115 residential customers in Shohola, Pennsylvania.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2021, the Pennsylvania Public Utility Commission (PAPUC) appointed a large Pennsylvania based investor-owned utility as the receiver (the Receiver Utility) of the Twin Lakes system. In November 2021, the PAPUC issued an Order ordering the Receiver Utility to acquire the Twin Lakes water system and for Middlesex, the parent company of Twin Lakes, to submit $1.7 million into an escrow account within 30 days. In January 2025, the United States Court of Appeals for the Third Circuit (Third Circuit Court) upheld the PAPUC Order. Following the Third Circuit Court’s decision, Middlesex will not pursue further litigation in the federal courts and intends to submit the required escrow payment to complete the Receiver Utility’s acquisition of the Twin Lakes system. The estimated loss recorded by the Company related to this matter, and the financial results, total assets and financial obligations of Twin Lakes are not material to Middlesex.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and Wastewater Quality and Environmental Regulations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environmental regulatory agencies regulate our operations in New Jersey and Delaware with respect to water supply, treatment and distribution systems and the quality of the water. They also regulate our operations with respect to wastewater collection, treatment and disposal.</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Regulations relating to water quality require us to perform tests to ensure our water meets state and federal quality requirements. We participate in industry-related research to identify technologies that may reduce the level of</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organic, inorganic and synthetic compounds found in water. The cost to water utilities to comply with any proposed water quality standards depends in part on the limits set in the regulations and on the method selected to treat the water to the required standards. We regularly test our water to determine compliance with government environmental regulatory agencies’ water quality standards.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treat the groundwater supplies in our Middlesex System with chlorination for primary disinfection purposes and use air stripping for removal of volatile organic compounds.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Surface water treatment in our Middlesex System is by conventional treatment; coagulation, sedimentation and filtration. The treatment process includes pH adjustment, ozone and chlorination for disinfection, and corrosion control for the distribution system.</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Treatment of groundwater in our Tidewater System is by chlorination for disinfection purposes and, in some cases, pH adjustment and filtration for nitrate and iron removal and granular activated carbon filtration for organics removal. Chloramination is used for final disinfection at Southern Shores.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of groundwater in the Pinelands Water System (primary disinfection only) is performed at individual well sites.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of wastewater in the Pinelands Wastewater System includes the use of rotating biological contactors.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NJDEP and DEDPH monitor our activities and review the results of water quality tests that are performed for adherence to applicable regulations. Other applicable regulations include the Lead, Copper and Lead Service Line Rules, the Federal Surface Water Treatment Rule and the Federal Total Coliform Rule and regulations for maximum contaminant levels established for various volatile organic compounds.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retirements of President and Chief Executive Officer Dennis W. Doll, and Senior Vice President, Treasurer and Chief Financial Officer Bruce O’Connor, the Company named Nadine Leslie its new President and Chief Executive Officer effective March 1, 2024 and Mohammed G. Zerhouni its new Senior Vice President, Chief Financial Officer and Treasurer effective June 24, 2024. Ms. Leslie was also appointed to the Board of Directors effective March 1, 2024.</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named Gregory Sorensen its new Vice President and Chief Operating Officer. His responsibilities include water and wastewater operations, capital program planning and delivery, safety and security, sustainability, and growth initiatives.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table lists information concerning our executive management team: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Principal Position(s)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Nadine Leslie</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2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Mohammed G. Zerhouni</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Sorensen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and Chief Operating Officer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K. Fullagar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 New Jersey Operations</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Lorrie B. Ginegaw</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 Human Resources</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L. Kooper</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 General Counsel and Secretary</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 M. Simpson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-Information Technology and Chief Technology Officer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E. Patrick</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Delaware Operations</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Hague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 Communications and Corporate Affairs</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Capko</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Controller and Principal Accounting Officer</w:t>
            </w:r>
          </w:p>
        </w:tc>
      </w:tr>
    </w:tbl>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Nadine Leslie </w:t>
      </w:r>
      <w:r>
        <w:rPr>
          <w:rFonts w:ascii="Times New Roman" w:cs="Times New Roman" w:eastAsia="Times New Roman" w:hAnsi="Times New Roman"/>
          <w:sz w:val="18"/>
          <w:szCs w:val="18"/>
          <w:color w:val="auto"/>
        </w:rPr>
        <w:t>– Ms. Leslie joined the Company as President and Chief Executive Officer in March 2024. Ms. Leslie is an accomplished leader with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25 years of domestic and international experience in the Water Industry. She previously served as Chief Executive Officer of Suez North America from 2019 to 2022. Ms. Leslie holds a Bachelor of Science degree in civil engineering from the Faculte des Sciences in Haiti and completed an internship/scholarship program in urban planning at La Cambre University in Belgium. Ms. Leslie currently serves as a Director on the Board of Directors of Provident Financial Services, Inc. (since June 2021) and Syensqo SA/NV (since December 2023).</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Mohammed G. Zerhouni </w:t>
      </w:r>
      <w:r>
        <w:rPr>
          <w:rFonts w:ascii="Times New Roman" w:cs="Times New Roman" w:eastAsia="Times New Roman" w:hAnsi="Times New Roman"/>
          <w:sz w:val="18"/>
          <w:szCs w:val="18"/>
          <w:color w:val="auto"/>
        </w:rPr>
        <w:t>– Mr. Zerhouni, a Certified Public Accountant, joined the Company in June 2024 as Senior Vice President,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Treasurer. He was most recently the Senior Vice President of Finance and Principal Accounting Officer of SJW Group. Prior to joining SJW Group, he was the Chief Financial Officer for Veolia North America’s regulated utility business. Mr. Zerhouni served in various roles of increasing responsibility up to Senior Manager in the audit practice of PricewaterhouseCoopers LLP. Mr. Zerhouni attended Franklin University, where he received a Bachelor of Science in Accounting and a Masters in Business Administration.</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Gregory Sorensen </w:t>
      </w:r>
      <w:r>
        <w:rPr>
          <w:rFonts w:ascii="Times New Roman" w:cs="Times New Roman" w:eastAsia="Times New Roman" w:hAnsi="Times New Roman"/>
          <w:sz w:val="18"/>
          <w:szCs w:val="18"/>
          <w:color w:val="auto"/>
        </w:rPr>
        <w:t>- Mr. Sorensen joined the Company in December 2024 as Vice President and Chief Operating Officer. Prior to joining the Company,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Sorensen served as President, West Region at Liberty Utilities where he led a team of 800 professionals delivering safe and reliable water, wastewater, and electric service in Arizona, California, Texas and Chile. At Liberty, Mr. Sorensen had nearly 20 years of progressive leadership roles including in accounting, customer service, engineering, operations and general management. Before joining Liberty, Mr. Sorensen worked in various roles in accounting and finance for an international call center company in Arizona and in public accounting in North Carolina and Georgia, where he maintains his Certified Public Accountant license. Mr. Sorensen attended Wake Forest University where he received a Bachelor of Science in Accounting.</w:t>
      </w:r>
    </w:p>
    <w:p>
      <w:pPr>
        <w:spacing w:after="0" w:line="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Robert K. Fullagar – </w:t>
      </w:r>
      <w:r>
        <w:rPr>
          <w:rFonts w:ascii="Times New Roman" w:cs="Times New Roman" w:eastAsia="Times New Roman" w:hAnsi="Times New Roman"/>
          <w:sz w:val="18"/>
          <w:szCs w:val="18"/>
          <w:color w:val="auto"/>
        </w:rPr>
        <w:t>Mr. Fullagar, a licensed professional engineer, joined the Company in 1997, was named Assistant Vice President-Operations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2019 and promoted to Vice President-Operations in July 2019. In</w:t>
      </w:r>
    </w:p>
    <w:p>
      <w:pPr>
        <w:spacing w:after="0" w:line="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February 2025, Mr. Fullagar was promoted to President-New Jersey Operations. Mr. Fullagar attended the New Jersey Institute of Technology, where he received a Bachelor of Science Degree in Civil Engineering. Mr. Fullagar serves as Sector Chair of the New Jersey Infrastructure Advisory Committee and is a Member of the NJDEP’s Licensed Operator Advisory Committee.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Lorrie B. Ginegaw </w:t>
      </w:r>
      <w:r>
        <w:rPr>
          <w:rFonts w:ascii="Times New Roman" w:cs="Times New Roman" w:eastAsia="Times New Roman" w:hAnsi="Times New Roman"/>
          <w:sz w:val="18"/>
          <w:szCs w:val="18"/>
          <w:color w:val="auto"/>
        </w:rPr>
        <w:t>– Ms. Ginegaw joined Tidewater in 2004 and in 2007 was promoted to Director of Human Resources for Middlesex. In March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Ginegaw was named Vice President-Human Resources. Prior to joining the Company, Ms. Ginegaw worked in various human resources positions in the healthcare and transportation/logistics industries and is a Society for Human Resource Management Certified Professional. Ms. Ginegaw attended Wichita State University, where she received a Bachelor of Arts in Field Studies, Business and Psychology, and Wilmington University, where she received a Master’s in Business Administration. Ms. Ginegaw serves as a volunteer director on the Board of the New Jersey Utilities Association.</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Jay L. Kooper </w:t>
      </w:r>
      <w:r>
        <w:rPr>
          <w:rFonts w:ascii="Times New Roman" w:cs="Times New Roman" w:eastAsia="Times New Roman" w:hAnsi="Times New Roman"/>
          <w:sz w:val="18"/>
          <w:szCs w:val="18"/>
          <w:color w:val="auto"/>
        </w:rPr>
        <w:t>– Mr. Kooper joined the Company in 2014 as Vice President and General Counsel and serves as Secretary for the Company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 including as President of Temple B’Nai Abraham in Livingston, New Jersey and as a Director of the Crohn’s and Colitis Foundation’s New Jersey Chapter.</w:t>
      </w:r>
    </w:p>
    <w:p>
      <w:pPr>
        <w:spacing w:after="0" w:line="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Georgia M. Simpson </w:t>
      </w:r>
      <w:r>
        <w:rPr>
          <w:rFonts w:ascii="Times New Roman" w:cs="Times New Roman" w:eastAsia="Times New Roman" w:hAnsi="Times New Roman"/>
          <w:sz w:val="18"/>
          <w:szCs w:val="18"/>
          <w:color w:val="auto"/>
        </w:rPr>
        <w:t>– Ms. Simpson joined the Company in 2009, was named Assistant Vice President-Information Technology in January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promoted to Vice President- Information Technology in July 2019. In April 2022, Ms. Simpson was named Chief Technology Officer. Prior to joining the Company, Ms. Simpson held various Information Technology positions and has gained an extensive array of technical and business computer certifications. Ms. Simpson graduated from Monroe College in New York with a Bachelor’s Degree in Information Systems. Ms. Simpson serves as a member of the Delaware Cyber Security Advisory Council, the Society for Information Management, New Jersey chapter and the Project Management Institute, New Jersey chapter.</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Bruce E. Patrick </w:t>
      </w:r>
      <w:r>
        <w:rPr>
          <w:rFonts w:ascii="Times New Roman" w:cs="Times New Roman" w:eastAsia="Times New Roman" w:hAnsi="Times New Roman"/>
          <w:sz w:val="18"/>
          <w:szCs w:val="18"/>
          <w:color w:val="auto"/>
        </w:rPr>
        <w:t>– Mr. Patrick, a licensed professional engineer, joined Tidewater in February 2002 as Vice President of Engineering. He was promoted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and General Manager in April 2012, Executive Vice President in April 2023, and President in December 2023. Mr. Patrick has extensive experience in regulatory compliance, permitting, planning and design. Prior to joining Tidewater, he served as Kent County, Delaware Public Works Director and County Engineer where he had overall responsibility for the County’s regional wastewater facilities. Mr. Patrick also held prior positions with the Delaware Department of Natural Resources and Environmental Control as well as the Delaware Division of Public Health.</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Brian Hague </w:t>
      </w:r>
      <w:r>
        <w:rPr>
          <w:rFonts w:ascii="Times New Roman" w:cs="Times New Roman" w:eastAsia="Times New Roman" w:hAnsi="Times New Roman"/>
          <w:sz w:val="18"/>
          <w:szCs w:val="18"/>
          <w:color w:val="auto"/>
        </w:rPr>
        <w:t>– Mr. Hague joined the Company in February 2025 as Vice President, Communications and Corporate Affairs. For more than 20 years,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Hague has held numerous management positions in both the public and private sectors, most recently as Director of Government Affairs &amp; Communications at American Dream. Mr. Hague holds a Bachelor of Arts degree from Rutgers University and is, and has been, a board member for various state and local business associations, advocacy groups, and non-profit organizations.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Robert J. Capko </w:t>
      </w:r>
      <w:r>
        <w:rPr>
          <w:rFonts w:ascii="Times New Roman" w:cs="Times New Roman" w:eastAsia="Times New Roman" w:hAnsi="Times New Roman"/>
          <w:sz w:val="18"/>
          <w:szCs w:val="18"/>
          <w:color w:val="auto"/>
        </w:rPr>
        <w:t>– Mr. Capko, a Certified Public Accountant, joined the Company in 2009 as Corporate Controller. On March 28, 2023, Mr. Capko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Principal Accounting Officer of Middlesex. Mr. Capko is also a Director and Treasurer of Tidewater and White Marsh and Controller of USA, USA-PA, Pinelands Water and Pinelands Wastewater. Prior to joining Middlesex, Mr. Capko was an Audit Senior Manager with Deloitte &amp; Touche LLP, with a focus on publicly traded regulated utilities including several regulated public utility clients subject to the jurisdiction of the NJBPU.</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Weather conditions and overuse of underground aquifers may interfere with our sources of water, demand for water services and our ability to supply water to customers.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heightened levels of rainfall and temperatures during the typically warmer months that are cooler than normal may result in decreased customer demand for water services and can adversely affect our revenue and earnings.</w:t>
      </w:r>
    </w:p>
    <w:p>
      <w:pPr>
        <w:spacing w:after="0" w:line="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Times New Roman" w:cs="Times New Roman" w:eastAsia="Times New Roman" w:hAnsi="Times New Roman"/>
          <w:sz w:val="18"/>
          <w:szCs w:val="18"/>
          <w:b w:val="1"/>
          <w:bCs w:val="1"/>
          <w:i w:val="1"/>
          <w:iCs w:val="1"/>
          <w:color w:val="auto"/>
        </w:rPr>
        <w: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sources of water or water in our distribution systems have in the past and in the future may again become contaminated by naturally-occurring or man-made compounds or other contaminants.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or increase our expenses and make us less profitable.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unable to recover costs associated with treating water supplies through rates or, recovery of these costs may not occur in a timely manner. In addition, we could be subject to claims for damages arising from government enforcement actions or legal actions arising out of interruption of service or actual or perceived human exposure to contaminants in our drinking water and water supplies. Such costs could adversely affect our financial results.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regulatory and/or legal actions. Previously, claims have been brought against us alleging our customers received contaminated water. Negative impacts to our profitability and/or our reputation may occur even if we are not responsible for the contamination or the consequences arising out of human exposure to contamination or hazardous substances in the water supplies. Pending or future claims against us could have a material adverse impact on our financial condition, results of operations and cash flows.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necessity for ongoing physical and technological security has resulted, and may continue to result, in increased operating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physical and technological threats to the health and security of the United States of America, we employ physical and technological security measures to guard against such threats and have implemented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Climate variability may cause weather volatility in the future, which may impact water usage and related revenue or, may require additional expenditures to reduce risk associated with any increasing storm, flood, drought or other weather occurrences.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Increased climate variability may cause increased precipitation and flooding, increased frequency and severity of storms and droughts and other weather events, any of which may result in degradation of water quality, decreases in available water supply, changes in water usage patterns and disruptions in service. Because of the uncertainty of weather volatility related to climate variability, we cannot predict its potential impact on our financial condition, results of operations, cash flows and liquidity. Although some or all potential expenditures and costs with respect to our regulated businesses could be recovered through rates we charge to our customers, there can be no assurance that the NJBPU or the DEPSC would authorize recovery of such costs, in whole or in part.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revenue and earnings depend on the rates we charge our customers. We cannot raise utility rates in our regulated businesses without petitioning and receiving approval from the appropriate Public Utility Commissions. If these agencies modify, delay or deny our petition, our revenues will not increase and our earnings will decline unless we are able to reduce costs without degrading service quality.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petitioning the NJBPU for approval and navigating a lengthy administrative process. Similarly, the DEPSC regulates our public utility companies in Delaware. We cannot provide assurance as to when we will request approval for any such matter, nor can we predict whether these Public Utility Commissions will approve, deny or reduce the amount of such requests.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costs are not completely within our control. The failure to obtain any rate increase would prevent us from increasing our revenues and, unless we are able to reduce costs without degrading service quality, would result in reduced earnings.</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environmental regulatory agencies regulate our operations in New Jersey and Delaware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environmental regulatory agencies’ regulations relating to water quality require us to perform additional testing to ensure our water meets state and federal water quality requirements. We are subject to USEPA regulations under the Federal Safe Drinking Water Act and under the Federal Clean Water Act regarding wastewater services. Regulations under the Safe Drinking Water Act include the Lead and Copper Rule, the maximum contaminant levels established for various volatile organic compounds, the Federal Surface Water Treatment Rule and the Total Coliform Rule. There are also similar NJDEP regulations for our New Jersey water systems. The NJDEP and DEDPH monitor our activities and review the results of water quality tests 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compliance with the water and wastewater effluent quality standards depends in part on the limits set in the regulations and on the methods selected to comply with these standards. If new or more restrictive standards are imposed, the cost of compliance could increase and therefore, have an adverse impact on our revenues and results of operations if we cannot recover those costs through the rates we charge our customers. The cost of compliance with fire protection requirements could also increase and make us less profitable if we cannot recover those costs through our rates charged to our customers.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 If we fail to comply with environmental or other laws and regulations to which our business is subject, we could be fined or subject to other sanctions, which could adversely impact our business or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require financing from external sources to fund the ongoing capital program for the improvement in our utility system assets and for planned expansion of those systems. We expect to spend approximately $387 million for capital projects through 2027. We must obtain prior approval from our economic regulators to sell debt or equity securities to raise capital for these projects. If sufficient capital is not available, or the cost of capital is too high, or if the regulatory authorities deny our petition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 and have a material adverse effect on our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competition from other utilities and service providers which might hinder our growth opportunities and mitigate our future profitability.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USA-PA and USA operate and maintain water and wastewater systems for three New Jersey municipalities under 10-year contracts expiring in 2028, 2030 and 2032, respectively. These contracts do not protect us against incurring costs in excess of revenues we earn pursuant to the contracts. There can be no assurance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Capital market conditions and key assumptions may adversely impact the value of our postretirement benefit plan assets and liabilities.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factors can adversely affect (1) the rate of return on assets held in trusts to satisfy our future postretirement benefit obligations and (2) interest rates. Reduced rates of return can increase the level of contributions required by us to satisfy future postretirement benefit obligations. Changes in interest rates impact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and/or operation of additional water and wastewater systems is an element of our growth strategy. This strategy depends on identifying suitable opportunities that meet our risk and reward profile and reaching mutually agreeable terms with acquisition candidates or contract parties. Acquisitions may result in dilution in the value of our equity securities, incurrence of debt and contingent liabilities and fluctuations in financial results. In addition, identifying suitable opportunities, negotiating terms, and integrating operations may require management attention without any assurance of achieving a projected outcome. Even if an acquisition is successfully consummated, or we enter into an agreement to operate additional water or wastewater systems, the assets, operations, contracts or companies we acquire may not achieve the projected revenues and profitability.</w:t>
      </w:r>
    </w:p>
    <w:p>
      <w:pPr>
        <w:spacing w:after="0" w:line="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achieve organic customer growth in our market area is dependent on the residential building market. New housing starts and home sale closings are one element that impacts our rate of growth and therefore, may not meet our expectations.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revenues to increase from customer growth for our regulated water operations as a result of anticipated construction, sale and close of new housing units. If housing starts decline, or do not increase as we have projected, or home sales closing cycle times increase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There can be no assurance we will continue to pay dividends in the future or, if dividends are paid, that they will be in amounts similar to past dividends.</w:t>
      </w:r>
    </w:p>
    <w:p>
      <w:pPr>
        <w:spacing w:after="0" w:line="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we will continue to pay dividends in the future or, if dividends are paid, that they will be in amounts similar to past dividends.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cash generated from operations and, if necessary, borrowings under existing credit facilities, will be sufficient to enable us to make our debt payments as they become due. If, however, we do not generate sufficient cash, we may be required to attempt to refinance our obligations or sell additional equity.</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No assurance can be given that any refinancing or sale of equity will be possible when needed, or that we will be able to negotiate favorable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current concentration of our business in central New Jersey and in Delaware makes us susceptible to adverse developments in local regulatory, economic, demographic, competitive and weather conditions.</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Middlesex System provides water services to customers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 or reduce the revenue earned in conducting our business.</w:t>
      </w:r>
    </w:p>
    <w:p>
      <w:pPr>
        <w:spacing w:after="0" w:line="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anti-takeover measures that may be used to discourage, delay or prevent changes of control that might benefit non-management shareholders.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the Board of Directors determines is not in the best interest of the common shareholders.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 may materially and adversely affect our financial condition and results of operations.</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decreases, our financial condition and results of operations could be negatively impacted until completion of a subsequent base rate filing.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information technology systems to help manage our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require periodic modifications, upgrades and/or replacement which subject us to costs and risks including potential disruption of our internal control structure, substantial unanticipated capital expenditures, additional operating expenses, retention of sufficiently skilled personnel and other risks in transitioning to new systems or integrating new systems. A failure to modify, upgrade or replace our information technology systems could have an adverse impact on our business. In addition, challenges implementing new technology systems may cause disruptions in our business operations and have an adverse effect on our business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information technology systems may be subject to physical and cyber attacks.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regulations, including standards for drinking water, litigation and reputational damage.</w:t>
      </w:r>
    </w:p>
    <w:p>
      <w:pPr>
        <w:spacing w:after="0" w:line="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significantly on the technical and management services of our team, and the departure of any of certain persons could cause our operating results to temporarily be short of our expectations.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success depends significantly on the continued individual and collective contributions of our team. If we lose the services of certain members of our team, or are unable to attract and retain qualified personnel in key roles, our operating results could be negatively impacted.</w:t>
      </w:r>
    </w:p>
    <w:p>
      <w:pPr>
        <w:spacing w:after="0" w:line="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cybersecurity program is an integral element of the Company's overarching strategic plan and risk management system. The robustness of the cybersecurity initiatives directly impact the realization of the Company's mission, vision, and goals. Aligned with the National Institute of Standards and Technology Cyber Security Framework, the Company employs a comprehensive "defense-in-depth" strategy, deploying multiple security measures to safeguard its operational environment and data integrity systems.</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continually evaluates and refines its cybersecurity program in response to key factors such as evolving threat landscapes, program maturation, gap analysis, and guidance from external security consultants. The Company’s cybersecurity program relies on three key pillars: People, Process and Technology (PPT) to deliver a robust cybersecurity program. The cybersecurity program includes various aspects of PPT, including, but not limited to:</w:t>
      </w:r>
    </w:p>
    <w:p>
      <w:pPr>
        <w:spacing w:after="0" w:line="81" w:lineRule="exact"/>
        <w:rPr>
          <w:sz w:val="20"/>
          <w:szCs w:val="20"/>
          <w:color w:val="auto"/>
        </w:rPr>
      </w:pPr>
    </w:p>
    <w:p>
      <w:pPr>
        <w:ind w:left="800" w:hanging="44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w:t>
      </w:r>
      <w:r>
        <w:rPr>
          <w:rFonts w:ascii="Times New Roman" w:cs="Times New Roman" w:eastAsia="Times New Roman" w:hAnsi="Times New Roman"/>
          <w:sz w:val="18"/>
          <w:szCs w:val="18"/>
          <w:color w:val="auto"/>
        </w:rPr>
        <w:t>Encryption, threat management, backups, monitoring, investigative support utilizing artificial intelligence embedded tools;</w:t>
      </w:r>
    </w:p>
    <w:p>
      <w:pPr>
        <w:spacing w:after="0" w:line="225" w:lineRule="exact"/>
        <w:rPr>
          <w:rFonts w:ascii="Times New Roman" w:cs="Times New Roman" w:eastAsia="Times New Roman" w:hAnsi="Times New Roman"/>
          <w:sz w:val="18"/>
          <w:szCs w:val="18"/>
          <w:color w:val="auto"/>
        </w:rPr>
      </w:pPr>
    </w:p>
    <w:p>
      <w:pPr>
        <w:ind w:left="800" w:hanging="44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Identity and Access Control Management Tools: </w:t>
      </w:r>
      <w:r>
        <w:rPr>
          <w:rFonts w:ascii="Times New Roman" w:cs="Times New Roman" w:eastAsia="Times New Roman" w:hAnsi="Times New Roman"/>
          <w:sz w:val="18"/>
          <w:szCs w:val="18"/>
          <w:color w:val="auto"/>
        </w:rPr>
        <w:t>Multi-factor authentication, monitoring and alerting of privilege account access;</w:t>
      </w:r>
    </w:p>
    <w:p>
      <w:pPr>
        <w:spacing w:after="0" w:line="225" w:lineRule="exact"/>
        <w:rPr>
          <w:rFonts w:ascii="Times New Roman" w:cs="Times New Roman" w:eastAsia="Times New Roman" w:hAnsi="Times New Roman"/>
          <w:sz w:val="18"/>
          <w:szCs w:val="18"/>
          <w:color w:val="auto"/>
        </w:rPr>
      </w:pPr>
    </w:p>
    <w:p>
      <w:pPr>
        <w:ind w:left="800" w:hanging="448"/>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Cybersecurity Processes: </w:t>
      </w:r>
      <w:r>
        <w:rPr>
          <w:rFonts w:ascii="Times New Roman" w:cs="Times New Roman" w:eastAsia="Times New Roman" w:hAnsi="Times New Roman"/>
          <w:sz w:val="18"/>
          <w:szCs w:val="18"/>
          <w:color w:val="auto"/>
        </w:rPr>
        <w:t>Vulnerability scanning, penetration testing, and periodic assessments conducted by external security consultants;</w:t>
      </w:r>
    </w:p>
    <w:p>
      <w:pPr>
        <w:spacing w:after="0" w:line="225" w:lineRule="exact"/>
        <w:rPr>
          <w:rFonts w:ascii="Times New Roman" w:cs="Times New Roman" w:eastAsia="Times New Roman" w:hAnsi="Times New Roman"/>
          <w:sz w:val="18"/>
          <w:szCs w:val="18"/>
          <w:color w:val="auto"/>
        </w:rPr>
      </w:pPr>
    </w:p>
    <w:p>
      <w:pPr>
        <w:ind w:left="800" w:hanging="448"/>
        <w:spacing w:after="0" w:line="286"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Training: </w:t>
      </w:r>
      <w:r>
        <w:rPr>
          <w:rFonts w:ascii="Times New Roman" w:cs="Times New Roman" w:eastAsia="Times New Roman" w:hAnsi="Times New Roman"/>
          <w:sz w:val="18"/>
          <w:szCs w:val="18"/>
          <w:color w:val="auto"/>
        </w:rPr>
        <w:t>Regularly assessed incident response preparedness through various incident response and disaster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exercises; and</w:t>
      </w:r>
    </w:p>
    <w:p>
      <w:pPr>
        <w:spacing w:after="0" w:line="154" w:lineRule="exact"/>
        <w:rPr>
          <w:rFonts w:ascii="Times New Roman" w:cs="Times New Roman" w:eastAsia="Times New Roman" w:hAnsi="Times New Roman"/>
          <w:sz w:val="18"/>
          <w:szCs w:val="18"/>
          <w:color w:val="auto"/>
        </w:rPr>
      </w:pPr>
    </w:p>
    <w:p>
      <w:pPr>
        <w:jc w:val="both"/>
        <w:ind w:left="800" w:hanging="448"/>
        <w:spacing w:after="0" w:line="268"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Cyber Risk Awareness and Training: </w:t>
      </w:r>
      <w:r>
        <w:rPr>
          <w:rFonts w:ascii="Times New Roman" w:cs="Times New Roman" w:eastAsia="Times New Roman" w:hAnsi="Times New Roman"/>
          <w:sz w:val="18"/>
          <w:szCs w:val="18"/>
          <w:color w:val="auto"/>
        </w:rPr>
        <w:t>Frequent simulation exercises to heighten awareness of cybersecurity threats and educate our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community on preventative measures and reporting protocols. All employees participate in required periodic training with respect to cybersecurity risk and risk mitigation.</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Our Chief Technology Officer (CTO), with over 25 years of experience in various disciplines of information technology, oversees the cybersecurity program. Reporting to the Chief Executive Officer, the CTO provides regular briefs to the Board of Directors (the Board) and executive management, informing them about prevention, detection, mitigation, and remediation of cybersecurity incidents, as well as ongoing risks and threats.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industry, the continuous functioning of information systems is of the utmost importance. Leveraging information technology systems, we collect, process and safeguard sensitive data and utilize automated tools to operate our plants.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Cybersecurity threats encompass potential hazards such as malicious code, employee misconduct, advanced persistent threats, fraud, and phishing attacks.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have the potential to lead to information technology system failures, threat to water supply, or compromise of sensitive information.</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program aims to protect the uninterrupted availability of critical information technology resources. Regular assessments, conducted both internally and by third parties, evaluate our program against industry standards, including the National Institute of Standards and Technology Cybersecurity Standard and the Risk Management Framework.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not experienced cybersecurity breaches or incidents that have significantly impacted our financial condition, results of operations, or business strategy, the effectiveness of our measures to prevent, detect, mitigate, or recover is based on currently known threats and recovery methods. There is no guarantee that cybersecurity breaches or incidents will not impact our business operations, strategy, financial condition, or operations.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ever-evolving landscape of cybersecurity threats introduces ongoing challenges. The Company recognizes the increasing frequency and sophistication of these threats. Despite implementing measures to secure operational and technology systems and fostering a culture of continuous improvement, the dynamic nature of cyber-attacks and vulnerabilities implies that these defenses may not be foolproof.</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Program and Strategy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Cybersecurity risk management strategy is an integral component of our operations and our overall risk management process. Recognizing the dynamic nature of cybersecurity threats, we have implemented a comprehensive risk management program that aims to identify, assess, and mitigate potential risks. Our strategy involves a proactive approach, incorporating preventative measures, continuous monitoring, and adaptive response mechanisms. We prioritize the safeguarding of our operational network environment, sensitive data, including confidential business information and personal details of our customers and employees. Regular assessments conducted both internally and by third parties ensure our cybersecurity program aligns with industry standards. In addition to a dedicated cybersecurity team, we employ a defense-in-depth strategy, utilizing multiple security measures to protect our information technology system. Collaboration with third-party experts, industry peers and ongoing training initiatives ensures our cybersecurity strategy remains robust and responsive to evolving threats. We understand the importance of maintaining a vigilant and adaptive stance in the ever-evolving landscape of cybersecurity to safeguard our business operations, financial stability, and as a direct result, our overall success.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mitigation approach are comprised of:</w:t>
      </w:r>
    </w:p>
    <w:p>
      <w:pPr>
        <w:spacing w:after="0" w:line="131" w:lineRule="exact"/>
        <w:rPr>
          <w:sz w:val="20"/>
          <w:szCs w:val="20"/>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cybersecurity team;</w:t>
      </w:r>
    </w:p>
    <w:p>
      <w:pPr>
        <w:spacing w:after="0" w:line="225"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a third-party managed detection and response company for 24/7 monitoring and response;</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insurance to cover a portion of losses and damages resulting from cyber-attacks or security breaches;</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team that is comprised of various departments required for an effective response;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drills and exercises, including industry collaborations and participation from the executive team;</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information security awareness training and phishing simulation exercises;</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security assessments to address evolving risks and threats;</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of automation solutions to strengthen detection and response capabilities; and</w:t>
      </w:r>
    </w:p>
    <w:p>
      <w:pPr>
        <w:spacing w:after="0" w:line="117" w:lineRule="exact"/>
        <w:rPr>
          <w:rFonts w:ascii="Times New Roman" w:cs="Times New Roman" w:eastAsia="Times New Roman" w:hAnsi="Times New Roman"/>
          <w:sz w:val="18"/>
          <w:szCs w:val="18"/>
          <w:color w:val="auto"/>
        </w:rPr>
      </w:pPr>
    </w:p>
    <w:p>
      <w:pPr>
        <w:ind w:left="580" w:hanging="343"/>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services offered by the United States Department of Homeland Security to assist with resiliency planning.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Relationships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utilizes partners and third-party service providers to help deliver safe and reliable water and wastewater services across its regulated operations. In connection with these relationships, we perform due diligence, cyber risk scoring, cybersecurity related contractual obligations, and periodic reviews of third-party control environments to ensure alignment with the Company's risk exposure, business requirements, and risk tolerances.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extend our cybersecurity focus to third-party service providers by evaluating and monitoring their cybersecurity risks. High-risk vendors undergo continuous monitoring, and we maintain contractual agreements that mandate our third-party providers’ commitment to managing cybersecurity risks, providing incident notifications, and being subject to cybersecurity audits.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Corporate Governance and Nominating Committee of the Board is tasked with serving as the Board of Director’s primary body to oversee management’s risk identification, management and mitigation strategies related to, among other risks, information technology, cybersecurity and data security risks. Management, including the CTO, provides regular reports to the Board covering aspects such as risks, threats, the evolving threat landscape, enhancements to the cybersecurity program, and the preparedness of internal responses.</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Utility Plant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wastewater utility plant in our systems consist of pumping, treatment, collection mains, general facilities and all appurtenances, including all connecting pipes.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Middlesex System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Middlesex System’s principal source of surface supply is the Delaware &amp; Raritan Canal owned by the State of New Jersey and operated as a water resource by the NJWSA.</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Plant in Edison, New Jersey.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CJO Plant includes chemical storage and chemical feed equipment, two dual rapid mixing basins, four upflow clarifiers which are also called superpulsators, three ozone contactors, twelve rapid filters containing gravel, sand and anthracite for water treatment and a steel washwater tank. The CJO Plant also includes a computerized Supervisory Control and Data Acquisitions system to monitor and control the CJO Plant and the water supply and distribution system in the Middlesex System. There is a State of New Jersey certified on-site laboratory capable of performing bacteriological, chemical, process control and advanced instrumental chemical sampling and analysis.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The design capacity of the CJO Plant is 55 mgd (60 mgd maximum capacity). The five electric motor-driven, vertical turbine pumps presently installed have an aggregate capacity of 85 mgd.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there is a 15 mgd auxiliary pumping station on-site at the CJO Plant location. It has a dedicated substation and emergency power supply provided by a diesel-driven generator. It pumps from the 10 million gallon distribution storage reservoir directly into the distribution system.</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transmission and distribution system is comprised of 746 miles of mains and includes 24,300 feet of 48-inch concrete transmission main and 23,400 feet of 42-inch ductile iron transmission main connecting the CJO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Middlesex System’s storage facilities consist of a 10 million gallon reservoir at the CJO Plant, 5 million gallon and 2 million gallon reservoirs in Edison and a 2 million gallon reservoir at the Park Avenue Plant.</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New Jersey, we own the properties on which the Middlesex System’s 27 wells are located, the properties on which our storage tanks are located as well as the property where the CJO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December 2029, houses our corporate administrative functions including executive, accounting, communications, customer service and billing, engineering, human resources, information technology and legal.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Tidewater System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Tidewater System is comprised of 85 production plants that vary in pumping capacity from 46,000 gallons per day to 4.4 mgd. Water is transported to our customers through 938 miles of transmission and distribution mains. Storage facilities include 48 tanks, with an aggregate capacity of 9.9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Pinelands Water System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Pinelands Wastewater System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Pinelands Wastewater owns a 12 acre site on which its 0.5 mgd capacity wastewater treatment plant and connecting pipes are located. Its wastewater collection system is comprised of approximately 24 miles of sewer lines.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USA-PA, USA and White Marsh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non-regulated subsidiaries, namely USA-PA, USA and White Marsh, do not own utility plant property.</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3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September 2021, the NJDEP issued a Notice to Middlesex based on self-reporting by Middlesex that the level of Perfluorooctanoic Acid (PFOA) in water treated at its Park Avenue Plant in New Jersey exceeded a recently promulgated NJDEP standard effective in 2021. Neither the NJDEP nor Middlesex characterized this exceedance as an acute health emergency. However, Middlesex was required to notify its affected customers and the Company</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complied in due course. Water currently being delivered to customers is in compliance with all USEPA and NJDEP drinking water standards, including the newly established water quality standard for PFOA.</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2021, the Company was served with two PFOA-related class action lawsuits seeking restitution for medical, water filter replacement and other claimed related costs. On August 30, 2024, the parties to the </w:t>
      </w:r>
      <w:r>
        <w:rPr>
          <w:rFonts w:ascii="Times New Roman" w:cs="Times New Roman" w:eastAsia="Times New Roman" w:hAnsi="Times New Roman"/>
          <w:sz w:val="18"/>
          <w:szCs w:val="18"/>
          <w:i w:val="1"/>
          <w:iCs w:val="1"/>
          <w:color w:val="auto"/>
        </w:rPr>
        <w:t>Vera et al. v. Middlesex Water 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Lonsk et al v. Middlesex Water Company</w:t>
      </w:r>
      <w:r>
        <w:rPr>
          <w:rFonts w:ascii="Times New Roman" w:cs="Times New Roman" w:eastAsia="Times New Roman" w:hAnsi="Times New Roman"/>
          <w:sz w:val="18"/>
          <w:szCs w:val="18"/>
          <w:color w:val="auto"/>
        </w:rPr>
        <w:t xml:space="preserve"> litigations entered into a signed Settlement Term Sheet (Term Sheet) in a step towards resolution of both matters. The parties are in the process of memorializing the settlement into a Settlement Agreement that is expected to be completed by the parties in the first quarter of 2025. The Company does not believe that the Term Sheet and the anticipated Settlement Agreement, once executed, will have any material financial or operational impact to Middlesex.</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defendant in other lawsuits in the normal course of business. We believe the resolution of these pending claims and legal proceedings will not have a material adverse effect on the Company’s consolidated financial statements.</w:t>
      </w:r>
    </w:p>
    <w:p>
      <w:pPr>
        <w:spacing w:after="0" w:line="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ind w:left="980" w:right="1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 OF EQUITY SECURITIES.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Stock Market, LLC, under the symbol MSEX. As of December 31, 2024, there were 1,631 holders of record.</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long-term incentive compensation plan for certain management employees where awards are made in the form of restricted common stock. Shares issued in connection with this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this plan is 0.3 million shares, of which approximately 70% remain available for future issuance as of December 31, 2024.</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a stock plan for its independent members of the Board of Directors as a component of their compensation. In 2024, shares of the Company’s common stock valued at $0.4 million were granted and issued to the Independent Directors. The maximum number of shares authorized for grant under this plan is 0.1 million. Approximately 34% of the authorized shares remain available for future issuance as of December 31, 2024.</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feature of the Company’s no par $7.00 Series Cumulative and Convertible Preferred Stock allows each security holder to convert one convertible preferred share for twelve shares of the Company's common stock. In 2024, 4,275 shares of the Company’s no par $7.00 Series Cumulative and Convertible Preferred Stock were converted into 51,300 shares (approximately $0.4 million) of the Company’s common stock.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a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2019. The S&amp;P 500 Stock Index measures the stock performance of 500 large companies listed on stock exchanges in the United States.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Middlesex Water Company, the S&amp;P 500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4946015" cy="2888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4601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4"/>
        <w:spacing w:after="0" w:line="282" w:lineRule="auto"/>
        <w:tabs>
          <w:tab w:leader="none" w:pos="8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includes American States Water Company, Artesian Resources Corp., California Water Service Group, Global Water Resources Inc, SJW Corp., York Water Company and Middlesex.</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Middlesex Water Company</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S&amp;P 500 Stock Index</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118.40</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152.39</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124.79</w:t>
            </w: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157.59</w:t>
            </w:r>
          </w:p>
        </w:tc>
        <w:tc>
          <w:tcPr>
            <w:tcW w:w="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101.73</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103.25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91.21</w:t>
            </w:r>
          </w:p>
        </w:tc>
        <w:tc>
          <w:tcPr>
            <w:tcW w:w="560" w:type="dxa"/>
            <w:vAlign w:val="bottom"/>
          </w:tcPr>
          <w:p>
            <w:pPr>
              <w:spacing w:after="0"/>
              <w:rPr>
                <w:sz w:val="18"/>
                <w:szCs w:val="18"/>
                <w:color w:val="auto"/>
              </w:rPr>
            </w:pPr>
          </w:p>
        </w:tc>
      </w:tr>
      <w:tr>
        <w:trPr>
          <w:trHeight w:val="3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6"/>
        </w:trPr>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1" w:right="339" w:bottom="1440" w:gutter="0" w:footer="0" w:header="0"/>
        </w:sectPr>
      </w:pPr>
    </w:p>
    <w:bookmarkStart w:id="26" w:name="page27"/>
    <w:bookmarkEnd w:id="2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related notes.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Middlesex Water Company (Middlesex or the Company) has operated as a water utility in New Jersey since 1897 and in Delaware through our wholly-owned subsidiary, Tidewater Utilities, Inc. (Tidewater), since 1992. We are in the business of providing an essential water utility service for domestic, commercial, municipal, industrial and fire protection purposes. We operate water and wastewater systems under contract for governmental entities and private entities primarily in New Jersey and Delaware and also provide regulated wastewater services in New Jersey.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(Southern Shores), provide water services to approximately 61,000 retail customers in New Castle, Kent and Sussex Counties, Delaware. Tidewater’s subsidiary, White Marsh, services approximately 4,300 customers in Kent and Sussex Counties through various operations and maintenance contracts.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10-year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Update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retirements of President and Chief Executive Officer Dennis W. Doll, and Senior Vice President, Treasurer and Chief Financial Officer A. Bruce O’Connor, the Company named Nadine Leslie its new President and Chief Executive Officer effective March 1, 2024 and Mohammed G. Zerhouni its new Senior Vice President,</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Treasurer and Chief Financial Officer effective June 24, 2024. Ms. Leslie was also appointed to the Board of Directors effective March 1, 2024.</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Company named Gregory Sorensen its new Vice President and Chief Operating Officer. His responsibilities include water and wastewater operations, capital program planning and delivery, safety and security, sustainability, and growth initiatives.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Tidewater Acquisition of the Water Utility Assets of the Town of Ocean View, Delaware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Tidewater and the Town of Ocean View, Delaware’s (Ocean View) joint application for Tidewater’s purchase of all of the rights, title, and interest in the water utility assets of Ocean View for $4.6 million was approved by the Delaware Public Service Commission (DEPSC). Ocean View serves approximately 900 customers in Sussex County, Delaware. Tidewater currently provides water service to most residents of Ocean View other that the 900 customers currently served by Ocean View. Closing on this purchase is expected by April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Environmental Protection Agency (USEPA) Issues Final Perfluoroalkyl (PFAS) Regulations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USEPA 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Construction Program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multi-year capital construction program encompasses numerous projects designed to upgrade and replace utility infrastructure as well as enhance the integrity and reliability of assets to better serve the current and future generations of water and wastewater customers. The Company plans to invest approximately $93 million in 2025 in connection with this plan for projects that include, but are not limited to:</w:t>
      </w:r>
    </w:p>
    <w:p>
      <w:pPr>
        <w:spacing w:after="0" w:line="81" w:lineRule="exact"/>
        <w:rPr>
          <w:sz w:val="20"/>
          <w:szCs w:val="20"/>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19,550 linear feet of cast iron main in Woodbridge Township in our Middlesex System;</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new elevated water tanks in Delaware;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water main replacements and improvements.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 for Growth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selective and sustainable growth is focused on the following key areas:</w:t>
      </w:r>
    </w:p>
    <w:p>
      <w:pPr>
        <w:spacing w:after="0" w:line="131" w:lineRule="exact"/>
        <w:rPr>
          <w:sz w:val="20"/>
          <w:szCs w:val="20"/>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utility infrastructure to build system resiliency and meet compliance requirements;</w:t>
      </w:r>
    </w:p>
    <w:p>
      <w:pPr>
        <w:spacing w:after="0" w:line="27"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and continually improve service quality;</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acquisitions of investor and municipally-owned water and wastewater utilities;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which meet our risk profile.</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Rates</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Middlesex </w:t>
      </w:r>
      <w:r>
        <w:rPr>
          <w:rFonts w:ascii="Times New Roman" w:cs="Times New Roman" w:eastAsia="Times New Roman" w:hAnsi="Times New Roman"/>
          <w:sz w:val="18"/>
          <w:szCs w:val="18"/>
          <w:color w:val="auto"/>
        </w:rPr>
        <w:t>- The approval by the NJBPU in February 2024 of the negotiated settlement of the Middlesex 2023 base rate case is expected to increase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Perfluoroalkyl Substances (PFAS) into the Company’s water supply for its Park Avenue Wellfield Treatment Plant (Park Avenue Plant). The rate case settlement provided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from the December 31, 2023 balance sheet. In 2024, the Company also recognized the recovery of $0.9 million for depreciation and $4.1 million for carrying costs associated with the Park Avenue Plant PFAS treatment upgrades, as well as the recovery of $2.6 million of previously incurred operating treatment costs while the Park Avenue Plant PFAS treatment upgrades were in process.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Middlesex Lead Service Line Replacement (LSLR) Plan, which was approved by the NJBPU in January 2024, has commenced and Middlesex is currently recovering $1.2 million of costs for replacing customer-owned lead service lines incurred through June 2024, which are being recovered between September 2024 and February 2025. Costs of $0.6 million for replacing customer-owned lead service lines incurred between July 2024 through December 2024 will be recovered beginning in March 2025 through August 2025. The LSLR surcharge is required to be reset every six months over the life of the LSLR Plan. Cost recovery for replacing Company-owned lead service lines are recoverable through traditional rate making in connection with general rate case filings.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NJBPU approved Middlesex’s petition for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November 2026.</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the NJBPU approved a DSIC rate, effective May 26, 2024, that is expected to result in $0.5 million of annual revenue. In November 2024, the NJBPU approved a DSIC rate, effective November 26, 2024, that is expected to result in an additional $0.6 million of annual revenue. Middlesex expects to file for an additional DSIC rate increase in April 2025.</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will be effective March 1, 2025.</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In September 2024, the DEPSC approved Tidewater’s petition to recover up to $2.1 million of costs associated with Tidewater’s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and inventory lead service lines throughout Tidewater’s service area, as required by federal law and Delaware regulations. Recovery of these costs began February 1, 2025 and is expected to continue through January 2028. Through December 31, 2024, Tidewater has spent $1.8 million, which is included in Regulatory Assets.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Tidewater filed an application with the DEPSC to increase its general rates for water 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enhanced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Southern Shores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Southern Shores provides water service to a 2,200 unit condominium community in Sussex County, Delaware under a DEPSC-approved agreement expiring December 31, 2029. Under the agreement, rates are increased when there are unanticipated capital expenditures or regulatory related changes in operating expenses exceed certain thresholds. In 2024, capital expenditures did exceed the established threshold. In addition, rates are increased annually by the lesser of the regional Consumer Price Index or 3%. Effective January 1, 2025, Southern Shores rates were increased $0.1 million or 6.51%.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ability to increase operating income and net income is based significantly on four factors: weather, adequate and timely rate relief, effective cost management and customer growth (which are evident in comparison discussions in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below). Weather patterns which can result in lower customer demand for water may occur in 2025. As operating costs are anticipated to increase in 2025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investments in system infrastructure continue to grow significantly and our operating costs are anticipated to increase in 2025 and 2026 in a variety of categories. These factors, among others, may require a base rate increase request by Middlesex in mid 2025.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organic residential customer growth continues in our Tidewater system (approximately 3.5% in 2024).</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projected to spend approximately $387 million for the 2025-2027 capital investment program, including approximately $105 million for upgrading our Carl J. Olson Surface Water Treatment Plant (CJO Plant) to integrate PFAS removal from source water, $34 million on the RENEW Program, which is our ongoing initiative to replace water mains in the Middlesex System, $15 million for replacement of a transmission main in Metuchen in our Middlesex System and $12 million for elevated storage tanks in our Tidewater System.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by Segment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two operating segments, Regulated and Non-Regulated. Our Regulated segment contributed approximately 93% of total revenues for the years ended December 31, 2024, 2023 and 2022, respectively, and approximately 94%, 92% and 93% of net income for the years ended December 31, 2024, 2023 and 2022, respectively. The discussion of the Company’s results of operations is on a consolidated basis and includes significant factors by subsidiary. The segments in the tables included below are comprised of the following companies: Regulated- Middlesex, Tidewater, Pinelands and Southern Shores; Non-Regulated- USA, USA-PA, and White Marsh.</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2024 as Compared to 2023</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 w:type="dxa"/>
            <w:vAlign w:val="bottom"/>
          </w:tcPr>
          <w:p>
            <w:pPr>
              <w:spacing w:after="0"/>
              <w:rPr>
                <w:sz w:val="20"/>
                <w:szCs w:val="20"/>
                <w:color w:val="auto"/>
              </w:rPr>
            </w:pPr>
          </w:p>
        </w:tc>
        <w:tc>
          <w:tcPr>
            <w:tcW w:w="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Regulated</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year ended December 31, 2024 increased $25.6 million from the same period in 2023 due to the following factors:</w:t>
      </w:r>
    </w:p>
    <w:p>
      <w:pPr>
        <w:spacing w:after="0" w:line="131" w:lineRule="exact"/>
        <w:rPr>
          <w:sz w:val="20"/>
          <w:szCs w:val="20"/>
          <w:color w:val="auto"/>
        </w:rPr>
      </w:pPr>
    </w:p>
    <w:p>
      <w:pPr>
        <w:ind w:left="660" w:hanging="38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by $19.9 million due to the base rate case increase on March 1, 2024, increased weather-driven customer demand, higher commercial and industrial customer billing and the implementation of the 2024 DSIC mechanism;</w:t>
      </w: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by $4.5 million due to customer growth and higher weather-driven customer demand;</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Pinelands System revenues increased $0.5 million due to scheduled rate increases from Pinelands 2023 NJBPU Order and increased weather-driven customer demand; and</w:t>
      </w:r>
    </w:p>
    <w:p>
      <w:pPr>
        <w:ind w:left="660" w:hanging="38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increased $0.7 million, primarily due to higher supplemental contract services.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 and maintenance expenses for the year ended December 31, 2024 increased $9.2 million from the same period in 2023 due to increased legal, financial and regulatory matter costs, increased labor costs due to annual wage increases, an enhanced water treatment process at Middlesex’s Park Avenue Plant, and higher energy costs due to increased water demand.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Depreciation expense for the year ended December 31, 2024 decreased $0.8 million from the same period in 2023 due to recovery of prior year depreciation related to upgrades at the Park Avenue Plant partially offset by a higher level of utility plant in service. The conclusion of Middlesex’s base rate increase request allowed proceeds from the 3M Settlement Agreement to reimburse Middlesex for previously incurred costs for the construction of the Park Avenue Plant PFAS treatment upgrades (for further discussion of the 3M Settlement Agreement, see </w:t>
      </w:r>
      <w:r>
        <w:rPr>
          <w:rFonts w:ascii="Times New Roman" w:cs="Times New Roman" w:eastAsia="Times New Roman" w:hAnsi="Times New Roman"/>
          <w:sz w:val="18"/>
          <w:szCs w:val="18"/>
          <w:i w:val="1"/>
          <w:iCs w:val="1"/>
          <w:color w:val="auto"/>
        </w:rPr>
        <w:t>Rates, Middlesex</w:t>
      </w:r>
      <w:r>
        <w:rPr>
          <w:rFonts w:ascii="Times New Roman" w:cs="Times New Roman" w:eastAsia="Times New Roman" w:hAnsi="Times New Roman"/>
          <w:sz w:val="18"/>
          <w:szCs w:val="18"/>
          <w:color w:val="auto"/>
        </w:rPr>
        <w:t xml:space="preserve">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taxes for the year ended December 31, 2024 increased $3.1 million from the same period in 2023 primarily due to higher gross receipts taxes on higher revenue in Middlesex and higher payroll related taxes on increased labor costs.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2024 increased $5.6 million from the same period in 2023 primarily due to the recovery of carrying costs on the PFAS treatment upgrades at the Park Avenue Plant and higher actuarially-determined retirement benefit plans non-service benefit offset by lower allowance for funds used during construction on capital projects in construction.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charges for the year ended December 31, 2024 increased $0.9 million from the same period in 2023 due to higher average debt outstanding and higher average interest rates.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for the year ended December 31, 2024 increased by $5.9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2023 as Compared to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0" w:type="dxa"/>
            <w:vAlign w:val="bottom"/>
          </w:tcPr>
          <w:p>
            <w:pPr>
              <w:spacing w:after="0"/>
              <w:rPr>
                <w:sz w:val="20"/>
                <w:szCs w:val="20"/>
                <w:color w:val="auto"/>
              </w:rPr>
            </w:pPr>
          </w:p>
        </w:tc>
        <w:tc>
          <w:tcPr>
            <w:tcW w:w="9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Regulated</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year ended December 31, 2023 increased $3.8 million from the same period in 2022 due to the following factors:</w:t>
      </w:r>
    </w:p>
    <w:p>
      <w:pPr>
        <w:spacing w:after="0" w:line="131" w:lineRule="exact"/>
        <w:rPr>
          <w:sz w:val="20"/>
          <w:szCs w:val="20"/>
          <w:color w:val="auto"/>
        </w:rPr>
      </w:pPr>
    </w:p>
    <w:p>
      <w:pPr>
        <w:ind w:left="660" w:hanging="382"/>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by $4.2 million due to the implementation of the final phase of the 2021 base rate case increase on January 1, 2023 and the PWAC rate increase offset by lower weather-driven demand across all customer classes;</w:t>
      </w:r>
    </w:p>
    <w:p>
      <w:pPr>
        <w:ind w:left="660" w:hanging="382"/>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decreased by $0.9 million due to a DEPSC ordered rate reduction in September 2022, lower customer connection fees and lower weather-driven customer demand partially offset by an increase in customers;</w:t>
      </w: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Pinelands System revenues increased $0.2 million due to the implementation of a base rate increase effective April 15, 2023; and</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increased $0.5 million, primarily due to higher supplemental contract services.</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Operation and Maintenance Expense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 and maintenance expenses for the year ended December 31, 2023 increased $4.0 million from the same period in 2022 due to increased variable production costs due to weather-driven changes in water quality and higher chemical prices, higher outside service costs due to production instrumentation calibration activities, increases in labor costs due to wage increases and higher bad debt expense due to higher anticipated customer receivable write-offs. Partially offsetting these increases was lower weather-related main break activity in our Middlesex System during the winter months.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 ended December 31, 2023 increased $2.2 million from the same period in 2022 due to a higher level of utility plant in service.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year ended December 31, 2023 increased $0.5 million from the same period in 2022 primarily due to higher revenue related taxes on increased revenues in our Middlesex system.</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Subsidiary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Middlesex recognized a $5.2 million gain on the sale of its regulated Delaware wastewater subsidiary in January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year ended December 31, 2023 decreased $1.2 million from the same period in 2022 primarily due to lower actuarially-determined retirement benefit plans non-service benefit.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charges for the year ended December 31, 2023 increased $3.8 million from the same period in 2022 due to higher average debt outstanding and higher average interest rates in 2023 as compared to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for the year ended December 31, 2023 decreased by $2.2 million from the same period in 2022, primarily due to greater income tax benefits associated with increased repair expenditures on tangible property in the Middlesex System and lower pretax income due to gain on the sale of a subsidiary in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cash flows from operating activities increased $5.9 million to $58.7 million. The increase in cash flows from operating activities primarily resulted from the impact of higher weather-driven customer demand and Middlesex’s approved base rate increase effective March 1, 2024.</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cash flows used in investing activities decreased $15.6 million to $74.6 million due to decreased utility plant expenditures in 2024. In 2023, the Company had significant utility plant</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3" w:name="page34"/>
    <w:bookmarkEnd w:id="3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expenditures for the construction of a facility to provide an enhanced treatment process at the Company’s Park Avenue Plant to comply with new state water quality regulations relative to PFAS.</w:t>
      </w:r>
    </w:p>
    <w:p>
      <w:pPr>
        <w:spacing w:after="0" w:line="65" w:lineRule="exact"/>
        <w:rPr>
          <w:sz w:val="20"/>
          <w:szCs w:val="20"/>
          <w:color w:val="auto"/>
        </w:rPr>
      </w:pPr>
    </w:p>
    <w:p>
      <w:pPr>
        <w:ind w:right="240"/>
        <w:spacing w:after="0" w:line="392" w:lineRule="auto"/>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Cash Flows from Financing Activities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cash flows from financing activities decreased $18.2 million to $17.7 million. The decrease in cash flows provided by financing activities is due to lower proceeds from the issuance of common stock under the Middlesex Water Company Investment Plan (Investment Plan) and long-term debt offset by proceeds received from a litigation settlement.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short-term and long-term debt, see “</w:t>
      </w:r>
      <w:r>
        <w:rPr>
          <w:rFonts w:ascii="Times New Roman" w:cs="Times New Roman" w:eastAsia="Times New Roman" w:hAnsi="Times New Roman"/>
          <w:sz w:val="18"/>
          <w:szCs w:val="18"/>
          <w:i w:val="1"/>
          <w:iCs w:val="1"/>
          <w:color w:val="auto"/>
        </w:rPr>
        <w:t>Sources of Liquidity</w:t>
      </w:r>
      <w:r>
        <w:rPr>
          <w:rFonts w:ascii="Times New Roman" w:cs="Times New Roman" w:eastAsia="Times New Roman" w:hAnsi="Times New Roman"/>
          <w:sz w:val="18"/>
          <w:szCs w:val="18"/>
          <w:color w:val="auto"/>
        </w:rPr>
        <w:t>”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estimated capital expenditures for the years 2025-2027.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54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2025-2027</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Distribution/Network System</w:t>
            </w:r>
          </w:p>
        </w:tc>
        <w:tc>
          <w:tcPr>
            <w:tcW w:w="10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Production System</w:t>
            </w:r>
          </w:p>
        </w:tc>
        <w:tc>
          <w:tcPr>
            <w:tcW w:w="108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9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 (IT) Systems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Estimated Capital Expenditures</w:t>
            </w:r>
          </w:p>
        </w:tc>
        <w:tc>
          <w:tcPr>
            <w:tcW w:w="10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9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9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estimated capital expenditures for the items listed above are primarily comprised of the following:</w:t>
      </w:r>
    </w:p>
    <w:p>
      <w:pPr>
        <w:spacing w:after="0" w:line="131" w:lineRule="exact"/>
        <w:rPr>
          <w:sz w:val="20"/>
          <w:szCs w:val="20"/>
          <w:color w:val="auto"/>
        </w:rPr>
      </w:pPr>
    </w:p>
    <w:p>
      <w:pPr>
        <w:jc w:val="both"/>
        <w:ind w:left="660" w:hanging="382"/>
        <w:spacing w:after="0" w:line="253"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Distribution/Network System</w:t>
      </w:r>
      <w:r>
        <w:rPr>
          <w:rFonts w:ascii="Times New Roman" w:cs="Times New Roman" w:eastAsia="Times New Roman" w:hAnsi="Times New Roman"/>
          <w:sz w:val="18"/>
          <w:szCs w:val="18"/>
          <w:color w:val="auto"/>
        </w:rPr>
        <w:t xml:space="preserve"> - Includes projects associated with replacement, installation and relocation of water mains and service lines and wastewater collection systems, construction of water storage tanks, installation and replacement of hydrants, meters and meter pits and the RENEW Program. RENEW is our ongoing initiative to replace water mains in the Middlesex System. In connection with RENEW, we expect to spend approximately $11 million in each of 2025 and 2026, and $12 million in 2027. Also, we plan to replace a transmission main in Metuchen in our Middlesex System for approximately $8 million and $7 million in 2026 and 2027, respectively. In addition, we expect to invest $2 million and $10 million in 2025 and 2026, respectively, for elevated storage tanks in our Tidewater System.</w:t>
      </w:r>
    </w:p>
    <w:p>
      <w:pPr>
        <w:spacing w:after="0" w:line="5"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Production System</w:t>
      </w:r>
      <w:r>
        <w:rPr>
          <w:rFonts w:ascii="Times New Roman" w:cs="Times New Roman" w:eastAsia="Times New Roman" w:hAnsi="Times New Roman"/>
          <w:sz w:val="18"/>
          <w:szCs w:val="18"/>
          <w:color w:val="auto"/>
        </w:rPr>
        <w:t xml:space="preserve"> - Includes projects associated with our treatment plants, including approximately $3 million, $25 million and $77 million of expenditures in 2025, 2026 and 2027, respectively to install PFAS treatment at our CJO Plant.</w:t>
      </w:r>
    </w:p>
    <w:p>
      <w:pPr>
        <w:ind w:left="660" w:hanging="382"/>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 (IT) Systems</w:t>
      </w:r>
      <w:r>
        <w:rPr>
          <w:rFonts w:ascii="Times New Roman" w:cs="Times New Roman" w:eastAsia="Times New Roman" w:hAnsi="Times New Roman"/>
          <w:sz w:val="18"/>
          <w:szCs w:val="18"/>
          <w:color w:val="auto"/>
        </w:rPr>
        <w:t xml:space="preserve"> - Includes further upgrade of our enterprise resource planning system and hardware and software purchases for other IT systems, including approximately $2 million in both 2026 and 2027 for upgrades of our customer information system.</w:t>
      </w:r>
    </w:p>
    <w:p>
      <w:pPr>
        <w:ind w:left="660" w:hanging="382"/>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 Includes purchase of transportation equipment, tools, furniture, laboratory equipment, security systems and other general infrastructure needs including improvements to field and inventory management facilities in Iselin, New Jersey.</w:t>
      </w:r>
    </w:p>
    <w:p>
      <w:pPr>
        <w:spacing w:after="0" w:line="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To fund our capital program in 2025, we estimate we will utilize some or all of the following:</w:t>
      </w:r>
    </w:p>
    <w:p>
      <w:pPr>
        <w:spacing w:after="0" w:line="131" w:lineRule="exact"/>
        <w:rPr>
          <w:sz w:val="20"/>
          <w:szCs w:val="20"/>
          <w:color w:val="auto"/>
        </w:rPr>
      </w:pPr>
    </w:p>
    <w:p>
      <w:pPr>
        <w:ind w:left="660" w:hanging="38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generated funds;</w:t>
      </w:r>
    </w:p>
    <w:p>
      <w:pPr>
        <w:spacing w:after="0" w:line="27"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borrowings, as needed, through $140 million of available lines of credit with several financial institutions. As of December 31, 2024, $23.0 million was outstanding under these lines of credit (see discussion under “</w:t>
      </w:r>
      <w:r>
        <w:rPr>
          <w:rFonts w:ascii="Times New Roman" w:cs="Times New Roman" w:eastAsia="Times New Roman" w:hAnsi="Times New Roman"/>
          <w:sz w:val="18"/>
          <w:szCs w:val="18"/>
          <w:i w:val="1"/>
          <w:iCs w:val="1"/>
          <w:color w:val="auto"/>
        </w:rPr>
        <w:t>Sources of Liquidity-Short-term Debt</w:t>
      </w:r>
      <w:r>
        <w:rPr>
          <w:rFonts w:ascii="Times New Roman" w:cs="Times New Roman" w:eastAsia="Times New Roman" w:hAnsi="Times New Roman"/>
          <w:sz w:val="18"/>
          <w:szCs w:val="18"/>
          <w:color w:val="auto"/>
        </w:rPr>
        <w:t>” below);</w:t>
      </w:r>
    </w:p>
    <w:p>
      <w:pPr>
        <w:ind w:left="660" w:hanging="382"/>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Delaware State Revolving Fund (SRF) Program. SRF programs provide lower cost financing for projects meeting certain water quality and system improvement benchmarks (see discussion under “</w:t>
      </w:r>
      <w:r>
        <w:rPr>
          <w:rFonts w:ascii="Times New Roman" w:cs="Times New Roman" w:eastAsia="Times New Roman" w:hAnsi="Times New Roman"/>
          <w:sz w:val="18"/>
          <w:szCs w:val="18"/>
          <w:i w:val="1"/>
          <w:iCs w:val="1"/>
          <w:color w:val="auto"/>
        </w:rPr>
        <w:t>Sources of Liquidity-Long-term Debt</w:t>
      </w:r>
      <w:r>
        <w:rPr>
          <w:rFonts w:ascii="Times New Roman" w:cs="Times New Roman" w:eastAsia="Times New Roman" w:hAnsi="Times New Roman"/>
          <w:sz w:val="18"/>
          <w:szCs w:val="18"/>
          <w:color w:val="auto"/>
        </w:rPr>
        <w:t>” below);</w:t>
      </w:r>
    </w:p>
    <w:p>
      <w:pPr>
        <w:ind w:left="660" w:hanging="38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other long-term borrowings (see discussion under “</w:t>
      </w:r>
      <w:r>
        <w:rPr>
          <w:rFonts w:ascii="Times New Roman" w:cs="Times New Roman" w:eastAsia="Times New Roman" w:hAnsi="Times New Roman"/>
          <w:sz w:val="18"/>
          <w:szCs w:val="18"/>
          <w:i w:val="1"/>
          <w:iCs w:val="1"/>
          <w:color w:val="auto"/>
        </w:rPr>
        <w:t>Sources of Liquidity-Long-term Debt</w:t>
      </w:r>
      <w:r>
        <w:rPr>
          <w:rFonts w:ascii="Times New Roman" w:cs="Times New Roman" w:eastAsia="Times New Roman" w:hAnsi="Times New Roman"/>
          <w:sz w:val="18"/>
          <w:szCs w:val="18"/>
          <w:color w:val="auto"/>
        </w:rPr>
        <w:t>” below); and</w:t>
      </w:r>
    </w:p>
    <w:p>
      <w:pPr>
        <w:spacing w:after="0" w:line="9" w:lineRule="exact"/>
        <w:rPr>
          <w:rFonts w:ascii="Times New Roman" w:cs="Times New Roman" w:eastAsia="Times New Roman" w:hAnsi="Times New Roman"/>
          <w:sz w:val="18"/>
          <w:szCs w:val="18"/>
          <w:color w:val="auto"/>
        </w:rPr>
      </w:pPr>
    </w:p>
    <w:p>
      <w:pPr>
        <w:ind w:left="660" w:right="20" w:hanging="382"/>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common stock sales through the Investment Plan and proceeds from sales to the public of our common stock when market conditions are favorable (see discussion under “</w:t>
      </w:r>
      <w:r>
        <w:rPr>
          <w:rFonts w:ascii="Times New Roman" w:cs="Times New Roman" w:eastAsia="Times New Roman" w:hAnsi="Times New Roman"/>
          <w:sz w:val="18"/>
          <w:szCs w:val="18"/>
          <w:i w:val="1"/>
          <w:iCs w:val="1"/>
          <w:color w:val="auto"/>
        </w:rPr>
        <w:t>Sources of Liquidity-Common Stock</w:t>
      </w:r>
      <w:r>
        <w:rPr>
          <w:rFonts w:ascii="Times New Roman" w:cs="Times New Roman" w:eastAsia="Times New Roman" w:hAnsi="Times New Roman"/>
          <w:sz w:val="18"/>
          <w:szCs w:val="18"/>
          <w:color w:val="auto"/>
        </w:rPr>
        <w:t>” below).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Debt </w:t>
      </w:r>
      <w:r>
        <w:rPr>
          <w:rFonts w:ascii="Times New Roman" w:cs="Times New Roman" w:eastAsia="Times New Roman" w:hAnsi="Times New Roman"/>
          <w:sz w:val="18"/>
          <w:szCs w:val="18"/>
          <w:color w:val="auto"/>
        </w:rPr>
        <w:t>- The Company has available lines of credit of $140 million. The outstanding borrowings under the credit lines at December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$23.0 million, at a weighted average interest rate of 5.63%.</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 credit lines and the weighted average interest rates on those amounts were $38.7 million and $35.7 million at 6.33% and 6.13% for the years ended December 31, 2024 and 2023, respectively.</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 Subject to regulatory approval, the Company periodically issues long-term debt to fund investments in utility plant.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and fiscally prudent, the Company finances qualifying capital projects under SRF loan programs in New Jersey and Delaware. These government programs provide financing at interest rates typically below rates available in the broader financial markets.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to help fund Middlesex’s multi -year capital construction program.</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with an expected maturity date in 2044. This loan is for costs associated with Tidewater’s obligation, as required by federal law and Delaware regulations, to identify and inventory lead service lines throughout Tidewater’s service area. Tidewater has drawn down $1.7 million as of December 31, 2024.</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Tidewater has drawn down less than $0.1 million on these loans as of December 31, 2024. Each project has its own construction timetable with the last spending set to occur in 2026.</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Tidewater also has two active construction projects funded by Delaware SRF loans totaling $8.3 million with remaining availability of funds for borrowing. These loans are for the construction of a one-million gallon elevated storage tank and construction, relocation, improvement, and interconnection of transmission mains. Tidewater has drawn a total of $4.9 million through December 31, 2024 and expects that the requisitions will continue through the second quarter of 2025.</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Pinelands Water and Pinelands Wastewater closed on $3.9 million and $3.6 million CoBank, ACB (CoBank) amortizing mortgage type loans, respectively, with an interest rate of 6.17% and a final maturity date of 2043 for each loan. Proceeds were used to pay off outstanding intercompany loans with Middlesex and for ongoing capital projects.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2023, Tidewater closed on a $20.0 million loan from CoBank with an interest rate of 5.71% and a 2033 maturity date and fully drew all funds by June 30, 2023. Proceeds from the loan were used to pay off Tidewater’s outstanding balances under its bank lines of credit and for other general corporate purposes.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Tidewater closed on two DEPSC-approved Delaware SRF loans totaling $6.9 million, all at interest rates of 2.0% with maturity dates in 2043 and 2044. These loans are for the construction, relocation, improvement, and/or interconnection of transmission mains. Tidewater has fully drawn on these loans.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2023, Middlesex closed on a $40.0 million, 5.24% private placement of First Mortgage Bonds (FMBs) with a 2043 maturity date designated as Series 2023A. Proceeds were used to reduce the Company’s outstanding balances under its bank lines of credit.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2022, Middlesex repaid its two outstanding New Jersey Infrastructure Bank (NJIB) construction loans by issuing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pacing w:after="0" w:line="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utility plant of the Company is subject to the lien of its mortgage, which includes debt service and capital ratio covenants. The Company is in compliance with all of its mortgage covenants.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The Company issues shares of its common stock in connection with the Investment Plan, a direct share purchase and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reinvestment plan for the Company’s common stock. The Company raised approximately $1.0 million through the issuance of shares under the Investment Plan during 2024. In May 2023, Middlesex received approval from the NJBPU to increase the number of authorized shares under the Investment Plan by 0.7 million shares. Currently, 0.7 million shares remain registered with the United States Securities and Exchange Commission and available for issuance to participants under the Investment Plan.</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fully fund the ongoing capital investment program and maintain a balanced capital structure required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Common stock offerings will occur as needed to maintain a balanced capital structure as we continue on a parallel path with future debt offerings.</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above in “Long-term Debt”, the NJBPU also approved the debt funding component of the financing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table below presents our known contractual obligations for the periods specified as of December 31, 2024.</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Payment Due by Period</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(Millions of Dollars)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35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 Years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4-5 Years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9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9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Purchased Water Contracts</w:t>
            </w:r>
          </w:p>
        </w:tc>
        <w:tc>
          <w:tcPr>
            <w:tcW w:w="90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Office Leases</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9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any anticipated cash payments for retirement benefit plan obligations. The effect on the timing and amount of these payments resulting from potential changes in actuarial assumptions and returns on plan assets cannot be estimated. In 2024, the Company contributed $3.7 million to its retirement benefit plans and expects to contribute approximately $1.8 million in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are set forth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Accounting</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maintain our books and records in accordance with accounting principles generally accepted in the United States of America. Middlesex and certain of its subsidiaries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xml:space="preserve"> (Regulatory Accounting).</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would require us to change the accounting treatment of the deferred item. We have no reason to believe any of the deferred items that are recorded will be treated differently by the regulators in the future.</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our regulated customers, which include amounts billed quarterly to residential customers and monthly to industrial, commercial, fire-protection and wholesale customers, also include unbilled amounts based upon estimated usage from the date of the last meter reading to the end of the accounting period. While actual usage for customers may differ from the estimate, we believe the overall total estimate of consumption and revenue for the fiscal period will not differ materially from actual consumption.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 Plans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noncontributory defined benefit pension plan (Pension Plan) which covers all currently active employees hired prior to April 1, 2007. In addition, the Company maintains an unfunded supplemental plan for certain executive officers.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primary assumptions used for determining future retirement benefit plans’ obligations and costs, which are reviewed and revised as needed each year, are as follows:</w:t>
      </w:r>
    </w:p>
    <w:p>
      <w:pPr>
        <w:spacing w:after="0" w:line="67" w:lineRule="exact"/>
        <w:rPr>
          <w:sz w:val="20"/>
          <w:szCs w:val="20"/>
          <w:color w:val="auto"/>
        </w:rPr>
      </w:pPr>
    </w:p>
    <w:p>
      <w:pPr>
        <w:ind w:left="660" w:right="20" w:hanging="38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 - calculated based on market rates for long-term, high-quality corporate bonds specific to the expected duration of our Pension Plan and Other Benefits Plan’s liabilities;</w:t>
      </w:r>
    </w:p>
    <w:p>
      <w:pPr>
        <w:ind w:left="660" w:hanging="38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Increase - based on management projected future employee compensation increases;</w:t>
      </w:r>
    </w:p>
    <w:p>
      <w:pPr>
        <w:spacing w:after="0" w:line="9"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Rate of Return - determined based on expected returns from our asset allocation for our Pension Plan and Other Benefits Plan assets;</w:t>
      </w:r>
    </w:p>
    <w:p>
      <w:pPr>
        <w:spacing w:after="0" w:line="9" w:lineRule="exact"/>
        <w:rPr>
          <w:rFonts w:ascii="Times New Roman" w:cs="Times New Roman" w:eastAsia="Times New Roman" w:hAnsi="Times New Roman"/>
          <w:sz w:val="18"/>
          <w:szCs w:val="18"/>
          <w:color w:val="auto"/>
        </w:rPr>
      </w:pPr>
    </w:p>
    <w:p>
      <w:pPr>
        <w:ind w:left="660" w:hanging="382"/>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 The Company utilizes the Society of Actuaries’ mortality table (Pri-2012) (Fully Generational, IRS Adjusted, Mortality Improvement Scale MP-2021); and</w:t>
      </w:r>
    </w:p>
    <w:p>
      <w:pPr>
        <w:ind w:left="660" w:hanging="38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Cost Trend Rate - based on management projected future healthcare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compensation increase rate and long-term rate of return used to determine future obligations of our retirement benefit plans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Benefits Plan</w:t>
            </w: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5.47%</w:t>
            </w: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w:t>
            </w:r>
          </w:p>
        </w:tc>
        <w:tc>
          <w:tcPr>
            <w:tcW w:w="29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3.00%</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Rate of Return</w:t>
            </w:r>
          </w:p>
        </w:tc>
        <w:tc>
          <w:tcPr>
            <w:tcW w:w="296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7.00%</w:t>
            </w:r>
          </w:p>
        </w:tc>
        <w:tc>
          <w:tcPr>
            <w:tcW w:w="28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w:t>
            </w:r>
          </w:p>
        </w:tc>
      </w:tr>
    </w:tbl>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2024 valuation, costs and obligations for our Other Benefits Plan assumed an 8.0% annual rate of increase in the per capita cost of covered healthcare benefits in 2025 with the annual rate of increase declining 0.15% per year for 2026-2045, resulting in an annual rate of increase in the per capita cost of covered healthcare benefits of 5.0% by year 2045.</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The following is a sensitivity analysis for certain actuarial assumptions used in determining projected benefit obligations (PBO) and expenses for our retirement benefit plans: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6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 PBO</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 Expense</w:t>
            </w:r>
          </w:p>
        </w:tc>
      </w:tr>
      <w:tr>
        <w:trPr>
          <w:trHeight w:val="238"/>
        </w:trPr>
        <w:tc>
          <w:tcPr>
            <w:tcW w:w="58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Actuarial Assumptions</w:t>
            </w:r>
          </w:p>
        </w:tc>
        <w:tc>
          <w:tcPr>
            <w:tcW w:w="2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09"/>
        </w:trPr>
        <w:tc>
          <w:tcPr>
            <w:tcW w:w="5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1% Increase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80" w:type="dxa"/>
            <w:vAlign w:val="bottom"/>
          </w:tcPr>
          <w:p>
            <w:pPr>
              <w:spacing w:after="0"/>
              <w:rPr>
                <w:sz w:val="19"/>
                <w:szCs w:val="19"/>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Discount Rate 1% Decrease</w:t>
            </w:r>
          </w:p>
        </w:tc>
        <w:tc>
          <w:tcPr>
            <w:tcW w:w="2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10,814</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r>
      <w:tr>
        <w:trPr>
          <w:trHeight w:val="331"/>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Benefits Plan</w:t>
            </w: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6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5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 PBO</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 Expense</w:t>
            </w:r>
          </w:p>
        </w:tc>
      </w:tr>
      <w:tr>
        <w:trPr>
          <w:trHeight w:val="238"/>
        </w:trPr>
        <w:tc>
          <w:tcPr>
            <w:tcW w:w="58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Actuarial Assumptions</w:t>
            </w:r>
          </w:p>
        </w:tc>
        <w:tc>
          <w:tcPr>
            <w:tcW w:w="2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(000s)</w:t>
            </w:r>
          </w:p>
        </w:tc>
      </w:tr>
      <w:tr>
        <w:trPr>
          <w:trHeight w:val="210"/>
        </w:trPr>
        <w:tc>
          <w:tcPr>
            <w:tcW w:w="5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1% Increase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580" w:type="dxa"/>
            <w:vAlign w:val="bottom"/>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Discount Rate 1% Decrease</w:t>
            </w:r>
          </w:p>
        </w:tc>
        <w:tc>
          <w:tcPr>
            <w:tcW w:w="2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4,075</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r>
      <w:tr>
        <w:trPr>
          <w:trHeight w:val="209"/>
        </w:trPr>
        <w:tc>
          <w:tcPr>
            <w:tcW w:w="5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Cost Trend Rate 1% Increase</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580" w:type="dxa"/>
            <w:vAlign w:val="bottom"/>
          </w:tcPr>
          <w:p>
            <w:pPr>
              <w:spacing w:after="0"/>
              <w:rPr>
                <w:sz w:val="18"/>
                <w:szCs w:val="18"/>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Healthcare Cost Trend Rate 1% Decrease</w:t>
            </w:r>
          </w:p>
        </w:tc>
        <w:tc>
          <w:tcPr>
            <w:tcW w:w="2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35" w:lineRule="exact"/>
        <w:rPr>
          <w:sz w:val="20"/>
          <w:szCs w:val="20"/>
          <w:color w:val="auto"/>
        </w:rPr>
      </w:pPr>
    </w:p>
    <w:p>
      <w:pPr>
        <w:ind w:left="5520" w:right="2140" w:hanging="5503"/>
        <w:spacing w:after="0" w:line="548" w:lineRule="auto"/>
        <w:rPr>
          <w:sz w:val="20"/>
          <w:szCs w:val="20"/>
          <w:color w:val="auto"/>
        </w:rPr>
      </w:pPr>
      <w:r>
        <w:rPr>
          <w:rFonts w:ascii="Times New Roman" w:cs="Times New Roman" w:eastAsia="Times New Roman" w:hAnsi="Times New Roman"/>
          <w:sz w:val="18"/>
          <w:szCs w:val="18"/>
          <w:color w:val="auto"/>
        </w:rPr>
        <w:t>See Note 1(q) of the Notes to Consolidated Financial Statements for a discussion of recent accounting pronouncements.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553" w:right="819" w:bottom="1440" w:gutter="0" w:footer="0" w:header="0"/>
        </w:sectPr>
      </w:pPr>
    </w:p>
    <w:bookmarkStart w:id="39" w:name="page40"/>
    <w:bookmarkEnd w:id="39"/>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QUALITATIVE AND QUANTITATIVE DISCLOSURES ABOUT MARKET RISK.</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2026 to 2059. Over the next twelve months, approximately $7.7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 Fixed rate long-term debt and variable rate short-term debt agreements were not entered into for trading purposes.</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Our exposure to market price risk in our retirement benefit plan assets is managed through our ability to recover retirement benefit plan costs through customer rates. There were no material changes to our primary market risk exposures or how such exposures are managed in 2024 nor are there expected to be in the future.</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Middlesex Water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and consolidated statements of capital stock and long-term debt of Middlesex Water Company (the "Company") as of December 31, 2024 and 2023, the related consolidated statements of income, common stockholders' equity, and cash flows for each of the three years in the period ended December 31, 2024, and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present fairly, in all material respects, the financial position of the Company as of December 31, 2024 and 2023, and the results of their operations and their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Pr>
          <w:p>
            <w:pPr>
              <w:spacing w:after="0"/>
              <w:rPr>
                <w:sz w:val="18"/>
                <w:szCs w:val="18"/>
                <w:color w:val="auto"/>
              </w:rPr>
            </w:pPr>
          </w:p>
        </w:tc>
      </w:tr>
      <w:tr>
        <w:trPr>
          <w:trHeight w:val="238"/>
        </w:trPr>
        <w:tc>
          <w:tcPr>
            <w:tcW w:w="5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191,877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166,274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162,434</w:t>
            </w:r>
          </w:p>
        </w:tc>
      </w:tr>
      <w:tr>
        <w:trPr>
          <w:trHeight w:val="209"/>
        </w:trPr>
        <w:tc>
          <w:tcPr>
            <w:tcW w:w="5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9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92,363</w:t>
            </w:r>
          </w:p>
        </w:tc>
        <w:tc>
          <w:tcPr>
            <w:tcW w:w="3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83,113</w:t>
            </w: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79,096</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24,430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25,194</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23,029</w:t>
            </w:r>
          </w:p>
        </w:tc>
      </w:tr>
      <w:tr>
        <w:trPr>
          <w:trHeight w:val="21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Taxes</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21,874</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18,744</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18,208</w:t>
            </w:r>
          </w:p>
        </w:tc>
      </w:tr>
      <w:tr>
        <w:trPr>
          <w:trHeight w:val="210"/>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138,667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127,051</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120,333</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 on Sale of Subsidiary</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5,232</w:t>
            </w:r>
          </w:p>
        </w:tc>
      </w:tr>
      <w:tr>
        <w:trPr>
          <w:trHeight w:val="210"/>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53,210</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39,223</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47,333</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2,433</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2,314</w:t>
            </w:r>
          </w:p>
        </w:tc>
      </w:tr>
      <w:tr>
        <w:trPr>
          <w:trHeight w:val="21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10,815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4,052</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5,389</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12,069</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6,485</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7,703</w:t>
            </w:r>
          </w:p>
        </w:tc>
      </w:tr>
      <w:tr>
        <w:trPr>
          <w:trHeight w:val="210"/>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14,023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13,143</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9,367</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51,256</w:t>
            </w:r>
          </w:p>
        </w:tc>
        <w:tc>
          <w:tcPr>
            <w:tcW w:w="3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32,565</w:t>
            </w: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45,669</w:t>
            </w:r>
          </w:p>
        </w:tc>
      </w:tr>
      <w:tr>
        <w:trPr>
          <w:trHeight w:val="216"/>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6,905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44,351</w:t>
            </w:r>
          </w:p>
        </w:tc>
        <w:tc>
          <w:tcPr>
            <w:tcW w:w="3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31,524</w:t>
            </w: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42,429</w:t>
            </w:r>
          </w:p>
        </w:tc>
      </w:tr>
      <w:tr>
        <w:trPr>
          <w:trHeight w:val="216"/>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19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10"/>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44,239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31,404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42,309</w:t>
            </w:r>
          </w:p>
        </w:tc>
      </w:tr>
      <w:tr>
        <w:trPr>
          <w:trHeight w:val="209"/>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w:t>
            </w: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Outstanding :</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17,842</w:t>
            </w:r>
          </w:p>
        </w:tc>
        <w:tc>
          <w:tcPr>
            <w:tcW w:w="3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17,732</w:t>
            </w:r>
          </w:p>
        </w:tc>
        <w:tc>
          <w:tcPr>
            <w:tcW w:w="4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17,597</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17,946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17,847</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17,712</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Water Production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314,924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303,791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855,497</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809,862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105,167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100,593</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34,209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19,636</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1,309,797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1,233,882</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254,425</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235,540</w:t>
            </w: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UTILITY PLANT - NET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1,055,372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998,342</w:t>
            </w:r>
          </w:p>
        </w:tc>
        <w:tc>
          <w:tcPr>
            <w:tcW w:w="0" w:type="dxa"/>
            <w:vAlign w:val="bottom"/>
          </w:tcPr>
          <w:p>
            <w:pPr>
              <w:spacing w:after="0"/>
              <w:rPr>
                <w:sz w:val="1"/>
                <w:szCs w:val="1"/>
                <w:color w:val="auto"/>
              </w:rPr>
            </w:pPr>
          </w:p>
        </w:tc>
      </w:tr>
      <w:tr>
        <w:trPr>
          <w:trHeight w:val="122"/>
        </w:trPr>
        <w:tc>
          <w:tcPr>
            <w:tcW w:w="188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4,226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61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$2,695 and $2,137,</w:t>
            </w:r>
          </w:p>
        </w:tc>
        <w:tc>
          <w:tcPr>
            <w:tcW w:w="52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18,842</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respectively in 2024 and 2023</w:t>
            </w:r>
          </w:p>
        </w:tc>
        <w:tc>
          <w:tcPr>
            <w:tcW w:w="5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69,872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Unbilled Revenues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10,764</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6,719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Prepayments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42,973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108,536</w:t>
            </w:r>
          </w:p>
        </w:tc>
        <w:tc>
          <w:tcPr>
            <w:tcW w:w="0" w:type="dxa"/>
            <w:vAlign w:val="bottom"/>
          </w:tcPr>
          <w:p>
            <w:pPr>
              <w:spacing w:after="0"/>
              <w:rPr>
                <w:sz w:val="1"/>
                <w:szCs w:val="1"/>
                <w:color w:val="auto"/>
              </w:rPr>
            </w:pPr>
          </w:p>
        </w:tc>
      </w:tr>
      <w:tr>
        <w:trPr>
          <w:trHeight w:val="122"/>
        </w:trPr>
        <w:tc>
          <w:tcPr>
            <w:tcW w:w="188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2,567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Assets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101,783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90,694</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Non-utility Assets - Net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11,760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Benefit Plans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36,856</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21,779</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3,863</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09"/>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OTHER ASSETS</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156,829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129,174</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248,202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246,764</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197,061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176,227</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445,263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352,822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358,153</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CAPITALIZATION</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799,720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783,228</w:t>
            </w:r>
          </w:p>
        </w:tc>
        <w:tc>
          <w:tcPr>
            <w:tcW w:w="0" w:type="dxa"/>
            <w:vAlign w:val="bottom"/>
          </w:tcPr>
          <w:p>
            <w:pPr>
              <w:spacing w:after="0"/>
              <w:rPr>
                <w:sz w:val="1"/>
                <w:szCs w:val="1"/>
                <w:color w:val="auto"/>
              </w:rPr>
            </w:pPr>
          </w:p>
        </w:tc>
      </w:tr>
      <w:tr>
        <w:trPr>
          <w:trHeight w:val="122"/>
        </w:trPr>
        <w:tc>
          <w:tcPr>
            <w:tcW w:w="1880" w:type="dxa"/>
            <w:vAlign w:val="bottom"/>
            <w:tcBorders>
              <w:bottom w:val="single" w:sz="8" w:color="auto"/>
            </w:tcBorders>
          </w:tcPr>
          <w:p>
            <w:pPr>
              <w:spacing w:after="0"/>
              <w:rPr>
                <w:sz w:val="10"/>
                <w:szCs w:val="10"/>
                <w:color w:val="auto"/>
              </w:rPr>
            </w:pPr>
          </w:p>
        </w:tc>
        <w:tc>
          <w:tcPr>
            <w:tcW w:w="6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7,711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Payable</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23,000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42,750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28,050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27,618</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Taxes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11,976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Interest</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2,916</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1880" w:type="dxa"/>
            <w:vAlign w:val="bottom"/>
            <w:tcBorders>
              <w:bottom w:val="single" w:sz="8" w:color="CCEEFF"/>
            </w:tcBorders>
          </w:tcPr>
          <w:p>
            <w:pPr>
              <w:spacing w:after="0"/>
              <w:rPr>
                <w:sz w:val="18"/>
                <w:szCs w:val="18"/>
                <w:color w:val="auto"/>
              </w:rPr>
            </w:pPr>
          </w:p>
        </w:tc>
        <w:tc>
          <w:tcPr>
            <w:tcW w:w="6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7,759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82,888</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103,829</w:t>
            </w:r>
          </w:p>
        </w:tc>
        <w:tc>
          <w:tcPr>
            <w:tcW w:w="0" w:type="dxa"/>
            <w:vAlign w:val="bottom"/>
          </w:tcPr>
          <w:p>
            <w:pPr>
              <w:spacing w:after="0"/>
              <w:rPr>
                <w:sz w:val="1"/>
                <w:szCs w:val="1"/>
                <w:color w:val="auto"/>
              </w:rPr>
            </w:pPr>
          </w:p>
        </w:tc>
      </w:tr>
      <w:tr>
        <w:trPr>
          <w:trHeight w:val="121"/>
        </w:trPr>
        <w:tc>
          <w:tcPr>
            <w:tcW w:w="802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4)</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8020" w:type="dxa"/>
            <w:vAlign w:val="bottom"/>
            <w:tcBorders>
              <w:bottom w:val="single" w:sz="8" w:color="auto"/>
            </w:tcBorders>
            <w:gridSpan w:val="2"/>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18"/>
                <w:szCs w:val="18"/>
                <w:color w:val="auto"/>
              </w:rPr>
              <w:t>Advances for Construction</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22,629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Obligations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2,432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101,235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Liabilities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64,557</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61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191,197</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226,725</w:t>
            </w:r>
          </w:p>
        </w:tc>
        <w:tc>
          <w:tcPr>
            <w:tcW w:w="0" w:type="dxa"/>
            <w:vAlign w:val="bottom"/>
          </w:tcPr>
          <w:p>
            <w:pPr>
              <w:spacing w:after="0"/>
              <w:rPr>
                <w:sz w:val="1"/>
                <w:szCs w:val="1"/>
                <w:color w:val="auto"/>
              </w:rPr>
            </w:pPr>
          </w:p>
        </w:tc>
      </w:tr>
      <w:tr>
        <w:trPr>
          <w:trHeight w:val="121"/>
        </w:trPr>
        <w:tc>
          <w:tcPr>
            <w:tcW w:w="8020" w:type="dxa"/>
            <w:vAlign w:val="bottom"/>
            <w:tcBorders>
              <w:bottom w:val="single" w:sz="8" w:color="auto"/>
            </w:tcBorders>
            <w:gridSpan w:val="2"/>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5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181,369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122,270</w:t>
            </w:r>
          </w:p>
        </w:tc>
        <w:tc>
          <w:tcPr>
            <w:tcW w:w="0" w:type="dxa"/>
            <w:vAlign w:val="bottom"/>
          </w:tcPr>
          <w:p>
            <w:pPr>
              <w:spacing w:after="0"/>
              <w:rPr>
                <w:sz w:val="1"/>
                <w:szCs w:val="1"/>
                <w:color w:val="auto"/>
              </w:rPr>
            </w:pPr>
          </w:p>
        </w:tc>
      </w:tr>
      <w:tr>
        <w:trPr>
          <w:trHeight w:val="209"/>
        </w:trPr>
        <w:tc>
          <w:tcPr>
            <w:tcW w:w="1880" w:type="dxa"/>
            <w:vAlign w:val="bottom"/>
            <w:tcBorders>
              <w:top w:val="single" w:sz="8" w:color="CCEEFF"/>
              <w:bottom w:val="single" w:sz="8" w:color="auto"/>
            </w:tcBorders>
            <w:shd w:val="clear" w:color="auto" w:fill="CCEEFF"/>
          </w:tcPr>
          <w:p>
            <w:pPr>
              <w:spacing w:after="0"/>
              <w:rPr>
                <w:sz w:val="18"/>
                <w:szCs w:val="18"/>
                <w:color w:val="auto"/>
              </w:rPr>
            </w:pPr>
          </w:p>
        </w:tc>
        <w:tc>
          <w:tcPr>
            <w:tcW w:w="61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1,255,174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gridSpan w:val="4"/>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44,351</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31,524</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42,429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Income to</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28,038</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29,442</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27,475</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Deferred Income Taxes and Investment Tax Credits</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(1,605)</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(5,599)</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Equity Portion of Allowance for Funds Used During Construction (AFUDC)</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(743)</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Surrender Value of Life Insurance</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401</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1,537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2,214</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1,630</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Subsidiary</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(670)</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(2,154)</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Unbilled Revenues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(1,467)</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Materials and Supplies</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253</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Prepayments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(589)</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791</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2,574</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2,771</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3,722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Taxes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1,441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3,541</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Interest</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(222)</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603</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Employee Benefit Plans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(3,696)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Unearned Revenue and Advanced Service Fees</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86</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Recovered Costs Litigation Settlement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(9,031)</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(1,219)</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122"/>
        </w:trPr>
        <w:tc>
          <w:tcPr>
            <w:tcW w:w="686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58,730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52,782</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61,361</w:t>
            </w: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860" w:type="dxa"/>
            <w:vAlign w:val="bottom"/>
          </w:tcPr>
          <w:p>
            <w:pPr>
              <w:ind w:left="180"/>
              <w:spacing w:after="0" w:line="181" w:lineRule="exact"/>
              <w:rPr>
                <w:sz w:val="20"/>
                <w:szCs w:val="20"/>
                <w:color w:val="auto"/>
              </w:rPr>
            </w:pPr>
            <w:r>
              <w:rPr>
                <w:rFonts w:ascii="Times New Roman" w:cs="Times New Roman" w:eastAsia="Times New Roman" w:hAnsi="Times New Roman"/>
                <w:sz w:val="17"/>
                <w:szCs w:val="17"/>
                <w:color w:val="auto"/>
              </w:rPr>
              <w:t>Utility Plant Expenditures, Including AFUDC-Debt of $511 in 2024, $975 in 2023 and $927 in</w:t>
            </w:r>
          </w:p>
        </w:tc>
        <w:tc>
          <w:tcPr>
            <w:tcW w:w="4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(74,622)</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2022</w:t>
            </w:r>
          </w:p>
        </w:tc>
        <w:tc>
          <w:tcPr>
            <w:tcW w:w="4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(90,179)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(91,335)</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Subsidiary</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3,122</w:t>
            </w:r>
          </w:p>
        </w:tc>
        <w:tc>
          <w:tcPr>
            <w:tcW w:w="0" w:type="dxa"/>
            <w:vAlign w:val="bottom"/>
          </w:tcPr>
          <w:p>
            <w:pPr>
              <w:spacing w:after="0"/>
              <w:rPr>
                <w:sz w:val="1"/>
                <w:szCs w:val="1"/>
                <w:color w:val="auto"/>
              </w:rPr>
            </w:pPr>
          </w:p>
        </w:tc>
      </w:tr>
      <w:tr>
        <w:trPr>
          <w:trHeight w:val="122"/>
        </w:trPr>
        <w:tc>
          <w:tcPr>
            <w:tcW w:w="6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(74,622)</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(90,179)</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(88,213)</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Redemption of Long-term Debt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(7,646)</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(17,463)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Long-term Debt</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2,296</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75,812</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2,662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Short-term Bank Borrowings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(19,750)</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42,500</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Litigation Settlement, net</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63,635</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Debt Issuance Expense</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Issuance Expense</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Grantee Withholding Taxes in Exchange for Restricted Stock</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(1,468)</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4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974</w:t>
            </w:r>
          </w:p>
        </w:tc>
        <w:tc>
          <w:tcPr>
            <w:tcW w:w="34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12,115</w:t>
            </w:r>
          </w:p>
        </w:tc>
        <w:tc>
          <w:tcPr>
            <w:tcW w:w="38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10,335</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Common Dividends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(23,408)</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(22,441)</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(20,810)</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Preferred Dividends</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(109)</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Construction Advances and Contributions-Net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3,258</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1,566</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122"/>
        </w:trPr>
        <w:tc>
          <w:tcPr>
            <w:tcW w:w="6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17,728</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35,959</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27,147</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CHANGES IN CASH, CASH EQUIVALENTS AND RESTRICTED CASH</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1,836</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2,390</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3,828</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3,533</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4,226</w:t>
            </w:r>
          </w:p>
        </w:tc>
        <w:tc>
          <w:tcPr>
            <w:tcW w:w="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2,390</w:t>
            </w:r>
          </w:p>
        </w:tc>
        <w:tc>
          <w:tcPr>
            <w:tcW w:w="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3,828</w:t>
            </w:r>
          </w:p>
        </w:tc>
        <w:tc>
          <w:tcPr>
            <w:tcW w:w="0" w:type="dxa"/>
            <w:vAlign w:val="bottom"/>
          </w:tcPr>
          <w:p>
            <w:pPr>
              <w:spacing w:after="0"/>
              <w:rPr>
                <w:sz w:val="1"/>
                <w:szCs w:val="1"/>
                <w:color w:val="auto"/>
              </w:rPr>
            </w:pPr>
          </w:p>
        </w:tc>
      </w:tr>
      <w:tr>
        <w:trPr>
          <w:trHeight w:val="115"/>
        </w:trPr>
        <w:tc>
          <w:tcPr>
            <w:tcW w:w="68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 OF NON-CASH ACTIVITY:</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Utility Plant received as Construction Advances and Contributions</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8,968</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7,259</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6,252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Payables for Utility Plant</w:t>
            </w:r>
          </w:p>
        </w:tc>
        <w:tc>
          <w:tcPr>
            <w:tcW w:w="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8,109</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10,251</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7,066</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Consideration for Sale of Subsidiary</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Litigation Settlement Receivable</w:t>
            </w:r>
          </w:p>
        </w:tc>
        <w:tc>
          <w:tcPr>
            <w:tcW w:w="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(6,237)</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69,872</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Payable</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(6,237)</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6,237</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Conversion of Preferred Stock Into Common Stock</w:t>
            </w:r>
          </w:p>
        </w:tc>
        <w:tc>
          <w:tcPr>
            <w:tcW w:w="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449</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22"/>
        </w:trPr>
        <w:tc>
          <w:tcPr>
            <w:tcW w:w="6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 OF CASH FLOWS INFORMATION:</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14,485</w:t>
            </w:r>
          </w:p>
        </w:tc>
        <w:tc>
          <w:tcPr>
            <w:tcW w:w="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12,762</w:t>
            </w:r>
          </w:p>
        </w:tc>
        <w:tc>
          <w:tcPr>
            <w:tcW w:w="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9,251</w:t>
            </w:r>
          </w:p>
        </w:tc>
        <w:tc>
          <w:tcPr>
            <w:tcW w:w="0" w:type="dxa"/>
            <w:vAlign w:val="bottom"/>
          </w:tcPr>
          <w:p>
            <w:pPr>
              <w:spacing w:after="0"/>
              <w:rPr>
                <w:sz w:val="1"/>
                <w:szCs w:val="1"/>
                <w:color w:val="auto"/>
              </w:rPr>
            </w:pPr>
          </w:p>
        </w:tc>
      </w:tr>
      <w:tr>
        <w:trPr>
          <w:trHeight w:val="203"/>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Capitalized</w:t>
            </w:r>
          </w:p>
        </w:tc>
        <w:tc>
          <w:tcPr>
            <w:tcW w:w="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511</w:t>
            </w:r>
          </w:p>
        </w:tc>
        <w:tc>
          <w:tcPr>
            <w:tcW w:w="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975</w:t>
            </w:r>
          </w:p>
        </w:tc>
        <w:tc>
          <w:tcPr>
            <w:tcW w:w="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927</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w:t>
            </w:r>
          </w:p>
        </w:tc>
        <w:tc>
          <w:tcPr>
            <w:tcW w:w="4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3,169</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2,962</w:t>
            </w:r>
          </w:p>
        </w:tc>
        <w:tc>
          <w:tcPr>
            <w:tcW w:w="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3,230</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64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- 40,000</w:t>
            </w: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- 2024 - 17,887; 2023 - 17,821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248,202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246,764</w:t>
            </w:r>
          </w:p>
        </w:tc>
      </w:tr>
      <w:tr>
        <w:trPr>
          <w:trHeight w:val="216"/>
        </w:trPr>
        <w:tc>
          <w:tcPr>
            <w:tcW w:w="6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197,061</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176,227</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COMMON STOCKHOLDERS’ EQUITY</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445,263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09"/>
        </w:trPr>
        <w:tc>
          <w:tcPr>
            <w:tcW w:w="64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- 120</w:t>
            </w: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- 2024 - 16; 2023 - 20</w:t>
            </w: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w:t>
            </w: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- 2024 - 5; 2023 - 10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Nonredeemable:</w:t>
            </w: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20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20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09"/>
        </w:trPr>
        <w:tc>
          <w:tcPr>
            <w:tcW w:w="6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PREFERRED STOCK</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09"/>
        </w:trPr>
        <w:tc>
          <w:tcPr>
            <w:tcW w:w="64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Mortgage Bonds, 0.00%-5.50%, due 2026-2059</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274,602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278,374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Amortizing Secured Notes, 3.94%-7.05%, due 2028-2046</w:t>
            </w:r>
          </w:p>
        </w:tc>
        <w:tc>
          <w:tcPr>
            <w:tcW w:w="20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66,889</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69,724</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Revolving Trust Notes, 0.00%-4.03%, due 2025-2047</w:t>
            </w:r>
          </w:p>
        </w:tc>
        <w:tc>
          <w:tcPr>
            <w:tcW w:w="20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17,895</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16,638</w:t>
            </w: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08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359,386</w:t>
            </w:r>
          </w:p>
        </w:tc>
        <w:tc>
          <w:tcPr>
            <w:tcW w:w="18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364,736</w:t>
            </w: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0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6,339</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0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(5,192)</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16"/>
        </w:trPr>
        <w:tc>
          <w:tcPr>
            <w:tcW w:w="64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(7,711)</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352,822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358,153</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Common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2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Stock</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Retained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5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Amount</w:t>
            </w:r>
          </w:p>
        </w:tc>
        <w:tc>
          <w:tcPr>
            <w:tcW w:w="20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17,522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221,919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145,807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367,726</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42,429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42,429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($1.1825 per share)</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(20,810)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Issuance Expenses</w:t>
            </w:r>
          </w:p>
        </w:tc>
        <w:tc>
          <w:tcPr>
            <w:tcW w:w="1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17,642</w:t>
            </w: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233,054</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167,274</w:t>
            </w:r>
          </w:p>
        </w:tc>
        <w:tc>
          <w:tcPr>
            <w:tcW w:w="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400,328</w:t>
            </w:r>
          </w:p>
        </w:tc>
      </w:tr>
      <w:tr>
        <w:trPr>
          <w:trHeight w:val="210"/>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31,524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12,115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12,115</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($1.2625 per share)</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 Issuance Expenses</w:t>
            </w: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17,821</w:t>
            </w: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246,764</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176,227</w:t>
            </w:r>
          </w:p>
        </w:tc>
        <w:tc>
          <w:tcPr>
            <w:tcW w:w="3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422,991</w:t>
            </w:r>
          </w:p>
        </w:tc>
      </w:tr>
      <w:tr>
        <w:trPr>
          <w:trHeight w:val="210"/>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44,351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44,351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Reinvestment &amp; Common Stock Purchase Plan</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Award - Board Of Directors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($1.3150 per share)</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(23,408)</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$7 Preferred Stock to Common Stock</w:t>
            </w:r>
          </w:p>
        </w:tc>
        <w:tc>
          <w:tcPr>
            <w:tcW w:w="1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17,887</w:t>
            </w: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248,202</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197,061</w:t>
            </w:r>
          </w:p>
        </w:tc>
        <w:tc>
          <w:tcPr>
            <w:tcW w:w="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445,263</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Summary of Significant Accounting Policies and Recent Developments</w:t>
      </w:r>
    </w:p>
    <w:p>
      <w:pPr>
        <w:spacing w:after="0" w:line="131" w:lineRule="exact"/>
        <w:rPr>
          <w:sz w:val="20"/>
          <w:szCs w:val="20"/>
          <w:color w:val="auto"/>
        </w:rPr>
      </w:pPr>
    </w:p>
    <w:p>
      <w:pPr>
        <w:jc w:val="both"/>
        <w:ind w:firstLine="8"/>
        <w:spacing w:after="0" w:line="259" w:lineRule="auto"/>
        <w:tabs>
          <w:tab w:leader="none" w:pos="28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Middlesex Water Company (Middlesex or the Company) is the parent company and sole shareholder of Tidewater Utilities,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(Tidewater),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 The terms “we,” “our,” and “us” collectively refer to Middlesex and its subsidiaries,</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Middlesex has operated as a water utility in New Jersey since 1897 and in Delaware, through our wholly-owned subsidiary, Tidewater, since 1992. We are in the business of providing an essential water utility service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and Delaware by the New Jersey Board of Public Utilities (NJBPU) and the Delaware Public Service Commission (DEPSC), respectively. Our USA, USA-PA and White Marsh subsidiaries are not regulated utilities.</w:t>
      </w:r>
    </w:p>
    <w:p>
      <w:pPr>
        <w:spacing w:after="0" w:line="89" w:lineRule="exact"/>
        <w:rPr>
          <w:sz w:val="20"/>
          <w:szCs w:val="20"/>
          <w:color w:val="auto"/>
        </w:rPr>
      </w:pPr>
    </w:p>
    <w:p>
      <w:pPr>
        <w:jc w:val="both"/>
        <w:ind w:firstLine="8"/>
        <w:spacing w:after="0" w:line="259" w:lineRule="auto"/>
        <w:tabs>
          <w:tab w:leader="none" w:pos="26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statements for Middlesex and its wholly-owned subsidiaries (the Company) are reported on a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w:t>
      </w:r>
    </w:p>
    <w:p>
      <w:pPr>
        <w:spacing w:after="0" w:line="8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4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System of Accounts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regulated utilities maintain their accounts in accordance with the Uniform System of Accounts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NJBPU and DEPSC.</w:t>
      </w:r>
    </w:p>
    <w:p>
      <w:pPr>
        <w:spacing w:after="0" w:line="6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28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Regulatory Accounting </w:t>
      </w:r>
      <w:r>
        <w:rPr>
          <w:rFonts w:ascii="Times New Roman" w:cs="Times New Roman" w:eastAsia="Times New Roman" w:hAnsi="Times New Roman"/>
          <w:sz w:val="18"/>
          <w:szCs w:val="18"/>
          <w:color w:val="auto"/>
        </w:rPr>
        <w:t>- We maintain our books and records in accordance with accounting principles generally accepted in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America (GAAP). Middlesex and certain of its subsidiaries, which account for 93%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Times New Roman" w:cs="Times New Roman" w:eastAsia="Times New Roman" w:hAnsi="Times New Roman"/>
          <w:sz w:val="18"/>
          <w:szCs w:val="18"/>
          <w:i w:val="1"/>
          <w:iCs w:val="1"/>
          <w:color w:val="auto"/>
        </w:rPr>
        <w:t>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Regulatory Matters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jc w:val="both"/>
        <w:ind w:firstLine="8"/>
        <w:spacing w:after="0" w:line="259" w:lineRule="auto"/>
        <w:tabs>
          <w:tab w:leader="none" w:pos="24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Retirement Benefit Plans </w:t>
      </w:r>
      <w:r>
        <w:rPr>
          <w:rFonts w:ascii="Times New Roman" w:cs="Times New Roman" w:eastAsia="Times New Roman" w:hAnsi="Times New Roman"/>
          <w:sz w:val="18"/>
          <w:szCs w:val="18"/>
          <w:color w:val="auto"/>
        </w:rPr>
        <w:t>- We maintain a noncontributory defined benefit pension plan (Pension Plan), which covers all active employees who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hired prior to April 1, 2007, as well as a defined contribution plan in which all employees are eligible to participate. In addition, the Company maintains an unfunded supplemental plan for certain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spacing w:after="0" w:line="1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8"/>
        <w:spacing w:after="0" w:line="262" w:lineRule="auto"/>
        <w:tabs>
          <w:tab w:leader="none" w:pos="22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Utility Plant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Utility Plant is stated at original cost as defined for regulatory purposes. Property accounts are charged with the cost of betterments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 replacements of property. Cost includes direct material, labor and indirect charges for pension benefits and payroll taxes. The cost of labor, materials, supervision and other expenses incurred in making repairs and maintenance of the properties is charged to the appropriate expense accounts. At December 31, 2024, there was no event or change in circumstance that would indicate that the carrying amount of any long-lived asset was not recoverable.</w:t>
      </w:r>
    </w:p>
    <w:p>
      <w:pPr>
        <w:spacing w:after="0" w:line="81"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6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Depreciation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Depreciation is computed by each regulated member of the Company utilizing a rate approved by the applicable regulatory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accumulated provision for depreciation is charged with the cost of property retired, less salvage. The following table sets forth the range of depreciation rates for the major utility plant categories used to calculate depreciation for the years ended December 31, 2024, 2023, and 2022. These rates have been approved by the NJBPU or DEPSC:</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Source of Supply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3.44%</w:t>
            </w:r>
          </w:p>
        </w:tc>
        <w:tc>
          <w:tcPr>
            <w:tcW w:w="55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Transmission and Distribution (T&amp;D):</w:t>
            </w:r>
          </w:p>
        </w:tc>
      </w:tr>
      <w:tr>
        <w:trPr>
          <w:trHeight w:val="216"/>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Pumping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5.39%</w:t>
            </w:r>
          </w:p>
        </w:tc>
        <w:tc>
          <w:tcPr>
            <w:tcW w:w="1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T&amp;D – Mains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Water Treatment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7.09%</w:t>
            </w:r>
          </w:p>
        </w:tc>
        <w:tc>
          <w:tcPr>
            <w:tcW w:w="19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T&amp;D –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Plant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1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- 17.84%</w:t>
            </w:r>
          </w:p>
        </w:tc>
        <w:tc>
          <w:tcPr>
            <w:tcW w:w="1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T&amp;D – Other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4.63%</w:t>
            </w:r>
          </w:p>
        </w:tc>
      </w:tr>
      <w:tr>
        <w:trPr>
          <w:trHeight w:val="234"/>
        </w:trPr>
        <w:tc>
          <w:tcPr>
            <w:tcW w:w="2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Wastewater Collection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1.81%</w:t>
            </w:r>
          </w:p>
        </w:tc>
        <w:tc>
          <w:tcPr>
            <w:tcW w:w="1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42 years.</w:t>
      </w:r>
    </w:p>
    <w:p>
      <w:pPr>
        <w:spacing w:after="0" w:line="63" w:lineRule="exact"/>
        <w:rPr>
          <w:sz w:val="20"/>
          <w:szCs w:val="20"/>
          <w:color w:val="auto"/>
        </w:rPr>
      </w:pPr>
    </w:p>
    <w:p>
      <w:pPr>
        <w:jc w:val="both"/>
        <w:ind w:firstLine="8"/>
        <w:spacing w:after="0" w:line="259" w:lineRule="auto"/>
        <w:tabs>
          <w:tab w:leader="none" w:pos="2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for Construction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advances are provided to the Company by customers, real estate developers and builders in order to extend utility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to their properties. These transactions are recorded as Advances for Construction. Contractual Refunds of Advances for Construction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 (CIAC).</w:t>
      </w:r>
    </w:p>
    <w:p>
      <w:pPr>
        <w:spacing w:after="0" w:line="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CIAC </w:t>
      </w:r>
      <w:r>
        <w:rPr>
          <w:rFonts w:ascii="Times New Roman" w:cs="Times New Roman" w:eastAsia="Times New Roman" w:hAnsi="Times New Roman"/>
          <w:sz w:val="18"/>
          <w:szCs w:val="18"/>
          <w:color w:val="auto"/>
        </w:rPr>
        <w:t>– CIAC include direct non-refundable contributions of utility plant and/or cash and the portion of Advances for Construction that becomes non-refundable.</w:t>
      </w:r>
    </w:p>
    <w:p>
      <w:pPr>
        <w:spacing w:after="0" w:line="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regulatory requirements, Advances for Construction and CIAC are not depreciated. In addition, these amounts reduce the investment base for purposes of setting rates.</w:t>
      </w:r>
    </w:p>
    <w:p>
      <w:pPr>
        <w:spacing w:after="0" w:line="63" w:lineRule="exact"/>
        <w:rPr>
          <w:sz w:val="20"/>
          <w:szCs w:val="20"/>
          <w:color w:val="auto"/>
        </w:rPr>
      </w:pPr>
    </w:p>
    <w:p>
      <w:pPr>
        <w:jc w:val="both"/>
        <w:ind w:firstLine="8"/>
        <w:spacing w:after="0" w:line="259" w:lineRule="auto"/>
        <w:tabs>
          <w:tab w:leader="none" w:pos="22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Allowance for Funds Used During Construction (AFUDC) </w:t>
      </w:r>
      <w:r>
        <w:rPr>
          <w:rFonts w:ascii="Times New Roman" w:cs="Times New Roman" w:eastAsia="Times New Roman" w:hAnsi="Times New Roman"/>
          <w:sz w:val="18"/>
          <w:szCs w:val="18"/>
          <w:color w:val="auto"/>
        </w:rPr>
        <w:t>- Middlesex and its regulated subsidiaries capitalize AFUDC, which represents the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projects during construction. AFUDC is added to the construction costs of individual projects exceeding specific cost and construction period thresholds established for each company and then depreciated with the utility plant direct costs over the underlying assets’ estimated useful life. AFUDC is calculated using each company’s weighted cost of debt and equity as approved in their most recent respective regulatory rate order. The AFUDC rates for the years ended December 31, 2024, 2023 and 2022 for Middlesex and Tidewater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Middlesex</w:t>
            </w:r>
          </w:p>
        </w:tc>
        <w:tc>
          <w:tcPr>
            <w:tcW w:w="3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Tidewater</w:t>
            </w: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8"/>
        </w:trPr>
        <w:tc>
          <w:tcPr>
            <w:tcW w:w="1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9" w:name="page50"/>
    <w:bookmarkEnd w:id="49"/>
    <w:p>
      <w:pPr>
        <w:jc w:val="both"/>
        <w:ind w:firstLine="8"/>
        <w:spacing w:after="0" w:line="259" w:lineRule="auto"/>
        <w:tabs>
          <w:tab w:leader="none" w:pos="26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We record bad debt expense based on a variety of factors such as our customers’ payment history, current economic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trending reasonable and supportable forecasts on expected collectability of accounts receivable. The allowance for credit losses was $2.7 million and $2.1 million as of December 31, 2024 and 2023, respectively. For the years ended December 31, 2024, 2023 and 2022, bad debt expense was $1.6 million, $1.0 million and $0.5 million, respectively. For the years ended December 31, 2024, 2023 and 2022, write-offs were $1.0 million, $1.2 million and $0.7 million, respectively.</w:t>
      </w:r>
    </w:p>
    <w:p>
      <w:pPr>
        <w:spacing w:after="0" w:line="8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4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 The Company’s revenues are primarily generated from regulated tariff-based water and wastewater utility services and non-regulated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regulated revenue results from tariff-based water and wastewater utility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which includes an accrual of unbilled revenues estimated from the last meter reading date to the end of the accounting period utilizing factors such as historical customer data and regional weather indicators. Unearned Revenues and Advance Service Fees include fixed service charge billings in advance to Tidewater customers recognized as service is provided to the customer.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customary termination provisions.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amounts included in operating revenues and accounts receivable are from contracts with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1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5"/>
        </w:trPr>
        <w:tc>
          <w:tcPr>
            <w:tcW w:w="5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5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60" w:type="dxa"/>
            <w:vAlign w:val="bottom"/>
          </w:tcPr>
          <w:p>
            <w:pPr>
              <w:spacing w:after="0"/>
              <w:rPr>
                <w:sz w:val="18"/>
                <w:szCs w:val="18"/>
                <w:color w:val="auto"/>
              </w:rPr>
            </w:pPr>
          </w:p>
        </w:tc>
      </w:tr>
      <w:tr>
        <w:trPr>
          <w:trHeight w:val="238"/>
        </w:trPr>
        <w:tc>
          <w:tcPr>
            <w:tcW w:w="520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20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97,802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86,581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84,950</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31,833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23,945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22,689</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13,842</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11,586</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11,152</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Fire Protection</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14,188</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12,582</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12,726</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Wholesale</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21,003</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19,117</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18,769</w:t>
            </w: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1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13,085</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12,320</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12,006</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66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191,753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166,131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162,292</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1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1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16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tcPr>
          <w:p>
            <w:pPr>
              <w:spacing w:after="0"/>
              <w:rPr>
                <w:sz w:val="18"/>
                <w:szCs w:val="18"/>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191,877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166,274</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162,434</w:t>
            </w:r>
          </w:p>
        </w:tc>
      </w:tr>
      <w:tr>
        <w:trPr>
          <w:trHeight w:val="460"/>
        </w:trPr>
        <w:tc>
          <w:tcPr>
            <w:tcW w:w="5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50" w:name="page51"/>
    <w:bookmarkEnd w:id="50"/>
    <w:p>
      <w:pPr>
        <w:ind w:firstLine="8"/>
        <w:spacing w:after="0" w:line="286" w:lineRule="auto"/>
        <w:tabs>
          <w:tab w:leader="none" w:pos="323"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Unamortized Debt Expense and Premiums on Long-Term Debt </w:t>
      </w:r>
      <w:r>
        <w:rPr>
          <w:rFonts w:ascii="Times New Roman" w:cs="Times New Roman" w:eastAsia="Times New Roman" w:hAnsi="Times New Roman"/>
          <w:sz w:val="18"/>
          <w:szCs w:val="18"/>
          <w:color w:val="auto"/>
        </w:rPr>
        <w:t>- Unamortized Debt Expense and Premiums on Long-Term Debt, included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balance sheet in long-term debt, are amortized over the lives of the related debt.</w:t>
      </w:r>
    </w:p>
    <w:p>
      <w:pPr>
        <w:spacing w:after="0" w:line="60"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2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Middlesex files a consolidated federal income tax return for the Company and income taxes are allocated based on the separate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Certain income and expense items are accounted for in different time periods for financial reporting than for income tax reporting purposes. Deferred income taxes are provided on differences between the tax basis of assets and liabilities and the amounts at which they are carried in the consolidated financial statements. Investment tax credits have been deferred and are amortized over the estimated useful life of the related property. In the event there are interest and penalties associated with income tax adjustments from income tax authority examinations, these amounts will be reported under interest charges and other expense, respectively. For more information on income taxes, see Note 3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6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reporting cash flows, the Company considers all highly liquid investments with original maturity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three months or less to be cash equivalents. Cash and cash equivalents represent bank balances and money market funds with investments maturing in less than 90 days.</w:t>
      </w:r>
    </w:p>
    <w:p>
      <w:pPr>
        <w:spacing w:after="0" w:line="76"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69"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Conformity with GAAP requires management to make estimates and assumptions that affect the reported amounts in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Actual results could differ from those estimates.</w:t>
      </w:r>
    </w:p>
    <w:p>
      <w:pPr>
        <w:spacing w:after="0" w:line="60" w:lineRule="exact"/>
        <w:rPr>
          <w:rFonts w:ascii="Times New Roman" w:cs="Times New Roman" w:eastAsia="Times New Roman" w:hAnsi="Times New Roman"/>
          <w:sz w:val="18"/>
          <w:szCs w:val="18"/>
          <w:b w:val="1"/>
          <w:bCs w:val="1"/>
          <w:color w:val="auto"/>
        </w:rPr>
      </w:pPr>
    </w:p>
    <w:p>
      <w:pPr>
        <w:ind w:right="320" w:firstLine="8"/>
        <w:spacing w:after="0" w:line="286" w:lineRule="auto"/>
        <w:tabs>
          <w:tab w:leader="none" w:pos="26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The recently issued accounting standards and their impact on the Company as of December 31, 2024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Effect on the</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Consolidated</w:t>
            </w:r>
          </w:p>
        </w:tc>
      </w:tr>
      <w:tr>
        <w:trPr>
          <w:trHeight w:val="234"/>
        </w:trPr>
        <w:tc>
          <w:tcPr>
            <w:tcW w:w="2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Standard</w:t>
            </w:r>
          </w:p>
        </w:tc>
        <w:tc>
          <w:tcPr>
            <w:tcW w:w="29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Description</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Date of Adoption</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Application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Statements</w:t>
            </w:r>
          </w:p>
        </w:tc>
      </w:tr>
      <w:tr>
        <w:trPr>
          <w:trHeight w:val="191"/>
        </w:trPr>
        <w:tc>
          <w:tcPr>
            <w:tcW w:w="22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Accounting Standards Update</w:t>
            </w:r>
          </w:p>
        </w:tc>
        <w:tc>
          <w:tcPr>
            <w:tcW w:w="12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ASU requires disclosure of</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ASU is effective</w:t>
            </w: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Retrospective</w:t>
            </w:r>
          </w:p>
        </w:tc>
        <w:tc>
          <w:tcPr>
            <w:tcW w:w="120" w:type="dxa"/>
            <w:vAlign w:val="bottom"/>
            <w:tcBorders>
              <w:top w:val="single" w:sz="8" w:color="CCEEFF"/>
            </w:tcBorders>
            <w:shd w:val="clear" w:color="auto" w:fill="CCEEFF"/>
          </w:tcPr>
          <w:p>
            <w:pPr>
              <w:spacing w:after="0"/>
              <w:rPr>
                <w:sz w:val="16"/>
                <w:szCs w:val="16"/>
                <w:color w:val="auto"/>
              </w:rPr>
            </w:pPr>
          </w:p>
        </w:tc>
        <w:tc>
          <w:tcPr>
            <w:tcW w:w="2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The Company adopted ASU 2023-</w:t>
            </w: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2023-07</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 extends</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Company</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07, including a recast of 2023 and</w:t>
            </w: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“Improvements to Reportable</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annual disclosures to interim</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with its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information, by including</w:t>
            </w: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Disclosures”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periods, and additional qualitative</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financial</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required disclosures</w:t>
            </w:r>
          </w:p>
        </w:tc>
      </w:tr>
      <w:tr>
        <w:trPr>
          <w:trHeight w:val="214"/>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 regarding the chief</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for the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Notes to the Consolidated</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decision maker.</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Financial Statements -see </w:t>
            </w:r>
            <w:r>
              <w:rPr>
                <w:rFonts w:ascii="Times New Roman" w:cs="Times New Roman" w:eastAsia="Times New Roman" w:hAnsi="Times New Roman"/>
                <w:sz w:val="18"/>
                <w:szCs w:val="18"/>
                <w:i w:val="1"/>
                <w:iCs w:val="1"/>
                <w:color w:val="auto"/>
              </w:rPr>
              <w:t>Note 8-</w:t>
            </w:r>
          </w:p>
        </w:tc>
      </w:tr>
      <w:tr>
        <w:trPr>
          <w:trHeight w:val="236"/>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Reportable Segments</w:t>
            </w:r>
            <w:r>
              <w:rPr>
                <w:rFonts w:ascii="Times New Roman" w:cs="Times New Roman" w:eastAsia="Times New Roman" w:hAnsi="Times New Roman"/>
                <w:sz w:val="18"/>
                <w:szCs w:val="18"/>
                <w:color w:val="auto"/>
              </w:rPr>
              <w:t>.</w:t>
            </w:r>
          </w:p>
        </w:tc>
      </w:tr>
      <w:tr>
        <w:trPr>
          <w:trHeight w:val="198"/>
        </w:trPr>
        <w:tc>
          <w:tcPr>
            <w:tcW w:w="23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ASU 2023-09 “Improvements</w:t>
            </w:r>
          </w:p>
        </w:tc>
        <w:tc>
          <w:tcPr>
            <w:tcW w:w="2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amends certain income tax</w:t>
            </w:r>
          </w:p>
        </w:tc>
        <w:tc>
          <w:tcPr>
            <w:tcW w:w="17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is effective</w:t>
            </w:r>
          </w:p>
        </w:tc>
        <w:tc>
          <w:tcPr>
            <w:tcW w:w="14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Prospective, with</w:t>
            </w:r>
          </w:p>
        </w:tc>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Income Tax Disclosures”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 requirements, including</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Company</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evaluating the requirements of ASU</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adding requirements to present the</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with its</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application also</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2023-09.</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 of income tax expense</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financial</w:t>
            </w: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computed at the statutory rate to</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statements for the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actual income tax expense using both</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percentages and amounts and</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providing a disaggregation of income</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 adoption is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paid. Further, certain disclosures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are eliminated, including the current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requirement to disclose information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on changes in unrecognized tax</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benefits in the next 12 months.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198"/>
        </w:trPr>
        <w:tc>
          <w:tcPr>
            <w:tcW w:w="23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ASU 2024-03</w:t>
            </w:r>
          </w:p>
        </w:tc>
        <w:tc>
          <w:tcPr>
            <w:tcW w:w="29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enhances disclosures related</w:t>
            </w:r>
          </w:p>
        </w:tc>
        <w:tc>
          <w:tcPr>
            <w:tcW w:w="17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is effective</w:t>
            </w:r>
          </w:p>
        </w:tc>
        <w:tc>
          <w:tcPr>
            <w:tcW w:w="14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Prospective, with</w:t>
            </w: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“Disaggregation of Income</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income statement expenses to</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Company</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evaluating the requirements of ASU</w:t>
            </w: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Expenses”</w:t>
            </w: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further disaggregate expenses in the</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with its</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also</w:t>
            </w: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2024-03.</w:t>
            </w: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footnotes to the financial statements.</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financial</w:t>
            </w: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standard requires disaggregation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for the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any relevant expense caption</w:t>
            </w: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on the face of the income</w:t>
            </w: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that contains the following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categories: purchases of</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employee compensation,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intangible asset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and depletion. Further,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standard requires disclosure of the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and the entity’s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definition of selling expenses.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99" w:lineRule="exact"/>
        <w:rPr>
          <w:sz w:val="20"/>
          <w:szCs w:val="20"/>
          <w:color w:val="auto"/>
        </w:rPr>
      </w:pPr>
    </w:p>
    <w:p>
      <w:pPr>
        <w:ind w:right="400" w:firstLine="8"/>
        <w:spacing w:after="0" w:line="286" w:lineRule="auto"/>
        <w:tabs>
          <w:tab w:leader="none" w:pos="24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Reclassifications – </w:t>
      </w:r>
      <w:r>
        <w:rPr>
          <w:rFonts w:ascii="Times New Roman" w:cs="Times New Roman" w:eastAsia="Times New Roman" w:hAnsi="Times New Roman"/>
          <w:sz w:val="18"/>
          <w:szCs w:val="18"/>
          <w:color w:val="auto"/>
        </w:rPr>
        <w:t>Certain reclassifications have been made to prior periods in the Consolidated Financial Statements and Notes to conform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presentation.</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Note 2 - Rate and Regulatory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 Matters</w:t>
      </w:r>
    </w:p>
    <w:p>
      <w:pPr>
        <w:spacing w:after="0" w:line="1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Middlesex </w:t>
      </w:r>
      <w:r>
        <w:rPr>
          <w:rFonts w:ascii="Times New Roman" w:cs="Times New Roman" w:eastAsia="Times New Roman" w:hAnsi="Times New Roman"/>
          <w:sz w:val="18"/>
          <w:szCs w:val="18"/>
          <w:color w:val="auto"/>
        </w:rPr>
        <w:t>– The approval by the NJBPU in February 2024 of the negotiated settlement of the Middlesex 2023 base rate case is expected to increase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Perfluoroalkyl Substances (PFAS) into the Company’s water supply for its Park Avenue Wellfield Treatment Plant (Park Avenue Plant). The rate case settlement provided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from the December 31, 2023 balance sheet. In 2024, the Company also recognized the recovery of $0.9 million for depreciation and $4.1 million for carrying costs associated with the Park Avenue Plant PFAS treatment upgrades, as well as the recovery of $2.6 million of previously incurred operating treatment costs while the Park Avenue Plant PFAS treatment upgrades were in process.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Middlesex Lead Service Line Replacement (LSLR) Plan, which was approved by the NJBPU in January 2024, has commenced and Middlesex is currently recovering $1.2 million of costs for replacing customer-owned lead service lines incurred through June 2024, which are being recovered between September 2024 and February 2025. Costs of $0.6 million for replacing customer-owned lead service lines incurred between July 2024 through December 2024 will be recovered beginning in March 2025 through August 2025. The LSLR surcharge is required to be reset every six months over the life of the LSLR Plan. Cost recovery for replacing Company-owned lead service lines are recoverable through traditional rate making in connection with general rate case filings.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NJBPU approved Middlesex’s petition for a Distribution System Improvement Charge (DSIC) Foundation Filing, which is a prerequisite to implementing a DSIC rate that allows water utilities to recover investments in, and generate a return on, qualifying capital improvements to their water distribution system made between base rate proceedings. Middlesex is authorized to recover DSIC revenues up to five percent (5%) of total revenues established in Middlesex’s 2021 base rate proceeding, or approximately $5.5 million. Semi-annually, beginning in April 2024, the Company must file for a change in its DSIC rate seeking recovery for DSIC-eligible investments made during the period. DSIC rates remain in effect until Middlesex’s next base rate case increase subsequent to the March 1, 2024 increase. Under the terms of the Foundational Filing, the Company is required to file a base rate petition before November 2026.</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the NJBPU approved a DSIC rate, effective May 26, 2024, that is expected to result in $0.5 million of annual revenue. In November 2024, the NJBPU approved a DSIC rate, effective November 26, 2024, that is expected to result in an additional $0.6 million of annual revenue. Middlesex expects to file for an additional DSIC rate increase in April 2025.</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NJBPU approved Middlesex’s petition to reset its Purchased Water Adjustment Clause (PWAC) tariff rate to recover additional annual costs of $0.5 million, primarily for the purchase of treated water from a non-affiliated water utility regulated by the NJBPU. A PWAC is a rate mechanism that allows for the recovery of increased purchased water costs between base rate case filings. The PWAC is reset to zero once those increased costs are included in base rates. The new PWAC rate will be effective March 1, 2025.</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2" w:name="page53"/>
    <w:bookmarkEnd w:id="5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In August 2024, Tidewater filed an application with the DEPSC to increase its general rates for water service. In the application, Tidewater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seeks an overall increase in annual operating revenue of $10.3 million or 25.66% over current revenue. The request for rate increases will allow Tidewater to recover prudently incurred investments made in the last ten years to support continued regulatory compliance, enhanced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2024, the DEPSC approved Tidewater’s petition to recover up to $2.1 million of costs associated with Tidewater’s obligation to identify and inventory lead service lines throughout Tidewater’s service area, as required by federal law and Delaware regulations. Recovery of these costs began February 1, 2025 and is expected to continue through January 2028. Through December 31, 2024, Tidewater has spent $1.8 million, which is included in Regulatory Assets.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Acquisition of the Water Utility Assets of the Town of Ocean View, Delaware – </w:t>
      </w:r>
      <w:r>
        <w:rPr>
          <w:rFonts w:ascii="Times New Roman" w:cs="Times New Roman" w:eastAsia="Times New Roman" w:hAnsi="Times New Roman"/>
          <w:sz w:val="18"/>
          <w:szCs w:val="18"/>
          <w:color w:val="auto"/>
        </w:rPr>
        <w:t>In February 2025, Tidewater and the Town of Ocean 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Delaware’s (Ocean View) joint application for Tidewater’s purchase of all of the rights, title, and interest in the water utility assets of Ocean View for $4.6 million was approved by the DEPSC. Ocean View serves approximately 900 customers in Sussex County, Delaware. Tidewater currently provides water service to most residents of Ocean View other than the 900 customers currently served by Ocean View. Closing on this purchase is expected by April 2025.</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Southern Shores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Southern Shores provides water service to a 2,200 unit condominium community in Sussex County, Delaware under a DEPSC-approved agreement expiring December 31, 2029. Under the agreement, rates are increased when there are unanticipated capital expenditures or regulatory related changes in operating expenses exceed certain thresholds. In 2024, capital expenditures did exceed the established threshold. In addition, rates are increased annually by the lesser of the regional Consumer Price Index or 3%. Effective January 1, 2025, Southern Shores rates were increased $0.1 million or 6.51%.</w:t>
      </w:r>
    </w:p>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Twin Lakes – </w:t>
      </w:r>
      <w:r>
        <w:rPr>
          <w:rFonts w:ascii="Times New Roman" w:cs="Times New Roman" w:eastAsia="Times New Roman" w:hAnsi="Times New Roman"/>
          <w:sz w:val="18"/>
          <w:szCs w:val="18"/>
          <w:color w:val="auto"/>
        </w:rPr>
        <w:t>Twin Lakes provides water services to approximately 115 residential customers in Shohola, Pennsylvania. In January 2021, the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Utility Commission (PAPUC) appointed a large Pennsylvania based investor-owned utility as the receiver (the Receiver Utility) of the Twin Lakes system. In November 2021, the PAPUC issued an Order ordering the Receiver Utility to acquire the Twin Lakes water system and for Middlesex, the parent company of Twin Lakes, to submit $1.7 million into an escrow account within 30 days. In January 2025, the United States Court of Appeals for the Third Circuit (Third Circuit Court) upheld the PAPUC Order. Following the Third Circuit Court’s decision, Middlesex will not pursue further litigation in the federal courts and intends to submit the required escrow payment to complete the Receiver Utility’s acquisition of the Twin Lakes system. The estimated loss recorded by the Company related to this matter, and the financial results, total assets and financial obligations of Twin Lakes are not material to Middlesex.</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We record regulatory liabilities for amounts expected to be refunded to customers in the rate making process. These items are detailed as follows: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0" w:type="dxa"/>
            <w:vAlign w:val="bottom"/>
            <w:gridSpan w:val="3"/>
          </w:tcPr>
          <w:p>
            <w:pPr>
              <w:jc w:val="center"/>
              <w:ind w:right="26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Regulatory Assets</w:t>
            </w:r>
          </w:p>
        </w:tc>
        <w:tc>
          <w:tcPr>
            <w:tcW w:w="320" w:type="dxa"/>
            <w:vAlign w:val="bottom"/>
          </w:tcPr>
          <w:p>
            <w:pPr>
              <w:spacing w:after="0"/>
              <w:rPr>
                <w:sz w:val="17"/>
                <w:szCs w:val="17"/>
                <w:color w:val="auto"/>
              </w:rPr>
            </w:pPr>
          </w:p>
        </w:tc>
        <w:tc>
          <w:tcPr>
            <w:tcW w:w="84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7"/>
                <w:szCs w:val="17"/>
                <w:color w:val="auto"/>
              </w:rPr>
            </w:pPr>
          </w:p>
        </w:tc>
        <w:tc>
          <w:tcPr>
            <w:tcW w:w="86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1"/>
        </w:trPr>
        <w:tc>
          <w:tcPr>
            <w:tcW w:w="20" w:type="dxa"/>
            <w:vAlign w:val="bottom"/>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84,419</w:t>
            </w:r>
          </w:p>
        </w:tc>
      </w:tr>
      <w:tr>
        <w:trPr>
          <w:trHeight w:val="229"/>
        </w:trPr>
        <w:tc>
          <w:tcPr>
            <w:tcW w:w="20" w:type="dxa"/>
            <w:vAlign w:val="bottom"/>
          </w:tcPr>
          <w:p>
            <w:pPr>
              <w:spacing w:after="0"/>
              <w:rPr>
                <w:sz w:val="19"/>
                <w:szCs w:val="19"/>
                <w:color w:val="auto"/>
              </w:rPr>
            </w:pPr>
          </w:p>
        </w:tc>
        <w:tc>
          <w:tcPr>
            <w:tcW w:w="66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Other (b)</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90,694</w:t>
            </w: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jc w:val="center"/>
              <w:ind w:right="2480"/>
              <w:spacing w:after="0" w:line="176" w:lineRule="exact"/>
              <w:rPr>
                <w:sz w:val="20"/>
                <w:szCs w:val="20"/>
                <w:color w:val="auto"/>
              </w:rPr>
            </w:pPr>
            <w:r>
              <w:rPr>
                <w:rFonts w:ascii="Times New Roman" w:cs="Times New Roman" w:eastAsia="Times New Roman" w:hAnsi="Times New Roman"/>
                <w:sz w:val="18"/>
                <w:szCs w:val="18"/>
                <w:b w:val="1"/>
                <w:bCs w:val="1"/>
                <w:color w:val="auto"/>
              </w:rPr>
              <w:t>Regulatory Liabilities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Taxes (c)</w:t>
            </w:r>
          </w:p>
        </w:tc>
        <w:tc>
          <w:tcPr>
            <w:tcW w:w="1680" w:type="dxa"/>
            <w:vAlign w:val="bottom"/>
            <w:tcBorders>
              <w:top w:val="single" w:sz="8" w:color="auto"/>
            </w:tcBorders>
            <w:gridSpan w:val="3"/>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27,380</w:t>
            </w:r>
          </w:p>
        </w:tc>
        <w:tc>
          <w:tcPr>
            <w:tcW w:w="30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28,188</w:t>
            </w:r>
          </w:p>
        </w:tc>
      </w:tr>
      <w:tr>
        <w:trPr>
          <w:trHeight w:val="216"/>
        </w:trPr>
        <w:tc>
          <w:tcPr>
            <w:tcW w:w="20" w:type="dxa"/>
            <w:vAlign w:val="bottom"/>
          </w:tcPr>
          <w:p>
            <w:pPr>
              <w:spacing w:after="0"/>
              <w:rPr>
                <w:sz w:val="18"/>
                <w:szCs w:val="18"/>
                <w:color w:val="auto"/>
              </w:rPr>
            </w:pPr>
          </w:p>
        </w:tc>
        <w:tc>
          <w:tcPr>
            <w:tcW w:w="6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Removal (d)</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r>
      <w:tr>
        <w:trPr>
          <w:trHeight w:val="216"/>
        </w:trPr>
        <w:tc>
          <w:tcPr>
            <w:tcW w:w="2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Employee Benefit Plans (e)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16"/>
        </w:trPr>
        <w:tc>
          <w:tcPr>
            <w:tcW w:w="20" w:type="dxa"/>
            <w:vAlign w:val="bottom"/>
          </w:tcPr>
          <w:p>
            <w:pPr>
              <w:spacing w:after="0"/>
              <w:rPr>
                <w:sz w:val="18"/>
                <w:szCs w:val="18"/>
                <w:color w:val="auto"/>
              </w:rPr>
            </w:pPr>
          </w:p>
        </w:tc>
        <w:tc>
          <w:tcPr>
            <w:tcW w:w="66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Lawsuit Settlement (f)</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63,635</w:t>
            </w:r>
          </w:p>
        </w:tc>
      </w:tr>
      <w:tr>
        <w:trPr>
          <w:trHeight w:val="229"/>
        </w:trPr>
        <w:tc>
          <w:tcPr>
            <w:tcW w:w="20" w:type="dxa"/>
            <w:vAlign w:val="bottom"/>
          </w:tcPr>
          <w:p>
            <w:pPr>
              <w:spacing w:after="0"/>
              <w:rPr>
                <w:sz w:val="19"/>
                <w:szCs w:val="19"/>
                <w:color w:val="auto"/>
              </w:rPr>
            </w:pPr>
          </w:p>
        </w:tc>
        <w:tc>
          <w:tcPr>
            <w:tcW w:w="66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New Jersey Revenue Taxes (g)</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6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113,021</w:t>
            </w: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recovery period for income taxes is dependent upon when the temporary differences between the tax and book treatment of various items reverse.</w:t>
      </w:r>
    </w:p>
    <w:p>
      <w:pPr>
        <w:spacing w:after="0" w:line="13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primarily includes deferred costs for rate cases and tank painting.</w:t>
      </w:r>
    </w:p>
    <w:p>
      <w:pPr>
        <w:spacing w:after="0" w:line="130" w:lineRule="exact"/>
        <w:rPr>
          <w:rFonts w:ascii="Times New Roman" w:cs="Times New Roman" w:eastAsia="Times New Roman" w:hAnsi="Times New Roman"/>
          <w:sz w:val="18"/>
          <w:szCs w:val="18"/>
          <w:color w:val="auto"/>
        </w:rPr>
      </w:pPr>
    </w:p>
    <w:p>
      <w:pPr>
        <w:jc w:val="both"/>
        <w:ind w:firstLine="8"/>
        <w:spacing w:after="0" w:line="255"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Tax Act reduced the statutory corporate federal income tax rate from 35% to 21%. The tariff rates charged to customers effective prior to 2018 in the Company’s regulated companies include recovery of income taxes at the statutory rate in effect at the time those rates were approved by the respective state public utility commissions. The Company has recorded regulatory liabilities for excess income taxes collected through rates due to the lower income tax rate under the 2017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and Pinelands customers became effective after 2017 and reflect the impact of the 2017 Tax Act.</w:t>
      </w:r>
    </w:p>
    <w:p>
      <w:pPr>
        <w:spacing w:after="0" w:line="94"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composite depreciation rates for its regulated utility assets, which is currently an acceptable method under GAAP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w:t>
      </w:r>
    </w:p>
    <w:p>
      <w:pPr>
        <w:spacing w:after="0" w:line="85" w:lineRule="exact"/>
        <w:rPr>
          <w:rFonts w:ascii="Times New Roman" w:cs="Times New Roman" w:eastAsia="Times New Roman" w:hAnsi="Times New Roman"/>
          <w:sz w:val="18"/>
          <w:szCs w:val="18"/>
          <w:color w:val="auto"/>
        </w:rPr>
      </w:pPr>
    </w:p>
    <w:p>
      <w:pPr>
        <w:ind w:right="20" w:firstLine="8"/>
        <w:spacing w:after="0" w:line="282" w:lineRule="auto"/>
        <w:tabs>
          <w:tab w:leader="none" w:pos="2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Retirement benefits include pension and other retirement benefits that have been recorded on the Consolidated Balance Sheet in accordance with the guidance provided in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These amounts represent obligations less than current funding.</w:t>
      </w:r>
    </w:p>
    <w:p>
      <w:pPr>
        <w:spacing w:after="0" w:line="67" w:lineRule="exact"/>
        <w:rPr>
          <w:rFonts w:ascii="Times New Roman" w:cs="Times New Roman" w:eastAsia="Times New Roman" w:hAnsi="Times New Roman"/>
          <w:sz w:val="18"/>
          <w:szCs w:val="18"/>
          <w:color w:val="auto"/>
        </w:rPr>
      </w:pPr>
    </w:p>
    <w:p>
      <w:pPr>
        <w:ind w:right="20" w:firstLine="8"/>
        <w:spacing w:after="0" w:line="282" w:lineRule="auto"/>
        <w:tabs>
          <w:tab w:leader="none" w:pos="2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available to Middlesex from the 3M Settlement Agreement were recorded as a regulatory liability and are being used for future related operating and maintenance costs.</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2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related taxes paid by the Company's New Jersey Regulated subsidiaries, and reflected in those subsidiaries current base rates, were above enacted rates and will be refunded back to customers in a future rate proceeding.</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Note 3 – Income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differs from the amount computed by applying the statutory rate on book income subject to tax for the following reasons: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6,839</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Utility Plant Related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Property Repairs</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Taxes – Net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6,905</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331"/>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 is comprised of the following:</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3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1,066</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3,802</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Investment Tax Credits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6,905</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Middlesex’s March 2018 general rate case settlement with the NJBPU, Middlesex received approval for regulatory accounting treatment of income tax benefits associated with the adoption of tangible property regulations issued by the IRS (fully amortized as of March 31, 2022) as well as prospective recognition of the income tax benefits for the immediate deduction of repair costs on tangible property. This results in significant reductions in the Company’s effective income tax rate, current income tax expense and deferred income tax expense (benefit).</w:t>
      </w:r>
    </w:p>
    <w:p>
      <w:pPr>
        <w:spacing w:after="0" w:line="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Plant Related</w:t>
            </w:r>
          </w:p>
        </w:tc>
        <w:tc>
          <w:tcPr>
            <w:tcW w:w="34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95,877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84,330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3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7,888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Tax Credits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5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Accumulated Deferred Income Taxes</w:t>
            </w:r>
          </w:p>
        </w:tc>
        <w:tc>
          <w:tcPr>
            <w:tcW w:w="3460" w:type="dxa"/>
            <w:vAlign w:val="bottom"/>
          </w:tcPr>
          <w:p>
            <w:pPr>
              <w:spacing w:after="0"/>
              <w:rPr>
                <w:sz w:val="18"/>
                <w:szCs w:val="18"/>
                <w:color w:val="auto"/>
              </w:rPr>
            </w:pP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101,235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88,736</w:t>
            </w:r>
          </w:p>
        </w:tc>
        <w:tc>
          <w:tcPr>
            <w:tcW w:w="560" w:type="dxa"/>
            <w:vAlign w:val="bottom"/>
          </w:tcPr>
          <w:p>
            <w:pPr>
              <w:spacing w:after="0"/>
              <w:rPr>
                <w:sz w:val="18"/>
                <w:szCs w:val="18"/>
                <w:color w:val="auto"/>
              </w:rPr>
            </w:pPr>
          </w:p>
        </w:tc>
      </w:tr>
      <w:tr>
        <w:trPr>
          <w:trHeight w:val="460"/>
        </w:trPr>
        <w:tc>
          <w:tcPr>
            <w:tcW w:w="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The determination of our provision for income taxes requires the use of estimates and the interpretation and application of tax laws. Judgment is required in assessing the deductibility and recoverability of certain tax benefits. We use the asset and liability method to determine and record deferred tax assets and liabilities, representing future tax benefits and taxes payable, which result from the differences in basis recorded in GAAP financial statements and amounts recorded in the income tax returns. The deferred tax assets and liabilities are recorded utilizing the statutorily enacted tax rates expected to be in effect at the time the assets are realized and/or the liabilities settled. An offsetting valuation allowance is recorded when it is more likely than not that some or all of the deferred income tax assets won’t be realized. Any significant changes to the estimates and judgments with respect to the interpretations, timing or deductibility could result in a material change to earnings and cash flows.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federal and state taxing authorities determine that it is necessary to make certain changes to the income tax laws. These changes may include but are not limited to changes in the tax rates and/or the treatment of certain items of income or expense. Accounting guidance requires that the Company reflect the effect of changes in tax laws or tax rates at the date of enactment. Additionally, the Company is required to re-measure its deferred tax assets and liabilities as of the date of enactment. For non-regulated entities, the effects of changes in tax laws or tax rates are required to be included in income from continuing operations for the period that includes the enactment date. For regulated entities, if as the result of an action by a regulator it is probable that the future increase or decrease in taxes payable for items such as changes in tax laws or rates will be recovered from or returned to customers through future rates, an asset or liability shall be recognized for that probable increase or decrease in future revenue. Accounting guidance also requires that regulatory liabilities and/or assets be considered a temporary difference for which a related deferred tax asset and/or liability shall be recognized.</w:t>
      </w:r>
    </w:p>
    <w:p>
      <w:pPr>
        <w:spacing w:after="0" w:line="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requires that we establish reserves for uncertain tax positions, if any, when it is more likely than not that the positions will not be sustained when challenged by taxing authorities. Any changes to the estimates and judgments with respect to the interpretations, timing or deductibility could result in a change to earnings and cash flows.</w:t>
      </w:r>
    </w:p>
    <w:p>
      <w:pPr>
        <w:spacing w:after="0" w:line="81" w:lineRule="exact"/>
        <w:rPr>
          <w:sz w:val="20"/>
          <w:szCs w:val="20"/>
          <w:color w:val="auto"/>
        </w:rPr>
      </w:pPr>
    </w:p>
    <w:p>
      <w:pPr>
        <w:ind w:right="1440"/>
        <w:spacing w:after="0" w:line="390" w:lineRule="auto"/>
        <w:rPr>
          <w:sz w:val="20"/>
          <w:szCs w:val="20"/>
          <w:color w:val="auto"/>
        </w:rPr>
      </w:pPr>
      <w:r>
        <w:rPr>
          <w:rFonts w:ascii="Times New Roman" w:cs="Times New Roman" w:eastAsia="Times New Roman" w:hAnsi="Times New Roman"/>
          <w:sz w:val="18"/>
          <w:szCs w:val="18"/>
          <w:color w:val="auto"/>
        </w:rPr>
        <w:t xml:space="preserve">Interest and penalties related to unrecognized tax benefits, if any, are recognized within interest charges and other expense, respectively. </w:t>
      </w:r>
      <w:r>
        <w:rPr>
          <w:rFonts w:ascii="Times New Roman" w:cs="Times New Roman" w:eastAsia="Times New Roman" w:hAnsi="Times New Roman"/>
          <w:sz w:val="18"/>
          <w:szCs w:val="18"/>
          <w:b w:val="1"/>
          <w:bCs w:val="1"/>
          <w:color w:val="auto"/>
        </w:rPr>
        <w:t>Note 4 - Commitments and Contingent Liabilities</w:t>
      </w: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Water Supply </w:t>
      </w:r>
      <w:r>
        <w:rPr>
          <w:rFonts w:ascii="Times New Roman" w:cs="Times New Roman" w:eastAsia="Times New Roman" w:hAnsi="Times New Roman"/>
          <w:sz w:val="18"/>
          <w:szCs w:val="18"/>
          <w:color w:val="auto"/>
        </w:rPr>
        <w:t>– Middlesex’s agreement with the New Jersey Water Supply Authority (NJWSA) for the purchase of untreated water expires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2048. NJSWA provides for an average purchase of 27.0 million gallons a day (mgd), with a peak up to 47.0 mgd. Pricing is set annually by the NJWSA through a public rate making process. The agreement has provisions for additional pricing in the event Middlesex overdrafts or exceeds certain monthly and annual thresholds.</w:t>
      </w:r>
    </w:p>
    <w:p>
      <w:pPr>
        <w:spacing w:after="0" w:line="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Delaware to purchase treated water of up to 75.0 million gallons annually.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water costs are shown below:</w:t>
            </w:r>
          </w:p>
        </w:tc>
        <w:tc>
          <w:tcPr>
            <w:tcW w:w="2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1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Untreated</w:t>
            </w:r>
          </w:p>
        </w:tc>
        <w:tc>
          <w:tcPr>
            <w:tcW w:w="2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Treated</w:t>
            </w:r>
          </w:p>
        </w:tc>
        <w:tc>
          <w:tcPr>
            <w:tcW w:w="25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25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r>
      <w:tr>
        <w:trPr>
          <w:trHeight w:val="459"/>
        </w:trPr>
        <w:tc>
          <w:tcPr>
            <w:tcW w:w="5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56" w:name="page57"/>
    <w:bookmarkEnd w:id="56"/>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The Company determines if an arrangement is a lease at the inception of the lease. Generally, a lease agreement exists if the Company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arrangement gives the Company control over the use of an identified asset and obtains substantially all of the benefits from the identified asset.</w:t>
      </w:r>
    </w:p>
    <w:p>
      <w:pPr>
        <w:spacing w:after="0" w:line="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December 2029. The Company has not entered into any finance leases. The exercise of a lease renewal option for the Company’s administrative offices is solely at the discretion of the Company.</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was $0.8 million for each of the years ended December 31, 2024, 2023 and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is as follows:</w:t>
      </w:r>
    </w:p>
    <w:p>
      <w:pPr>
        <w:spacing w:after="0" w:line="1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1"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8600"/>
        <w:spacing w:after="0"/>
        <w:tabs>
          <w:tab w:leader="none" w:pos="98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Pr>
          <w:p>
            <w:pPr>
              <w:spacing w:after="0"/>
              <w:rPr>
                <w:sz w:val="18"/>
                <w:szCs w:val="18"/>
                <w:color w:val="auto"/>
              </w:rPr>
            </w:pPr>
          </w:p>
        </w:tc>
        <w:tc>
          <w:tcPr>
            <w:tcW w:w="6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580" w:type="dxa"/>
            <w:vAlign w:val="bottom"/>
          </w:tcPr>
          <w:p>
            <w:pPr>
              <w:spacing w:after="0"/>
              <w:rPr>
                <w:sz w:val="19"/>
                <w:szCs w:val="19"/>
                <w:color w:val="auto"/>
              </w:rPr>
            </w:pPr>
          </w:p>
        </w:tc>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58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ROU Asset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331"/>
        </w:trPr>
        <w:tc>
          <w:tcPr>
            <w:tcW w:w="844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color w:val="auto"/>
                <w:w w:val="99"/>
              </w:rPr>
              <w:t>The Company’s future minimum operating lease commitments as of December 31, 2024 are as follows: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2820" w:type="dxa"/>
            <w:vAlign w:val="bottom"/>
            <w:gridSpan w:val="2"/>
          </w:tcPr>
          <w:p>
            <w:pPr>
              <w:spacing w:after="0"/>
              <w:rPr>
                <w:sz w:val="18"/>
                <w:szCs w:val="18"/>
                <w:color w:val="auto"/>
              </w:rPr>
            </w:pP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820" w:type="dxa"/>
            <w:vAlign w:val="bottom"/>
            <w:gridSpan w:val="2"/>
          </w:tcPr>
          <w:p>
            <w:pPr>
              <w:spacing w:after="0"/>
              <w:rPr>
                <w:sz w:val="19"/>
                <w:szCs w:val="19"/>
                <w:color w:val="auto"/>
              </w:rPr>
            </w:pP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ind w:left="282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In connection with the Company’s planned capital expenditures, the Company has entered into several contractual construction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 total obligate it to expend an estimated $9.6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Based on our operations in the heavily-regulated water and wastewater industries, the Company is routinely involved in disputes,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current or future loss contingencies.</w:t>
      </w:r>
    </w:p>
    <w:p>
      <w:pPr>
        <w:spacing w:after="0" w:line="8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Agreements </w:t>
      </w:r>
      <w:r>
        <w:rPr>
          <w:rFonts w:ascii="Times New Roman" w:cs="Times New Roman" w:eastAsia="Times New Roman" w:hAnsi="Times New Roman"/>
          <w:sz w:val="18"/>
          <w:szCs w:val="18"/>
          <w:color w:val="auto"/>
        </w:rPr>
        <w:t>– The Company has Change in Control Agreements with its executive officers that provide compensation and benefits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event of termination of employment in connection with a change in control of the Company.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Short-term Borrowings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short-term borrowings for the years ended December 31, 2024 and 2023 is summarized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In Millions)</w:t>
            </w:r>
          </w:p>
        </w:tc>
      </w:tr>
      <w:tr>
        <w:trPr>
          <w:trHeight w:val="238"/>
        </w:trPr>
        <w:tc>
          <w:tcPr>
            <w:tcW w:w="58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Amount Outstanding</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6.33%</w:t>
            </w:r>
          </w:p>
        </w:tc>
        <w:tc>
          <w:tcPr>
            <w:tcW w:w="3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at Year-End</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Interest Rate at Year-End</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5.63%</w:t>
            </w:r>
          </w:p>
        </w:tc>
        <w:tc>
          <w:tcPr>
            <w:tcW w:w="3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w:t>
            </w:r>
          </w:p>
        </w:tc>
        <w:tc>
          <w:tcPr>
            <w:tcW w:w="560" w:type="dxa"/>
            <w:vAlign w:val="bottom"/>
          </w:tcPr>
          <w:p>
            <w:pPr>
              <w:spacing w:after="0"/>
              <w:rPr>
                <w:sz w:val="20"/>
                <w:szCs w:val="20"/>
                <w:color w:val="auto"/>
              </w:rPr>
            </w:pPr>
          </w:p>
        </w:tc>
      </w:tr>
      <w:tr>
        <w:trPr>
          <w:trHeight w:val="319"/>
        </w:trPr>
        <w:tc>
          <w:tcPr>
            <w:tcW w:w="6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 maintains bank lines of credit aggregating $140.0 million.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Line of Credit</w:t>
            </w:r>
          </w:p>
        </w:tc>
      </w:tr>
      <w:tr>
        <w:trPr>
          <w:trHeight w:val="238"/>
        </w:trPr>
        <w:tc>
          <w:tcPr>
            <w:tcW w:w="58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6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Credit Type</w:t>
            </w: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Uncommitted</w:t>
            </w:r>
          </w:p>
        </w:tc>
        <w:tc>
          <w:tcPr>
            <w:tcW w:w="5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23, 2026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Bank</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Committed</w:t>
            </w:r>
          </w:p>
        </w:tc>
        <w:tc>
          <w:tcPr>
            <w:tcW w:w="560" w:type="dxa"/>
            <w:vAlign w:val="bottom"/>
          </w:tcPr>
          <w:p>
            <w:pPr>
              <w:spacing w:after="0"/>
              <w:rPr>
                <w:sz w:val="18"/>
                <w:szCs w:val="18"/>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January 31, 2027</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CoBank, ACB (CoBank)</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Committed</w:t>
            </w:r>
          </w:p>
        </w:tc>
        <w:tc>
          <w:tcPr>
            <w:tcW w:w="5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20, 2026</w:t>
            </w:r>
          </w:p>
        </w:tc>
      </w:tr>
      <w:tr>
        <w:trPr>
          <w:trHeight w:val="210"/>
        </w:trPr>
        <w:tc>
          <w:tcPr>
            <w:tcW w:w="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140.0</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dates for the Notes Payable as of December 31, 2024 are extendable at the discretion of the Company.</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are set for borrowings under the Bank of America and PNC Bank lines of credit using the Secured Overnight Financing Rate (SOFR) and then adding a specific financial institution credit spread. The interest rate for borrowings under the CoBank line of credit are set weekly using CoBank’s internal cost of funds index that is similar to the SOFR and adding a credit spread. There is no requirement for a compensating balance under any of the established lines of credit.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Capitalization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transactions discussed below related to the issuance of securities were approved by either the NJBPU or DEPSC, except where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shares of its common stock in connection with its Middlesex Water Company Investment Plan (the Investment Plan), a direct share purchase and dividend reinvestment plan for the Company’s common stock. The Company raised approximately $1.0 million under the Investment Plan during 2024. Currently, 0.7 million</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shares remain registered with the United States Securities and Exchange Commission and available for issuance to participants under the Investment Plan.</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Middlesex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spacing w:after="0" w:line="7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issues common shares under a restricted stock plan for certain management employees, which is described in Note 7 – </w:t>
      </w:r>
      <w:r>
        <w:rPr>
          <w:rFonts w:ascii="Times New Roman" w:cs="Times New Roman" w:eastAsia="Times New Roman" w:hAnsi="Times New Roman"/>
          <w:sz w:val="18"/>
          <w:szCs w:val="18"/>
          <w:i w:val="1"/>
          <w:iCs w:val="1"/>
          <w:color w:val="auto"/>
        </w:rPr>
        <w:t>Employee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stock plan for its independent Directors as a component of outside members of the Board of Directors compensation. For the years ended December 31, 2024, 2023 and 2022, 7,570, 4,608 and 2,664 shares, respectively, of Middlesex common stock were granted and issued to the Company’s independent Directors under the plan. The maximum number of shares authorized for grant under the plan is 100,000, of which 34,283 shares remain available for future awards.</w:t>
      </w:r>
    </w:p>
    <w:p>
      <w:pPr>
        <w:spacing w:after="0" w:line="85" w:lineRule="exact"/>
        <w:rPr>
          <w:sz w:val="20"/>
          <w:szCs w:val="20"/>
          <w:color w:val="auto"/>
        </w:rPr>
      </w:pPr>
    </w:p>
    <w:p>
      <w:pPr>
        <w:ind w:right="1420"/>
        <w:spacing w:after="0" w:line="391" w:lineRule="auto"/>
        <w:rPr>
          <w:sz w:val="20"/>
          <w:szCs w:val="20"/>
          <w:color w:val="auto"/>
        </w:rPr>
      </w:pPr>
      <w:r>
        <w:rPr>
          <w:rFonts w:ascii="Times New Roman" w:cs="Times New Roman" w:eastAsia="Times New Roman" w:hAnsi="Times New Roman"/>
          <w:sz w:val="18"/>
          <w:szCs w:val="18"/>
          <w:color w:val="auto"/>
        </w:rPr>
        <w:t xml:space="preserve">In the event dividends on the preferred stock are in arrears, no dividends may be declared or paid on the common stock of the Company. </w:t>
      </w:r>
      <w:r>
        <w:rPr>
          <w:rFonts w:ascii="Times New Roman" w:cs="Times New Roman" w:eastAsia="Times New Roman" w:hAnsi="Times New Roman"/>
          <w:sz w:val="18"/>
          <w:szCs w:val="18"/>
          <w:b w:val="1"/>
          <w:bCs w:val="1"/>
          <w:i w:val="1"/>
          <w:iCs w:val="1"/>
          <w:color w:val="auto"/>
        </w:rPr>
        <w:t>Preferred Stock</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2024 and 2023, there were 120,000 shares of preferred stock authorized and less than 16,000 shares of preferred stock outstanding. There were no preferred stock dividends in arrears.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feature of the no par $7.00 Series Cumulative and Convertible Preferred Stock allows the security holders to convert one convertible preferred share for twelve shares of the Company's common stock. In 2024, 4,275 shares of the Company’s no par $7.00 Series Cumulative and Convertible Preferred Stock were converted into 51,300 shares (approximately $0.4 million)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with an expected maturity date in 2044. This loan is for costs associated with Tidewater’s obligation, as required by federal law and Delaware regulations, to identify and inventory lead service lines throughout Tidewater’s service area. Tidewater has drawn down $1.7 million as of December 31, 2024.</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Tidewater has drawn down less than $0.1 million on these loans as of December 31, 2024. Each project has its own construction timetable with the last spending set to occur in 2026.</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December 31, 2024 and expects that the requisitions will continue through the second quarter of 2025.</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Pinelands Water and Pinelands Wastewater closed on $3.9 million and $3.6 million CoBank amortizing mortgage type loans, respectively, with an interest rate of 6.17% and a final maturity date of 2043 for each loan. Proceeds were used to pay off outstanding intercompany loans with Middlesex and for ongoing capital projects.</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2023, Tidewater closed on a $20.0 million loan from CoBank with an interest rate of 5.71% and a 2033 maturity date and fully drew all funds by June 30, 2023. Proceeds from the loan were used to pay off Tidewater’s outstanding balances under its bank lines of credit and for other general corporate purposes.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Tidewater closed on two DEPSC-approved Delaware SRF loans totaling $6.9 million, all at interest rates of 2.0% with maturity dates in 2043 and 2044. These loans are for the construction, relocation, improvement, and/or interconnection of transmission mains. Tidewater has fully drawn on these loans.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2023, Middlesex closed on a $40.0 million, 5.24% private placement of First Mortgage Bonds (FMBs) with a 2043 maturity date designated as Series 2023A. Proceeds were used to reduce the Company’s outstanding balances under its bank lines of credit.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2022, Middlesex repaid its two outstanding New Jersey Infrastructure Bank (NJIB) construction loans by issuing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pacing w:after="0" w:line="8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aggregate annual principal repayment obligations as of December 31, 2024 for all long-term debt over the next five years and thereafter are shown below:</w:t>
      </w:r>
    </w:p>
    <w:p>
      <w:pPr>
        <w:spacing w:after="0" w:line="63" w:lineRule="exact"/>
        <w:rPr>
          <w:sz w:val="20"/>
          <w:szCs w:val="20"/>
          <w:color w:val="auto"/>
        </w:rPr>
      </w:pPr>
    </w:p>
    <w:tbl>
      <w:tblPr>
        <w:tblLayout w:type="fixed"/>
        <w:tblInd w:w="430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38"/>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Annual Maturities</w:t>
            </w:r>
          </w:p>
        </w:tc>
      </w:tr>
      <w:tr>
        <w:trPr>
          <w:trHeight w:val="209"/>
        </w:trPr>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Thereafter</w:t>
            </w:r>
          </w:p>
        </w:tc>
        <w:tc>
          <w:tcPr>
            <w:tcW w:w="14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all long-term debt at December 31, 2024 and 2023 was 3.64% and 3.65%, respectively.</w:t>
      </w:r>
    </w:p>
    <w:p>
      <w:pPr>
        <w:spacing w:after="0" w:line="13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 (EPS) of common stock for the years ended December 31, 2024, 2023 and 2022. Basic EPS is computed on the basis of the weighted average number of shares outstanding. Diluted EPS assumes the conversion of the Convertible Preferred Stock $7.00 Series.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760" w:type="dxa"/>
            <w:vAlign w:val="bottom"/>
            <w:gridSpan w:val="6"/>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0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tcPr>
          <w:p>
            <w:pPr>
              <w:spacing w:after="0"/>
              <w:rPr>
                <w:sz w:val="18"/>
                <w:szCs w:val="18"/>
                <w:color w:val="auto"/>
              </w:rPr>
            </w:pP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44,351</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17,842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31,524</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42,429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17,597</w:t>
            </w:r>
          </w:p>
        </w:tc>
      </w:tr>
      <w:tr>
        <w:trPr>
          <w:trHeight w:val="21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(120)</w:t>
            </w: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tcBorders>
              <w:bottom w:val="single" w:sz="8" w:color="auto"/>
            </w:tcBorders>
          </w:tcPr>
          <w:p>
            <w:pPr>
              <w:spacing w:after="0"/>
              <w:rPr>
                <w:sz w:val="18"/>
                <w:szCs w:val="18"/>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44,239</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17,842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31,404</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17,732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42,309</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17,597</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2.48</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1.77</w:t>
            </w:r>
          </w:p>
        </w:tc>
        <w:tc>
          <w:tcPr>
            <w:tcW w:w="90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2.40</w:t>
            </w:r>
          </w:p>
        </w:tc>
        <w:tc>
          <w:tcPr>
            <w:tcW w:w="1040" w:type="dxa"/>
            <w:vAlign w:val="bottom"/>
          </w:tcPr>
          <w:p>
            <w:pPr>
              <w:spacing w:after="0"/>
              <w:rPr>
                <w:sz w:val="18"/>
                <w:szCs w:val="18"/>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44,239</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17,842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31,404</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17,732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42,309</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$7.00 Series Dividend</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44,285</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31,471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17,847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42,376</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17,712</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2.47</w:t>
            </w: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1.76</w:t>
            </w:r>
          </w:p>
        </w:tc>
        <w:tc>
          <w:tcPr>
            <w:tcW w:w="9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tcBorders>
              <w:bottom w:val="single" w:sz="8" w:color="auto"/>
            </w:tcBorders>
            <w:shd w:val="clear" w:color="auto" w:fill="CCEEFF"/>
          </w:tcPr>
          <w:p>
            <w:pPr>
              <w:spacing w:after="0"/>
              <w:rPr>
                <w:sz w:val="18"/>
                <w:szCs w:val="18"/>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4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20"/>
                <w:szCs w:val="20"/>
                <w:color w:val="auto"/>
              </w:rPr>
            </w:pPr>
          </w:p>
        </w:tc>
      </w:tr>
      <w:tr>
        <w:trPr>
          <w:trHeight w:val="191"/>
        </w:trPr>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60" w:type="dxa"/>
            <w:vAlign w:val="bottom"/>
          </w:tcPr>
          <w:p>
            <w:pPr>
              <w:spacing w:after="0"/>
              <w:rPr>
                <w:sz w:val="16"/>
                <w:szCs w:val="16"/>
                <w:color w:val="auto"/>
              </w:rPr>
            </w:pPr>
          </w:p>
        </w:tc>
        <w:tc>
          <w:tcPr>
            <w:tcW w:w="96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40" w:type="dxa"/>
            <w:vAlign w:val="bottom"/>
          </w:tcPr>
          <w:p>
            <w:pPr>
              <w:spacing w:after="0"/>
              <w:rPr>
                <w:sz w:val="16"/>
                <w:szCs w:val="16"/>
                <w:color w:val="auto"/>
              </w:rPr>
            </w:pPr>
          </w:p>
        </w:tc>
        <w:tc>
          <w:tcPr>
            <w:tcW w:w="94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6"/>
              </w:rPr>
              <w:t>Fair</w:t>
            </w:r>
          </w:p>
        </w:tc>
      </w:tr>
      <w:tr>
        <w:trPr>
          <w:trHeight w:val="234"/>
        </w:trPr>
        <w:tc>
          <w:tcPr>
            <w:tcW w:w="4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Amount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FMBs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129,602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125,067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133,374</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131,745</w:t>
            </w:r>
          </w:p>
        </w:tc>
      </w:tr>
    </w:tbl>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was not practicable to estimate the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and “State Revolving Trust Notes” on the Consolidated Statements of Capital Stock and Long-Term Debt. The carrying amount of these instruments was $229.8 million and $231.3 million at December 31, 2024 and 2023, respectively. Advances for construction have carrying amounts of $22.6 million and $21.3 million at December 31, 2024 and 2023, respectively. Their relative fair values cannot be accurately estimated since future refund payments depend on several variables, including new customer connections, customer consumption levels and future rate increases.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Note 7 - Employee Benefit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Company on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year to which the contribution relates. The Company maintains an unfunded supplemental plan for a limited number of its executive officers. The Accumulated Benefit Obligation for the Company’s Pension Plan at December 31, 2024 and 2023 was $80.8 million and $83.7 million,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Other Benefits Plan covers substantially all of its current retired employees. Employees hired after March 31, 2007 are not eligible to participate in this plan. Coverage includes healthcare and life insurance.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Treatment of Over/Underfunded Retirement Obligations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Because the Company is subject to rate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xml:space="preserve">. Based on prior regulatory practice, and in accordance with the guidance in ASC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xml:space="preserve">, the Company records underfunded Pension Plan and Other Benefits Plan obligation costs, which otherwise would be recognized in Other Comprehensive Income under ASC 715, </w:t>
      </w:r>
      <w:r>
        <w:rPr>
          <w:rFonts w:ascii="Times New Roman" w:cs="Times New Roman" w:eastAsia="Times New Roman" w:hAnsi="Times New Roman"/>
          <w:sz w:val="18"/>
          <w:szCs w:val="18"/>
          <w:i w:val="1"/>
          <w:iCs w:val="1"/>
          <w:color w:val="auto"/>
        </w:rPr>
        <w:t>Compensation – Retirement Benefits</w:t>
      </w:r>
      <w:r>
        <w:rPr>
          <w:rFonts w:ascii="Times New Roman" w:cs="Times New Roman" w:eastAsia="Times New Roman" w:hAnsi="Times New Roman"/>
          <w:sz w:val="18"/>
          <w:szCs w:val="18"/>
          <w:color w:val="auto"/>
        </w:rPr>
        <w:t>, as a Regulatory Asset, and expects to recover those costs in rates charged to customers.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a December 31 measurement date for all of its employee benefit plans. The tables below set forth information relating to the Company’s Pension Plan and Other Benefits Plan for 2024 and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Thousands)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32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 Benefits Plan</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91,853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87,788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28,000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32,909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1,551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4,280</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4,270</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5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87,501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91,853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28,201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28,000</w:t>
            </w:r>
          </w:p>
        </w:tc>
        <w:tc>
          <w:tcPr>
            <w:tcW w:w="560" w:type="dxa"/>
            <w:vAlign w:val="bottom"/>
          </w:tcPr>
          <w:p>
            <w:pPr>
              <w:spacing w:after="0"/>
              <w:rPr>
                <w:sz w:val="18"/>
                <w:szCs w:val="18"/>
                <w:color w:val="auto"/>
              </w:rPr>
            </w:pPr>
          </w:p>
        </w:tc>
      </w:tr>
      <w:tr>
        <w:trPr>
          <w:trHeight w:val="460"/>
        </w:trPr>
        <w:tc>
          <w:tcPr>
            <w:tcW w:w="5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62" w:name="page63"/>
    <w:bookmarkEnd w:id="62"/>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 xml:space="preserve">(In </w:t>
            </w:r>
            <w:r>
              <w:rPr>
                <w:rFonts w:ascii="Times New Roman" w:cs="Times New Roman" w:eastAsia="Times New Roman" w:hAnsi="Times New Roman"/>
                <w:sz w:val="18"/>
                <w:szCs w:val="18"/>
                <w:b w:val="1"/>
                <w:bCs w:val="1"/>
                <w:color w:val="auto"/>
                <w:w w:val="98"/>
              </w:rPr>
              <w:t>Thousands)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32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 Benefits Plan</w:t>
            </w: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48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84,828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48,352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44,029</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7,976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10,840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0"/>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98,648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92,346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53,027</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48,352</w:t>
            </w:r>
          </w:p>
        </w:tc>
      </w:tr>
      <w:tr>
        <w:trPr>
          <w:trHeight w:val="209"/>
        </w:trPr>
        <w:tc>
          <w:tcPr>
            <w:tcW w:w="4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11,147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24,826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20,352</w:t>
            </w:r>
          </w:p>
        </w:tc>
      </w:tr>
      <w:tr>
        <w:trPr>
          <w:trHeight w:val="297"/>
        </w:trPr>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 xml:space="preserve">(In </w:t>
            </w:r>
            <w:r>
              <w:rPr>
                <w:rFonts w:ascii="Times New Roman" w:cs="Times New Roman" w:eastAsia="Times New Roman" w:hAnsi="Times New Roman"/>
                <w:sz w:val="18"/>
                <w:szCs w:val="18"/>
                <w:b w:val="1"/>
                <w:bCs w:val="1"/>
                <w:color w:val="auto"/>
                <w:w w:val="98"/>
              </w:rPr>
              <w:t>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320" w:type="dxa"/>
            <w:vAlign w:val="bottom"/>
          </w:tcPr>
          <w:p>
            <w:pPr>
              <w:spacing w:after="0"/>
              <w:rPr>
                <w:sz w:val="18"/>
                <w:szCs w:val="18"/>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Other Benefits Plan</w:t>
            </w:r>
          </w:p>
        </w:tc>
      </w:tr>
      <w:tr>
        <w:trPr>
          <w:trHeight w:val="216"/>
        </w:trPr>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48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Recognized in the Consolidated</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Sheets consist of:</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Liability</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Noncurrent Asset</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(20,352)</w:t>
            </w: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Recognized</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w:t>
            </w: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(InThousands)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Other Benefits Plan</w:t>
            </w:r>
          </w:p>
        </w:tc>
        <w:tc>
          <w:tcPr>
            <w:tcW w:w="8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2,362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6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4,280</w:t>
            </w:r>
          </w:p>
        </w:tc>
        <w:tc>
          <w:tcPr>
            <w:tcW w:w="3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4,270</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3,042</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16"/>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bl>
    <w:p>
      <w:pPr>
        <w:spacing w:after="0" w:line="9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Service cost is included in Operations and Maintenance expense on the consolidated statements of income; all other amounts are included 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net.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that are expected to be amortized from Regulatory Assets into Net Periodic Benefit Cost in 2025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280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Plan</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280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(1,127)</w:t>
            </w:r>
          </w:p>
        </w:tc>
        <w:tc>
          <w:tcPr>
            <w:tcW w:w="2800" w:type="dxa"/>
            <w:vAlign w:val="bottom"/>
          </w:tcPr>
          <w:p>
            <w:pPr>
              <w:spacing w:after="0"/>
              <w:rPr>
                <w:sz w:val="18"/>
                <w:szCs w:val="18"/>
                <w:color w:val="auto"/>
              </w:rPr>
            </w:pPr>
          </w:p>
        </w:tc>
      </w:tr>
      <w:tr>
        <w:trPr>
          <w:trHeight w:val="466"/>
        </w:trPr>
        <w:tc>
          <w:tcPr>
            <w:tcW w:w="28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63" w:name="page64"/>
    <w:bookmarkEnd w:id="63"/>
    <w:p>
      <w:pPr>
        <w:ind w:right="380"/>
        <w:spacing w:after="0" w:line="282" w:lineRule="auto"/>
        <w:rPr>
          <w:sz w:val="20"/>
          <w:szCs w:val="20"/>
          <w:color w:val="auto"/>
        </w:rPr>
      </w:pPr>
      <w:r>
        <w:rPr>
          <w:rFonts w:ascii="Times New Roman" w:cs="Times New Roman" w:eastAsia="Times New Roman" w:hAnsi="Times New Roman"/>
          <w:sz w:val="18"/>
          <w:szCs w:val="18"/>
          <w:color w:val="auto"/>
        </w:rPr>
        <w:t>The discount rate and compensation increase rate for determining our postretirement benefit plans’ benefit obligations and costs as of and for the years ended December 31, 2024, 2023 and 2022, respectively,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Other Benefits Plan</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9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Rate for:</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Cost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Increase for: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Cost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increase assumption for the Other Benefits Plan is attributable to life insurance provided to qualifying employees upon their retirement.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insurance coverage will be determined based on the employee’s base compensation as of their retirement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Society of Actuaries’ mortality table (Pri-2012) (Mortality Improvement Scale MP2021).</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2024 valuation, costs and obligations for our Other Benefits Plan assumed a 8.0% annual rate of increase in the per capita cost of covered healthcare benefits in 2024 with the annual rate of increase declining 0.15% per year for 2025-2044, resulting in an annual rate of increase in the per capita cost of covered healthcare benefits of 5.0% by year 2045.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one-percentage point change in assumed healthcare cost trend rates would have the following effects on the Other Benefits Plan: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 Percentage Point</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Current Year Service and Interest Costs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Projected Benefit Obligation</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(2,824)</w:t>
            </w:r>
          </w:p>
        </w:tc>
        <w:tc>
          <w:tcPr>
            <w:tcW w:w="560" w:type="dxa"/>
            <w:vAlign w:val="bottom"/>
          </w:tcPr>
          <w:p>
            <w:pPr>
              <w:spacing w:after="0"/>
              <w:rPr>
                <w:sz w:val="20"/>
                <w:szCs w:val="20"/>
                <w:color w:val="auto"/>
              </w:rPr>
            </w:pPr>
          </w:p>
        </w:tc>
      </w:tr>
      <w:tr>
        <w:trPr>
          <w:trHeight w:val="319"/>
        </w:trPr>
        <w:tc>
          <w:tcPr>
            <w:tcW w:w="6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The following benefit payments, which reflect expected future service, are expected to be paid: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0"/>
                <w:szCs w:val="20"/>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Other Benefits Plan</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140" w:type="dxa"/>
            <w:vAlign w:val="bottom"/>
            <w:gridSpan w:val="2"/>
          </w:tcPr>
          <w:p>
            <w:pPr>
              <w:spacing w:after="0"/>
              <w:rPr>
                <w:sz w:val="18"/>
                <w:szCs w:val="18"/>
                <w:color w:val="auto"/>
              </w:rPr>
            </w:pPr>
          </w:p>
        </w:tc>
        <w:tc>
          <w:tcPr>
            <w:tcW w:w="5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2030-2034</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57,212</w:t>
            </w:r>
          </w:p>
        </w:tc>
        <w:tc>
          <w:tcPr>
            <w:tcW w:w="2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60"/>
        </w:trPr>
        <w:tc>
          <w:tcPr>
            <w:tcW w:w="692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 Assets</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7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allocation of plan assets at December 31, 2024 and 2023 by asset category is as follows: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5"/>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Pension Plan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Other Benefits Plan</w:t>
            </w:r>
          </w:p>
        </w:tc>
        <w:tc>
          <w:tcPr>
            <w:tcW w:w="8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4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 Category</w:t>
            </w:r>
          </w:p>
        </w:tc>
        <w:tc>
          <w:tcPr>
            <w:tcW w:w="112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gridSpan w:val="2"/>
          </w:tcPr>
          <w:p>
            <w:pPr>
              <w:ind w:left="320"/>
              <w:spacing w:after="0" w:line="198" w:lineRule="exact"/>
              <w:rPr>
                <w:sz w:val="20"/>
                <w:szCs w:val="20"/>
                <w:color w:val="auto"/>
              </w:rPr>
            </w:pPr>
            <w:r>
              <w:rPr>
                <w:rFonts w:ascii="Times New Roman" w:cs="Times New Roman" w:eastAsia="Times New Roman" w:hAnsi="Times New Roman"/>
                <w:sz w:val="18"/>
                <w:szCs w:val="18"/>
                <w:b w:val="1"/>
                <w:bCs w:val="1"/>
                <w:color w:val="auto"/>
              </w:rPr>
              <w:t>Target</w:t>
            </w:r>
          </w:p>
        </w:tc>
        <w:tc>
          <w:tcPr>
            <w:tcW w:w="108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7"/>
                <w:szCs w:val="17"/>
                <w:color w:val="auto"/>
              </w:rPr>
            </w:pPr>
          </w:p>
        </w:tc>
        <w:tc>
          <w:tcPr>
            <w:tcW w:w="8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Target</w:t>
            </w:r>
          </w:p>
        </w:tc>
      </w:tr>
      <w:tr>
        <w:trPr>
          <w:trHeight w:val="21"/>
        </w:trPr>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65.2%</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w:t>
            </w:r>
          </w:p>
        </w:tc>
        <w:tc>
          <w:tcPr>
            <w:tcW w:w="1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8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8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Estate/Commodities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580" w:type="dxa"/>
            <w:vAlign w:val="bottom"/>
          </w:tcPr>
          <w:p>
            <w:pPr>
              <w:spacing w:after="0"/>
              <w:rPr>
                <w:sz w:val="18"/>
                <w:szCs w:val="18"/>
                <w:color w:val="auto"/>
              </w:rPr>
            </w:pPr>
          </w:p>
        </w:tc>
        <w:tc>
          <w:tcPr>
            <w:tcW w:w="344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r>
    </w:tbl>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81" w:lineRule="exact"/>
        <w:rPr>
          <w:sz w:val="20"/>
          <w:szCs w:val="20"/>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unadjusted quoted market prices for identical assets or liabilities in accessible active markets.</w:t>
      </w:r>
    </w:p>
    <w:p>
      <w:pPr>
        <w:spacing w:after="0" w:line="27" w:lineRule="exact"/>
        <w:rPr>
          <w:rFonts w:ascii="Times New Roman" w:cs="Times New Roman" w:eastAsia="Times New Roman" w:hAnsi="Times New Roman"/>
          <w:sz w:val="18"/>
          <w:szCs w:val="18"/>
          <w:color w:val="auto"/>
        </w:rPr>
      </w:pPr>
    </w:p>
    <w:p>
      <w:pPr>
        <w:jc w:val="both"/>
        <w:ind w:left="660" w:hanging="382"/>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660" w:hanging="38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following tables present Middlesex’s Pension Plan assets measured and recorded at fair value within the fair value hierarchy:</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5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42,974</w:t>
            </w: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42,974</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Agency/US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19,041</w:t>
            </w:r>
          </w:p>
        </w:tc>
      </w:tr>
      <w:tr>
        <w:trPr>
          <w:trHeight w:val="22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Sovereign/Non-US Debt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4,958</w:t>
            </w:r>
          </w:p>
        </w:tc>
      </w:tr>
      <w:tr>
        <w:trPr>
          <w:trHeight w:val="21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98,648</w:t>
            </w:r>
          </w:p>
        </w:tc>
      </w:tr>
    </w:tbl>
    <w:p>
      <w:pPr>
        <w:spacing w:after="0" w:line="9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5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71,236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12,544</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Agency/US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Sovereign/Non-US Debt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r>
      <w:tr>
        <w:trPr>
          <w:trHeight w:val="209"/>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92,346</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Middlesex’s Other Benefits Plan assets measured and recorded at fair value within the fair value hierarchy:</w:t>
      </w:r>
    </w:p>
    <w:p>
      <w:pPr>
        <w:sectPr>
          <w:pgSz w:w="11900" w:h="16838" w:orient="portrait"/>
          <w:cols w:equalWidth="0" w:num="1">
            <w:col w:w="10680"/>
          </w:cols>
          <w:pgMar w:left="320" w:top="55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Mutual Funds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Agency/US/State/Municipal Debt</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Mutual Funds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Agency/US/State/Municipal Debt</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34,545</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34,545</w:t>
            </w:r>
          </w:p>
        </w:tc>
      </w:tr>
      <w:tr>
        <w:trPr>
          <w:trHeight w:val="230"/>
        </w:trPr>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17,505</w:t>
            </w:r>
          </w:p>
        </w:tc>
      </w:tr>
      <w:tr>
        <w:trPr>
          <w:trHeight w:val="223"/>
        </w:trPr>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53,027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-607695</wp:posOffset>
            </wp:positionV>
            <wp:extent cx="641223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-325120</wp:posOffset>
            </wp:positionV>
            <wp:extent cx="641223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29,437</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29,437</w:t>
            </w:r>
          </w:p>
        </w:tc>
      </w:tr>
      <w:tr>
        <w:trPr>
          <w:trHeight w:val="230"/>
        </w:trPr>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1,429</w:t>
            </w: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17,486</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17,486</w:t>
            </w:r>
          </w:p>
        </w:tc>
      </w:tr>
      <w:tr>
        <w:trPr>
          <w:trHeight w:val="223"/>
        </w:trPr>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17,486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48,352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-607695</wp:posOffset>
            </wp:positionV>
            <wp:extent cx="641223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-325120</wp:posOffset>
            </wp:positionV>
            <wp:extent cx="641223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4440"/>
          </w:cols>
          <w:pgMar w:left="320" w:top="553" w:right="899" w:bottom="1440" w:gutter="0" w:footer="0" w:header="0"/>
          <w:type w:val="continuous"/>
        </w:sectPr>
      </w:pPr>
    </w:p>
    <w:p>
      <w:pPr>
        <w:spacing w:after="0" w:line="1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3" w:right="8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 Contributions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Pension Plan, Middlesex made total cash contributions of $2.8 million in 2024 and expects to make approximately $0.9 million of cash contributions in 2025.</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Other Benefits Plan, Middlesex made total cash contributions of $0.9 million in 2024 and expects to make approximately $1.0 million of cash contributions in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401(k) defined contribution plan, which covers substantially all employees (temporary employee needs to complete at least 1,000 hours of service to be eligible). Under the terms of the plan, the Company matches 100% of a participant’s contributions, which do not exceed 1% of a participant’s compensation, plus 50% of a participant’s contributions exceeding 1%, but not more than 6%. The Company’s matching contribution was $0.8 million, $0.8 million and $0.7 million for the years ended December 31, 2024, 2023 and 2022, respectively.</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hired after March 31, 2007 are not eligible to participate in the Pension Plan and are generally eligible to participate in a discretionary profit sharing plan administered through the 401(k) plan. In December each year, the Board of Directors may approve that a stated percentage of eligible compensation be contributed to the account of the employee participant in the first quarter of the following year. For those employees still actively employed on December 31, 2024 or retired during the current year, the Company will fund a discretionary contribution of $1.1 million before April 1, 2025, which represents 5.0% of eligible 2024 compensation. For the years ended December 31, 2023 and 2022, the Company made qualifying discretionary contributions of $0.9 million for each year.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long-term incentive compensation plan for certain management employees where awards are made in the form of restricted common stock. Shares of restricted stock issued under the plan are subject to forfeiture by the employee in the event of termination of employment for any reason within three or five years of the award, as applicable, other than as a result of retirement at normal retirement age, death, disability or change in control. The maximum number of shares authorized for award under the plan is 300,000 shares, of which approximately 70% remain available for issuance.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recognizes compensation expense at fair value for the plan awards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expense is determined by the market value of the stock on the date of the award and is being amortized over the expected vesting period.</w:t>
      </w: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awarded but not yet vested share information for the plan:</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5"/>
        </w:trPr>
        <w:tc>
          <w:tcPr>
            <w:tcW w:w="6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300" w:type="dxa"/>
            <w:vAlign w:val="bottom"/>
          </w:tcPr>
          <w:p>
            <w:pPr>
              <w:spacing w:after="0"/>
              <w:rPr>
                <w:sz w:val="24"/>
                <w:szCs w:val="24"/>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Granted</w:t>
            </w:r>
          </w:p>
        </w:tc>
      </w:tr>
      <w:tr>
        <w:trPr>
          <w:trHeight w:val="238"/>
        </w:trPr>
        <w:tc>
          <w:tcPr>
            <w:tcW w:w="65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Shares(thousands)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3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1,931</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105.17</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Compensation expense</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09"/>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77.63</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Compensation expense</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09"/>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 of Compensation expense</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09"/>
        </w:trPr>
        <w:tc>
          <w:tcPr>
            <w:tcW w:w="6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906</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Unearned compensation is recognized over a period of 4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Business Segment Data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consists of the Company’s Chief Executive Officer, Chief Financial Officer, and Chief Operating Officer. The CODM evaluates segment performance and profitability using net income. This metric provides a clear, consistent basis for analyzing the financial results of each segment and supports decision-making regarding the allocation of resources.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Resource allocation to the Company’s regulated and non-regulated segments begins with the annual budgeting process, which establishes initial funding and resource levels for each segment. The budget incorporates key financial and operational inputs, including anticipated revenues, expenses, capital and financing requirements, aligning with the Company’s strategic objectives and regulatory obligations. The CODM reviews budget-to-actual variances on a monthly, quarterly and year to-date basis and makes interim decisions to reallocate resources among segments as needed, ensuring a timely and effective response to changing conditions. For the regulated segment, the CODM uses this assessment to determine whether the segment is achieving its regulatory authorized rate of return.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segments follow the same accounting policies as described in </w:t>
      </w:r>
      <w:r>
        <w:rPr>
          <w:rFonts w:ascii="Times New Roman" w:cs="Times New Roman" w:eastAsia="Times New Roman" w:hAnsi="Times New Roman"/>
          <w:sz w:val="18"/>
          <w:szCs w:val="18"/>
          <w:i w:val="1"/>
          <w:iCs w:val="1"/>
          <w:color w:val="auto"/>
        </w:rPr>
        <w:t>Note 1 – Organization, Summary of Significant Accounting Policies and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Developments</w:t>
      </w:r>
      <w:r>
        <w:rPr>
          <w:rFonts w:ascii="Times New Roman" w:cs="Times New Roman" w:eastAsia="Times New Roman" w:hAnsi="Times New Roman"/>
          <w:sz w:val="18"/>
          <w:szCs w:val="18"/>
          <w:color w:val="auto"/>
        </w:rPr>
        <w:t>. Segment profit or loss is based on Net Income. Expenses used to determine operating income before taxes are charged directly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or are allocated based on the applicable cost allocation factors. Assets allocated to each segment are based upon specific identification of such assets provided by Company records. The effects of all intra-segment and/or intercompany transactions are eliminated in the consolidated financial statements.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and includes Middlesex, Tidewater, Pinelands Water and Southern Shores. This segment also includes a regulated wastewater system in New Jersey, Pinelands Wastewater. The Company is subject to regulations as to its rates, services and other matters by the states of New Jersey and Delaware with respect to utility service within these states. The other segment is primarily comprised of non-regulated contract</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services for the operation and maintenance of municipal and private water and wastewater systems in New Jersey and Delaware and includes USA, USA-PA, and White Marsh.</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9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Pr>
          <w:p>
            <w:pPr>
              <w:spacing w:after="0"/>
              <w:rPr>
                <w:sz w:val="18"/>
                <w:szCs w:val="18"/>
                <w:color w:val="auto"/>
              </w:rPr>
            </w:pPr>
          </w:p>
        </w:tc>
      </w:tr>
      <w:tr>
        <w:trPr>
          <w:trHeight w:val="238"/>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Operation by Segments</w:t>
            </w:r>
          </w:p>
        </w:tc>
        <w:tc>
          <w:tcPr>
            <w:tcW w:w="2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179,359</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154,617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151,117</w:t>
            </w: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13,552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12,773</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12,446</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09"/>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Revenues</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191,877</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166,274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162,434</w:t>
            </w:r>
          </w:p>
        </w:tc>
      </w:tr>
      <w:tr>
        <w:trPr>
          <w:trHeight w:val="210"/>
        </w:trPr>
        <w:tc>
          <w:tcPr>
            <w:tcW w:w="5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Purchased Water:</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8,064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9,144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7,777</w:t>
            </w: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09"/>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Purchased Water</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7,497</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8,481</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7,089</w:t>
            </w:r>
          </w:p>
        </w:tc>
      </w:tr>
      <w:tr>
        <w:trPr>
          <w:trHeight w:val="210"/>
        </w:trPr>
        <w:tc>
          <w:tcPr>
            <w:tcW w:w="50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Operations and Maintenance Expenses:</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76,483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66,670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64,170</w:t>
            </w: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8,850</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8,415</w:t>
            </w:r>
          </w:p>
        </w:tc>
        <w:tc>
          <w:tcPr>
            <w:tcW w:w="4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8,278</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0"/>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Other Operations and Maintenance Expenses</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84,866</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74,632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72,007</w:t>
            </w:r>
          </w:p>
        </w:tc>
      </w:tr>
      <w:tr>
        <w:trPr>
          <w:trHeight w:val="209"/>
        </w:trPr>
        <w:tc>
          <w:tcPr>
            <w:tcW w:w="50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21,644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18,504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17,963</w:t>
            </w:r>
          </w:p>
        </w:tc>
      </w:tr>
      <w:tr>
        <w:trPr>
          <w:trHeight w:val="216"/>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Other Taxes</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21,874</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18,744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18,208</w:t>
            </w:r>
          </w:p>
        </w:tc>
      </w:tr>
      <w:tr>
        <w:trPr>
          <w:trHeight w:val="210"/>
        </w:trPr>
        <w:tc>
          <w:tcPr>
            <w:tcW w:w="5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24,173</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24,931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22,783</w:t>
            </w:r>
          </w:p>
        </w:tc>
      </w:tr>
      <w:tr>
        <w:trPr>
          <w:trHeight w:val="216"/>
        </w:trPr>
        <w:tc>
          <w:tcPr>
            <w:tcW w:w="50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09"/>
        </w:trPr>
        <w:tc>
          <w:tcPr>
            <w:tcW w:w="5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Consolidated Depreciation</w:t>
            </w:r>
          </w:p>
        </w:tc>
        <w:tc>
          <w:tcPr>
            <w:tcW w:w="2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24,430</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25,194</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23,029</w:t>
            </w:r>
          </w:p>
        </w:tc>
      </w:tr>
      <w:tr>
        <w:trPr>
          <w:trHeight w:val="210"/>
        </w:trPr>
        <w:tc>
          <w:tcPr>
            <w:tcW w:w="50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49,462</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35,820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44,257</w:t>
            </w:r>
          </w:p>
        </w:tc>
      </w:tr>
      <w:tr>
        <w:trPr>
          <w:trHeight w:val="216"/>
        </w:trPr>
        <w:tc>
          <w:tcPr>
            <w:tcW w:w="5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3,748</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3,403</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3,076</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53,210</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39,223</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47,333</w:t>
            </w:r>
          </w:p>
        </w:tc>
      </w:tr>
      <w:tr>
        <w:trPr>
          <w:trHeight w:val="210"/>
        </w:trPr>
        <w:tc>
          <w:tcPr>
            <w:tcW w:w="5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2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12,195</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6,637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7,898</w:t>
            </w:r>
          </w:p>
        </w:tc>
      </w:tr>
      <w:tr>
        <w:trPr>
          <w:trHeight w:val="216"/>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2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2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0"/>
        </w:trPr>
        <w:tc>
          <w:tcPr>
            <w:tcW w:w="50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Other Income (Expense), Net</w:t>
            </w:r>
          </w:p>
        </w:tc>
        <w:tc>
          <w:tcPr>
            <w:tcW w:w="2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12,069</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6,485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7,703</w:t>
            </w:r>
          </w:p>
        </w:tc>
      </w:tr>
      <w:tr>
        <w:trPr>
          <w:trHeight w:val="460"/>
        </w:trPr>
        <w:tc>
          <w:tcPr>
            <w:tcW w:w="50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60" w:type="dxa"/>
            <w:vAlign w:val="bottom"/>
            <w:gridSpan w:val="5"/>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20" w:type="dxa"/>
            <w:vAlign w:val="bottom"/>
          </w:tcPr>
          <w:p>
            <w:pPr>
              <w:spacing w:after="0"/>
              <w:rPr>
                <w:sz w:val="18"/>
                <w:szCs w:val="18"/>
                <w:color w:val="auto"/>
              </w:rPr>
            </w:pPr>
          </w:p>
        </w:tc>
      </w:tr>
      <w:tr>
        <w:trPr>
          <w:trHeight w:val="238"/>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 by Segments (continued)</w:t>
            </w:r>
          </w:p>
        </w:tc>
        <w:tc>
          <w:tcPr>
            <w:tcW w:w="3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13,508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9,833</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0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09"/>
        </w:trPr>
        <w:tc>
          <w:tcPr>
            <w:tcW w:w="426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Interest Expense</w:t>
            </w:r>
          </w:p>
        </w:tc>
        <w:tc>
          <w:tcPr>
            <w:tcW w:w="3000" w:type="dxa"/>
            <w:vAlign w:val="bottom"/>
            <w:tcBorders>
              <w:bottom w:val="single" w:sz="8" w:color="auto"/>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13,143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9,367</w:t>
            </w:r>
          </w:p>
        </w:tc>
      </w:tr>
      <w:tr>
        <w:trPr>
          <w:trHeight w:val="210"/>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16"/>
        </w:trPr>
        <w:tc>
          <w:tcPr>
            <w:tcW w:w="426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1,187</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r>
      <w:tr>
        <w:trPr>
          <w:trHeight w:val="210"/>
        </w:trPr>
        <w:tc>
          <w:tcPr>
            <w:tcW w:w="4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Consolidated Income Taxes</w:t>
            </w:r>
          </w:p>
        </w:tc>
        <w:tc>
          <w:tcPr>
            <w:tcW w:w="30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6,905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3,240</w:t>
            </w:r>
          </w:p>
        </w:tc>
      </w:tr>
      <w:tr>
        <w:trPr>
          <w:trHeight w:val="209"/>
        </w:trPr>
        <w:tc>
          <w:tcPr>
            <w:tcW w:w="1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41,575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29,094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40,229</w:t>
            </w:r>
          </w:p>
        </w:tc>
      </w:tr>
      <w:tr>
        <w:trPr>
          <w:trHeight w:val="216"/>
        </w:trPr>
        <w:tc>
          <w:tcPr>
            <w:tcW w:w="4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2,430</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2,200</w:t>
            </w:r>
          </w:p>
        </w:tc>
      </w:tr>
      <w:tr>
        <w:trPr>
          <w:trHeight w:val="209"/>
        </w:trPr>
        <w:tc>
          <w:tcPr>
            <w:tcW w:w="426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44,351</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31,524</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42,429</w:t>
            </w:r>
          </w:p>
        </w:tc>
      </w:tr>
      <w:tr>
        <w:trPr>
          <w:trHeight w:val="209"/>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74,584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90,047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91,054</w:t>
            </w:r>
          </w:p>
        </w:tc>
      </w:tr>
      <w:tr>
        <w:trPr>
          <w:trHeight w:val="216"/>
        </w:trPr>
        <w:tc>
          <w:tcPr>
            <w:tcW w:w="426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09"/>
        </w:trPr>
        <w:tc>
          <w:tcPr>
            <w:tcW w:w="42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74,622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90,179</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91,335</w:t>
            </w:r>
          </w:p>
        </w:tc>
      </w:tr>
      <w:tr>
        <w:trPr>
          <w:trHeight w:val="309"/>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5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30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1,264,472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1,235,549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30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3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Assets</w:t>
            </w:r>
          </w:p>
        </w:tc>
        <w:tc>
          <w:tcPr>
            <w:tcW w:w="3000" w:type="dxa"/>
            <w:vAlign w:val="bottom"/>
            <w:tcBorders>
              <w:bottom w:val="single" w:sz="8" w:color="auto"/>
            </w:tcBorders>
            <w:shd w:val="clear" w:color="auto" w:fill="CCEEFF"/>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1,255,174</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1,236,052</w:t>
            </w:r>
          </w:p>
        </w:tc>
        <w:tc>
          <w:tcPr>
            <w:tcW w:w="1120" w:type="dxa"/>
            <w:vAlign w:val="bottom"/>
          </w:tcPr>
          <w:p>
            <w:pPr>
              <w:spacing w:after="0"/>
              <w:rPr>
                <w:sz w:val="18"/>
                <w:szCs w:val="18"/>
                <w:color w:val="auto"/>
              </w:rPr>
            </w:pPr>
          </w:p>
        </w:tc>
      </w:tr>
      <w:tr>
        <w:trPr>
          <w:trHeight w:val="460"/>
        </w:trPr>
        <w:tc>
          <w:tcPr>
            <w:tcW w:w="1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Quarterly Data - Unaudited</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8"/>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information for each quarter of 2024 and 2023 is as follows: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9"/>
        </w:trPr>
        <w:tc>
          <w:tcPr>
            <w:tcW w:w="3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80" w:type="dxa"/>
            <w:vAlign w:val="bottom"/>
            <w:gridSpan w:val="6"/>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5"/>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2"/>
              <w:spacing w:after="0" w:line="275" w:lineRule="exact"/>
              <w:rPr>
                <w:sz w:val="20"/>
                <w:szCs w:val="20"/>
                <w:color w:val="auto"/>
              </w:rPr>
            </w:pPr>
            <w:r>
              <w:rPr>
                <w:rFonts w:ascii="Times New Roman" w:cs="Times New Roman" w:eastAsia="Times New Roman" w:hAnsi="Times New Roman"/>
                <w:sz w:val="31"/>
                <w:szCs w:val="31"/>
                <w:b w:val="1"/>
                <w:bCs w:val="1"/>
                <w:color w:val="auto"/>
                <w:vertAlign w:val="subscript"/>
              </w:rPr>
              <w:t>1</w:t>
            </w:r>
            <w:r>
              <w:rPr>
                <w:rFonts w:ascii="Times New Roman" w:cs="Times New Roman" w:eastAsia="Times New Roman" w:hAnsi="Times New Roman"/>
                <w:sz w:val="14"/>
                <w:szCs w:val="14"/>
                <w:b w:val="1"/>
                <w:bCs w:val="1"/>
                <w:color w:val="auto"/>
              </w:rPr>
              <w:t>st</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2"/>
              <w:spacing w:after="0" w:line="275" w:lineRule="exact"/>
              <w:rPr>
                <w:sz w:val="20"/>
                <w:szCs w:val="20"/>
                <w:color w:val="auto"/>
              </w:rPr>
            </w:pPr>
            <w:r>
              <w:rPr>
                <w:rFonts w:ascii="Times New Roman" w:cs="Times New Roman" w:eastAsia="Times New Roman" w:hAnsi="Times New Roman"/>
                <w:sz w:val="31"/>
                <w:szCs w:val="31"/>
                <w:b w:val="1"/>
                <w:bCs w:val="1"/>
                <w:color w:val="auto"/>
                <w:vertAlign w:val="subscript"/>
              </w:rPr>
              <w:t>2</w:t>
            </w:r>
            <w:r>
              <w:rPr>
                <w:rFonts w:ascii="Times New Roman" w:cs="Times New Roman" w:eastAsia="Times New Roman" w:hAnsi="Times New Roman"/>
                <w:sz w:val="14"/>
                <w:szCs w:val="14"/>
                <w:b w:val="1"/>
                <w:bCs w:val="1"/>
                <w:color w:val="auto"/>
              </w:rPr>
              <w:t>nd</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2"/>
              <w:spacing w:after="0" w:line="275" w:lineRule="exact"/>
              <w:rPr>
                <w:sz w:val="20"/>
                <w:szCs w:val="20"/>
                <w:color w:val="auto"/>
              </w:rPr>
            </w:pPr>
            <w:r>
              <w:rPr>
                <w:rFonts w:ascii="Times New Roman" w:cs="Times New Roman" w:eastAsia="Times New Roman" w:hAnsi="Times New Roman"/>
                <w:sz w:val="31"/>
                <w:szCs w:val="31"/>
                <w:b w:val="1"/>
                <w:bCs w:val="1"/>
                <w:color w:val="auto"/>
                <w:vertAlign w:val="subscript"/>
              </w:rPr>
              <w:t>3</w:t>
            </w:r>
            <w:r>
              <w:rPr>
                <w:rFonts w:ascii="Times New Roman" w:cs="Times New Roman" w:eastAsia="Times New Roman" w:hAnsi="Times New Roman"/>
                <w:sz w:val="14"/>
                <w:szCs w:val="14"/>
                <w:b w:val="1"/>
                <w:bCs w:val="1"/>
                <w:color w:val="auto"/>
              </w:rPr>
              <w:t>rd</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32"/>
              <w:spacing w:after="0" w:line="275" w:lineRule="exact"/>
              <w:rPr>
                <w:sz w:val="20"/>
                <w:szCs w:val="20"/>
                <w:color w:val="auto"/>
              </w:rPr>
            </w:pPr>
            <w:r>
              <w:rPr>
                <w:rFonts w:ascii="Times New Roman" w:cs="Times New Roman" w:eastAsia="Times New Roman" w:hAnsi="Times New Roman"/>
                <w:sz w:val="31"/>
                <w:szCs w:val="31"/>
                <w:b w:val="1"/>
                <w:bCs w:val="1"/>
                <w:color w:val="auto"/>
                <w:vertAlign w:val="subscript"/>
              </w:rPr>
              <w:t>4</w:t>
            </w:r>
            <w:r>
              <w:rPr>
                <w:rFonts w:ascii="Times New Roman" w:cs="Times New Roman" w:eastAsia="Times New Roman" w:hAnsi="Times New Roman"/>
                <w:sz w:val="14"/>
                <w:szCs w:val="14"/>
                <w:b w:val="1"/>
                <w:bCs w:val="1"/>
                <w:color w:val="auto"/>
              </w:rPr>
              <w:t>th</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49,146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47,107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191,877</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9,865</w:t>
            </w:r>
          </w:p>
        </w:tc>
        <w:tc>
          <w:tcPr>
            <w:tcW w:w="2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15,315</w:t>
            </w:r>
          </w:p>
        </w:tc>
        <w:tc>
          <w:tcPr>
            <w:tcW w:w="2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17,501</w:t>
            </w:r>
          </w:p>
        </w:tc>
        <w:tc>
          <w:tcPr>
            <w:tcW w:w="2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10,529</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53,210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10,682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10,546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14,319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8,804</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44,351</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0.49</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Common Dividend Per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0.3250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0.3250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0.3250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0.3400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High/Low Common Stock Price</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$50.33/$64.71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$45.84/$58.02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$52.74/$67.59</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$52.62/$69.70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78"/>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line="378" w:lineRule="exact"/>
              <w:rPr>
                <w:sz w:val="20"/>
                <w:szCs w:val="20"/>
                <w:color w:val="auto"/>
              </w:rPr>
            </w:pPr>
            <w:r>
              <w:rPr>
                <w:rFonts w:ascii="Times New Roman" w:cs="Times New Roman" w:eastAsia="Times New Roman" w:hAnsi="Times New Roman"/>
                <w:sz w:val="35"/>
                <w:szCs w:val="35"/>
                <w:b w:val="1"/>
                <w:bCs w:val="1"/>
                <w:color w:val="auto"/>
                <w:vertAlign w:val="subscript"/>
              </w:rPr>
              <w:t>1</w:t>
            </w:r>
            <w:r>
              <w:rPr>
                <w:rFonts w:ascii="Times New Roman" w:cs="Times New Roman" w:eastAsia="Times New Roman" w:hAnsi="Times New Roman"/>
                <w:sz w:val="15"/>
                <w:szCs w:val="15"/>
                <w:b w:val="1"/>
                <w:bCs w:val="1"/>
                <w:color w:val="auto"/>
              </w:rPr>
              <w:t>st</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2"/>
              <w:spacing w:after="0" w:line="378" w:lineRule="exact"/>
              <w:rPr>
                <w:sz w:val="20"/>
                <w:szCs w:val="20"/>
                <w:color w:val="auto"/>
              </w:rPr>
            </w:pPr>
            <w:r>
              <w:rPr>
                <w:rFonts w:ascii="Times New Roman" w:cs="Times New Roman" w:eastAsia="Times New Roman" w:hAnsi="Times New Roman"/>
                <w:sz w:val="35"/>
                <w:szCs w:val="35"/>
                <w:b w:val="1"/>
                <w:bCs w:val="1"/>
                <w:color w:val="auto"/>
                <w:vertAlign w:val="subscript"/>
              </w:rPr>
              <w:t>2</w:t>
            </w:r>
            <w:r>
              <w:rPr>
                <w:rFonts w:ascii="Times New Roman" w:cs="Times New Roman" w:eastAsia="Times New Roman" w:hAnsi="Times New Roman"/>
                <w:sz w:val="15"/>
                <w:szCs w:val="15"/>
                <w:b w:val="1"/>
                <w:bCs w:val="1"/>
                <w:color w:val="auto"/>
              </w:rPr>
              <w:t>nd</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2"/>
              <w:spacing w:after="0" w:line="378" w:lineRule="exact"/>
              <w:rPr>
                <w:sz w:val="20"/>
                <w:szCs w:val="20"/>
                <w:color w:val="auto"/>
              </w:rPr>
            </w:pPr>
            <w:r>
              <w:rPr>
                <w:rFonts w:ascii="Times New Roman" w:cs="Times New Roman" w:eastAsia="Times New Roman" w:hAnsi="Times New Roman"/>
                <w:sz w:val="35"/>
                <w:szCs w:val="35"/>
                <w:b w:val="1"/>
                <w:bCs w:val="1"/>
                <w:color w:val="auto"/>
                <w:vertAlign w:val="subscript"/>
              </w:rPr>
              <w:t>3</w:t>
            </w:r>
            <w:r>
              <w:rPr>
                <w:rFonts w:ascii="Times New Roman" w:cs="Times New Roman" w:eastAsia="Times New Roman" w:hAnsi="Times New Roman"/>
                <w:sz w:val="15"/>
                <w:szCs w:val="15"/>
                <w:b w:val="1"/>
                <w:bCs w:val="1"/>
                <w:color w:val="auto"/>
              </w:rPr>
              <w:t>rd</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line="378" w:lineRule="exact"/>
              <w:rPr>
                <w:sz w:val="20"/>
                <w:szCs w:val="20"/>
                <w:color w:val="auto"/>
              </w:rPr>
            </w:pPr>
            <w:r>
              <w:rPr>
                <w:rFonts w:ascii="Times New Roman" w:cs="Times New Roman" w:eastAsia="Times New Roman" w:hAnsi="Times New Roman"/>
                <w:sz w:val="35"/>
                <w:szCs w:val="35"/>
                <w:b w:val="1"/>
                <w:bCs w:val="1"/>
                <w:color w:val="auto"/>
                <w:vertAlign w:val="subscript"/>
              </w:rPr>
              <w:t>4</w:t>
            </w:r>
            <w:r>
              <w:rPr>
                <w:rFonts w:ascii="Times New Roman" w:cs="Times New Roman" w:eastAsia="Times New Roman" w:hAnsi="Times New Roman"/>
                <w:sz w:val="15"/>
                <w:szCs w:val="15"/>
                <w:b w:val="1"/>
                <w:bCs w:val="1"/>
                <w:color w:val="auto"/>
              </w:rPr>
              <w:t>th</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38,156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38,602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166,274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7,490</w:t>
            </w:r>
          </w:p>
        </w:tc>
        <w:tc>
          <w:tcPr>
            <w:tcW w:w="2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10,669</w:t>
            </w:r>
          </w:p>
        </w:tc>
        <w:tc>
          <w:tcPr>
            <w:tcW w:w="24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12,822</w:t>
            </w:r>
          </w:p>
        </w:tc>
        <w:tc>
          <w:tcPr>
            <w:tcW w:w="24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8,242</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39,223</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9,901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9,990</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5,765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31,524</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Common Dividend Per Share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0.3250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1.2625</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High/Low Common Stock Price</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$72.64/$90.56</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$66.51/$84.38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$65.37/$84.35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9"/>
              </w:rPr>
              <w:t>$61.34/$73.47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7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provide reasonable assurance that the information required to be disclosed in the reports filed or submitted to the United States Securities and Exchange Commission (SEC) is recorded, processed, summarized and reported within the time periods specified in the rules and forms of the SEC. Disclosure controls and procedures include, without limitation, controls and procedures designed to ensure that information required to be disclosed by an issuer in the reports that it files or submits under the Securities Exchange Act of 1934, as amended, is accumulated and communicated to the issuer’s management, including its principal executive and principal financial officers, or persons performing similar functions, as appropriate to allow timely decisions regarding required disclosure. Management of the Company, with the participation of its principal executive officer and principal financial officer, has evaluated its disclosure controls and procedures as of the end of the period covered by this report and, based on such evaluation, has concluded that the disclosure controls and procedures are effective to provide such reasonable assurance. Reasonable assurance is not absolute assurance, however, and there can be no assurance that any design of controls or procedures would be effective under all potential future conditions, regardless of how remote.</w:t>
      </w: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Internal control over financial reporting is a process designed to provide reasonable, but not absolute, assurance regarding the reliability of financial reporting and the preparation of financial statements for external purposes in accordance with accounting principles generally accepted in the United States of America.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the effectiveness of controls to future periods are subject to the risk that controls may become inadequate because of changes in conditions, or that the degree of compliance with policies or procedures may deteriorate.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of the Company assessed the effectiveness of the Company’s internal control over financial reporting as of December 31, 2024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framework). Based on that assessment, management has concluded that the Company had effective internal control over financial reporting as of December 31, 2024.</w:t>
      </w:r>
    </w:p>
    <w:p>
      <w:pPr>
        <w:spacing w:after="0" w:line="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Middlesex’s independent registered public accounting firm (PCAOB ID 23) has audited the effectiveness of our internal control over financial reporting as of December 31, 2024 as stated in their report which is included herein.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fourth quarter of 2024 that materially affected, or is reasonably likely to materially affect, the internal controls over financial reporting of the Company.</w:t>
      </w:r>
    </w:p>
    <w:p>
      <w:pPr>
        <w:spacing w:after="0" w:line="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 - During the three months ended December 31, 2024, no director or officer of the Company adopted or terminated a “Rule 10b5-1 trading arrangement” or “non-Rule 10b5-1 trading arrangement,” as each term is defined in Item 408(a) of Regulation S-K."</w:t>
      </w:r>
    </w:p>
    <w:p>
      <w:pPr>
        <w:spacing w:after="0" w:line="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8-K Disclosures – None.</w:t>
      </w:r>
    </w:p>
    <w:p>
      <w:pPr>
        <w:spacing w:after="0" w:line="1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Directors of Middlesex Water Company will be included in Middlesex Water Company’s Proxy Statement for the 2025 Annual Meeting of Stockholders and is incorporated herein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Executive Officers of Middlesex Water Company is included under Item 1. in Part I of this Annual Report.</w:t>
      </w:r>
    </w:p>
    <w:p>
      <w:pPr>
        <w:spacing w:after="0" w:line="1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information for Middlesex Water Company will be included in Middlesex Water Company’s Proxy Statement for the 2025 Annual Meeting of Stockholders and is incorporated herein by reference.</w:t>
      </w:r>
    </w:p>
    <w:p>
      <w:pPr>
        <w:spacing w:after="0" w:line="63" w:lineRule="exact"/>
        <w:rPr>
          <w:sz w:val="20"/>
          <w:szCs w:val="20"/>
          <w:color w:val="auto"/>
        </w:rPr>
      </w:pPr>
    </w:p>
    <w:p>
      <w:pPr>
        <w:ind w:left="1140" w:right="2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information for Middlesex Water Company will be included in Middlesex Water Company’s Proxy Statement for the 2025 Annual Meeting of Stockholders and is incorporated herein by reference.</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information for Middlesex Water Company will be included in Middlesex Water Company’s Proxy Statement for the 2025 Annual Meeting of Stockholders and is incorporated herein by reference.</w:t>
      </w:r>
    </w:p>
    <w:p>
      <w:pPr>
        <w:spacing w:after="0" w:line="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information for Middlesex Water Company will be included in Middlesex Water Company’s Proxy Statement for the 2025 Annual Meeting of Stockholders and is incorporated herein by reference.</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ind w:left="900" w:right="2020" w:hanging="892"/>
        <w:spacing w:after="0" w:line="391" w:lineRule="auto"/>
        <w:tabs>
          <w:tab w:leader="none" w:pos="8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and Supplementary Data are included in Part II- Item 8. of this Annual Report: Consolidated Balance Sheets at December 31, 2024 and 2023.</w:t>
      </w:r>
    </w:p>
    <w:p>
      <w:pPr>
        <w:ind w:left="900" w:right="258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each of the three years in the period ended December 31, 2024. Consolidated Statements of Cash Flows for each of the three years in the period ended December 31, 2024. Consolidated Statements of Capital Stock and Long-term Debt as of December 31, 2024 and 2023.</w:t>
      </w:r>
    </w:p>
    <w:p>
      <w:pPr>
        <w:ind w:left="900" w:right="1180" w:firstLine="4"/>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Common Stockholders’ Equity for each of the three years in the period ended December 31, 2024. Notes to Consolidated Financial Statements.</w:t>
      </w:r>
    </w:p>
    <w:p>
      <w:pPr>
        <w:ind w:left="900" w:hanging="892"/>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p>
    <w:p>
      <w:pPr>
        <w:spacing w:after="0" w:line="130" w:lineRule="exact"/>
        <w:rPr>
          <w:rFonts w:ascii="Times New Roman" w:cs="Times New Roman" w:eastAsia="Times New Roman" w:hAnsi="Times New Roman"/>
          <w:sz w:val="18"/>
          <w:szCs w:val="18"/>
          <w:color w:val="auto"/>
        </w:rPr>
      </w:pPr>
    </w:p>
    <w:p>
      <w:pPr>
        <w:ind w:left="9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of the absence of the conditions under which they are required or because the required information is shown in the financial statements or notes thereto.</w:t>
      </w:r>
    </w:p>
    <w:p>
      <w:pPr>
        <w:spacing w:after="0" w:line="161" w:lineRule="exact"/>
        <w:rPr>
          <w:rFonts w:ascii="Times New Roman" w:cs="Times New Roman" w:eastAsia="Times New Roman" w:hAnsi="Times New Roman"/>
          <w:sz w:val="18"/>
          <w:szCs w:val="18"/>
          <w:color w:val="auto"/>
        </w:rPr>
      </w:pPr>
    </w:p>
    <w:p>
      <w:pPr>
        <w:ind w:left="900" w:hanging="892"/>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30"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listing immediately following the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Nadine Leslie</w:t>
            </w:r>
          </w:p>
        </w:tc>
      </w:tr>
      <w:tr>
        <w:trPr>
          <w:trHeight w:val="191"/>
        </w:trPr>
        <w:tc>
          <w:tcPr>
            <w:tcW w:w="66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Nadine Leslie</w:t>
            </w:r>
          </w:p>
        </w:tc>
      </w:tr>
      <w:tr>
        <w:trPr>
          <w:trHeight w:val="216"/>
        </w:trPr>
        <w:tc>
          <w:tcPr>
            <w:tcW w:w="6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February 28, 2025</w:t>
            </w:r>
          </w:p>
        </w:tc>
      </w:tr>
    </w:tbl>
    <w:p>
      <w:pPr>
        <w:spacing w:after="0" w:line="1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indicated on February 28,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Mohammed G. Zerhouni</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Mohammed G. Zerhouni</w:t>
            </w:r>
          </w:p>
        </w:tc>
      </w:tr>
      <w:tr>
        <w:trPr>
          <w:trHeight w:val="216"/>
        </w:trPr>
        <w:tc>
          <w:tcPr>
            <w:tcW w:w="66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Capko</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Capko</w:t>
            </w:r>
          </w:p>
        </w:tc>
      </w:tr>
      <w:tr>
        <w:trPr>
          <w:trHeight w:val="216"/>
        </w:trPr>
        <w:tc>
          <w:tcPr>
            <w:tcW w:w="66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Nadine Leslie</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Nadine Leslie</w:t>
            </w:r>
          </w:p>
        </w:tc>
      </w:tr>
      <w:tr>
        <w:trPr>
          <w:trHeight w:val="216"/>
        </w:trPr>
        <w:tc>
          <w:tcPr>
            <w:tcW w:w="66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Bershad, M.D.</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Joshua Bershad, M.D.</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F. Cosgrove Jr.</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F. Cosgrove Jr.</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Dennis W. Doll</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Dennis W. Doll</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Kim C. Hanemann</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 C. Hanemann</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M. Klein</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M. Klein</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Amy B. Mansue</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Amy B. Mansue</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Vaughn L. McKoy</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Vaughn L. McKoy</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L. Noble</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 L. Noble</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3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G. Reinhard</w:t>
            </w:r>
          </w:p>
        </w:tc>
      </w:tr>
      <w:tr>
        <w:trPr>
          <w:trHeight w:val="191"/>
        </w:trPr>
        <w:tc>
          <w:tcPr>
            <w:tcW w:w="660" w:type="dxa"/>
            <w:vAlign w:val="bottom"/>
          </w:tcPr>
          <w:p>
            <w:pPr>
              <w:spacing w:after="0"/>
              <w:rPr>
                <w:sz w:val="16"/>
                <w:szCs w:val="16"/>
                <w:color w:val="auto"/>
              </w:rPr>
            </w:pPr>
          </w:p>
        </w:tc>
        <w:tc>
          <w:tcPr>
            <w:tcW w:w="10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Walter G. Reinhard</w:t>
            </w:r>
          </w:p>
        </w:tc>
      </w:tr>
      <w:tr>
        <w:trPr>
          <w:trHeight w:val="234"/>
        </w:trPr>
        <w:tc>
          <w:tcPr>
            <w:tcW w:w="660" w:type="dxa"/>
            <w:vAlign w:val="bottom"/>
          </w:tcPr>
          <w:p>
            <w:pPr>
              <w:spacing w:after="0"/>
              <w:rPr>
                <w:sz w:val="20"/>
                <w:szCs w:val="20"/>
                <w:color w:val="auto"/>
              </w:rPr>
            </w:pPr>
          </w:p>
        </w:tc>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77" w:lineRule="exact"/>
        <w:rPr>
          <w:sz w:val="20"/>
          <w:szCs w:val="20"/>
          <w:color w:val="auto"/>
        </w:rPr>
      </w:pPr>
    </w:p>
    <w:p>
      <w:pPr>
        <w:ind w:left="9420"/>
        <w:spacing w:after="0"/>
        <w:tabs>
          <w:tab w:leader="none" w:pos="10440" w:val="left"/>
        </w:tabs>
        <w:rPr>
          <w:sz w:val="20"/>
          <w:szCs w:val="20"/>
          <w:color w:val="auto"/>
        </w:rPr>
      </w:pPr>
      <w:r>
        <w:rPr>
          <w:rFonts w:ascii="Times New Roman" w:cs="Times New Roman" w:eastAsia="Times New Roman" w:hAnsi="Times New Roman"/>
          <w:sz w:val="18"/>
          <w:szCs w:val="18"/>
          <w:b w:val="1"/>
          <w:bCs w:val="1"/>
          <w:color w:val="auto"/>
        </w:rPr>
        <w:t>Previous</w:t>
      </w:r>
      <w:r>
        <w:rPr>
          <w:sz w:val="20"/>
          <w:szCs w:val="20"/>
          <w:color w:val="auto"/>
        </w:rPr>
        <w:tab/>
      </w:r>
      <w:r>
        <w:rPr>
          <w:rFonts w:ascii="Times New Roman" w:cs="Times New Roman" w:eastAsia="Times New Roman" w:hAnsi="Times New Roman"/>
          <w:sz w:val="18"/>
          <w:szCs w:val="18"/>
          <w:b w:val="1"/>
          <w:bCs w:val="1"/>
          <w:color w:val="auto"/>
        </w:rPr>
        <w:t>Filing’s</w:t>
      </w:r>
    </w:p>
    <w:p>
      <w:pPr>
        <w:spacing w:after="0" w:line="31" w:lineRule="exact"/>
        <w:rPr>
          <w:sz w:val="20"/>
          <w:szCs w:val="20"/>
          <w:color w:val="auto"/>
        </w:rPr>
      </w:pPr>
    </w:p>
    <w:p>
      <w:pPr>
        <w:ind w:left="9300"/>
        <w:spacing w:after="0"/>
        <w:tabs>
          <w:tab w:leader="none" w:pos="10420" w:val="left"/>
        </w:tabs>
        <w:rPr>
          <w:sz w:val="20"/>
          <w:szCs w:val="20"/>
          <w:color w:val="auto"/>
        </w:rPr>
      </w:pPr>
      <w:r>
        <w:rPr>
          <w:rFonts w:ascii="Times New Roman" w:cs="Times New Roman" w:eastAsia="Times New Roman" w:hAnsi="Times New Roman"/>
          <w:sz w:val="18"/>
          <w:szCs w:val="18"/>
          <w:b w:val="1"/>
          <w:bCs w:val="1"/>
          <w:color w:val="auto"/>
        </w:rPr>
        <w:t>Registration</w:t>
        <w:tab/>
        <w:t>Exhibit</w:t>
      </w:r>
    </w:p>
    <w:p>
      <w:pPr>
        <w:spacing w:after="0" w:line="9" w:lineRule="exact"/>
        <w:rPr>
          <w:sz w:val="20"/>
          <w:szCs w:val="20"/>
          <w:color w:val="auto"/>
        </w:rPr>
      </w:pPr>
    </w:p>
    <w:p>
      <w:pPr>
        <w:ind w:left="60"/>
        <w:spacing w:after="0"/>
        <w:tabs>
          <w:tab w:leader="none" w:pos="4260" w:val="left"/>
          <w:tab w:leader="none" w:pos="9620" w:val="left"/>
          <w:tab w:leader="none" w:pos="106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Document Description</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left="980" w:right="1940" w:hanging="597"/>
        <w:spacing w:after="0" w:line="261"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80">
        <w:r>
          <w:rPr>
            <w:rFonts w:ascii="Times New Roman" w:cs="Times New Roman" w:eastAsia="Times New Roman" w:hAnsi="Times New Roman"/>
            <w:sz w:val="18"/>
            <w:szCs w:val="18"/>
            <w:u w:val="single" w:color="auto"/>
            <w:color w:val="0000EE"/>
          </w:rPr>
          <w:t>The Restated Certificate of Incorporation, filed as Exhibit 3.1 to the Company’s Annual Report on Form 10-K for</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the Year ended December 31, 1998.</w:t>
        </w:r>
      </w:hyperlink>
    </w:p>
    <w:p>
      <w:pPr>
        <w:ind w:left="380"/>
        <w:spacing w:after="0"/>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1">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 June</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20, 1997, filed as Exhibit 3.1 to the Company’s Annual Report on Form 10-K for the year ended December 31,</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1997.</w:t>
        </w:r>
      </w:hyperlink>
    </w:p>
    <w:p>
      <w:pPr>
        <w:spacing w:after="0" w:line="9" w:lineRule="exact"/>
        <w:rPr>
          <w:sz w:val="20"/>
          <w:szCs w:val="20"/>
          <w:color w:val="auto"/>
        </w:rPr>
      </w:pPr>
    </w:p>
    <w:p>
      <w:pPr>
        <w:ind w:left="380"/>
        <w:spacing w:after="0"/>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80">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 May</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27, 1998, filed as Exhibit 3.1 to the Company’s Annual Report on Form 10-K for the year ended December 31,</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1998.</w:t>
        </w:r>
      </w:hyperlink>
    </w:p>
    <w:p>
      <w:pPr>
        <w:spacing w:after="0" w:line="9" w:lineRule="exact"/>
        <w:rPr>
          <w:sz w:val="20"/>
          <w:szCs w:val="20"/>
          <w:color w:val="auto"/>
        </w:rPr>
      </w:pPr>
    </w:p>
    <w:p>
      <w:pPr>
        <w:ind w:left="380"/>
        <w:spacing w:after="0"/>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80">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 June</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10, 1998, filed as Exhibit 3.1 to the Company’s Annual Report on Form 10-K for the year ended December 31,</w:t>
        </w:r>
      </w:hyperlink>
    </w:p>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1998.</w:t>
        </w:r>
      </w:hyperlink>
    </w:p>
    <w:p>
      <w:pPr>
        <w:spacing w:after="0" w:line="9" w:lineRule="exact"/>
        <w:rPr>
          <w:sz w:val="20"/>
          <w:szCs w:val="20"/>
          <w:color w:val="auto"/>
        </w:rPr>
      </w:pPr>
    </w:p>
    <w:p>
      <w:pPr>
        <w:ind w:left="380"/>
        <w:spacing w:after="0"/>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82">
        <w:r>
          <w:rPr>
            <w:rFonts w:ascii="Times New Roman" w:cs="Times New Roman" w:eastAsia="Times New Roman" w:hAnsi="Times New Roman"/>
            <w:sz w:val="18"/>
            <w:szCs w:val="18"/>
            <w:u w:val="single" w:color="auto"/>
            <w:color w:val="0000EE"/>
          </w:rPr>
          <w:t>Certificate of Correction of Middlesex Water Company filed with the State of New Jersey on April 30, 1999, filed</w:t>
        </w:r>
      </w:hyperlink>
    </w:p>
    <w:p>
      <w:pPr>
        <w:spacing w:after="0" w:line="9" w:lineRule="exact"/>
        <w:rPr>
          <w:sz w:val="20"/>
          <w:szCs w:val="20"/>
          <w:color w:val="auto"/>
        </w:rPr>
      </w:pPr>
    </w:p>
    <w:p>
      <w:pPr>
        <w:jc w:val="center"/>
        <w:ind w:right="1620"/>
        <w:spacing w:after="0"/>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as Exhibit 3.3 to the Company’s Annual Report on Form 10-K/A-2 for the year ended December 31, 2003.</w:t>
        </w:r>
      </w:hyperlink>
    </w:p>
    <w:p>
      <w:pPr>
        <w:spacing w:after="0" w:line="9" w:lineRule="exact"/>
        <w:rPr>
          <w:sz w:val="20"/>
          <w:szCs w:val="20"/>
          <w:color w:val="auto"/>
        </w:rPr>
      </w:pPr>
    </w:p>
    <w:p>
      <w:pPr>
        <w:jc w:val="both"/>
        <w:ind w:left="980" w:right="1940" w:hanging="597"/>
        <w:spacing w:after="0" w:line="250"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83">
        <w:r>
          <w:rPr>
            <w:rFonts w:ascii="Times New Roman" w:cs="Times New Roman" w:eastAsia="Times New Roman" w:hAnsi="Times New Roman"/>
            <w:sz w:val="18"/>
            <w:szCs w:val="18"/>
            <w:u w:val="single" w:color="auto"/>
            <w:color w:val="0000EE"/>
          </w:rPr>
          <w:t>Certificate of Amendment to the Restated Certificate of Incorporation of Middlesex Water Company, filed with the</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State of New Jersey on February 17, 2000, filed as Exhibit 3.4 to the Company’s Annual Report on Form 10-K/A-2</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for the year ended December 31, 2003.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80" w:right="1960" w:hanging="597"/>
        <w:spacing w:after="0" w:line="250"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3.7</w:t>
      </w:r>
      <w:r>
        <w:rPr>
          <w:sz w:val="20"/>
          <w:szCs w:val="20"/>
          <w:color w:val="auto"/>
        </w:rPr>
        <w:tab/>
      </w:r>
      <w:hyperlink r:id="rId84">
        <w:r>
          <w:rPr>
            <w:rFonts w:ascii="Times New Roman" w:cs="Times New Roman" w:eastAsia="Times New Roman" w:hAnsi="Times New Roman"/>
            <w:sz w:val="18"/>
            <w:szCs w:val="18"/>
            <w:u w:val="single" w:color="auto"/>
            <w:color w:val="0000EE"/>
          </w:rPr>
          <w:t>Certificate of Amendment to the Restated Certificate of Incorporation of Middlesex Water Company, filed with the</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State of New Jersey on June 5, 2002, filed as Exhibit 3.5 to the Company’s Annual Report on Form 10-K/A-2 for</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the year ended December 31, 2003.</w:t>
        </w:r>
      </w:hyperlink>
    </w:p>
    <w:p>
      <w:pPr>
        <w:spacing w:after="0" w:line="1" w:lineRule="exact"/>
        <w:rPr>
          <w:rFonts w:ascii="Times New Roman" w:cs="Times New Roman" w:eastAsia="Times New Roman" w:hAnsi="Times New Roman"/>
          <w:sz w:val="18"/>
          <w:szCs w:val="18"/>
          <w:u w:val="single" w:color="auto"/>
          <w:color w:val="0000EE"/>
        </w:rPr>
      </w:pPr>
    </w:p>
    <w:p>
      <w:pPr>
        <w:ind w:left="380"/>
        <w:spacing w:after="0"/>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3.8</w:t>
      </w:r>
      <w:r>
        <w:rPr>
          <w:sz w:val="20"/>
          <w:szCs w:val="20"/>
          <w:color w:val="auto"/>
        </w:rPr>
        <w:tab/>
      </w:r>
      <w:hyperlink r:id="rId85">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 June</w:t>
        </w:r>
      </w:hyperlink>
    </w:p>
    <w:p>
      <w:pPr>
        <w:spacing w:after="0" w:line="9" w:lineRule="exact"/>
        <w:rPr>
          <w:rFonts w:ascii="Times New Roman" w:cs="Times New Roman" w:eastAsia="Times New Roman" w:hAnsi="Times New Roman"/>
          <w:sz w:val="18"/>
          <w:szCs w:val="18"/>
          <w:u w:val="single" w:color="auto"/>
          <w:color w:val="0000EE"/>
        </w:rPr>
      </w:pPr>
    </w:p>
    <w:p>
      <w:pPr>
        <w:ind w:left="980"/>
        <w:spacing w:after="0"/>
        <w:rPr>
          <w:rFonts w:ascii="Times New Roman" w:cs="Times New Roman" w:eastAsia="Times New Roman" w:hAnsi="Times New Roman"/>
          <w:sz w:val="18"/>
          <w:szCs w:val="18"/>
          <w:u w:val="single" w:color="auto"/>
          <w:color w:val="0000EE"/>
        </w:rPr>
      </w:pPr>
      <w:hyperlink r:id="rId85">
        <w:r>
          <w:rPr>
            <w:rFonts w:ascii="Times New Roman" w:cs="Times New Roman" w:eastAsia="Times New Roman" w:hAnsi="Times New Roman"/>
            <w:sz w:val="18"/>
            <w:szCs w:val="18"/>
            <w:u w:val="single" w:color="auto"/>
            <w:color w:val="0000EE"/>
          </w:rPr>
          <w:t>19, 2007, filed as Exhibit 3.1 to the Company’s Current Report on Form 8-K filed April 30, 2010.</w:t>
        </w:r>
      </w:hyperlink>
    </w:p>
    <w:p>
      <w:pPr>
        <w:spacing w:after="0" w:line="9" w:lineRule="exact"/>
        <w:rPr>
          <w:rFonts w:ascii="Times New Roman" w:cs="Times New Roman" w:eastAsia="Times New Roman" w:hAnsi="Times New Roman"/>
          <w:sz w:val="18"/>
          <w:szCs w:val="18"/>
          <w:u w:val="single" w:color="auto"/>
          <w:color w:val="0000EE"/>
        </w:rPr>
      </w:pPr>
    </w:p>
    <w:p>
      <w:pPr>
        <w:jc w:val="both"/>
        <w:ind w:left="980" w:right="1960" w:hanging="597"/>
        <w:spacing w:after="0" w:line="250"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3.9</w:t>
      </w:r>
      <w:r>
        <w:rPr>
          <w:sz w:val="20"/>
          <w:szCs w:val="20"/>
          <w:color w:val="auto"/>
        </w:rPr>
        <w:tab/>
      </w:r>
      <w:hyperlink r:id="rId86">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September 4, 2019, filed as Exhibit 3.1 to the Company’s Current Report on Form 8-K filed September 6, 2019.</w:t>
        </w:r>
      </w:hyperlink>
    </w:p>
    <w:p>
      <w:pPr>
        <w:spacing w:after="0" w:line="1" w:lineRule="exact"/>
        <w:rPr>
          <w:sz w:val="20"/>
          <w:szCs w:val="20"/>
          <w:color w:val="auto"/>
        </w:rPr>
      </w:pPr>
    </w:p>
    <w:p>
      <w:pPr>
        <w:ind w:left="980" w:right="1960" w:hanging="642"/>
        <w:spacing w:after="0" w:line="260" w:lineRule="auto"/>
        <w:tabs>
          <w:tab w:leader="none" w:pos="9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3.10</w:t>
      </w:r>
      <w:r>
        <w:rPr>
          <w:sz w:val="20"/>
          <w:szCs w:val="20"/>
          <w:color w:val="auto"/>
        </w:rPr>
        <w:tab/>
      </w:r>
      <w:hyperlink r:id="rId87">
        <w:r>
          <w:rPr>
            <w:rFonts w:ascii="Times New Roman" w:cs="Times New Roman" w:eastAsia="Times New Roman" w:hAnsi="Times New Roman"/>
            <w:sz w:val="18"/>
            <w:szCs w:val="18"/>
            <w:u w:val="single" w:color="auto"/>
            <w:color w:val="0000EE"/>
          </w:rPr>
          <w:t>Certificate of Amendment to the Restated Certificate of Incorporation, filed with the State of New Jersey on</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September 19, 2019, filed as Exhibit 3.1 to the Company’s Current Report on Form 8-K filed September 23, 2019.</w:t>
        </w:r>
      </w:hyperlink>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8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Filing’s</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8"/>
        </w:trPr>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3.11</w:t>
            </w:r>
          </w:p>
        </w:tc>
        <w:tc>
          <w:tcPr>
            <w:tcW w:w="83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By-laws of the Company, as amended, filed as Exhibit 4.10 to the Company’s Quarterly Report on Form 10-Q for</w:t>
              </w:r>
            </w:hyperlink>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the quarter ended June 30, 2010.</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Amendments to the by-laws of the Company, included as Exhibit 3(ii) to the Company’s Current Report on Form</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8-K dated November 22, 2017.</w:t>
              </w:r>
            </w:hyperlink>
          </w:p>
        </w:tc>
        <w:tc>
          <w:tcPr>
            <w:tcW w:w="608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2-55058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2(a)</w:t>
            </w: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83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Water Service Agreement, dated February 28, 2006,  between the Company and Elizabethtown Water Company,</w:t>
              </w:r>
            </w:hyperlink>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980" w:type="dxa"/>
            <w:vAlign w:val="bottom"/>
          </w:tcPr>
          <w:p>
            <w:pPr>
              <w:spacing w:after="0"/>
              <w:rPr>
                <w:sz w:val="17"/>
                <w:szCs w:val="17"/>
                <w:color w:val="auto"/>
              </w:rPr>
            </w:pPr>
          </w:p>
        </w:tc>
        <w:tc>
          <w:tcPr>
            <w:tcW w:w="7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filed as Exhibit 10 of the Company’s Quarterly Report on Form 10-Q for the quarter ended March 31, 2006.</w:t>
              </w:r>
            </w:hyperlink>
          </w:p>
        </w:tc>
        <w:tc>
          <w:tcPr>
            <w:tcW w:w="5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Mortgage, dated April 1, 1927, between the Company and Union County Trust Company, as Trustee, as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2-15795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4(a)-4(f)</w:t>
            </w:r>
          </w:p>
        </w:tc>
      </w:tr>
      <w:tr>
        <w:trPr>
          <w:trHeight w:val="216"/>
        </w:trPr>
        <w:tc>
          <w:tcPr>
            <w:tcW w:w="98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supplemented by Supplemental Indentures, dated as of October 1, 1939 and April 1, 1949.</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Supplemental Indenture, dated as of July 1, 1964 and June 15, 1991, between the Company and Union County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33-54922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10.4-10.9</w:t>
            </w:r>
          </w:p>
        </w:tc>
      </w:tr>
      <w:tr>
        <w:trPr>
          <w:trHeight w:val="216"/>
        </w:trPr>
        <w:tc>
          <w:tcPr>
            <w:tcW w:w="98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Trust Company, as Trustee.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83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Agreement for a Supply of Water, dated as of July 27, 2011, between the Company and the Old Bridge Municipal</w:t>
              </w:r>
            </w:hyperlink>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Utilities Authority, filed as Exhibit No. 10.4 of the Company’s Quarterly Report on Form 10-Q for the quarter</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ended September 30, 2011.</w:t>
              </w:r>
            </w:hyperlink>
          </w:p>
        </w:tc>
        <w:tc>
          <w:tcPr>
            <w:tcW w:w="636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Water Supply Agreement, dated as of July 14, 1987, between the Company and the Marlboro Township Municipal</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33-31476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r>
      <w:tr>
        <w:trPr>
          <w:trHeight w:val="216"/>
        </w:trPr>
        <w:tc>
          <w:tcPr>
            <w:tcW w:w="980" w:type="dxa"/>
            <w:vAlign w:val="bottom"/>
          </w:tcPr>
          <w:p>
            <w:pPr>
              <w:spacing w:after="0"/>
              <w:rPr>
                <w:sz w:val="18"/>
                <w:szCs w:val="18"/>
                <w:color w:val="auto"/>
              </w:rPr>
            </w:pP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Utilities Authority, as amended.</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832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Water Purchase Contract, dated as of October 24, 2023, between the Company and the New Jersey Water Supply</w:t>
              </w:r>
            </w:hyperlink>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Authority, filed as Exhibit No. 10.6 of the Company’s Annual Report on Form 10-K for the year ended December</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31, 2023.</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Treatment and Pumping Agreement, dated October 1, 2014, between the Company and the Township of East</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Brunswick, filed as Exhibit No. 10.7 of the Company’s Annual Report on Form 10-K for the year ended December</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4">
              <w:r>
                <w:rPr>
                  <w:rFonts w:ascii="Times New Roman" w:cs="Times New Roman" w:eastAsia="Times New Roman" w:hAnsi="Times New Roman"/>
                  <w:sz w:val="18"/>
                  <w:szCs w:val="18"/>
                  <w:color w:val="0000EE"/>
                  <w:w w:val="97"/>
                </w:rPr>
                <w:t>31, 2016.</w:t>
              </w:r>
            </w:hyperlink>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Water Supply Agreement, dated June 4, 1990, between the Company and Edison Township.</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33-54922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8320" w:type="dxa"/>
            <w:vAlign w:val="bottom"/>
            <w:gridSpan w:val="8"/>
          </w:tcPr>
          <w:p>
            <w:pPr>
              <w:spacing w:after="0" w:line="194"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Agreement for a Supply of Water, dated January 1, 2006, between the Company and the Borough of Highland</w:t>
              </w:r>
            </w:hyperlink>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gridSpan w:val="4"/>
            <w:shd w:val="clear" w:color="auto" w:fill="0000EE"/>
          </w:tcPr>
          <w:p>
            <w:pPr>
              <w:spacing w:after="0" w:line="20" w:lineRule="exact"/>
              <w:rPr>
                <w:sz w:val="1"/>
                <w:szCs w:val="1"/>
                <w:color w:val="auto"/>
              </w:rPr>
            </w:pPr>
          </w:p>
        </w:tc>
        <w:tc>
          <w:tcPr>
            <w:tcW w:w="59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Park, filed as Exhibit No. 10.1 of the Company’s Quarterly Report on Form 10-Q for the quarter ended March 31,</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95">
              <w:r>
                <w:rPr>
                  <w:rFonts w:ascii="Times New Roman" w:cs="Times New Roman" w:eastAsia="Times New Roman" w:hAnsi="Times New Roman"/>
                  <w:sz w:val="18"/>
                  <w:szCs w:val="18"/>
                  <w:color w:val="0000EE"/>
                  <w:w w:val="93"/>
                </w:rPr>
                <w:t>2006.</w:t>
              </w:r>
            </w:hyperlink>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10.9(a)</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Amendment to Agreement for a Supply of Water, dated as of December 1, 2015, between the Company and the</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Borough of Highland Park, filed as Exhibit No. 10.9(a) of the Company’s Annual Report on Form 10-K for the</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year ended December 31, 2015.</w:t>
              </w:r>
            </w:hyperlink>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81"/>
        </w:trPr>
        <w:tc>
          <w:tcPr>
            <w:tcW w:w="980" w:type="dxa"/>
            <w:vAlign w:val="bottom"/>
            <w:tcBorders>
              <w:bottom w:val="single" w:sz="8" w:color="auto"/>
            </w:tcBorders>
          </w:tcPr>
          <w:p>
            <w:pPr>
              <w:spacing w:after="0"/>
              <w:rPr>
                <w:sz w:val="24"/>
                <w:szCs w:val="24"/>
                <w:color w:val="auto"/>
              </w:rPr>
            </w:pPr>
          </w:p>
        </w:tc>
        <w:tc>
          <w:tcPr>
            <w:tcW w:w="2340" w:type="dxa"/>
            <w:vAlign w:val="bottom"/>
            <w:tcBorders>
              <w:top w:val="single" w:sz="8" w:color="0000EE"/>
              <w:bottom w:val="single" w:sz="8" w:color="auto"/>
            </w:tcBorders>
            <w:gridSpan w:val="5"/>
          </w:tcPr>
          <w:p>
            <w:pPr>
              <w:spacing w:after="0"/>
              <w:rPr>
                <w:sz w:val="24"/>
                <w:szCs w:val="24"/>
                <w:color w:val="auto"/>
              </w:rPr>
            </w:pPr>
          </w:p>
        </w:tc>
        <w:tc>
          <w:tcPr>
            <w:tcW w:w="544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20" w:type="dxa"/>
            <w:vAlign w:val="bottom"/>
            <w:gridSpan w:val="1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0"/>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Previous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Filing’s</w:t>
            </w:r>
          </w:p>
        </w:tc>
      </w:tr>
      <w:tr>
        <w:trPr>
          <w:trHeight w:val="216"/>
        </w:trPr>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r>
      <w:tr>
        <w:trPr>
          <w:trHeight w:val="238"/>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13"/>
          </w:tcPr>
          <w:p>
            <w:pPr>
              <w:ind w:left="136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169"/>
        </w:trPr>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(t)10.10</w:t>
            </w:r>
          </w:p>
        </w:tc>
        <w:tc>
          <w:tcPr>
            <w:tcW w:w="744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Middlesex Water Company Supplemental Executive Retirement Plan, filed as Exhibit 10.13 of the</w:t>
              </w:r>
            </w:hyperlink>
          </w:p>
        </w:tc>
        <w:tc>
          <w:tcPr>
            <w:tcW w:w="6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Company’s Quarterly Report on Form 10-Q for the quarter ended September 30, 1999.</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(t)10.11(a)</w:t>
            </w:r>
          </w:p>
        </w:tc>
        <w:tc>
          <w:tcPr>
            <w:tcW w:w="7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Middlesex Water Company 2018 Restricted Stock Plan, filed as Appendix A to the Company’s</w:t>
              </w:r>
            </w:hyperlink>
          </w:p>
        </w:tc>
        <w:tc>
          <w:tcPr>
            <w:tcW w:w="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Definitive Proxy Statement, dated and filed April 12, 2018.</w:t>
              </w:r>
            </w:hyperlink>
          </w:p>
        </w:tc>
        <w:tc>
          <w:tcPr>
            <w:tcW w:w="3220" w:type="dxa"/>
            <w:vAlign w:val="bottom"/>
            <w:gridSpan w:val="12"/>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(t)10.11(b)</w:t>
            </w:r>
          </w:p>
        </w:tc>
        <w:tc>
          <w:tcPr>
            <w:tcW w:w="7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Registration Statement, Form S-8, under the Securities Act of 1933, filed December 18, 2008, relating</w:t>
              </w:r>
            </w:hyperlink>
          </w:p>
        </w:tc>
        <w:tc>
          <w:tcPr>
            <w:tcW w:w="80" w:type="dxa"/>
            <w:vAlign w:val="bottom"/>
            <w:gridSpan w:val="4"/>
          </w:tcPr>
          <w:p>
            <w:pPr>
              <w:spacing w:after="0"/>
              <w:rPr>
                <w:sz w:val="17"/>
                <w:szCs w:val="17"/>
                <w:color w:val="auto"/>
              </w:rPr>
            </w:pPr>
          </w:p>
        </w:tc>
        <w:tc>
          <w:tcPr>
            <w:tcW w:w="128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8"/>
              </w:rPr>
              <w:t>333-156269</w:t>
            </w: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0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to the Middlesex Water Company Outside Director Stock Compensation Stock Plan.</w:t>
              </w:r>
            </w:hyperlink>
          </w:p>
        </w:tc>
        <w:tc>
          <w:tcPr>
            <w:tcW w:w="142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(t)10.12</w:t>
            </w:r>
          </w:p>
        </w:tc>
        <w:tc>
          <w:tcPr>
            <w:tcW w:w="7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Employment Agreement, dated as of March 1, 2024, between the Company and Nadine Duchemin-</w:t>
              </w:r>
            </w:hyperlink>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Leslie, filed as Exhibit 99.2 of the Company’s Current Report on Form 8-K dated January 23, 2024.</w:t>
              </w:r>
            </w:hyperlink>
          </w:p>
        </w:tc>
        <w:tc>
          <w:tcPr>
            <w:tcW w:w="30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(t)10.12(a)</w:t>
            </w:r>
          </w:p>
        </w:tc>
        <w:tc>
          <w:tcPr>
            <w:tcW w:w="7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Change in Control Termination Agreement, dated as of November 1, 2024, between the Company and</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Nadine Leslie, filed as Exhibit 10.6 of the Company’s Current Report on Form 8-K dated November 5,</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01">
              <w:r>
                <w:rPr>
                  <w:rFonts w:ascii="Times New Roman" w:cs="Times New Roman" w:eastAsia="Times New Roman" w:hAnsi="Times New Roman"/>
                  <w:sz w:val="18"/>
                  <w:szCs w:val="18"/>
                  <w:color w:val="0000EE"/>
                  <w:w w:val="93"/>
                </w:rPr>
                <w:t>2024.</w:t>
              </w:r>
            </w:hyperlink>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(t)10.12(b)</w:t>
            </w:r>
          </w:p>
        </w:tc>
        <w:tc>
          <w:tcPr>
            <w:tcW w:w="7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Employment Agreement, dated as of June 24, 2024, between the Company and Mohammed G.</w:t>
              </w:r>
            </w:hyperlink>
          </w:p>
        </w:tc>
        <w:tc>
          <w:tcPr>
            <w:tcW w:w="4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Zerhouni, filed as Exhibit 99.2 of the Company’s Current Report on Form 8-K dated June 10, 2024.</w:t>
              </w:r>
            </w:hyperlink>
          </w:p>
        </w:tc>
        <w:tc>
          <w:tcPr>
            <w:tcW w:w="320" w:type="dxa"/>
            <w:vAlign w:val="bottom"/>
            <w:gridSpan w:val="8"/>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(t)10.12(c)</w:t>
            </w:r>
          </w:p>
        </w:tc>
        <w:tc>
          <w:tcPr>
            <w:tcW w:w="7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Change in Control Termination Agreement, , dated as of June 24, 2024, between the Company and</w:t>
              </w:r>
            </w:hyperlink>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Mohammed G. Zerhouni, filed as Exhibit 99.3 of the Company’s Current Report on Form 8-K dated</w:t>
              </w:r>
            </w:hyperlink>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June 10, 2024.</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(t)10.12(d)</w:t>
            </w:r>
          </w:p>
        </w:tc>
        <w:tc>
          <w:tcPr>
            <w:tcW w:w="73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Change in Control Termination Agreement, dated as of November 1, 2024, between the Company and</w:t>
              </w:r>
            </w:hyperlink>
          </w:p>
        </w:tc>
        <w:tc>
          <w:tcPr>
            <w:tcW w:w="140" w:type="dxa"/>
            <w:vAlign w:val="bottom"/>
            <w:gridSpan w:val="6"/>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Lorrie B. Ginegaw, filed as Exhibit 10.2 of the Company’s Current Report on Form 8-K dated</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November 5, 2024.</w:t>
              </w:r>
            </w:hyperlink>
          </w:p>
        </w:tc>
        <w:tc>
          <w:tcPr>
            <w:tcW w:w="5320" w:type="dxa"/>
            <w:vAlign w:val="bottom"/>
            <w:tcBorders>
              <w:top w:val="single" w:sz="8" w:color="0000EE"/>
            </w:tcBorders>
            <w:gridSpan w:val="5"/>
          </w:tcPr>
          <w:p>
            <w:pPr>
              <w:spacing w:after="0"/>
              <w:rPr>
                <w:sz w:val="17"/>
                <w:szCs w:val="17"/>
                <w:color w:val="auto"/>
              </w:rPr>
            </w:pPr>
          </w:p>
        </w:tc>
        <w:tc>
          <w:tcPr>
            <w:tcW w:w="740" w:type="dxa"/>
            <w:vAlign w:val="bottom"/>
            <w:gridSpan w:val="9"/>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(t)10.12(e)</w:t>
            </w: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Employment Agreement, dated as of December 16, 2024, between the Company and Gregory</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9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Sorenson, filed as Exhibit 99.2 of the Company’s Current Report on Form 8-K dated November 26,</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05">
              <w:r>
                <w:rPr>
                  <w:rFonts w:ascii="Times New Roman" w:cs="Times New Roman" w:eastAsia="Times New Roman" w:hAnsi="Times New Roman"/>
                  <w:sz w:val="18"/>
                  <w:szCs w:val="18"/>
                  <w:color w:val="0000EE"/>
                  <w:w w:val="93"/>
                </w:rPr>
                <w:t>2024.</w:t>
              </w:r>
            </w:hyperlink>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(t)10.12(f)</w:t>
            </w:r>
          </w:p>
        </w:tc>
        <w:tc>
          <w:tcPr>
            <w:tcW w:w="7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Change in Control Termination Agreement, dated as of December 16, 2024, between the Company</w:t>
              </w:r>
            </w:hyperlink>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Gregory Sorenson, filed as Exhibit 99.3 of the Company’s Current Report on Form 8-K dated</w:t>
              </w:r>
            </w:hyperlink>
          </w:p>
        </w:tc>
        <w:tc>
          <w:tcPr>
            <w:tcW w:w="6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November 26, 2024.</w:t>
              </w:r>
            </w:hyperlink>
          </w:p>
        </w:tc>
        <w:tc>
          <w:tcPr>
            <w:tcW w:w="602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(t)10.12(g)</w:t>
            </w:r>
          </w:p>
        </w:tc>
        <w:tc>
          <w:tcPr>
            <w:tcW w:w="7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Change in Control Termination Agreement, dated as of Novmeber 1, 2024, between the Company and</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Jay L. Kooper, filed as Exhibit 10.1 of the Company’s Current Report on Form 8-K dated November 5,</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07">
              <w:r>
                <w:rPr>
                  <w:rFonts w:ascii="Times New Roman" w:cs="Times New Roman" w:eastAsia="Times New Roman" w:hAnsi="Times New Roman"/>
                  <w:sz w:val="18"/>
                  <w:szCs w:val="18"/>
                  <w:color w:val="0000EE"/>
                  <w:w w:val="93"/>
                </w:rPr>
                <w:t>2024.</w:t>
              </w:r>
            </w:hyperlink>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(t)10.12(h)</w:t>
            </w:r>
          </w:p>
        </w:tc>
        <w:tc>
          <w:tcPr>
            <w:tcW w:w="7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Change in Control Termination Agreement, dated as of November 1, 2024, between the Company and</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Robert K. Fullagar, filed as Exhibit 10.3 of the Company’s Current Report on Form 8-K dated</w:t>
              </w:r>
            </w:hyperlink>
          </w:p>
        </w:tc>
        <w:tc>
          <w:tcPr>
            <w:tcW w:w="8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gridSpan w:val="18"/>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November 5, 2024.</w:t>
              </w:r>
            </w:hyperlink>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65"/>
        </w:trPr>
        <w:tc>
          <w:tcPr>
            <w:tcW w:w="1360" w:type="dxa"/>
            <w:vAlign w:val="bottom"/>
            <w:tcBorders>
              <w:bottom w:val="single" w:sz="8" w:color="auto"/>
            </w:tcBorders>
          </w:tcPr>
          <w:p>
            <w:pPr>
              <w:spacing w:after="0"/>
              <w:rPr>
                <w:sz w:val="24"/>
                <w:szCs w:val="24"/>
                <w:color w:val="auto"/>
              </w:rPr>
            </w:pPr>
          </w:p>
        </w:tc>
        <w:tc>
          <w:tcPr>
            <w:tcW w:w="1380" w:type="dxa"/>
            <w:vAlign w:val="bottom"/>
            <w:tcBorders>
              <w:top w:val="single" w:sz="8" w:color="0000EE"/>
              <w:bottom w:val="single" w:sz="8" w:color="auto"/>
            </w:tcBorders>
            <w:gridSpan w:val="3"/>
          </w:tcPr>
          <w:p>
            <w:pPr>
              <w:spacing w:after="0"/>
              <w:rPr>
                <w:sz w:val="24"/>
                <w:szCs w:val="24"/>
                <w:color w:val="auto"/>
              </w:rPr>
            </w:pPr>
          </w:p>
        </w:tc>
        <w:tc>
          <w:tcPr>
            <w:tcW w:w="4700" w:type="dxa"/>
            <w:vAlign w:val="bottom"/>
            <w:tcBorders>
              <w:bottom w:val="single" w:sz="8" w:color="auto"/>
            </w:tcBorders>
            <w:gridSpan w:val="4"/>
          </w:tcPr>
          <w:p>
            <w:pPr>
              <w:jc w:val="right"/>
              <w:ind w:right="174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40" w:type="dxa"/>
            <w:vAlign w:val="bottom"/>
            <w:gridSpan w:val="4"/>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Filing’s</w:t>
            </w:r>
          </w:p>
        </w:tc>
      </w:tr>
      <w:tr>
        <w:trPr>
          <w:trHeight w:val="216"/>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8"/>
        </w:trPr>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0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(t)10.12(i)</w:t>
            </w:r>
          </w:p>
        </w:tc>
        <w:tc>
          <w:tcPr>
            <w:tcW w:w="83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Change in Control Termination Agreement, dated as of November 1, 2024, between the Company and Georgia M.</w:t>
              </w:r>
            </w:hyperlink>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Simpson, filed as Exhibit 10.4 of the Company’s Current Report on Form 8-K dated November 5, 2024.</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(t)10.12(j)</w:t>
            </w: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Change in Control Termination Agreement, dated as of November 1, 2024 between the Company and Robert J.</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Capko, filed as Exhibit 10.5 of the Company’s Current Report on Form 8-K dated November 5, 2024.</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8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Transmission Agreement, dated October 16, 1992, between the Company and the Township of East Brunswick.</w:t>
            </w: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33-54922</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r>
      <w:tr>
        <w:trPr>
          <w:trHeight w:val="194"/>
        </w:trPr>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10.13(a)</w:t>
            </w:r>
          </w:p>
        </w:tc>
        <w:tc>
          <w:tcPr>
            <w:tcW w:w="8320" w:type="dxa"/>
            <w:vAlign w:val="bottom"/>
            <w:gridSpan w:val="8"/>
          </w:tcPr>
          <w:p>
            <w:pPr>
              <w:spacing w:after="0" w:line="194"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dated November 28, 2016, to Transmission Agreement between the Company and the Township of</w:t>
              </w:r>
            </w:hyperlink>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East Brunswick, filed as Exhibit No. 10.13(a) of the Company’s Annual Report on Form 10-K for the year ended</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December 31, 2016.</w:t>
              </w:r>
            </w:hyperlink>
          </w:p>
        </w:tc>
        <w:tc>
          <w:tcPr>
            <w:tcW w:w="686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Contract, dated August 20, 2018, between the City of Perth Amboy and Utility Service Affiliates (Perth Amboy),</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 filed as Exhibit 10.16 of the Company’s Quarterly Report on Form 10-Q for the quarter ended September 30,</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12">
              <w:r>
                <w:rPr>
                  <w:rFonts w:ascii="Times New Roman" w:cs="Times New Roman" w:eastAsia="Times New Roman" w:hAnsi="Times New Roman"/>
                  <w:sz w:val="18"/>
                  <w:szCs w:val="18"/>
                  <w:color w:val="0000EE"/>
                  <w:w w:val="93"/>
                </w:rPr>
                <w:t>2018.</w:t>
              </w:r>
            </w:hyperlink>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Thirtieth Supplemental Indenture, dated October 15, 2004, between the Company and Wachovia Bank, National</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Association; Loan Agreement, dated November 1, 2004, between the State of New Jersey and the Company</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(Series EE), filed as Exhibit No. 10.26 of the Company’s Annual Report on Form 10-K for the year ended</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December 31, 2004.</w:t>
              </w:r>
            </w:hyperlink>
          </w:p>
        </w:tc>
        <w:tc>
          <w:tcPr>
            <w:tcW w:w="68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Thirty-First Supplemental Indenture, dated October 15, 2004, between the Company and Wachovia Bank, National</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Association; Loan Agreement, dated November 1, 2004, between the New Jersey Environmental Infrastructure</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Trust and the Company (Series FF), filed as Exhibit No. 10.27 of the Company’s Annual Report on Form 10-K for</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the year ended December 31, 2004.</w:t>
              </w:r>
            </w:hyperlink>
          </w:p>
        </w:tc>
        <w:tc>
          <w:tcPr>
            <w:tcW w:w="57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10.17(a)</w:t>
            </w: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Promissory Note and Supplement, dated October 15, 2014, between Tidewater Utilities, Inc. and CoBank, ACB;</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to Combination Water Utility Real Estate Mortgage and Security Agreement, effective October 15,</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gridSpan w:val="8"/>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2014, between Tidewater Utilities, Inc. and CoBank, ACB, filed as Exhibit 10.23 of the Company’s Annual Report</w:t>
              </w:r>
            </w:hyperlink>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on Form 10-K for the year ended December 31, 2014.</w:t>
              </w:r>
            </w:hyperlink>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5"/>
        </w:trPr>
        <w:tc>
          <w:tcPr>
            <w:tcW w:w="980" w:type="dxa"/>
            <w:vAlign w:val="bottom"/>
            <w:tcBorders>
              <w:bottom w:val="single" w:sz="8" w:color="auto"/>
            </w:tcBorders>
          </w:tcPr>
          <w:p>
            <w:pPr>
              <w:spacing w:after="0"/>
              <w:rPr>
                <w:sz w:val="24"/>
                <w:szCs w:val="24"/>
                <w:color w:val="auto"/>
              </w:rPr>
            </w:pPr>
          </w:p>
        </w:tc>
        <w:tc>
          <w:tcPr>
            <w:tcW w:w="3880" w:type="dxa"/>
            <w:vAlign w:val="bottom"/>
            <w:tcBorders>
              <w:top w:val="single" w:sz="8" w:color="0000EE"/>
              <w:bottom w:val="single" w:sz="8" w:color="auto"/>
            </w:tcBorders>
            <w:gridSpan w:val="4"/>
          </w:tcPr>
          <w:p>
            <w:pPr>
              <w:spacing w:after="0"/>
              <w:rPr>
                <w:sz w:val="24"/>
                <w:szCs w:val="24"/>
                <w:color w:val="auto"/>
              </w:rPr>
            </w:pPr>
          </w:p>
        </w:tc>
        <w:tc>
          <w:tcPr>
            <w:tcW w:w="3440" w:type="dxa"/>
            <w:vAlign w:val="bottom"/>
            <w:tcBorders>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9" w:name="page80"/>
    <w:bookmarkEnd w:id="7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960"/>
          </w:cols>
          <w:pgMar w:left="380" w:top="54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80"/>
        <w:spacing w:after="0"/>
        <w:rPr>
          <w:sz w:val="20"/>
          <w:szCs w:val="20"/>
          <w:color w:val="auto"/>
        </w:rPr>
      </w:pPr>
      <w:r>
        <w:rPr>
          <w:rFonts w:ascii="Times New Roman" w:cs="Times New Roman" w:eastAsia="Times New Roman" w:hAnsi="Times New Roman"/>
          <w:sz w:val="17"/>
          <w:szCs w:val="17"/>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27305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40"/>
        <w:spacing w:after="0"/>
        <w:tabs>
          <w:tab w:leader="none" w:pos="1120" w:val="left"/>
        </w:tabs>
        <w:rPr>
          <w:sz w:val="20"/>
          <w:szCs w:val="20"/>
          <w:color w:val="auto"/>
        </w:rPr>
      </w:pPr>
      <w:r>
        <w:rPr>
          <w:rFonts w:ascii="Times New Roman" w:cs="Times New Roman" w:eastAsia="Times New Roman" w:hAnsi="Times New Roman"/>
          <w:sz w:val="17"/>
          <w:szCs w:val="17"/>
          <w:b w:val="1"/>
          <w:bCs w:val="1"/>
          <w:color w:val="auto"/>
        </w:rPr>
        <w:t>Previous</w:t>
      </w:r>
      <w:r>
        <w:rPr>
          <w:sz w:val="20"/>
          <w:szCs w:val="20"/>
          <w:color w:val="auto"/>
        </w:rPr>
        <w:tab/>
      </w:r>
      <w:r>
        <w:rPr>
          <w:rFonts w:ascii="Times New Roman" w:cs="Times New Roman" w:eastAsia="Times New Roman" w:hAnsi="Times New Roman"/>
          <w:sz w:val="17"/>
          <w:szCs w:val="17"/>
          <w:b w:val="1"/>
          <w:bCs w:val="1"/>
          <w:color w:val="auto"/>
        </w:rPr>
        <w:t>Filing’s</w:t>
      </w:r>
    </w:p>
    <w:p>
      <w:pPr>
        <w:spacing w:after="0" w:line="4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Registration</w:t>
        <w:tab/>
        <w:t>Exhibit</w:t>
      </w:r>
    </w:p>
    <w:p>
      <w:pPr>
        <w:spacing w:after="0" w:line="9" w:lineRule="exact"/>
        <w:rPr>
          <w:sz w:val="20"/>
          <w:szCs w:val="20"/>
          <w:color w:val="auto"/>
        </w:rPr>
      </w:pPr>
    </w:p>
    <w:p>
      <w:pPr>
        <w:ind w:left="3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No.</w:t>
      </w:r>
    </w:p>
    <w:p>
      <w:pPr>
        <w:spacing w:after="0" w:line="9" w:lineRule="exact"/>
        <w:rPr>
          <w:sz w:val="20"/>
          <w:szCs w:val="20"/>
          <w:color w:val="auto"/>
        </w:rPr>
      </w:pPr>
    </w:p>
    <w:p>
      <w:pPr>
        <w:sectPr>
          <w:pgSz w:w="11900" w:h="16838" w:orient="portrait"/>
          <w:cols w:equalWidth="0" w:num="3">
            <w:col w:w="3500" w:space="720"/>
            <w:col w:w="4300" w:space="720"/>
            <w:col w:w="1720"/>
          </w:cols>
          <w:pgMar w:left="380" w:top="549" w:right="559" w:bottom="1440" w:gutter="0" w:footer="0" w:header="0"/>
          <w:type w:val="continuous"/>
        </w:sectPr>
      </w:pPr>
    </w:p>
    <w:p>
      <w:pPr>
        <w:jc w:val="both"/>
        <w:ind w:left="920" w:right="1720" w:hanging="792"/>
        <w:spacing w:after="0" w:line="254"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10.17(b)</w:t>
      </w:r>
      <w:r>
        <w:rPr>
          <w:sz w:val="20"/>
          <w:szCs w:val="20"/>
          <w:color w:val="auto"/>
        </w:rPr>
        <w:tab/>
      </w:r>
      <w:hyperlink r:id="rId117">
        <w:r>
          <w:rPr>
            <w:rFonts w:ascii="Times New Roman" w:cs="Times New Roman" w:eastAsia="Times New Roman" w:hAnsi="Times New Roman"/>
            <w:sz w:val="18"/>
            <w:szCs w:val="18"/>
            <w:u w:val="single" w:color="auto"/>
            <w:color w:val="0000EE"/>
          </w:rPr>
          <w:t>Promissory Note and Supplement, dated March 29, 2021, between Tidewater Utilities, Inc. and CoBank, ACB;</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Amendment to Combination Water Utility Real Estate Mortgage and Security Agreement, effective March 29,</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2021, between Tidewater Utilities, Inc. and CoBank, ACB, filed as Exhibit 10.19(b) of the Company’s Quarterly</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Report on Form 10-Q for the quarter ended March 31, 2021.</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20" w:right="1720" w:hanging="787"/>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10.17(c)</w:t>
      </w:r>
      <w:r>
        <w:rPr>
          <w:sz w:val="20"/>
          <w:szCs w:val="20"/>
          <w:color w:val="auto"/>
        </w:rPr>
        <w:tab/>
      </w:r>
      <w:hyperlink r:id="rId118">
        <w:r>
          <w:rPr>
            <w:rFonts w:ascii="Times New Roman" w:cs="Times New Roman" w:eastAsia="Times New Roman" w:hAnsi="Times New Roman"/>
            <w:sz w:val="18"/>
            <w:szCs w:val="18"/>
            <w:u w:val="single" w:color="auto"/>
            <w:color w:val="0000EE"/>
          </w:rPr>
          <w:t>Promissory Note and Supplement, dated May 11, 2023, between Tidewater Utilities, Inc. and CoBank, ACB;</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Amendments to Combination Water Utility Real Estate Mortgage and Security Agreement, effective May 11, 2023,</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between Tidewater Utilities, Inc. and CoBank, ACB, filed as Exhibit 10.17(c) of the Company’s Quarterly Report</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on Form 10-Q for the quarter ended September 30,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920" w:right="1740" w:hanging="792"/>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10.17(d)</w:t>
      </w:r>
      <w:r>
        <w:rPr>
          <w:sz w:val="20"/>
          <w:szCs w:val="20"/>
          <w:color w:val="auto"/>
        </w:rPr>
        <w:tab/>
      </w:r>
      <w:hyperlink r:id="rId119">
        <w:r>
          <w:rPr>
            <w:rFonts w:ascii="Times New Roman" w:cs="Times New Roman" w:eastAsia="Times New Roman" w:hAnsi="Times New Roman"/>
            <w:sz w:val="18"/>
            <w:szCs w:val="18"/>
            <w:u w:val="single" w:color="auto"/>
            <w:color w:val="0000EE"/>
          </w:rPr>
          <w:t>Sixth Amendment to Promissory Note and Supplement, dated as of May 11, 2023, between Tidewater Utilities,</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Inc. and CoBank, ACB, filed as Exhibit 10.17(d) of the Company’s Quarterly Report on Form 10-Q for the quarter</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ended September 30, 2023.</w:t>
        </w:r>
      </w:hyperlink>
    </w:p>
    <w:p>
      <w:pPr>
        <w:spacing w:after="0" w:line="1" w:lineRule="exact"/>
        <w:rPr>
          <w:rFonts w:ascii="Times New Roman" w:cs="Times New Roman" w:eastAsia="Times New Roman" w:hAnsi="Times New Roman"/>
          <w:sz w:val="18"/>
          <w:szCs w:val="18"/>
          <w:u w:val="single" w:color="auto"/>
          <w:color w:val="0000EE"/>
        </w:rPr>
      </w:pPr>
    </w:p>
    <w:p>
      <w:pPr>
        <w:jc w:val="center"/>
        <w:ind w:left="240" w:right="172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20">
        <w:r>
          <w:rPr>
            <w:rFonts w:ascii="Times New Roman" w:cs="Times New Roman" w:eastAsia="Times New Roman" w:hAnsi="Times New Roman"/>
            <w:sz w:val="18"/>
            <w:szCs w:val="18"/>
            <w:u w:val="single" w:color="auto"/>
            <w:color w:val="0000EE"/>
          </w:rPr>
          <w:t>Agreement for a Supply of Water, dated April 1, 2006, between the Company and the City of Rahway, filed as</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Exhibit No. 10.2 of the Company’s Quarterly Report on Form 10-Q for the quarter ended March 31, 2006.</w:t>
        </w:r>
      </w:hyperlink>
    </w:p>
    <w:p>
      <w:pPr>
        <w:spacing w:after="0" w:line="1" w:lineRule="exact"/>
        <w:rPr>
          <w:sz w:val="20"/>
          <w:szCs w:val="20"/>
          <w:color w:val="auto"/>
        </w:rPr>
      </w:pPr>
    </w:p>
    <w:p>
      <w:pPr>
        <w:jc w:val="both"/>
        <w:ind w:left="920" w:right="1740" w:hanging="688"/>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1">
        <w:r>
          <w:rPr>
            <w:rFonts w:ascii="Times New Roman" w:cs="Times New Roman" w:eastAsia="Times New Roman" w:hAnsi="Times New Roman"/>
            <w:sz w:val="18"/>
            <w:szCs w:val="18"/>
            <w:u w:val="single" w:color="auto"/>
            <w:color w:val="0000EE"/>
          </w:rPr>
          <w:t>Loan Agreement, dated November 1, 2006, between the State of New Jersey and the Company (Series GG), filed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as Exhibit No. 10.30 of the Company’s Annual Report on Form 10-K for the year ended December 31, 2006.</w:t>
        </w:r>
      </w:hyperlink>
    </w:p>
    <w:p>
      <w:pPr>
        <w:spacing w:after="0" w:line="1" w:lineRule="exact"/>
        <w:rPr>
          <w:sz w:val="20"/>
          <w:szCs w:val="20"/>
          <w:color w:val="auto"/>
        </w:rPr>
      </w:pPr>
    </w:p>
    <w:p>
      <w:pPr>
        <w:jc w:val="both"/>
        <w:ind w:left="920" w:right="1720" w:hanging="688"/>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22">
        <w:r>
          <w:rPr>
            <w:rFonts w:ascii="Times New Roman" w:cs="Times New Roman" w:eastAsia="Times New Roman" w:hAnsi="Times New Roman"/>
            <w:sz w:val="18"/>
            <w:szCs w:val="18"/>
            <w:u w:val="single" w:color="auto"/>
            <w:color w:val="0000EE"/>
          </w:rPr>
          <w:t>Loan Agreement, dated November 1, 2006, between the New Jersey Environmental Infrastructure Trust and the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Company (Series HH), filed as Exhibit No. 10.31 of the Company’s Annual Report on Form 10-K for the year</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ended December 31, 2006.</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20" w:right="1720" w:hanging="688"/>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23">
        <w:r>
          <w:rPr>
            <w:rFonts w:ascii="Times New Roman" w:cs="Times New Roman" w:eastAsia="Times New Roman" w:hAnsi="Times New Roman"/>
            <w:sz w:val="18"/>
            <w:szCs w:val="18"/>
            <w:u w:val="single" w:color="auto"/>
            <w:color w:val="0000EE"/>
          </w:rPr>
          <w:t>Loan Agreement, dated November 1, 2007, between New Jersey Environmental Infrastructure Trust and the</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Company (Series II), filed as Exhibit No. 10.32 of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December 31, 2007.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20" w:right="1720" w:hanging="688"/>
        <w:spacing w:after="0" w:line="250"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24">
        <w:r>
          <w:rPr>
            <w:rFonts w:ascii="Times New Roman" w:cs="Times New Roman" w:eastAsia="Times New Roman" w:hAnsi="Times New Roman"/>
            <w:sz w:val="18"/>
            <w:szCs w:val="18"/>
            <w:u w:val="single" w:color="auto"/>
            <w:color w:val="0000EE"/>
          </w:rPr>
          <w:t>Loan Agreement, dated November 1, 2007, between the State of New Jersey and the Company (Series JJ), filed as</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Exhibit 10.33 of the Company’s Annual Report on Form 10-K for the year ended December 31, 2007.</w:t>
        </w:r>
      </w:hyperlink>
    </w:p>
    <w:p>
      <w:pPr>
        <w:spacing w:after="0" w:line="1" w:lineRule="exact"/>
        <w:rPr>
          <w:sz w:val="20"/>
          <w:szCs w:val="20"/>
          <w:color w:val="auto"/>
        </w:rPr>
      </w:pPr>
    </w:p>
    <w:p>
      <w:pPr>
        <w:jc w:val="both"/>
        <w:ind w:left="920" w:right="1740" w:hanging="688"/>
        <w:spacing w:after="0" w:line="255"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25">
        <w:r>
          <w:rPr>
            <w:rFonts w:ascii="Times New Roman" w:cs="Times New Roman" w:eastAsia="Times New Roman" w:hAnsi="Times New Roman"/>
            <w:sz w:val="18"/>
            <w:szCs w:val="18"/>
            <w:u w:val="single" w:color="auto"/>
            <w:color w:val="0000EE"/>
          </w:rPr>
          <w:t>Loan Agreement, dated November 1, 2008, between New Jersey Environmental Infrastructure Trust and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Company dated as of (Series KK), filed as Exhibit 10.34 of the Company’s Annual Report on Form 10-K for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year ended December 31, 2008.</w:t>
        </w:r>
      </w:hyperlink>
    </w:p>
    <w:p>
      <w:pPr>
        <w:spacing w:after="0" w:line="78" w:lineRule="exact"/>
        <w:rPr>
          <w:rFonts w:ascii="Times New Roman" w:cs="Times New Roman" w:eastAsia="Times New Roman" w:hAnsi="Times New Roman"/>
          <w:sz w:val="18"/>
          <w:szCs w:val="18"/>
          <w:u w:val="single" w:color="auto"/>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-32385</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80" w:top="549" w:right="5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60" w:type="dxa"/>
            <w:vAlign w:val="bottom"/>
            <w:gridSpan w:val="5"/>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Filing’s</w:t>
            </w:r>
          </w:p>
        </w:tc>
      </w:tr>
      <w:tr>
        <w:trPr>
          <w:trHeight w:val="216"/>
        </w:trPr>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45"/>
        </w:trPr>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60" w:type="dxa"/>
            <w:vAlign w:val="bottom"/>
            <w:tcBorders>
              <w:bottom w:val="single" w:sz="8" w:color="auto"/>
            </w:tcBorders>
          </w:tcPr>
          <w:p>
            <w:pPr>
              <w:spacing w:after="0"/>
              <w:rPr>
                <w:sz w:val="21"/>
                <w:szCs w:val="21"/>
                <w:color w:val="auto"/>
              </w:rPr>
            </w:pPr>
          </w:p>
        </w:tc>
        <w:tc>
          <w:tcPr>
            <w:tcW w:w="6460" w:type="dxa"/>
            <w:vAlign w:val="bottom"/>
            <w:tcBorders>
              <w:bottom w:val="single" w:sz="8" w:color="auto"/>
            </w:tcBorders>
            <w:gridSpan w:val="5"/>
          </w:tcPr>
          <w:p>
            <w:pPr>
              <w:ind w:left="18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w:t>
            </w:r>
          </w:p>
        </w:tc>
        <w:tc>
          <w:tcPr>
            <w:tcW w:w="8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76"/>
        </w:trPr>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7920" w:type="dxa"/>
            <w:vAlign w:val="bottom"/>
            <w:gridSpan w:val="6"/>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Loan Agreement, dated November 1, 2008, between the State of New Jersey and the Company (Series LL),</w:t>
              </w:r>
            </w:hyperlink>
          </w:p>
        </w:tc>
        <w:tc>
          <w:tcPr>
            <w:tcW w:w="1460" w:type="dxa"/>
            <w:vAlign w:val="bottom"/>
            <w:gridSpan w:val="6"/>
          </w:tcPr>
          <w:p>
            <w:pPr>
              <w:ind w:left="60"/>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filed</w:t>
              </w:r>
            </w:hyperlink>
          </w:p>
        </w:tc>
        <w:tc>
          <w:tcPr>
            <w:tcW w:w="88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as Exhibit 10.35 of the Company’s Annual Report on Form 10-K for the year ended December 31, 2008.</w:t>
              </w:r>
            </w:hyperlink>
          </w:p>
        </w:tc>
        <w:tc>
          <w:tcPr>
            <w:tcW w:w="380" w:type="dxa"/>
            <w:vAlign w:val="bottom"/>
            <w:tcBorders>
              <w:top w:val="single" w:sz="8" w:color="0000EE"/>
            </w:tcBorders>
            <w:gridSpan w:val="2"/>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7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Prospectus Supplement, filed August 3, 2022, relating to the Middlesex Water Company Investment Plan.</w:t>
              </w:r>
            </w:hyperlink>
          </w:p>
        </w:tc>
        <w:tc>
          <w:tcPr>
            <w:tcW w:w="300" w:type="dxa"/>
            <w:vAlign w:val="bottom"/>
          </w:tcPr>
          <w:p>
            <w:pPr>
              <w:spacing w:after="0"/>
              <w:rPr>
                <w:sz w:val="17"/>
                <w:szCs w:val="17"/>
                <w:color w:val="auto"/>
              </w:rPr>
            </w:pPr>
          </w:p>
        </w:tc>
        <w:tc>
          <w:tcPr>
            <w:tcW w:w="1460" w:type="dxa"/>
            <w:vAlign w:val="bottom"/>
            <w:gridSpan w:val="6"/>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333-266482</w:t>
            </w: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10.25(a)</w:t>
            </w:r>
          </w:p>
        </w:tc>
        <w:tc>
          <w:tcPr>
            <w:tcW w:w="7920" w:type="dxa"/>
            <w:vAlign w:val="bottom"/>
            <w:gridSpan w:val="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Prospectus Supplement, filed July 25, 2023, relating to the Middlesex Water Company Investment Plan.</w:t>
              </w:r>
            </w:hyperlink>
          </w:p>
        </w:tc>
        <w:tc>
          <w:tcPr>
            <w:tcW w:w="1460" w:type="dxa"/>
            <w:vAlign w:val="bottom"/>
            <w:gridSpan w:val="6"/>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333-266482</w:t>
            </w:r>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10.26(a)</w:t>
            </w: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Amended and Restated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68,000,000 Revolving Line of Credit Note, dated February 9, 2022, between the</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Company, Pinelands Wastewater Company, Pinelands Water Company, Tidewater Utilities, Inc., Utility Service</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Affiliates (Perth Amboy) Inc., Utility Service Affiliates Inc. and While Marsh Environmental Systems, Inc., and</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380" w:type="dxa"/>
            <w:vAlign w:val="bottom"/>
            <w:gridSpan w:val="1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PNC Bank, N.A., filed as Exhibit 10.26(a) of the Company’s Annual Report on Form 10-K for the year ended</w:t>
              </w:r>
            </w:hyperlink>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December 31, 2021.</w:t>
              </w:r>
            </w:hyperlink>
          </w:p>
        </w:tc>
        <w:tc>
          <w:tcPr>
            <w:tcW w:w="6460" w:type="dxa"/>
            <w:vAlign w:val="bottom"/>
            <w:tcBorders>
              <w:top w:val="single" w:sz="8" w:color="0000EE"/>
            </w:tcBorders>
            <w:gridSpan w:val="5"/>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10.26(b)</w:t>
            </w:r>
          </w:p>
        </w:tc>
        <w:tc>
          <w:tcPr>
            <w:tcW w:w="9380" w:type="dxa"/>
            <w:vAlign w:val="bottom"/>
            <w:gridSpan w:val="12"/>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Waiver and Amendment to Loan Documents, dated February 9, 2022, between the Company, Pinelands</w:t>
              </w:r>
            </w:hyperlink>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0" w:type="dxa"/>
            <w:vAlign w:val="bottom"/>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Wastewater Company, Pinelands Water Company, Tidewater Utilities, Inc., Utility Service Affiliates (Perth</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Amboy) Inc., Utility Service Affiliates Inc. and While Marsh Environmental Systems, Inc., and PNC Bank, N.A.,</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1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filed as Exhibit 10.26(b) of the Company’s Annual Report on Form 10-K for the year ended December 31, 2021.</w:t>
              </w:r>
            </w:hyperlink>
          </w:p>
        </w:tc>
        <w:tc>
          <w:tcPr>
            <w:tcW w:w="12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10.26(c)</w:t>
            </w:r>
          </w:p>
        </w:tc>
        <w:tc>
          <w:tcPr>
            <w:tcW w:w="9380" w:type="dxa"/>
            <w:vAlign w:val="bottom"/>
            <w:gridSpan w:val="1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to Loan Documents, dated March 17, 2023, between the Company, Pinelands Wastewater Company,</w:t>
              </w:r>
            </w:hyperlink>
          </w:p>
        </w:tc>
        <w:tc>
          <w:tcPr>
            <w:tcW w:w="8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6600" w:type="dxa"/>
            <w:vAlign w:val="bottom"/>
            <w:gridSpan w:val="2"/>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Pinelands Water Company, Tidewater Utilities, Inc., Utility Service Affiliates (Perth Amboy) Inc., Utility Service</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380" w:type="dxa"/>
            <w:vAlign w:val="bottom"/>
            <w:gridSpan w:val="1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Affiliates Inc. and While Marsh Environmental Systems, Inc., and PNC Bank, N.A. filed as Exhibit 10.26(c) of the</w:t>
              </w:r>
            </w:hyperlink>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Company’s Quarterly Report on Form 10-Q for the quarterly period ended March 31, 2023.</w:t>
              </w:r>
            </w:hyperlink>
          </w:p>
        </w:tc>
        <w:tc>
          <w:tcPr>
            <w:tcW w:w="1320" w:type="dxa"/>
            <w:vAlign w:val="bottom"/>
            <w:tcBorders>
              <w:top w:val="single" w:sz="8" w:color="0000EE"/>
            </w:tcBorders>
            <w:gridSpan w:val="4"/>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10.26(d)</w:t>
            </w:r>
          </w:p>
        </w:tc>
        <w:tc>
          <w:tcPr>
            <w:tcW w:w="8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to Loan Documents, dated April 5, 2023, between the Company, Pinelands Wastewater Company,</w:t>
              </w:r>
            </w:hyperlink>
          </w:p>
        </w:tc>
        <w:tc>
          <w:tcPr>
            <w:tcW w:w="10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Pinelands Water Company, Tidewater Utilities, Inc., Utility Service Affiliates (Perth Amboy) Inc., Utility Service</w:t>
              </w:r>
            </w:hyperlink>
          </w:p>
        </w:tc>
        <w:tc>
          <w:tcPr>
            <w:tcW w:w="10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9380" w:type="dxa"/>
            <w:vAlign w:val="bottom"/>
            <w:gridSpan w:val="1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Affiliates Inc. and While Marsh Environmental Systems, Inc., and PNC Bank, N.A, filed as Exhibit 10.26(d) of the</w:t>
              </w:r>
            </w:hyperlink>
          </w:p>
        </w:tc>
        <w:tc>
          <w:tcPr>
            <w:tcW w:w="8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9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Company’s Quarterly Report on Form 10-Q for the quarterly period ended March 31, 2023.</w:t>
              </w:r>
            </w:hyperlink>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81"/>
        </w:trPr>
        <w:tc>
          <w:tcPr>
            <w:tcW w:w="980" w:type="dxa"/>
            <w:vAlign w:val="bottom"/>
            <w:tcBorders>
              <w:bottom w:val="single" w:sz="8" w:color="auto"/>
            </w:tcBorders>
          </w:tcPr>
          <w:p>
            <w:pPr>
              <w:spacing w:after="0"/>
              <w:rPr>
                <w:sz w:val="24"/>
                <w:szCs w:val="24"/>
                <w:color w:val="auto"/>
              </w:rPr>
            </w:pPr>
          </w:p>
        </w:tc>
        <w:tc>
          <w:tcPr>
            <w:tcW w:w="6600" w:type="dxa"/>
            <w:vAlign w:val="bottom"/>
            <w:tcBorders>
              <w:top w:val="single" w:sz="8" w:color="0000EE"/>
              <w:bottom w:val="single" w:sz="8" w:color="auto"/>
            </w:tcBorders>
            <w:gridSpan w:val="2"/>
          </w:tcPr>
          <w:p>
            <w:pPr>
              <w:ind w:left="454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81" w:name="page82"/>
    <w:bookmarkEnd w:id="81"/>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8300"/>
        <w:spacing w:after="0"/>
        <w:tabs>
          <w:tab w:leader="none" w:pos="9880" w:val="left"/>
        </w:tabs>
        <w:rPr>
          <w:sz w:val="20"/>
          <w:szCs w:val="20"/>
          <w:color w:val="auto"/>
        </w:rPr>
      </w:pPr>
      <w:r>
        <w:rPr>
          <w:rFonts w:ascii="Times New Roman" w:cs="Times New Roman" w:eastAsia="Times New Roman" w:hAnsi="Times New Roman"/>
          <w:sz w:val="18"/>
          <w:szCs w:val="18"/>
          <w:b w:val="1"/>
          <w:bCs w:val="1"/>
          <w:color w:val="auto"/>
        </w:rPr>
        <w:t>Previous</w:t>
      </w:r>
      <w:r>
        <w:rPr>
          <w:sz w:val="20"/>
          <w:szCs w:val="20"/>
          <w:color w:val="auto"/>
        </w:rPr>
        <w:tab/>
      </w:r>
      <w:r>
        <w:rPr>
          <w:rFonts w:ascii="Times New Roman" w:cs="Times New Roman" w:eastAsia="Times New Roman" w:hAnsi="Times New Roman"/>
          <w:sz w:val="18"/>
          <w:szCs w:val="18"/>
          <w:b w:val="1"/>
          <w:bCs w:val="1"/>
          <w:color w:val="auto"/>
        </w:rPr>
        <w:t>Filing’s</w:t>
      </w:r>
    </w:p>
    <w:p>
      <w:pPr>
        <w:spacing w:after="0" w:line="31" w:lineRule="exact"/>
        <w:rPr>
          <w:sz w:val="20"/>
          <w:szCs w:val="20"/>
          <w:color w:val="auto"/>
        </w:rPr>
      </w:pPr>
    </w:p>
    <w:p>
      <w:pPr>
        <w:jc w:val="both"/>
        <w:ind w:left="8160"/>
        <w:spacing w:after="0"/>
        <w:tabs>
          <w:tab w:leader="none" w:pos="9900" w:val="left"/>
        </w:tabs>
        <w:rPr>
          <w:sz w:val="20"/>
          <w:szCs w:val="20"/>
          <w:color w:val="auto"/>
        </w:rPr>
      </w:pPr>
      <w:r>
        <w:rPr>
          <w:rFonts w:ascii="Times New Roman" w:cs="Times New Roman" w:eastAsia="Times New Roman" w:hAnsi="Times New Roman"/>
          <w:sz w:val="18"/>
          <w:szCs w:val="18"/>
          <w:b w:val="1"/>
          <w:bCs w:val="1"/>
          <w:color w:val="auto"/>
        </w:rPr>
        <w:t>Registration</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spacing w:after="0"/>
        <w:tabs>
          <w:tab w:leader="none" w:pos="3600" w:val="left"/>
          <w:tab w:leader="none" w:pos="8480" w:val="left"/>
          <w:tab w:leader="none" w:pos="100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Document Description</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5715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left="1280" w:right="2820" w:hanging="1145"/>
        <w:spacing w:after="0" w:line="253"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10.26(e)</w:t>
      </w:r>
      <w:r>
        <w:rPr>
          <w:sz w:val="20"/>
          <w:szCs w:val="20"/>
          <w:color w:val="auto"/>
        </w:rPr>
        <w:tab/>
      </w:r>
      <w:hyperlink r:id="rId135">
        <w:r>
          <w:rPr>
            <w:rFonts w:ascii="Times New Roman" w:cs="Times New Roman" w:eastAsia="Times New Roman" w:hAnsi="Times New Roman"/>
            <w:sz w:val="18"/>
            <w:szCs w:val="18"/>
            <w:u w:val="single" w:color="auto"/>
            <w:color w:val="0000EE"/>
          </w:rPr>
          <w:t>Amendment to Loan Documents, dated June 15, 2023, between the Company, Pinelands</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Wastewater Company, Pinelands Water Company, Tidewater Utilities, Inc., Utility</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Service Affiliates (Perth Amboy) Inc., Utility Service Affiliates Inc. and While Marsh</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Environmental Systems, Inc., and PNC Bank, N.A, filed as Exhibit 10.26(e) of the</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Company’s Quarterly Report on Form 10-Q for the quarterly period ended June 30,</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2023.</w:t>
        </w:r>
      </w:hyperlink>
    </w:p>
    <w:p>
      <w:pPr>
        <w:spacing w:after="0" w:line="5" w:lineRule="exact"/>
        <w:rPr>
          <w:rFonts w:ascii="Times New Roman" w:cs="Times New Roman" w:eastAsia="Times New Roman" w:hAnsi="Times New Roman"/>
          <w:sz w:val="18"/>
          <w:szCs w:val="18"/>
          <w:u w:val="single" w:color="auto"/>
          <w:color w:val="0000EE"/>
        </w:rPr>
      </w:pPr>
    </w:p>
    <w:p>
      <w:pPr>
        <w:jc w:val="both"/>
        <w:ind w:left="1280" w:right="2820" w:hanging="113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10.26(f)</w:t>
      </w:r>
      <w:r>
        <w:rPr>
          <w:sz w:val="20"/>
          <w:szCs w:val="20"/>
          <w:color w:val="auto"/>
        </w:rPr>
        <w:tab/>
      </w:r>
      <w:hyperlink r:id="rId136">
        <w:r>
          <w:rPr>
            <w:rFonts w:ascii="Times New Roman" w:cs="Times New Roman" w:eastAsia="Times New Roman" w:hAnsi="Times New Roman"/>
            <w:sz w:val="18"/>
            <w:szCs w:val="18"/>
            <w:u w:val="single" w:color="auto"/>
            <w:color w:val="0000EE"/>
          </w:rPr>
          <w:t>Amendment to Loan Documents, dated January 29, 2024, between the Company,</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Pinelands Wastewater Company, Pinelands Water Company, Tidewater Utilities, Inc.,</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Utility Service Affiliates (Perth Amboy) Inc., Utility Service Affiliates Inc. and While</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Marsh Environmental Systems, Inc., and PNC Bank, N.A., filed as Exhibit 10.26(f) of</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the Company’s Annual Report on Form 10-K for the year ended December 31,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820" w:hanging="1195"/>
        <w:spacing w:after="0" w:line="250" w:lineRule="auto"/>
        <w:tabs>
          <w:tab w:leader="none" w:pos="1260" w:val="left"/>
        </w:tabs>
        <w:rPr>
          <w:sz w:val="20"/>
          <w:szCs w:val="20"/>
          <w:color w:val="auto"/>
        </w:rPr>
      </w:pPr>
      <w:r>
        <w:rPr>
          <w:rFonts w:ascii="Times New Roman" w:cs="Times New Roman" w:eastAsia="Times New Roman" w:hAnsi="Times New Roman"/>
          <w:sz w:val="18"/>
          <w:szCs w:val="18"/>
          <w:color w:val="auto"/>
        </w:rPr>
        <w:t>*10.26(g)</w:t>
      </w:r>
      <w:r>
        <w:rPr>
          <w:sz w:val="20"/>
          <w:szCs w:val="20"/>
          <w:color w:val="auto"/>
        </w:rPr>
        <w:tab/>
      </w:r>
      <w:r>
        <w:rPr>
          <w:rFonts w:ascii="Times New Roman" w:cs="Times New Roman" w:eastAsia="Times New Roman" w:hAnsi="Times New Roman"/>
          <w:sz w:val="18"/>
          <w:szCs w:val="18"/>
          <w:u w:val="single" w:color="auto"/>
          <w:color w:val="0000EE"/>
        </w:rPr>
        <w:t>Amendment to Loan Documents, dated January 24, 2025, between the Company, Pinelands Wastewater Company, Pinelands Water Company, Tidewater Utilities, Inc., Utility Service Affiliates (Perth Amboy) Inc., Utility Service Affiliates Inc. and While Marsh Environmental Systems, Inc., and PNC Bank, N.A.</w:t>
      </w:r>
    </w:p>
    <w:p>
      <w:pPr>
        <w:spacing w:after="0" w:line="2" w:lineRule="exact"/>
        <w:rPr>
          <w:rFonts w:ascii="Times New Roman" w:cs="Times New Roman" w:eastAsia="Times New Roman" w:hAnsi="Times New Roman"/>
          <w:sz w:val="18"/>
          <w:szCs w:val="18"/>
          <w:u w:val="single" w:color="auto"/>
          <w:color w:val="0000EE"/>
        </w:rPr>
      </w:pPr>
    </w:p>
    <w:p>
      <w:pPr>
        <w:jc w:val="both"/>
        <w:ind w:left="1280" w:right="2820" w:hanging="11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10.27(a)</w:t>
      </w:r>
      <w:r>
        <w:rPr>
          <w:sz w:val="20"/>
          <w:szCs w:val="20"/>
          <w:color w:val="auto"/>
        </w:rPr>
        <w:tab/>
      </w:r>
      <w:hyperlink r:id="rId137">
        <w:r>
          <w:rPr>
            <w:rFonts w:ascii="Times New Roman" w:cs="Times New Roman" w:eastAsia="Times New Roman" w:hAnsi="Times New Roman"/>
            <w:sz w:val="18"/>
            <w:szCs w:val="18"/>
            <w:u w:val="single" w:color="auto"/>
            <w:color w:val="0000EE"/>
          </w:rPr>
          <w:t>Uncommitted ($30,000,000) Loan Agreement, dated January 28, 2021, between the</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Company, Tidewater Utilities, Inc., White Marsh Environmental Systems, Inc.,</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Pinelands Water Company, Pinelands Wastewater Company, Utility Service Affiliates,</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Inc., Utility Service Affiliates (Perth Amboy) Inc., Tidewater Environmental Services,</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Inc., and Bank of America, N.A. filed as Exhibit 10.30 of the Company’s Annual Report</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on Form 10-K for the year ended December 31, 2020.</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820" w:hanging="1150"/>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10.27(b)</w:t>
      </w:r>
      <w:r>
        <w:rPr>
          <w:sz w:val="20"/>
          <w:szCs w:val="20"/>
          <w:color w:val="auto"/>
        </w:rPr>
        <w:tab/>
      </w:r>
      <w:hyperlink r:id="rId138">
        <w:r>
          <w:rPr>
            <w:rFonts w:ascii="Times New Roman" w:cs="Times New Roman" w:eastAsia="Times New Roman" w:hAnsi="Times New Roman"/>
            <w:sz w:val="18"/>
            <w:szCs w:val="18"/>
            <w:u w:val="single" w:color="auto"/>
            <w:color w:val="0000EE"/>
          </w:rPr>
          <w:t>Amendment No. 1 ($60,000,000) to Uncommitted Loan Agreement, dated January 27,</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2022, between the Company, Tidewater Utilities, Inc., White Marsh Environmental</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Systems, Inc., Pinelands Water Company, Pinelands Wastewater Company, Utility</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Service Affiliates, Inc., Utility Service Affiliates (Perth Amboy) Inc., and Bank of</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America, N.A., filed as Exhibit 10.27(b) of the Company’s Annual Report on Form 10-</w:t>
        </w:r>
      </w:hyperlink>
      <w:hyperlink r:id="rId138">
        <w:r>
          <w:rPr>
            <w:rFonts w:ascii="Times New Roman" w:cs="Times New Roman" w:eastAsia="Times New Roman" w:hAnsi="Times New Roman"/>
            <w:sz w:val="18"/>
            <w:szCs w:val="18"/>
            <w:u w:val="single" w:color="auto"/>
            <w:color w:val="0000EE"/>
          </w:rPr>
          <w:t>K for the year ended December 31, 2021.</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820" w:hanging="1145"/>
        <w:spacing w:after="0" w:line="252"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10.27(c)</w:t>
      </w:r>
      <w:r>
        <w:rPr>
          <w:sz w:val="20"/>
          <w:szCs w:val="20"/>
          <w:color w:val="auto"/>
        </w:rPr>
        <w:tab/>
      </w:r>
      <w:hyperlink r:id="rId139">
        <w:r>
          <w:rPr>
            <w:rFonts w:ascii="Times New Roman" w:cs="Times New Roman" w:eastAsia="Times New Roman" w:hAnsi="Times New Roman"/>
            <w:sz w:val="18"/>
            <w:szCs w:val="18"/>
            <w:u w:val="single" w:color="auto"/>
            <w:color w:val="0000EE"/>
          </w:rPr>
          <w:t>Amendment No. 2 ($60,000,000) to Uncommitted Loan Agreement, dated January 26,</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2023, between the Company, Tidewater Utilities, Inc., White Marsh Environmental</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Systems, Inc., Pinelands Water Company, Pinelands Wastewater Company, Utility</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Service Affiliates, Inc., Utility Service Affiliates (Perth Amboy) Inc., and Bank of</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America, N.A. filed as Exhibit 10.27(c) of the Company’s Annual Report on Form 10-K</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for the year ended December 31, 2022.</w:t>
        </w:r>
      </w:hyperlink>
    </w:p>
    <w:p>
      <w:pPr>
        <w:spacing w:after="0" w:line="82" w:lineRule="exact"/>
        <w:rPr>
          <w:rFonts w:ascii="Times New Roman" w:cs="Times New Roman" w:eastAsia="Times New Roman" w:hAnsi="Times New Roman"/>
          <w:sz w:val="18"/>
          <w:szCs w:val="18"/>
          <w:u w:val="single" w:color="auto"/>
          <w:color w:val="0000EE"/>
        </w:rPr>
      </w:pPr>
    </w:p>
    <w:p>
      <w:pPr>
        <w:jc w:val="center"/>
        <w:ind w:right="1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740" w:top="549" w:right="659" w:bottom="1440" w:gutter="0" w:footer="0" w:header="0"/>
        </w:sectPr>
      </w:pPr>
    </w:p>
    <w:bookmarkStart w:id="82" w:name="page83"/>
    <w:bookmarkEnd w:id="8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jc w:val="both"/>
        <w:ind w:left="800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Previous</w:t>
      </w:r>
      <w:r>
        <w:rPr>
          <w:sz w:val="20"/>
          <w:szCs w:val="20"/>
          <w:color w:val="auto"/>
        </w:rPr>
        <w:tab/>
      </w:r>
      <w:r>
        <w:rPr>
          <w:rFonts w:ascii="Times New Roman" w:cs="Times New Roman" w:eastAsia="Times New Roman" w:hAnsi="Times New Roman"/>
          <w:sz w:val="18"/>
          <w:szCs w:val="18"/>
          <w:b w:val="1"/>
          <w:bCs w:val="1"/>
          <w:color w:val="auto"/>
        </w:rPr>
        <w:t>Filing’s</w:t>
      </w:r>
    </w:p>
    <w:p>
      <w:pPr>
        <w:spacing w:after="0" w:line="31" w:lineRule="exact"/>
        <w:rPr>
          <w:sz w:val="20"/>
          <w:szCs w:val="20"/>
          <w:color w:val="auto"/>
        </w:rPr>
      </w:pPr>
    </w:p>
    <w:p>
      <w:pPr>
        <w:jc w:val="both"/>
        <w:ind w:left="786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Registration</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spacing w:after="0"/>
        <w:tabs>
          <w:tab w:leader="none" w:pos="3520" w:val="left"/>
          <w:tab w:leader="none" w:pos="8200" w:val="left"/>
          <w:tab w:leader="none" w:pos="98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Document Description</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5715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260" w:right="2780" w:hanging="1130"/>
        <w:spacing w:after="0" w:line="253"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10.27(d)</w:t>
      </w:r>
      <w:r>
        <w:rPr>
          <w:sz w:val="20"/>
          <w:szCs w:val="20"/>
          <w:color w:val="auto"/>
        </w:rPr>
        <w:tab/>
      </w:r>
      <w:hyperlink r:id="rId142">
        <w:r>
          <w:rPr>
            <w:rFonts w:ascii="Times New Roman" w:cs="Times New Roman" w:eastAsia="Times New Roman" w:hAnsi="Times New Roman"/>
            <w:sz w:val="18"/>
            <w:szCs w:val="18"/>
            <w:u w:val="single" w:color="auto"/>
            <w:color w:val="0000EE"/>
          </w:rPr>
          <w:t>Amendment No. 3 ($60,000,000) to Uncommitted Loan Agreement, dated January 25,</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2024, between the Company, Tidewater Utilities, Inc., White Marsh Environmental</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Systems, Inc., Pinelands Water Company, Pinelands Wastewater Company, Utility</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Service Affiliates, Inc., Utility Service Affiliates (Perth Amboy) Inc., and Bank of</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America, N.A., filed as Exhibit 10.27(d) of the Company’s Annual Report on Form</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10-K for the year ended December 31, 2023.</w:t>
        </w:r>
      </w:hyperlink>
    </w:p>
    <w:p>
      <w:pPr>
        <w:jc w:val="both"/>
        <w:ind w:left="1260" w:right="2780" w:hanging="1170"/>
        <w:spacing w:after="0" w:line="250" w:lineRule="auto"/>
        <w:tabs>
          <w:tab w:leader="none" w:pos="1240" w:val="left"/>
        </w:tabs>
        <w:rPr>
          <w:sz w:val="20"/>
          <w:szCs w:val="20"/>
          <w:color w:val="auto"/>
        </w:rPr>
      </w:pPr>
      <w:r>
        <w:rPr>
          <w:rFonts w:ascii="Times New Roman" w:cs="Times New Roman" w:eastAsia="Times New Roman" w:hAnsi="Times New Roman"/>
          <w:sz w:val="18"/>
          <w:szCs w:val="18"/>
          <w:color w:val="auto"/>
        </w:rPr>
        <w:t>*10.27(e)</w:t>
      </w:r>
      <w:r>
        <w:rPr>
          <w:sz w:val="20"/>
          <w:szCs w:val="20"/>
          <w:color w:val="auto"/>
        </w:rPr>
        <w:tab/>
      </w:r>
      <w:r>
        <w:rPr>
          <w:rFonts w:ascii="Times New Roman" w:cs="Times New Roman" w:eastAsia="Times New Roman" w:hAnsi="Times New Roman"/>
          <w:sz w:val="18"/>
          <w:szCs w:val="18"/>
          <w:u w:val="single" w:color="auto"/>
          <w:color w:val="0000EE"/>
        </w:rPr>
        <w:t>Amendment No. 4 ($60,000,000) to Uncommitted Loan Agreement, dated January 24, 2025, between the Company, Tidewater Utilities, Inc., White Marsh Environmental Systems, Inc., Pinelands Water Company, Pinelands Wastewater Company, Utility Service Affiliates, Inc., Utility Service Affiliates (Perth Amboy) Inc., and Bank of America, N.A.</w:t>
      </w:r>
    </w:p>
    <w:p>
      <w:pPr>
        <w:spacing w:after="0" w:line="2" w:lineRule="exact"/>
        <w:rPr>
          <w:rFonts w:ascii="Times New Roman" w:cs="Times New Roman" w:eastAsia="Times New Roman" w:hAnsi="Times New Roman"/>
          <w:sz w:val="18"/>
          <w:szCs w:val="18"/>
          <w:u w:val="single" w:color="auto"/>
          <w:color w:val="0000EE"/>
        </w:rPr>
      </w:pPr>
    </w:p>
    <w:p>
      <w:pPr>
        <w:jc w:val="both"/>
        <w:ind w:left="1260" w:right="276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43">
        <w:r>
          <w:rPr>
            <w:rFonts w:ascii="Times New Roman" w:cs="Times New Roman" w:eastAsia="Times New Roman" w:hAnsi="Times New Roman"/>
            <w:sz w:val="18"/>
            <w:szCs w:val="18"/>
            <w:u w:val="single" w:color="auto"/>
            <w:color w:val="0000EE"/>
          </w:rPr>
          <w:t>Fourth Amendment to Promissory Note and Supplement, dated as of August 19, 2020,</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between Tidewater Utilities, Inc. and CoBank, ACB, filed as Exhibit 10.34 of the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Company’s Quarterly Report on Form 10-Q for the quarter ended September 30, 2020.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6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44">
        <w:r>
          <w:rPr>
            <w:rFonts w:ascii="Times New Roman" w:cs="Times New Roman" w:eastAsia="Times New Roman" w:hAnsi="Times New Roman"/>
            <w:sz w:val="18"/>
            <w:szCs w:val="18"/>
            <w:u w:val="single" w:color="auto"/>
            <w:color w:val="0000EE"/>
          </w:rPr>
          <w:t>Loan Agreement, dated December 1, 2010, between the State of New Jersey and the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Company (Series MM), filed as Exhibit 10.41 of the Company’s Annual Report on</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Form 10-K for the year ended December 31, 2010.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8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45">
        <w:r>
          <w:rPr>
            <w:rFonts w:ascii="Times New Roman" w:cs="Times New Roman" w:eastAsia="Times New Roman" w:hAnsi="Times New Roman"/>
            <w:sz w:val="18"/>
            <w:szCs w:val="18"/>
            <w:u w:val="single" w:color="auto"/>
            <w:color w:val="0000EE"/>
          </w:rPr>
          <w:t>Loan Agreement, dated December 1, 2010, between New Jersey Environmental</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Infrastructure Trust and the Company (Series NN), filed as Exhibit 10.42 of the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Company’s Annual Report on Form 10-K for the year ended December 31, 2010.</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6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46">
        <w:r>
          <w:rPr>
            <w:rFonts w:ascii="Times New Roman" w:cs="Times New Roman" w:eastAsia="Times New Roman" w:hAnsi="Times New Roman"/>
            <w:sz w:val="18"/>
            <w:szCs w:val="18"/>
            <w:u w:val="single" w:color="auto"/>
            <w:color w:val="0000EE"/>
          </w:rPr>
          <w:t>Loan Agreement, dated May 1, 2012, between the State of New Jersey and the</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Company, (Series OO), filed as Exhibit 10.43 of the Company’s Quarterly Report on</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Form 10-Q for the quarter ended June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8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47">
        <w:r>
          <w:rPr>
            <w:rFonts w:ascii="Times New Roman" w:cs="Times New Roman" w:eastAsia="Times New Roman" w:hAnsi="Times New Roman"/>
            <w:sz w:val="18"/>
            <w:szCs w:val="18"/>
            <w:u w:val="single" w:color="auto"/>
            <w:color w:val="0000EE"/>
          </w:rPr>
          <w:t>Loan Agreement, dated May 1, 2012, between New Jersey Environmental</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Infrastructure Trust and the Company (Series PP), filed as Exhibit 10.44 of the</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Company’s Quarterly Report on Form 10-Q for the quarter ended June 30,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80" w:hanging="1025"/>
        <w:spacing w:after="0" w:line="250"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48">
        <w:r>
          <w:rPr>
            <w:rFonts w:ascii="Times New Roman" w:cs="Times New Roman" w:eastAsia="Times New Roman" w:hAnsi="Times New Roman"/>
            <w:sz w:val="18"/>
            <w:szCs w:val="18"/>
            <w:u w:val="single" w:color="auto"/>
            <w:color w:val="0000EE"/>
          </w:rPr>
          <w:t>Loan Agreement, dated November 1, 2012, between the New Jersey Economic</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Development Authority and the Company (Series QQ]), filed as Exhibit 10.41 of the</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Company’s Annual Report on Form 10-K for the year ended December 31, 2012.</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60" w:right="2760" w:hanging="1025"/>
        <w:spacing w:after="0" w:line="255"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49">
        <w:r>
          <w:rPr>
            <w:rFonts w:ascii="Times New Roman" w:cs="Times New Roman" w:eastAsia="Times New Roman" w:hAnsi="Times New Roman"/>
            <w:sz w:val="18"/>
            <w:szCs w:val="18"/>
            <w:u w:val="single" w:color="auto"/>
            <w:color w:val="0000EE"/>
          </w:rPr>
          <w:t>Loan Agreement, dated May 1, 2013, between the State of New Jersey and the</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Company (Series TT), filed as Exhibit 10.42 of the Company’s Quarterly Report on</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Form 10-Q for the quarter ended June 30, 2013.</w:t>
        </w:r>
      </w:hyperlink>
    </w:p>
    <w:p>
      <w:pPr>
        <w:spacing w:after="0" w:line="78" w:lineRule="exact"/>
        <w:rPr>
          <w:rFonts w:ascii="Times New Roman" w:cs="Times New Roman" w:eastAsia="Times New Roman" w:hAnsi="Times New Roman"/>
          <w:sz w:val="18"/>
          <w:szCs w:val="18"/>
          <w:u w:val="single" w:color="auto"/>
          <w:color w:val="0000EE"/>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-248285</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720" w:top="549" w:right="8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40" w:type="dxa"/>
            <w:vAlign w:val="bottom"/>
            <w:gridSpan w:val="9"/>
          </w:tcPr>
          <w:p>
            <w:pPr>
              <w:ind w:left="28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Filing’s</w:t>
            </w:r>
          </w:p>
        </w:tc>
      </w:tr>
      <w:tr>
        <w:trPr>
          <w:trHeight w:val="216"/>
        </w:trPr>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gridSpan w:val="9"/>
          </w:tcPr>
          <w:p>
            <w:pPr>
              <w:ind w:left="19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w:t>
            </w:r>
          </w:p>
        </w:tc>
        <w:tc>
          <w:tcPr>
            <w:tcW w:w="1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69"/>
        </w:trPr>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10.35</w:t>
            </w:r>
          </w:p>
        </w:tc>
        <w:tc>
          <w:tcPr>
            <w:tcW w:w="640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Loan Agreement, dated May 1, 2013, between New Jersey Environmental Infrastructure</w:t>
              </w:r>
            </w:hyperlink>
          </w:p>
        </w:tc>
        <w:tc>
          <w:tcPr>
            <w:tcW w:w="24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Trust and the Company (Series UU), filed as Exhibit 10.43 of the Company’s Quarterly</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Report on Form 10-Q for the quarter ended June 30, 2013.</w:t>
              </w:r>
            </w:hyperlink>
          </w:p>
        </w:tc>
        <w:tc>
          <w:tcPr>
            <w:tcW w:w="2420" w:type="dxa"/>
            <w:vAlign w:val="bottom"/>
            <w:gridSpan w:val="6"/>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Loan Agreement, dated May 1, 2014, between New Jersey Environmental Infrastructure</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Trust and the Company (Series VV), filed as Exhibit 10.43 of the Company’s Quarterly</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Report on Form 10-Q for the quarter ended June 30, 2014</w:t>
              </w:r>
              <w:r>
                <w:rPr>
                  <w:rFonts w:ascii="Times New Roman" w:cs="Times New Roman" w:eastAsia="Times New Roman" w:hAnsi="Times New Roman"/>
                  <w:sz w:val="18"/>
                  <w:szCs w:val="18"/>
                  <w:color w:val="000000"/>
                </w:rPr>
                <w:t>.</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Loan Agreement, dated May 1, 2014, between New Jersey Environmental Infrastructure</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Trust and the Company (Series WW), filed as Exhibit 10.44 of the Company’s Quarterly</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Report on Form 10-Q for the quarter ended June 30, 2014.</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Loan Agreement, dated November 1, 2017, between New Jersey Environmental</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Infrastructure Trust and the Company (Series XX), filed as Exhibit 10.44 of the</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Company’s Annual Report on Form 10-K for the year ended December 31, 2017.</w:t>
              </w:r>
            </w:hyperlink>
          </w:p>
        </w:tc>
        <w:tc>
          <w:tcPr>
            <w:tcW w:w="54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Loan Agreement, dated November 1, 2017, between New Jersey Environmental</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Infrastructure Trust and the Company (Series YY), filed as Exhibit 10.45 of the</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Company’s Annual Report on Form 10-K for the year ended December 31, 2017.</w:t>
              </w:r>
            </w:hyperlink>
          </w:p>
        </w:tc>
        <w:tc>
          <w:tcPr>
            <w:tcW w:w="54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Loan Agreement, dated May 1, 2018, between New Jersey Environmental Infrastructure</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Trust and the Company (Series 2018A), filed as Exhibit 10.46 of the Company’s</w:t>
              </w:r>
            </w:hyperlink>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Quarterly Report on Form 10-Q for the quarter ended June 30, 2018.</w:t>
              </w:r>
            </w:hyperlink>
          </w:p>
        </w:tc>
        <w:tc>
          <w:tcPr>
            <w:tcW w:w="170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Loan Agreement, dated May 1, 2018, between New Jersey Environmental Infrastructure</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Trust and the Company (Series 2018B), filed as Exhibit 10.47 of the Company’s</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Quarterly Report on Form 10-Q for the quarter ended June 30, 2018.</w:t>
              </w:r>
            </w:hyperlink>
          </w:p>
        </w:tc>
        <w:tc>
          <w:tcPr>
            <w:tcW w:w="170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Loan Agreement, dated August 1, 2019, between New Jersey Economic Development</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Authority and the Company (Series 2019A and Series 2019B), filed as Exhibit 10.50 to</w:t>
              </w:r>
            </w:hyperlink>
          </w:p>
        </w:tc>
        <w:tc>
          <w:tcPr>
            <w:tcW w:w="24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5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the Company’s Current Report on Form 8-K filed September 6, 2019.</w:t>
              </w:r>
            </w:hyperlink>
          </w:p>
        </w:tc>
        <w:tc>
          <w:tcPr>
            <w:tcW w:w="1620" w:type="dxa"/>
            <w:vAlign w:val="bottom"/>
            <w:gridSpan w:val="4"/>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Bond Purchase Agreement, dated November 16, 2020, between New York Life</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Insurance Company and Affiliates and the Company (Series 2020A), filed as Exhibit</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48</w:t>
              </w:r>
              <w:r>
                <w:rPr>
                  <w:rFonts w:ascii="Times New Roman" w:cs="Times New Roman" w:eastAsia="Times New Roman" w:hAnsi="Times New Roman"/>
                  <w:sz w:val="18"/>
                  <w:szCs w:val="18"/>
                  <w:color w:val="0000EE"/>
                </w:rPr>
                <w:t xml:space="preserve"> of the Company’s Annual Report on Form 10-K for the year ended December 31,</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1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2020.</w:t>
              </w:r>
            </w:hyperlink>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Bond Purchase Agreement, dated November 5, 2021, between New York Life Insurance</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6400" w:type="dxa"/>
            <w:vAlign w:val="bottom"/>
            <w:gridSpan w:val="8"/>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0"/>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Company and Affiliates and the Company (Series 2021A and Series 2021B), filed as</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 w:lineRule="exact"/>
        <w:rPr>
          <w:sz w:val="20"/>
          <w:szCs w:val="20"/>
          <w:color w:val="auto"/>
        </w:rPr>
      </w:pPr>
    </w:p>
    <w:p>
      <w:pPr>
        <w:ind w:left="1700" w:right="3140"/>
        <w:spacing w:after="0" w:line="282" w:lineRule="auto"/>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Exhibit 10.46 of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December 31, 2021.</w:t>
        </w:r>
      </w:hyperlink>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gridSpan w:val="11"/>
          </w:tcPr>
          <w:p>
            <w:pPr>
              <w:ind w:left="2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Filing’s</w:t>
            </w:r>
          </w:p>
        </w:tc>
      </w:tr>
      <w:tr>
        <w:trPr>
          <w:trHeight w:val="216"/>
        </w:trPr>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13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8"/>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gridSpan w:val="11"/>
          </w:tcPr>
          <w:p>
            <w:pPr>
              <w:ind w:left="166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w:t>
            </w:r>
          </w:p>
        </w:tc>
        <w:tc>
          <w:tcPr>
            <w:tcW w:w="13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No.</w:t>
            </w:r>
          </w:p>
        </w:tc>
      </w:tr>
      <w:tr>
        <w:trPr>
          <w:trHeight w:val="169"/>
        </w:trPr>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10.45</w:t>
            </w:r>
          </w:p>
        </w:tc>
        <w:tc>
          <w:tcPr>
            <w:tcW w:w="6480" w:type="dxa"/>
            <w:vAlign w:val="bottom"/>
            <w:tcBorders>
              <w:bottom w:val="single" w:sz="8" w:color="0000EE"/>
            </w:tcBorders>
            <w:gridSpan w:val="12"/>
          </w:tcPr>
          <w:p>
            <w:pPr>
              <w:spacing w:after="0" w:line="169"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Financing Agreement, dated December 16, 2021, between the Delaware Drinking Water</w:t>
              </w:r>
            </w:hyperlink>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6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State Revolving Fund, acting by and through the Delaware Department of Health &amp;</w:t>
              </w:r>
            </w:hyperlink>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Social Services, and Tidewater Utilities, Inc, filed as Exhibit 10.46 of the Company’s</w:t>
              </w:r>
            </w:hyperlink>
          </w:p>
        </w:tc>
        <w:tc>
          <w:tcPr>
            <w:tcW w:w="24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Annual Report on Form 10-K for the year ended December 31, 2021.</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Loan Agreement, dated May 1, 2022, between New Jersey Infrastructure Bank and the</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Company (Series 2022A), filed as Exhibit 10.40 of the Company’s Quarterly Report on</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10-Q for the quarterly period ended June 30, 2022.</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Loan Agreement, dated May 1, 2022, between the State of New Jersey, acting by and</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through the New Jersey Department of Environmental Protection, and the Company</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(Series 2022B) filed as Exhibit 10.41 of the Company’s Quarterly Report on Form 10-Q</w:t>
              </w:r>
            </w:hyperlink>
          </w:p>
        </w:tc>
        <w:tc>
          <w:tcPr>
            <w:tcW w:w="24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for the quarterly period ended June 30, 2022.</w:t>
              </w:r>
            </w:hyperlink>
          </w:p>
        </w:tc>
        <w:tc>
          <w:tcPr>
            <w:tcW w:w="3400" w:type="dxa"/>
            <w:vAlign w:val="bottom"/>
            <w:gridSpan w:val="10"/>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10.48</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Bond Purchase Agreement, dated March 2, 2023, between New York Life Insurance</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Company and Affiliates and the Company (Series 2023A) filed as Exhibit 10.48 of the</w:t>
              </w:r>
            </w:hyperlink>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Company’s Quarterly Report on Form 10-Q for the quarterly period ended March 31,</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64">
              <w:r>
                <w:rPr>
                  <w:rFonts w:ascii="Times New Roman" w:cs="Times New Roman" w:eastAsia="Times New Roman" w:hAnsi="Times New Roman"/>
                  <w:sz w:val="18"/>
                  <w:szCs w:val="18"/>
                  <w:color w:val="0000EE"/>
                  <w:w w:val="93"/>
                </w:rPr>
                <w:t>2023.</w:t>
              </w:r>
            </w:hyperlink>
          </w:p>
        </w:tc>
        <w:tc>
          <w:tcPr>
            <w:tcW w:w="2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10.49</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Financing Agreement, dated April 5, 2023, between the Delaware Drinking Water State</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Revolving Fund, acting by and through the Delaware Department of Health and Social</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Services, Division of Public Health and Tidewater Utilities, Inc., filed as Exhibit 10.49</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of the Company’s Quarterly Report on Form 10-Q for the quarterly period ended March</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5">
              <w:r>
                <w:rPr>
                  <w:rFonts w:ascii="Times New Roman" w:cs="Times New Roman" w:eastAsia="Times New Roman" w:hAnsi="Times New Roman"/>
                  <w:sz w:val="18"/>
                  <w:szCs w:val="18"/>
                  <w:color w:val="0000EE"/>
                  <w:w w:val="97"/>
                </w:rPr>
                <w:t>31, 2023.</w:t>
              </w:r>
            </w:hyperlink>
          </w:p>
        </w:tc>
        <w:tc>
          <w:tcPr>
            <w:tcW w:w="2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Financing Agreement, dated April 5, 2023, between the Delaware Drinking Water State</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Revolving Fund, acting by and through the Delaware Department of Health and Social</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Services, Division of Public Health and Tidewater Utilities, Inc, filed as Exhibit 10.50 of</w:t>
              </w:r>
            </w:hyperlink>
          </w:p>
        </w:tc>
        <w:tc>
          <w:tcPr>
            <w:tcW w:w="18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the Company’s Quarterly Report on Form 10-Q for the quarterly period ended March 31,</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66">
              <w:r>
                <w:rPr>
                  <w:rFonts w:ascii="Times New Roman" w:cs="Times New Roman" w:eastAsia="Times New Roman" w:hAnsi="Times New Roman"/>
                  <w:sz w:val="18"/>
                  <w:szCs w:val="18"/>
                  <w:color w:val="0000EE"/>
                  <w:w w:val="93"/>
                </w:rPr>
                <w:t>2023.</w:t>
              </w:r>
            </w:hyperlink>
          </w:p>
        </w:tc>
        <w:tc>
          <w:tcPr>
            <w:tcW w:w="2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10.51</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Financing Agreement, dated April 5, 2023, between the Delaware Drinking Water State</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Revolving Fund, acting by and through the Delaware Department of Health and Social</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Services, Division of Public Health and Tidewater Utilities, Inc, filed as Exhibit 10.51 of</w:t>
              </w:r>
            </w:hyperlink>
          </w:p>
        </w:tc>
        <w:tc>
          <w:tcPr>
            <w:tcW w:w="18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the Company’s Quarterly Report on Form 10-Q for the quarterly period ended March 31,</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167">
              <w:r>
                <w:rPr>
                  <w:rFonts w:ascii="Times New Roman" w:cs="Times New Roman" w:eastAsia="Times New Roman" w:hAnsi="Times New Roman"/>
                  <w:sz w:val="18"/>
                  <w:szCs w:val="18"/>
                  <w:color w:val="0000EE"/>
                  <w:w w:val="93"/>
                </w:rPr>
                <w:t>2023.</w:t>
              </w:r>
            </w:hyperlink>
          </w:p>
        </w:tc>
        <w:tc>
          <w:tcPr>
            <w:tcW w:w="28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10.52</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Multiple Advance Term Promissory Note, dated May 22, 2023, between Pinelands</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Water Company and CoBank, ACB, filed as Exhibit 10.53 of the Company’s Quarterly</w:t>
              </w:r>
            </w:hyperlink>
          </w:p>
        </w:tc>
        <w:tc>
          <w:tcPr>
            <w:tcW w:w="220" w:type="dxa"/>
            <w:vAlign w:val="bottom"/>
            <w:gridSpan w:val="4"/>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Report on Form 10-Q for the quarterly period ended September 30, 2023.</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5280" w:type="dxa"/>
            <w:vAlign w:val="bottom"/>
            <w:gridSpan w:val="6"/>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10.53</w:t>
            </w:r>
          </w:p>
        </w:tc>
        <w:tc>
          <w:tcPr>
            <w:tcW w:w="6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Multiple Advance Term Promissory Note, dated May 22, 2023, between Pinelands</w:t>
              </w:r>
            </w:hyperlink>
          </w:p>
        </w:tc>
        <w:tc>
          <w:tcPr>
            <w:tcW w:w="200" w:type="dxa"/>
            <w:vAlign w:val="bottom"/>
            <w:gridSpan w:val="3"/>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4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Wastewater Company and CoBank, ACB, filed as Exhibit 10.54 of the Company’s</w:t>
              </w:r>
            </w:hyperlink>
          </w:p>
        </w:tc>
        <w:tc>
          <w:tcPr>
            <w:tcW w:w="24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6640" w:type="dxa"/>
            <w:vAlign w:val="bottom"/>
            <w:gridSpan w:val="13"/>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Quarterly Report on Form 10-Q for the quarterly period ended September 30, 2023.</w:t>
              </w:r>
            </w:hyperlink>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4080" w:type="dxa"/>
            <w:vAlign w:val="bottom"/>
            <w:tcBorders>
              <w:top w:val="single" w:sz="8" w:color="0000EE"/>
              <w:bottom w:val="single" w:sz="8" w:color="auto"/>
            </w:tcBorders>
            <w:gridSpan w:val="4"/>
          </w:tcPr>
          <w:p>
            <w:pPr>
              <w:ind w:left="3820"/>
              <w:spacing w:after="0"/>
              <w:rPr>
                <w:sz w:val="20"/>
                <w:szCs w:val="20"/>
                <w:color w:val="auto"/>
              </w:rPr>
            </w:pPr>
            <w:r>
              <w:rPr>
                <w:rFonts w:ascii="Times New Roman" w:cs="Times New Roman" w:eastAsia="Times New Roman" w:hAnsi="Times New Roman"/>
                <w:sz w:val="18"/>
                <w:szCs w:val="18"/>
                <w:color w:val="auto"/>
              </w:rPr>
              <w:t>82</w:t>
            </w:r>
          </w:p>
        </w:tc>
        <w:tc>
          <w:tcPr>
            <w:tcW w:w="9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85" w:name="page86"/>
    <w:bookmarkEnd w:id="85"/>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both"/>
        <w:ind w:left="8500"/>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Previous</w:t>
      </w:r>
      <w:r>
        <w:rPr>
          <w:sz w:val="20"/>
          <w:szCs w:val="20"/>
          <w:color w:val="auto"/>
        </w:rPr>
        <w:tab/>
      </w:r>
      <w:r>
        <w:rPr>
          <w:rFonts w:ascii="Times New Roman" w:cs="Times New Roman" w:eastAsia="Times New Roman" w:hAnsi="Times New Roman"/>
          <w:sz w:val="18"/>
          <w:szCs w:val="18"/>
          <w:b w:val="1"/>
          <w:bCs w:val="1"/>
          <w:color w:val="auto"/>
        </w:rPr>
        <w:t>Filing’s</w:t>
      </w:r>
    </w:p>
    <w:p>
      <w:pPr>
        <w:spacing w:after="0" w:line="9" w:lineRule="exact"/>
        <w:rPr>
          <w:sz w:val="20"/>
          <w:szCs w:val="20"/>
          <w:color w:val="auto"/>
        </w:rPr>
      </w:pPr>
    </w:p>
    <w:p>
      <w:pPr>
        <w:jc w:val="both"/>
        <w:ind w:left="8360"/>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Registration</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spacing w:after="0"/>
        <w:tabs>
          <w:tab w:leader="none" w:pos="3700" w:val="left"/>
          <w:tab w:leader="none" w:pos="8700" w:val="left"/>
          <w:tab w:leader="none" w:pos="101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Document Description</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7"/>
          <w:szCs w:val="17"/>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5715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280" w:right="2700" w:hanging="1045"/>
        <w:spacing w:after="0" w:line="255"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10.54</w:t>
      </w:r>
      <w:r>
        <w:rPr>
          <w:sz w:val="20"/>
          <w:szCs w:val="20"/>
          <w:color w:val="auto"/>
        </w:rPr>
        <w:tab/>
      </w:r>
      <w:hyperlink r:id="rId171">
        <w:r>
          <w:rPr>
            <w:rFonts w:ascii="Times New Roman" w:cs="Times New Roman" w:eastAsia="Times New Roman" w:hAnsi="Times New Roman"/>
            <w:sz w:val="18"/>
            <w:szCs w:val="18"/>
            <w:u w:val="single" w:color="auto"/>
            <w:color w:val="0000EE"/>
          </w:rPr>
          <w:t>Settlement Agreement, dated as of August 28, 2023, between Middlesex Water Company</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and 3M Company, filed as Exhibit 10.55 of the Company’s Quarterly Report on Form 10-Q</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for the quarterly period ended September 30,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10.55</w:t>
      </w:r>
      <w:r>
        <w:rPr>
          <w:sz w:val="20"/>
          <w:szCs w:val="20"/>
          <w:color w:val="auto"/>
        </w:rPr>
        <w:tab/>
      </w:r>
      <w:hyperlink r:id="rId172">
        <w:r>
          <w:rPr>
            <w:rFonts w:ascii="Times New Roman" w:cs="Times New Roman" w:eastAsia="Times New Roman" w:hAnsi="Times New Roman"/>
            <w:sz w:val="18"/>
            <w:szCs w:val="18"/>
            <w:u w:val="single" w:color="auto"/>
            <w:color w:val="0000EE"/>
          </w:rPr>
          <w:t>Consulting Agreement, dated March 1, 2024, between the Company and Dennis W. Doll,</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filed as Exhibit 99.4 of the Company’s Current Report on Form 8-K dated January 23,</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10.56</w:t>
      </w:r>
      <w:r>
        <w:rPr>
          <w:sz w:val="20"/>
          <w:szCs w:val="20"/>
          <w:color w:val="auto"/>
        </w:rPr>
        <w:tab/>
      </w:r>
      <w:hyperlink r:id="rId173">
        <w:r>
          <w:rPr>
            <w:rFonts w:ascii="Times New Roman" w:cs="Times New Roman" w:eastAsia="Times New Roman" w:hAnsi="Times New Roman"/>
            <w:sz w:val="18"/>
            <w:szCs w:val="18"/>
            <w:u w:val="single" w:color="auto"/>
            <w:color w:val="0000EE"/>
          </w:rPr>
          <w:t>Financing Agreement (Minos Conaway Project), dated May 17, 2024, between the</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Delaware Drinking Water State Revolving Fund, acting by and through the Delaware</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Department of Health and Social Services, Division of Public Health and Tidewater</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Utilities, Inc, filed as Exhibit 10.55 of the Company’s Quarterly Report on Form 10-Q for</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the quarter ended June 30, 2024.</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10.57</w:t>
      </w:r>
      <w:r>
        <w:rPr>
          <w:sz w:val="20"/>
          <w:szCs w:val="20"/>
          <w:color w:val="auto"/>
        </w:rPr>
        <w:tab/>
      </w:r>
      <w:hyperlink r:id="rId174">
        <w:r>
          <w:rPr>
            <w:rFonts w:ascii="Times New Roman" w:cs="Times New Roman" w:eastAsia="Times New Roman" w:hAnsi="Times New Roman"/>
            <w:sz w:val="18"/>
            <w:szCs w:val="18"/>
            <w:u w:val="single" w:color="auto"/>
            <w:color w:val="0000EE"/>
          </w:rPr>
          <w:t>Financing Agreement (Kendale Road Project), dated May 17, 2024, between the Delaware</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Drinking Water State Revolving Fund, acting by and through the Delaware Department of</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Health and Social Services, Division of Public Health and Tidewater Utilities, Inc., filed as</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Exhibit 10.56 of the Company’s Quarterly Report on Form 10-Q for the quarter ended June</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30, 2024.</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10.58</w:t>
      </w:r>
      <w:r>
        <w:rPr>
          <w:sz w:val="20"/>
          <w:szCs w:val="20"/>
          <w:color w:val="auto"/>
        </w:rPr>
        <w:tab/>
      </w:r>
      <w:hyperlink r:id="rId175">
        <w:r>
          <w:rPr>
            <w:rFonts w:ascii="Times New Roman" w:cs="Times New Roman" w:eastAsia="Times New Roman" w:hAnsi="Times New Roman"/>
            <w:sz w:val="18"/>
            <w:szCs w:val="18"/>
            <w:u w:val="single" w:color="auto"/>
            <w:color w:val="0000EE"/>
          </w:rPr>
          <w:t>Financing Agreement (Bethany Bay Project), dated May 17, 2024, between the Delaware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Drinking Water State Revolving Fund, acting by and through the Delaware Department of</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Health and Social Services, Division of Public Health and Tidewater Utilities, Inc, filed as</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Exhibit 10.57 of the Company’s Quarterly Report on Form 10-Q for the quarter ended June</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30, 2024.</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0"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10.59</w:t>
      </w:r>
      <w:r>
        <w:rPr>
          <w:sz w:val="20"/>
          <w:szCs w:val="20"/>
          <w:color w:val="auto"/>
        </w:rPr>
        <w:tab/>
      </w:r>
      <w:hyperlink r:id="rId176">
        <w:r>
          <w:rPr>
            <w:rFonts w:ascii="Times New Roman" w:cs="Times New Roman" w:eastAsia="Times New Roman" w:hAnsi="Times New Roman"/>
            <w:sz w:val="18"/>
            <w:szCs w:val="18"/>
            <w:u w:val="single" w:color="auto"/>
            <w:color w:val="0000EE"/>
          </w:rPr>
          <w:t>Financing Agreement (DelDOT – Lochmeath), dated May 17, 2024, between the Delaware</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Drinking Water State Revolving Fund, acting by and through the Delaware Department of</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Health and Social Services, Division of Public Health and Tidewater Utilities, Inc; filed as</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Exhibit 10.58 of the Company’s Quarterly Report on Form 10-Q for the quarter ended June</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30, 2024.</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280" w:right="2700" w:hanging="1045"/>
        <w:spacing w:after="0" w:line="253" w:lineRule="auto"/>
        <w:tabs>
          <w:tab w:leader="none" w:pos="12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10.60</w:t>
      </w:r>
      <w:r>
        <w:rPr>
          <w:sz w:val="20"/>
          <w:szCs w:val="20"/>
          <w:color w:val="auto"/>
        </w:rPr>
        <w:tab/>
      </w:r>
      <w:hyperlink r:id="rId177">
        <w:r>
          <w:rPr>
            <w:rFonts w:ascii="Times New Roman" w:cs="Times New Roman" w:eastAsia="Times New Roman" w:hAnsi="Times New Roman"/>
            <w:sz w:val="18"/>
            <w:szCs w:val="18"/>
            <w:u w:val="single" w:color="auto"/>
            <w:color w:val="0000EE"/>
          </w:rPr>
          <w:t>Financing Agreement (Lead and Copper Rule Service Lines Field Verifications Project),</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dated September 27, 2024, between the Delaware Drinking Water State Revolving Fund,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acting by and through the Delaware Department of Health and Social Services, Division of</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Public Health and Tidewater Utilities, Inc, filed as Exhibit 10.59 of the Company’s</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Quarterly Report on Form 10-Q for the quarter ended September 30, 2024.</w:t>
        </w:r>
      </w:hyperlink>
    </w:p>
    <w:p>
      <w:pPr>
        <w:spacing w:after="0" w:line="79" w:lineRule="exact"/>
        <w:rPr>
          <w:rFonts w:ascii="Times New Roman" w:cs="Times New Roman" w:eastAsia="Times New Roman" w:hAnsi="Times New Roman"/>
          <w:sz w:val="18"/>
          <w:szCs w:val="18"/>
          <w:u w:val="single" w:color="auto"/>
          <w:color w:val="0000EE"/>
        </w:rPr>
      </w:pPr>
    </w:p>
    <w:p>
      <w:pPr>
        <w:jc w:val="center"/>
        <w:ind w:right="2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740" w:top="549" w:right="5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27305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Previous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Filing’s</w:t>
      </w:r>
    </w:p>
    <w:p>
      <w:pPr>
        <w:spacing w:after="0" w:line="4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9" w:lineRule="exact"/>
        <w:rPr>
          <w:sz w:val="20"/>
          <w:szCs w:val="20"/>
          <w:color w:val="auto"/>
        </w:rPr>
      </w:pPr>
    </w:p>
    <w:p>
      <w:pPr>
        <w:sectPr>
          <w:pgSz w:w="11900" w:h="16838" w:orient="portrait"/>
          <w:cols w:equalWidth="0" w:num="4">
            <w:col w:w="3280" w:space="720"/>
            <w:col w:w="3720" w:space="720"/>
            <w:col w:w="1020" w:space="720"/>
            <w:col w:w="1060"/>
          </w:cols>
          <w:pgMar w:left="320" w:top="549" w:right="339" w:bottom="1440" w:gutter="0" w:footer="0" w:header="0"/>
          <w:type w:val="continuous"/>
        </w:sectPr>
      </w:pPr>
    </w:p>
    <w:p>
      <w:pPr>
        <w:ind w:left="1540" w:right="3100" w:hanging="853"/>
        <w:spacing w:after="0" w:line="258" w:lineRule="auto"/>
        <w:tabs>
          <w:tab w:leader="none" w:pos="1540" w:val="left"/>
        </w:tabs>
        <w:numPr>
          <w:ilvl w:val="0"/>
          <w:numId w:val="31"/>
        </w:numPr>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Middlesex Water Company Insider Trading Policy, filed as Exhibit 19 of the Company’s</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Annual Report on Form 10-K for the year ended December 31, 2023.</w:t>
        </w:r>
      </w:hyperlink>
    </w:p>
    <w:tbl>
      <w:tblPr>
        <w:tblLayout w:type="fixed"/>
        <w:tblInd w:w="580" w:type="dxa"/>
        <w:tblCellMar>
          <w:top w:w="0" w:type="dxa"/>
          <w:left w:w="0" w:type="dxa"/>
          <w:bottom w:w="0" w:type="dxa"/>
          <w:right w:w="0" w:type="dxa"/>
        </w:tblCellMar>
      </w:tblPr>
      <w:tr>
        <w:trPr>
          <w:trHeight w:val="176"/>
        </w:trPr>
        <w:tc>
          <w:tcPr>
            <w:tcW w:w="96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96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Middlesex Water Company Subsidiaries.</w:t>
            </w:r>
          </w:p>
        </w:tc>
        <w:tc>
          <w:tcPr>
            <w:tcW w:w="3660" w:type="dxa"/>
            <w:vAlign w:val="bottom"/>
            <w:gridSpan w:val="6"/>
          </w:tcPr>
          <w:p>
            <w:pPr>
              <w:spacing w:after="0"/>
              <w:rPr>
                <w:sz w:val="15"/>
                <w:szCs w:val="15"/>
                <w:color w:val="auto"/>
              </w:rPr>
            </w:pPr>
          </w:p>
        </w:tc>
      </w:tr>
      <w:tr>
        <w:trPr>
          <w:trHeight w:val="196"/>
        </w:trPr>
        <w:tc>
          <w:tcPr>
            <w:tcW w:w="960" w:type="dxa"/>
            <w:vAlign w:val="bottom"/>
          </w:tcPr>
          <w:p>
            <w:pPr>
              <w:jc w:val="center"/>
              <w:ind w:right="470"/>
              <w:spacing w:after="0" w:line="196" w:lineRule="exact"/>
              <w:rPr>
                <w:sz w:val="20"/>
                <w:szCs w:val="20"/>
                <w:color w:val="auto"/>
              </w:rPr>
            </w:pPr>
            <w:r>
              <w:rPr>
                <w:rFonts w:ascii="Times New Roman" w:cs="Times New Roman" w:eastAsia="Times New Roman" w:hAnsi="Times New Roman"/>
                <w:sz w:val="18"/>
                <w:szCs w:val="18"/>
                <w:color w:val="auto"/>
                <w:w w:val="98"/>
              </w:rPr>
              <w:t>*23.1</w:t>
            </w:r>
          </w:p>
        </w:tc>
        <w:tc>
          <w:tcPr>
            <w:tcW w:w="6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 Baker Tilly US, LLP.</w:t>
            </w:r>
          </w:p>
        </w:tc>
      </w:tr>
      <w:tr>
        <w:trPr>
          <w:trHeight w:val="20"/>
        </w:trPr>
        <w:tc>
          <w:tcPr>
            <w:tcW w:w="9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Pr>
          <w:p>
            <w:pPr>
              <w:jc w:val="center"/>
              <w:ind w:right="47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by Nadine Leslie pursuant to Rules 13a-14 and 15d-14 of the</w:t>
            </w:r>
          </w:p>
        </w:tc>
      </w:tr>
      <w:tr>
        <w:trPr>
          <w:trHeight w:val="196"/>
        </w:trPr>
        <w:tc>
          <w:tcPr>
            <w:tcW w:w="960" w:type="dxa"/>
            <w:vAlign w:val="bottom"/>
          </w:tcPr>
          <w:p>
            <w:pPr>
              <w:spacing w:after="0"/>
              <w:rPr>
                <w:sz w:val="17"/>
                <w:szCs w:val="17"/>
                <w:color w:val="auto"/>
              </w:rPr>
            </w:pPr>
          </w:p>
        </w:tc>
        <w:tc>
          <w:tcPr>
            <w:tcW w:w="66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w:t>
            </w:r>
          </w:p>
        </w:tc>
        <w:tc>
          <w:tcPr>
            <w:tcW w:w="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960" w:type="dxa"/>
            <w:vAlign w:val="bottom"/>
          </w:tcPr>
          <w:p>
            <w:pPr>
              <w:jc w:val="center"/>
              <w:ind w:right="47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6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by Mohammed G. Zerhouni pursuant to Rules 13a-14 and 15d-</w:t>
            </w:r>
          </w:p>
        </w:tc>
      </w:tr>
      <w:tr>
        <w:trPr>
          <w:trHeight w:val="196"/>
        </w:trPr>
        <w:tc>
          <w:tcPr>
            <w:tcW w:w="960" w:type="dxa"/>
            <w:vAlign w:val="bottom"/>
          </w:tcPr>
          <w:p>
            <w:pPr>
              <w:spacing w:after="0"/>
              <w:rPr>
                <w:sz w:val="17"/>
                <w:szCs w:val="17"/>
                <w:color w:val="auto"/>
              </w:rPr>
            </w:pPr>
          </w:p>
        </w:tc>
        <w:tc>
          <w:tcPr>
            <w:tcW w:w="66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14 of the Securities Exchange Act of 1934.</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960" w:type="dxa"/>
            <w:vAlign w:val="bottom"/>
          </w:tcPr>
          <w:p>
            <w:pPr>
              <w:jc w:val="center"/>
              <w:ind w:right="47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Section 906</w:t>
            </w:r>
          </w:p>
        </w:tc>
        <w:tc>
          <w:tcPr>
            <w:tcW w:w="574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by Nadine Leslie pursuant to 18 U.S.C.§1350.</w:t>
            </w:r>
          </w:p>
        </w:tc>
      </w:tr>
      <w:tr>
        <w:trPr>
          <w:trHeight w:val="20"/>
        </w:trPr>
        <w:tc>
          <w:tcPr>
            <w:tcW w:w="9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196"/>
        </w:trPr>
        <w:tc>
          <w:tcPr>
            <w:tcW w:w="960" w:type="dxa"/>
            <w:vAlign w:val="bottom"/>
          </w:tcPr>
          <w:p>
            <w:pPr>
              <w:jc w:val="center"/>
              <w:ind w:right="47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Section 906</w:t>
            </w:r>
          </w:p>
        </w:tc>
        <w:tc>
          <w:tcPr>
            <w:tcW w:w="51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Certification by Mohammed G. Zerhouni pursuant to 18 U.S.C.§1350.</w:t>
            </w:r>
          </w:p>
        </w:tc>
        <w:tc>
          <w:tcPr>
            <w:tcW w:w="640" w:type="dxa"/>
            <w:vAlign w:val="bottom"/>
            <w:gridSpan w:val="2"/>
          </w:tcPr>
          <w:p>
            <w:pPr>
              <w:spacing w:after="0"/>
              <w:rPr>
                <w:sz w:val="17"/>
                <w:szCs w:val="17"/>
                <w:color w:val="auto"/>
              </w:rPr>
            </w:pPr>
          </w:p>
        </w:tc>
      </w:tr>
    </w:tbl>
    <w:p>
      <w:pPr>
        <w:spacing w:after="0" w:line="9" w:lineRule="exact"/>
        <w:rPr>
          <w:rFonts w:ascii="Times New Roman" w:cs="Times New Roman" w:eastAsia="Times New Roman" w:hAnsi="Times New Roman"/>
          <w:sz w:val="18"/>
          <w:szCs w:val="18"/>
          <w:color w:val="auto"/>
        </w:rPr>
      </w:pPr>
    </w:p>
    <w:p>
      <w:pPr>
        <w:ind w:left="1540" w:hanging="853"/>
        <w:spacing w:after="0"/>
        <w:tabs>
          <w:tab w:leader="none" w:pos="1540" w:val="left"/>
        </w:tabs>
        <w:numPr>
          <w:ilvl w:val="0"/>
          <w:numId w:val="32"/>
        </w:numPr>
        <w:rPr>
          <w:rFonts w:ascii="Times New Roman" w:cs="Times New Roman" w:eastAsia="Times New Roman" w:hAnsi="Times New Roman"/>
          <w:sz w:val="18"/>
          <w:szCs w:val="18"/>
          <w:u w:val="single" w:color="auto"/>
          <w:color w:val="0000EE"/>
        </w:rPr>
      </w:pPr>
      <w:hyperlink r:id="rId181">
        <w:r>
          <w:rPr>
            <w:rFonts w:ascii="Times New Roman" w:cs="Times New Roman" w:eastAsia="Times New Roman" w:hAnsi="Times New Roman"/>
            <w:sz w:val="18"/>
            <w:szCs w:val="18"/>
            <w:u w:val="single" w:color="auto"/>
            <w:color w:val="0000EE"/>
          </w:rPr>
          <w:t>Middlesex Water Company Incentive-Based Award Clawback Policy, filed as Exhibit 97 of</w:t>
        </w:r>
      </w:hyperlink>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9700" w:type="dxa"/>
            <w:vAlign w:val="bottom"/>
            <w:gridSpan w:val="2"/>
          </w:tcPr>
          <w:p>
            <w:pPr>
              <w:spacing w:after="0" w:line="203"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the Company’s Annual Report on Form 10-K for the year ended December 31, 2023.</w:t>
              </w:r>
            </w:hyperlink>
          </w:p>
        </w:tc>
      </w:tr>
      <w:tr>
        <w:trPr>
          <w:trHeight w:val="20"/>
        </w:trPr>
        <w:tc>
          <w:tcPr>
            <w:tcW w:w="1540" w:type="dxa"/>
            <w:vAlign w:val="bottom"/>
          </w:tcPr>
          <w:p>
            <w:pPr>
              <w:spacing w:after="0" w:line="20" w:lineRule="exact"/>
              <w:rPr>
                <w:sz w:val="1"/>
                <w:szCs w:val="1"/>
                <w:color w:val="auto"/>
              </w:rPr>
            </w:pPr>
          </w:p>
        </w:tc>
        <w:tc>
          <w:tcPr>
            <w:tcW w:w="6120" w:type="dxa"/>
            <w:vAlign w:val="bottom"/>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18"/>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w:t>
            </w:r>
          </w:p>
        </w:tc>
      </w:tr>
      <w:tr>
        <w:trPr>
          <w:trHeight w:val="216"/>
        </w:trPr>
        <w:tc>
          <w:tcPr>
            <w:tcW w:w="154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61"/>
        </w:trPr>
        <w:tc>
          <w:tcPr>
            <w:tcW w:w="154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color w:val="auto"/>
              </w:rPr>
              <w:t>84</w:t>
            </w: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type w:val="continuous"/>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10.26(g)</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-119380</wp:posOffset>
            </wp:positionV>
            <wp:extent cx="994410" cy="454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2">
                      <a:extLst>
                        <a:ext uri="{28A0092B-C50C-407E-A947-70E740481C1C}"/>
                      </a:extLst>
                    </a:blip>
                    <a:srcRect/>
                    <a:stretch>
                      <a:fillRect/>
                    </a:stretch>
                  </pic:blipFill>
                  <pic:spPr bwMode="auto">
                    <a:xfrm>
                      <a:off x="0" y="0"/>
                      <a:ext cx="994410" cy="4540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PINELANDS WASTEWATER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PINELANDS WATER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WHITE MARSH ENVIRONMENTAL SYSTEMS,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485C US HIGHWAY 1 S, STE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 08830-3037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TIDEWATER UTILITIES,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 08830-0452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UTILITY SERVICE AFFILIATES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UTILITY SERVICE AFFILIATES (PERTH AMBOY)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 RONSON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 08830-3049</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Renewal of Expiration Date for that certain Revolving Line of Credit in the original maximum principal amount of $68,000,000.00 (“</w:t>
      </w:r>
      <w:r>
        <w:rPr>
          <w:rFonts w:ascii="Times New Roman" w:cs="Times New Roman" w:eastAsia="Times New Roman" w:hAnsi="Times New Roman"/>
          <w:sz w:val="18"/>
          <w:szCs w:val="18"/>
          <w:b w:val="1"/>
          <w:bCs w:val="1"/>
          <w:color w:val="auto"/>
        </w:rPr>
        <w:t>Line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extended by PNC Bank, National Association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b w:val="1"/>
          <w:bCs w:val="1"/>
          <w:color w:val="auto"/>
        </w:rPr>
        <w:t xml:space="preserve"> MIDDLESEX WATER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PINELANDS WASTEWATER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PINELANDS WATER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TIDEWATER UTILITIES,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UTILITY SERVICE AFFILIATES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WHITE MARSH ENVIRONMENTAL SYSTEMS, INC.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UTILITY SERVICE AFFILIATES (PERTH AMBOY) INC. </w:t>
      </w:r>
      <w:r>
        <w:rPr>
          <w:rFonts w:ascii="Times New Roman" w:cs="Times New Roman" w:eastAsia="Times New Roman" w:hAnsi="Times New Roman"/>
          <w:sz w:val="18"/>
          <w:szCs w:val="18"/>
          <w:color w:val="auto"/>
        </w:rPr>
        <w:t>(individually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ectPr>
          <w:pgSz w:w="11900" w:h="16838" w:orient="portrait"/>
          <w:cols w:equalWidth="0" w:num="2">
            <w:col w:w="260" w:space="440"/>
            <w:col w:w="105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Dear Customer: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pleased to inform you that the Line of Credit has been renewed. The Expiration Date of the Line of Credit, as set forth in that certain promissory note executed and delivered by the Borrower to the Bank dated March 17, 2023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and/or that certain loan agreement, as applicable, governing the Line of Credit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has been extended from January 31, 2026 to January 31, 2027, or such later date as may, in the Bank’s sole discretion, be designated by the Bank by written notice from the Bank to the Borrower, effective on February 1, 2026. All sums due under the Note, the Loan Agreement or any related documents, instruments, and agreements (collectively as amended from time to time,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shall be due and payable on the Expiration Date, as extended hereby. All other terms and conditions of the Loan Documents governing the Line of Credit remain in full force and effect.</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7F-1 – Multistate Rev.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10.26(g)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MIDDLESEX WATER COMPANY ET 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has been a pleasure working with you and I look forward to a continued successful relationship. Thank you again for your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Virginia Alling</w:t>
            </w:r>
          </w:p>
        </w:tc>
      </w:tr>
      <w:tr>
        <w:trPr>
          <w:trHeight w:val="191"/>
        </w:trPr>
        <w:tc>
          <w:tcPr>
            <w:tcW w:w="66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Virginia Alling</w:t>
            </w:r>
          </w:p>
        </w:tc>
      </w:t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7F-1 – Multistate Rev.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9" w:name="page90"/>
    <w:bookmarkEnd w:id="89"/>
    <w:p>
      <w:pPr>
        <w:ind w:left="10220"/>
        <w:spacing w:after="0"/>
        <w:rPr>
          <w:sz w:val="20"/>
          <w:szCs w:val="20"/>
          <w:color w:val="auto"/>
        </w:rPr>
      </w:pPr>
      <w:r>
        <w:rPr>
          <w:rFonts w:ascii="Times New Roman" w:cs="Times New Roman" w:eastAsia="Times New Roman" w:hAnsi="Times New Roman"/>
          <w:sz w:val="18"/>
          <w:szCs w:val="18"/>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6888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5">
                      <a:extLst>
                        <a:ext uri="{28A0092B-C50C-407E-A947-70E740481C1C}"/>
                      </a:extLst>
                    </a:blip>
                    <a:srcRect/>
                    <a:stretch>
                      <a:fillRect/>
                    </a:stretch>
                  </pic:blipFill>
                  <pic:spPr bwMode="auto">
                    <a:xfrm>
                      <a:off x="0" y="0"/>
                      <a:ext cx="2468880" cy="24892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 UNCOMMITTED LOAN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January 24, 2025, is between Bank of America, N.A.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and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(individually and collectively,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Bank and the Borrower entered into a certain Uncommitted Loan Agreement dated as of January 28, 2021 (together with any previous amendments,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Bank and the Borrower desire to amend the Agreement. This Amendment shall be effective on January 24, 2025, subject to any conditions stated in this 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1160" w:hanging="504"/>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in this Amendment shall have the meaning given to them in the Agreement.</w:t>
      </w:r>
    </w:p>
    <w:p>
      <w:pPr>
        <w:spacing w:after="0" w:line="22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Agreement is hereby amended as follows: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In Paragraph 2.2 the date “January 24, 2025” is changed to “January 23, 2026”.</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Paragraph 2.4(b) is amended to read in its entirety as follows: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“(b) A “</w:t>
      </w:r>
      <w:r>
        <w:rPr>
          <w:rFonts w:ascii="Times New Roman" w:cs="Times New Roman" w:eastAsia="Times New Roman" w:hAnsi="Times New Roman"/>
          <w:sz w:val="18"/>
          <w:szCs w:val="18"/>
          <w:u w:val="single" w:color="auto"/>
          <w:color w:val="auto"/>
        </w:rPr>
        <w:t>Daily SOFR Loan</w:t>
      </w:r>
      <w:r>
        <w:rPr>
          <w:rFonts w:ascii="Times New Roman" w:cs="Times New Roman" w:eastAsia="Times New Roman" w:hAnsi="Times New Roman"/>
          <w:sz w:val="18"/>
          <w:szCs w:val="18"/>
          <w:color w:val="auto"/>
        </w:rPr>
        <w:t>” is a Loan that bears interest equal to Daily SOFR plus 1.25 percentage points. Daily SOFR is a fluctuating rate of interest which can change on each banking day. “</w:t>
      </w:r>
      <w:r>
        <w:rPr>
          <w:rFonts w:ascii="Times New Roman" w:cs="Times New Roman" w:eastAsia="Times New Roman" w:hAnsi="Times New Roman"/>
          <w:sz w:val="18"/>
          <w:szCs w:val="18"/>
          <w:u w:val="single" w:color="auto"/>
          <w:color w:val="auto"/>
        </w:rPr>
        <w:t>Daily SOFR</w:t>
      </w:r>
      <w:r>
        <w:rPr>
          <w:rFonts w:ascii="Times New Roman" w:cs="Times New Roman" w:eastAsia="Times New Roman" w:hAnsi="Times New Roman"/>
          <w:sz w:val="18"/>
          <w:szCs w:val="18"/>
          <w:color w:val="auto"/>
        </w:rPr>
        <w:t>” means the rate per annum equal to SOFR determined for any day pursuant to the definition thereof. Any change in Daily SOFR shall be effective from and including the date of such change without further notice. At any time Daily SOFR is less than zero, such rate shall be deemed to be zero for the purposes of this Agreement. For purposes of this paragraph only:</w:t>
      </w:r>
    </w:p>
    <w:p>
      <w:pPr>
        <w:spacing w:after="0" w:line="183" w:lineRule="exact"/>
        <w:rPr>
          <w:sz w:val="20"/>
          <w:szCs w:val="20"/>
          <w:color w:val="auto"/>
        </w:rPr>
      </w:pPr>
    </w:p>
    <w:p>
      <w:pPr>
        <w:jc w:val="both"/>
        <w:ind w:left="1960" w:hanging="8"/>
        <w:spacing w:after="0" w:line="258" w:lineRule="auto"/>
        <w:tabs>
          <w:tab w:leader="none" w:pos="26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for any determination date, the Secured Overnight Financing Rate published on the second U.S. Government Securities Business Day preceding such date by the SOFR Administrator on the Federal Reserve Bank of New York’s website (or any successor source); provided, however, that if such determination date is not a U.S. Government Securities Business Day, then SOFR means such rate that applied on the first U.S. Government Securities Business Day immediately prior thereto.</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10.27(e)</w:t>
      </w:r>
    </w:p>
    <w:p>
      <w:pPr>
        <w:spacing w:after="0" w:line="117" w:lineRule="exact"/>
        <w:rPr>
          <w:sz w:val="20"/>
          <w:szCs w:val="20"/>
          <w:color w:val="auto"/>
        </w:rPr>
      </w:pPr>
    </w:p>
    <w:p>
      <w:pPr>
        <w:jc w:val="both"/>
        <w:ind w:left="1300" w:hanging="8"/>
        <w:spacing w:after="0" w:line="266" w:lineRule="auto"/>
        <w:tabs>
          <w:tab w:leader="none" w:pos="19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w:t>
      </w:r>
    </w:p>
    <w:p>
      <w:pPr>
        <w:spacing w:after="0" w:line="175" w:lineRule="exact"/>
        <w:rPr>
          <w:rFonts w:ascii="Times New Roman" w:cs="Times New Roman" w:eastAsia="Times New Roman" w:hAnsi="Times New Roman"/>
          <w:sz w:val="18"/>
          <w:szCs w:val="18"/>
          <w:color w:val="auto"/>
        </w:rPr>
      </w:pPr>
    </w:p>
    <w:p>
      <w:pPr>
        <w:jc w:val="both"/>
        <w:ind w:left="1300" w:hanging="8"/>
        <w:spacing w:after="0" w:line="261" w:lineRule="auto"/>
        <w:tabs>
          <w:tab w:leader="none" w:pos="2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banking day, except any banking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Paragraph 2.4(c) is amended to read in its entirety as follows:</w:t>
      </w:r>
    </w:p>
    <w:p>
      <w:pPr>
        <w:spacing w:after="0" w:line="225"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“(c) A “</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is a Loan that bears interest equal to Term SOFR plus 1.25 percentage points. No more than ten (10) Term SOFR Loans may be outstanding at any one time.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any applicable interest period, the rate per annum equal to the Term SOFR Screen Rate two (2) U.S. Government Securities Business Days prior to the commencement of such interest period with a term equivalent to such interest period; provided that if the rate is not published prior to 11:00 a.m. Eastern time on such determination date then Term SOFR means the Term SOFR Screen Rate on the first U.S. Government Securities Business Day immediately prior thereto. If at any time Term SOFR is less than zero, such rate shall be deemed to be zero for purposes of this Agreement.” For purposes of this paragraph only:</w:t>
      </w:r>
    </w:p>
    <w:p>
      <w:pPr>
        <w:spacing w:after="0" w:line="189" w:lineRule="exact"/>
        <w:rPr>
          <w:sz w:val="20"/>
          <w:szCs w:val="20"/>
          <w:color w:val="auto"/>
        </w:rPr>
      </w:pPr>
    </w:p>
    <w:p>
      <w:pPr>
        <w:ind w:left="1780" w:hanging="488"/>
        <w:spacing w:after="0"/>
        <w:tabs>
          <w:tab w:leader="none" w:pos="17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rFonts w:ascii="Times New Roman" w:cs="Times New Roman" w:eastAsia="Times New Roman" w:hAnsi="Times New Roman"/>
          <w:sz w:val="18"/>
          <w:szCs w:val="18"/>
          <w:color w:val="auto"/>
        </w:rPr>
      </w:pPr>
    </w:p>
    <w:p>
      <w:pPr>
        <w:ind w:left="1300" w:hanging="8"/>
        <w:spacing w:after="0" w:line="282" w:lineRule="auto"/>
        <w:tabs>
          <w:tab w:leader="none" w:pos="1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161" w:lineRule="exact"/>
        <w:rPr>
          <w:rFonts w:ascii="Times New Roman" w:cs="Times New Roman" w:eastAsia="Times New Roman" w:hAnsi="Times New Roman"/>
          <w:sz w:val="18"/>
          <w:szCs w:val="18"/>
          <w:color w:val="auto"/>
        </w:rPr>
      </w:pPr>
    </w:p>
    <w:p>
      <w:pPr>
        <w:jc w:val="both"/>
        <w:ind w:left="1300" w:hanging="8"/>
        <w:spacing w:after="0" w:line="266" w:lineRule="auto"/>
        <w:tabs>
          <w:tab w:leader="none" w:pos="20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Screen Rate” means the forward-looking SOFR term rate administered by CME (or any successor administrator satisfactory to the Bank) and published on the applicable Reuters screen page (or such other commercially available source providing such quotations as may be designated by the Bank from time to time).</w:t>
      </w:r>
    </w:p>
    <w:p>
      <w:pPr>
        <w:spacing w:after="0" w:line="175" w:lineRule="exact"/>
        <w:rPr>
          <w:rFonts w:ascii="Times New Roman" w:cs="Times New Roman" w:eastAsia="Times New Roman" w:hAnsi="Times New Roman"/>
          <w:sz w:val="18"/>
          <w:szCs w:val="18"/>
          <w:color w:val="auto"/>
        </w:rPr>
      </w:pPr>
    </w:p>
    <w:p>
      <w:pPr>
        <w:jc w:val="both"/>
        <w:ind w:left="1300" w:hanging="8"/>
        <w:spacing w:after="0" w:line="261" w:lineRule="auto"/>
        <w:tabs>
          <w:tab w:leader="none" w:pos="2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 means any banking day, except any banking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28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10.27(e)</w:t>
      </w:r>
    </w:p>
    <w:p>
      <w:pPr>
        <w:spacing w:after="0" w:line="117" w:lineRule="exact"/>
        <w:rPr>
          <w:sz w:val="20"/>
          <w:szCs w:val="20"/>
          <w:color w:val="auto"/>
        </w:rPr>
      </w:pPr>
    </w:p>
    <w:p>
      <w:pPr>
        <w:jc w:val="both"/>
        <w:ind w:firstLine="656"/>
        <w:spacing w:after="0" w:line="253"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(2) a plan or account subject to Section 4975 of the Internal Revenue Code of 1986 (the “Code”); (3) an entity deemed to hold “plan assets” of any such plans or accounts for purposes of ERISA or the Code; or (4) a “governmental plan” within the meaning of ERISA.</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The effectiveness of this Amendment is conditioned upon the Bank’s receipt of the following items, in form and content acceptable to the Bank:</w:t>
      </w:r>
    </w:p>
    <w:p>
      <w:pPr>
        <w:spacing w:after="0" w:line="16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A fully executed counterpart of this Amendment from the Borrower in form satisfactory to the Bank.</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KYC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52"/>
        <w:spacing w:after="0" w:line="266" w:lineRule="auto"/>
        <w:tabs>
          <w:tab w:leader="none" w:pos="25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Bank, the Borrower shall have provided to the Bank, and the Bank shall be reasonably satisfied with, the documentation and other information so requested in connection with applicable “know your customer” and anti-money-laundering rules and regulations, including, without limitation, the PATRIOT Act.</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4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qualifies as a “legal entity customer” under the Beneficial Ownership Regulation, it shall have provided a Beneficial Ownership Certification to the Bank if so requested.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4.3 Evidence that the execution, delivery and performance by the Borrower of this Amendment and any instrument or agreement required under this Amendment have been duly authorized.</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4.4 Payment by the Borrower of all costs, expenses and attorneys’ fees (including allocated costs for in-house legal services) incurred by the Bank in connection with this Amendment.</w:t>
      </w:r>
    </w:p>
    <w:p>
      <w:pPr>
        <w:spacing w:after="0" w:line="162" w:lineRule="exact"/>
        <w:rPr>
          <w:sz w:val="20"/>
          <w:szCs w:val="20"/>
          <w:color w:val="auto"/>
        </w:rPr>
      </w:pPr>
    </w:p>
    <w:p>
      <w:pPr>
        <w:ind w:firstLine="656"/>
        <w:spacing w:after="0" w:line="282" w:lineRule="auto"/>
        <w:tabs>
          <w:tab w:leader="none" w:pos="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Except as provided in this Amendment, all of the terms and conditions of the Agreement, including but not limited to any Waiver of Jury Trial or Dispute Resolution Provision contained therein, shall remain in full force and effect.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10.27(e)</w:t>
      </w:r>
    </w:p>
    <w:p>
      <w:pPr>
        <w:spacing w:after="0" w:line="117" w:lineRule="exact"/>
        <w:rPr>
          <w:sz w:val="20"/>
          <w:szCs w:val="20"/>
          <w:color w:val="auto"/>
        </w:rPr>
      </w:pPr>
    </w:p>
    <w:p>
      <w:pPr>
        <w:jc w:val="both"/>
        <w:ind w:firstLine="656"/>
        <w:spacing w:after="0" w:line="252" w:lineRule="auto"/>
        <w:tabs>
          <w:tab w:leader="none" w:pos="8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Records and Signatures</w:t>
      </w:r>
      <w:r>
        <w:rPr>
          <w:rFonts w:ascii="Times New Roman" w:cs="Times New Roman" w:eastAsia="Times New Roman" w:hAnsi="Times New Roman"/>
          <w:sz w:val="18"/>
          <w:szCs w:val="18"/>
          <w:color w:val="auto"/>
        </w:rPr>
        <w:t>. This Amendment and any document, amendment, approval, consent, information, notice, certificate, request, statement, disclosure or authorization related to this Amendment (each a “</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spacing w:after="0" w:line="186" w:lineRule="exact"/>
        <w:rPr>
          <w:rFonts w:ascii="Times New Roman" w:cs="Times New Roman" w:eastAsia="Times New Roman" w:hAnsi="Times New Roman"/>
          <w:sz w:val="18"/>
          <w:szCs w:val="18"/>
          <w:color w:val="auto"/>
        </w:rPr>
      </w:pPr>
    </w:p>
    <w:p>
      <w:pPr>
        <w:jc w:val="both"/>
        <w:ind w:firstLine="656"/>
        <w:spacing w:after="0" w:line="263" w:lineRule="auto"/>
        <w:tabs>
          <w:tab w:leader="none" w:pos="88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FINAL AGREEMENT</w:t>
      </w:r>
      <w:r>
        <w:rPr>
          <w:rFonts w:ascii="Times New Roman" w:cs="Times New Roman" w:eastAsia="Times New Roman" w:hAnsi="Times New Roman"/>
          <w:sz w:val="18"/>
          <w:szCs w:val="18"/>
          <w:b w:val="1"/>
          <w:bCs w:val="1"/>
          <w:color w:val="auto"/>
        </w:rPr>
        <w:t>. BY SIGNING THIS DOCUMENT EACH PARTY REPRESENTS AND AGREES THAT: (A) THIS DOCUMENT REPRESENTS THE FINAL AGREEMENT BETWEEN PARTIES WITH RESPECT TO THE SUBJECT MATTER HEREOF,</w:t>
      </w:r>
    </w:p>
    <w:p>
      <w:pPr>
        <w:jc w:val="both"/>
        <w:ind w:firstLine="8"/>
        <w:spacing w:after="0" w:line="253" w:lineRule="auto"/>
        <w:tabs>
          <w:tab w:leader="none" w:pos="2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ind w:left="10060"/>
        <w:spacing w:after="0"/>
        <w:rPr>
          <w:sz w:val="20"/>
          <w:szCs w:val="20"/>
          <w:color w:val="auto"/>
        </w:rPr>
      </w:pPr>
      <w:r>
        <w:rPr>
          <w:rFonts w:ascii="Times New Roman" w:cs="Times New Roman" w:eastAsia="Times New Roman" w:hAnsi="Times New Roman"/>
          <w:sz w:val="17"/>
          <w:szCs w:val="17"/>
          <w:color w:val="auto"/>
        </w:rPr>
        <w:t>Exhibit 10.27(e)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executed this Amendment as of the date stated at the beginning of this Amendment, intending to create an instrument executed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Dilcia P.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Dilcia P. Hill, Senior Vice President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SVP, 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Utilities,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Marsh Environmental Systems,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Pinelands Water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Pinelands Wastewater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Service Affiliates,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Utility Service Affiliates (Perth Amboy)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2057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G. Zerhouni, Vice President and Treasurer</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10.27(e)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Address where notices to</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Address where notices to</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the Bank are to be sent:</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the Borrower are to be sent:</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Dilcia P. Hill</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Middlesex Water Company</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485 C Route 1 South, Suite 400, Iselin NJ</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Commercial Credit Officer</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08830-3020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Global Commercial Banking</w:t>
            </w:r>
          </w:p>
        </w:tc>
        <w:tc>
          <w:tcPr>
            <w:tcW w:w="68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Attention: Mohammed G. Zerhouni</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68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NJ7-550-04-02, 194 Wood Ave. South, Iselin,</w:t>
            </w:r>
          </w:p>
        </w:tc>
        <w:tc>
          <w:tcPr>
            <w:tcW w:w="68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NJ 08830</w:t>
            </w:r>
          </w:p>
        </w:tc>
        <w:tc>
          <w:tcPr>
            <w:tcW w:w="6840" w:type="dxa"/>
            <w:vAlign w:val="bottom"/>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 732 321 5925   F 212 230 8577</w:t>
            </w:r>
          </w:p>
        </w:tc>
        <w:tc>
          <w:tcPr>
            <w:tcW w:w="684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dilcia.p.hill@bofa.com</w:t>
            </w:r>
          </w:p>
        </w:tc>
        <w:tc>
          <w:tcPr>
            <w:tcW w:w="6840" w:type="dxa"/>
            <w:vAlign w:val="bottom"/>
          </w:tcPr>
          <w:p>
            <w:pPr>
              <w:spacing w:after="0"/>
              <w:rPr>
                <w:sz w:val="20"/>
                <w:szCs w:val="20"/>
                <w:color w:val="auto"/>
              </w:rPr>
            </w:pPr>
          </w:p>
        </w:tc>
      </w:tr>
      <w:tr>
        <w:trPr>
          <w:trHeight w:val="344"/>
        </w:trPr>
        <w:tc>
          <w:tcPr>
            <w:tcW w:w="44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229"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340" w:type="dxa"/>
            <w:vAlign w:val="bottom"/>
            <w:gridSpan w:val="2"/>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w w:val="99"/>
              </w:rPr>
              <w:t>Middlesex Water Company</w:t>
            </w:r>
          </w:p>
        </w:tc>
      </w:tr>
      <w:tr>
        <w:trPr>
          <w:trHeight w:val="432"/>
        </w:trPr>
        <w:tc>
          <w:tcPr>
            <w:tcW w:w="3900" w:type="dxa"/>
            <w:vAlign w:val="bottom"/>
          </w:tcPr>
          <w:p>
            <w:pPr>
              <w:spacing w:after="0"/>
              <w:rPr>
                <w:sz w:val="24"/>
                <w:szCs w:val="24"/>
                <w:color w:val="auto"/>
              </w:rPr>
            </w:pPr>
          </w:p>
        </w:tc>
        <w:tc>
          <w:tcPr>
            <w:tcW w:w="7340" w:type="dxa"/>
            <w:vAlign w:val="bottom"/>
            <w:gridSpan w:val="2"/>
          </w:tcPr>
          <w:p>
            <w:pPr>
              <w:jc w:val="center"/>
              <w:ind w:right="379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414"/>
        </w:trPr>
        <w:tc>
          <w:tcPr>
            <w:tcW w:w="39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w:t>
            </w:r>
          </w:p>
        </w:tc>
      </w:tr>
      <w:tr>
        <w:trPr>
          <w:trHeight w:val="234"/>
        </w:trPr>
        <w:tc>
          <w:tcPr>
            <w:tcW w:w="3900" w:type="dxa"/>
            <w:vAlign w:val="bottom"/>
            <w:tcBorders>
              <w:bottom w:val="single" w:sz="8" w:color="CCEEFF"/>
            </w:tcBorders>
          </w:tcPr>
          <w:p>
            <w:pPr>
              <w:spacing w:after="0"/>
              <w:rPr>
                <w:sz w:val="20"/>
                <w:szCs w:val="20"/>
                <w:color w:val="auto"/>
              </w:rPr>
            </w:pPr>
          </w:p>
        </w:tc>
        <w:tc>
          <w:tcPr>
            <w:tcW w:w="4320" w:type="dxa"/>
            <w:vAlign w:val="bottom"/>
            <w:tcBorders>
              <w:bottom w:val="single" w:sz="8" w:color="CCEEFF"/>
            </w:tcBorders>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r>
      <w:tr>
        <w:trPr>
          <w:trHeight w:val="209"/>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Tidewater Utilities, Inc.</w:t>
            </w:r>
          </w:p>
        </w:tc>
        <w:tc>
          <w:tcPr>
            <w:tcW w:w="43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Pinelands Water Company</w:t>
            </w:r>
          </w:p>
        </w:tc>
        <w:tc>
          <w:tcPr>
            <w:tcW w:w="43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Pinelands Wastewater Company</w:t>
            </w:r>
          </w:p>
        </w:tc>
        <w:tc>
          <w:tcPr>
            <w:tcW w:w="43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Utility Service Affiliates (Perth Amboy) Inc.</w:t>
            </w:r>
          </w:p>
        </w:tc>
        <w:tc>
          <w:tcPr>
            <w:tcW w:w="43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Service Affiliates, Inc.</w:t>
            </w:r>
          </w:p>
        </w:tc>
        <w:tc>
          <w:tcPr>
            <w:tcW w:w="43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Twin Lakes Utilities, Inc.</w:t>
            </w:r>
          </w:p>
        </w:tc>
        <w:tc>
          <w:tcPr>
            <w:tcW w:w="43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596"/>
        </w:trPr>
        <w:tc>
          <w:tcPr>
            <w:tcW w:w="39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(File No. 333-266482) and Form S-8 (File No. 333-156269) of Middlesex Water Company of our report dated February 28, 2025, relating to the consolidated financial statements and the effectiveness of internal control over financial reporting, which appears in this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 Tilly US,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Nadine Leslie,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Middlesex Water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1300" w:right="140" w:hanging="320"/>
        <w:spacing w:after="0" w:line="266"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Nadine Leslie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Mohammed G. Zerhouni,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Middlesex Water Company;</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1300" w:right="1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Nadine Leslie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0" w:lineRule="exact"/>
        <w:rPr>
          <w:sz w:val="20"/>
          <w:szCs w:val="20"/>
          <w:color w:val="auto"/>
        </w:rPr>
      </w:pPr>
    </w:p>
    <w:p>
      <w:pPr>
        <w:spacing w:after="0" w:line="24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Mohammed G. Zerhouni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2025</w:t>
      </w:r>
    </w:p>
    <w:p>
      <w:pPr>
        <w:spacing w:after="0" w:line="200" w:lineRule="exact"/>
        <w:rPr>
          <w:sz w:val="20"/>
          <w:szCs w:val="20"/>
          <w:color w:val="auto"/>
        </w:rPr>
      </w:pPr>
    </w:p>
    <w:p>
      <w:pPr>
        <w:spacing w:after="0" w:line="24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2"/>
    </w:lvl>
  </w:abstractNum>
  <w:abstractNum w:abstractNumId="19">
    <w:nsid w:val="737B8DDC"/>
    <w:multiLevelType w:val="hybridMultilevel"/>
    <w:lvl w:ilvl="0">
      <w:lvlJc w:val="left"/>
      <w:lvlText w:val="(%1)"/>
      <w:numFmt w:val="lowerLetter"/>
      <w:start w:val="5"/>
    </w:lvl>
  </w:abstractNum>
  <w:abstractNum w:abstractNumId="20">
    <w:nsid w:val="6CEAF087"/>
    <w:multiLevelType w:val="hybridMultilevel"/>
    <w:lvl w:ilvl="0">
      <w:lvlJc w:val="left"/>
      <w:lvlText w:val="(%1)"/>
      <w:numFmt w:val="lowerLetter"/>
      <w:start w:val="6"/>
    </w:lvl>
  </w:abstractNum>
  <w:abstractNum w:abstractNumId="21">
    <w:nsid w:val="22221A70"/>
    <w:multiLevelType w:val="hybridMultilevel"/>
    <w:lvl w:ilvl="0">
      <w:lvlJc w:val="left"/>
      <w:lvlText w:val="(%1)"/>
      <w:numFmt w:val="lowerRoman"/>
      <w:start w:val="1"/>
    </w:lvl>
  </w:abstractNum>
  <w:abstractNum w:abstractNumId="22">
    <w:nsid w:val="4516DDE9"/>
    <w:multiLevelType w:val="hybridMultilevel"/>
    <w:lvl w:ilvl="0">
      <w:lvlJc w:val="left"/>
      <w:lvlText w:val="(%1)"/>
      <w:numFmt w:val="lowerLetter"/>
      <w:start w:val="10"/>
    </w:lvl>
  </w:abstractNum>
  <w:abstractNum w:abstractNumId="23">
    <w:nsid w:val="3006C83E"/>
    <w:multiLevelType w:val="hybridMultilevel"/>
    <w:lvl w:ilvl="0">
      <w:lvlJc w:val="left"/>
      <w:lvlText w:val="(%1)"/>
      <w:numFmt w:val="lowerLetter"/>
      <w:start w:val="11"/>
    </w:lvl>
  </w:abstractNum>
  <w:abstractNum w:abstractNumId="24">
    <w:nsid w:val="614FD4A1"/>
    <w:multiLevelType w:val="hybridMultilevel"/>
    <w:lvl w:ilvl="0">
      <w:lvlJc w:val="left"/>
      <w:lvlText w:val="(%1)"/>
      <w:numFmt w:val="lowerLetter"/>
      <w:start w:val="13"/>
    </w:lvl>
  </w:abstractNum>
  <w:abstractNum w:abstractNumId="25">
    <w:nsid w:val="419AC241"/>
    <w:multiLevelType w:val="hybridMultilevel"/>
    <w:lvl w:ilvl="0">
      <w:lvlJc w:val="left"/>
      <w:lvlText w:val="(%1)"/>
      <w:numFmt w:val="lowerLetter"/>
      <w:start w:val="18"/>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9"/>
    </w:lvl>
  </w:abstractNum>
  <w:abstractNum w:abstractNumId="31">
    <w:nsid w:val="7724C67E"/>
    <w:multiLevelType w:val="hybridMultilevel"/>
    <w:lvl w:ilvl="0">
      <w:lvlJc w:val="left"/>
      <w:lvlText w:val="%1"/>
      <w:numFmt w:val="decimal"/>
      <w:start w:val="97"/>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lowerRoman"/>
      <w:start w:val="2"/>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decimal"/>
      <w:start w:val="3"/>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1"/>
      <w:numFmt w:val="upperLetter"/>
      <w:start w:val="1"/>
    </w:lvl>
    <w:lvl w:ilvl="1">
      <w:lvlJc w:val="left"/>
      <w:lvlText w:val="%2."/>
      <w:numFmt w:val="decimal"/>
      <w:start w:val="6"/>
    </w:lvl>
  </w:abstractNum>
  <w:abstractNum w:abstractNumId="40">
    <w:nsid w:val="70A64E2A"/>
    <w:multiLevelType w:val="hybridMultilevel"/>
    <w:lvl w:ilvl="0">
      <w:lvlJc w:val="left"/>
      <w:lvlText w:val="(%1)"/>
      <w:numFmt w:val="upperLetter"/>
      <w:start w:val="2"/>
    </w:lvl>
    <w:lvl w:ilvl="1">
      <w:lvlJc w:val="left"/>
      <w:lvlText w:val="%2"/>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8" Type="http://schemas.openxmlformats.org/officeDocument/2006/relationships/image" Target="media/image73.png"/><Relationship Id="rId116" Type="http://schemas.openxmlformats.org/officeDocument/2006/relationships/image" Target="media/image74.png"/><Relationship Id="rId126" Type="http://schemas.openxmlformats.org/officeDocument/2006/relationships/image" Target="media/image75.png"/><Relationship Id="rId134" Type="http://schemas.openxmlformats.org/officeDocument/2006/relationships/image" Target="media/image76.png"/><Relationship Id="rId140" Type="http://schemas.openxmlformats.org/officeDocument/2006/relationships/image" Target="media/image77.png"/><Relationship Id="rId141" Type="http://schemas.openxmlformats.org/officeDocument/2006/relationships/image" Target="media/image78.png"/><Relationship Id="rId150" Type="http://schemas.openxmlformats.org/officeDocument/2006/relationships/image" Target="media/image79.png"/><Relationship Id="rId161" Type="http://schemas.openxmlformats.org/officeDocument/2006/relationships/image" Target="media/image80.png"/><Relationship Id="rId170" Type="http://schemas.openxmlformats.org/officeDocument/2006/relationships/image" Target="media/image81.png"/><Relationship Id="rId178" Type="http://schemas.openxmlformats.org/officeDocument/2006/relationships/image" Target="media/image82.png"/><Relationship Id="rId179" Type="http://schemas.openxmlformats.org/officeDocument/2006/relationships/image" Target="media/image83.png"/><Relationship Id="rId182" Type="http://schemas.openxmlformats.org/officeDocument/2006/relationships/image" Target="media/image84.jpeg"/><Relationship Id="rId183" Type="http://schemas.openxmlformats.org/officeDocument/2006/relationships/image" Target="media/image85.png"/><Relationship Id="rId184" Type="http://schemas.openxmlformats.org/officeDocument/2006/relationships/image" Target="media/image86.png"/><Relationship Id="rId185" Type="http://schemas.openxmlformats.org/officeDocument/2006/relationships/image" Target="media/image87.jpeg"/><Relationship Id="rId186" Type="http://schemas.openxmlformats.org/officeDocument/2006/relationships/image" Target="media/image88.png"/><Relationship Id="rId187" Type="http://schemas.openxmlformats.org/officeDocument/2006/relationships/image" Target="media/image89.png"/><Relationship Id="rId188" Type="http://schemas.openxmlformats.org/officeDocument/2006/relationships/image" Target="media/image90.png"/><Relationship Id="rId189" Type="http://schemas.openxmlformats.org/officeDocument/2006/relationships/image" Target="media/image91.png"/><Relationship Id="rId190" Type="http://schemas.openxmlformats.org/officeDocument/2006/relationships/image" Target="media/image92.png"/><Relationship Id="rId191" Type="http://schemas.openxmlformats.org/officeDocument/2006/relationships/image" Target="media/image93.png"/><Relationship Id="rId192" Type="http://schemas.openxmlformats.org/officeDocument/2006/relationships/image" Target="media/image94.png"/><Relationship Id="rId193" Type="http://schemas.openxmlformats.org/officeDocument/2006/relationships/image" Target="media/image95.png"/><Relationship Id="rId194" Type="http://schemas.openxmlformats.org/officeDocument/2006/relationships/image" Target="media/image96.png"/><Relationship Id="rId195" Type="http://schemas.openxmlformats.org/officeDocument/2006/relationships/image" Target="media/image97.png"/><Relationship Id="rId196" Type="http://schemas.openxmlformats.org/officeDocument/2006/relationships/image" Target="media/image98.png"/><Relationship Id="rId197" Type="http://schemas.openxmlformats.org/officeDocument/2006/relationships/image" Target="media/image99.png"/><Relationship Id="rId198" Type="http://schemas.openxmlformats.org/officeDocument/2006/relationships/image" Target="media/image100.png"/><Relationship Id="rId199" Type="http://schemas.openxmlformats.org/officeDocument/2006/relationships/image" Target="media/image101.png"/><Relationship Id="rId200" Type="http://schemas.openxmlformats.org/officeDocument/2006/relationships/image" Target="media/image102.png"/><Relationship Id="rId201" Type="http://schemas.openxmlformats.org/officeDocument/2006/relationships/image" Target="media/image103.png"/><Relationship Id="rId202" Type="http://schemas.openxmlformats.org/officeDocument/2006/relationships/image" Target="media/image104.png"/><Relationship Id="rId203" Type="http://schemas.openxmlformats.org/officeDocument/2006/relationships/image" Target="media/image105.png"/><Relationship Id="rId204" Type="http://schemas.openxmlformats.org/officeDocument/2006/relationships/image" Target="media/image106.png"/><Relationship Id="rId205" Type="http://schemas.openxmlformats.org/officeDocument/2006/relationships/image" Target="media/image107.png"/><Relationship Id="rId206" Type="http://schemas.openxmlformats.org/officeDocument/2006/relationships/image" Target="media/image108.png"/><Relationship Id="rId207" Type="http://schemas.openxmlformats.org/officeDocument/2006/relationships/image" Target="media/image109.png"/><Relationship Id="rId80" Type="http://schemas.openxmlformats.org/officeDocument/2006/relationships/hyperlink" Target="http://www.sec.gov/Archives/edgar/data/66004/000091431799000176/0000914317-99-000176.txt" TargetMode="External"/><Relationship Id="rId81" Type="http://schemas.openxmlformats.org/officeDocument/2006/relationships/hyperlink" Target="http://www.sec.gov/Archives/edgar/data/66004/000093041398000415/0000930413-98-000415.txt" TargetMode="External"/><Relationship Id="rId82" Type="http://schemas.openxmlformats.org/officeDocument/2006/relationships/hyperlink" Target="http://www.sec.gov/Archives/edgar/data/66004/000091431704001833/ex3-3.txt" TargetMode="External"/><Relationship Id="rId83" Type="http://schemas.openxmlformats.org/officeDocument/2006/relationships/hyperlink" Target="http://www.sec.gov/Archives/edgar/data/66004/000091431704001833/ex3-4.txt" TargetMode="External"/><Relationship Id="rId84" Type="http://schemas.openxmlformats.org/officeDocument/2006/relationships/hyperlink" Target="http://www.sec.gov/Archives/edgar/data/66004/000091431704001833/ex3-5.txt" TargetMode="External"/><Relationship Id="rId85" Type="http://schemas.openxmlformats.org/officeDocument/2006/relationships/hyperlink" Target="http://www.sec.gov/Archives/edgar/data/66004/000091431710000726/ex3-1.htm" TargetMode="External"/><Relationship Id="rId86" Type="http://schemas.openxmlformats.org/officeDocument/2006/relationships/hyperlink" Target="http://www.sec.gov/Archives/edgar/data/66004/000117494719001035/ex3-1.htm" TargetMode="External"/><Relationship Id="rId87" Type="http://schemas.openxmlformats.org/officeDocument/2006/relationships/hyperlink" Target="http://www.sec.gov/Archives/edgar/data/66004/000117494719001073/ex3-1.htm" TargetMode="External"/><Relationship Id="rId89" Type="http://schemas.openxmlformats.org/officeDocument/2006/relationships/hyperlink" Target="http://www.sec.gov/Archives/edgar/data/66004/000091431710001211/ex4-10.htm" TargetMode="External"/><Relationship Id="rId90" Type="http://schemas.openxmlformats.org/officeDocument/2006/relationships/hyperlink" Target="http://www.sec.gov/Archives/edgar/data/66004/000117494717001686/ex3ii.htm" TargetMode="External"/><Relationship Id="rId91" Type="http://schemas.openxmlformats.org/officeDocument/2006/relationships/hyperlink" Target="http://www.sec.gov/Archives/edgar/data/66004/000091431706001322/ex10.txt" TargetMode="External"/><Relationship Id="rId92" Type="http://schemas.openxmlformats.org/officeDocument/2006/relationships/hyperlink" Target="http://www.sec.gov/Archives/edgar/data/66004/000091431711001422/ex10-4.htm" TargetMode="External"/><Relationship Id="rId93" Type="http://schemas.openxmlformats.org/officeDocument/2006/relationships/hyperlink" Target="https://www.sec.gov/Archives/edgar/data/66004/000117494724000281/0001174947-24-000281-index.htm" TargetMode="External"/><Relationship Id="rId94" Type="http://schemas.openxmlformats.org/officeDocument/2006/relationships/hyperlink" Target="http://www.sec.gov/Archives/edgar/data/66004/000117494717000294/ex10-7.htm" TargetMode="External"/><Relationship Id="rId95" Type="http://schemas.openxmlformats.org/officeDocument/2006/relationships/hyperlink" Target="http://www.sec.gov/Archives/edgar/data/66004/000091431706001322/ex10-1.txt" TargetMode="External"/><Relationship Id="rId96" Type="http://schemas.openxmlformats.org/officeDocument/2006/relationships/hyperlink" Target="http://www.sec.gov/Archives/edgar/data/66004/000117494716002165/ex10-9a.htm" TargetMode="External"/><Relationship Id="rId97" Type="http://schemas.openxmlformats.org/officeDocument/2006/relationships/hyperlink" Target="http://www.sec.gov/Archives/edgar/data/66004/000091431799000652/0000914317-99-000652.txt" TargetMode="External"/><Relationship Id="rId98" Type="http://schemas.openxmlformats.org/officeDocument/2006/relationships/hyperlink" Target="http://www.sec.gov/Archives/edgar/data/66004/000117494718000595/def14a-19332_msx.htm" TargetMode="External"/><Relationship Id="rId99" Type="http://schemas.openxmlformats.org/officeDocument/2006/relationships/hyperlink" Target="http://www.sec.gov/Archives/edgar/data/66004/000091431708003008/s8-96451_msex.htm" TargetMode="External"/><Relationship Id="rId100" Type="http://schemas.openxmlformats.org/officeDocument/2006/relationships/hyperlink" Target="http://www.sec.gov/Archives/edgar/data/66004/000117494724000110/ex99-2.htm" TargetMode="External"/><Relationship Id="rId101" Type="http://schemas.openxmlformats.org/officeDocument/2006/relationships/hyperlink" Target="https://www.sec.gov/Archives/edgar/data/66004/000117494724001219/ex10-6.htm" TargetMode="External"/><Relationship Id="rId102" Type="http://schemas.openxmlformats.org/officeDocument/2006/relationships/hyperlink" Target="https://www.sec.gov/Archives/edgar/data/66004/000117494724000816/ex99-2.htm" TargetMode="External"/><Relationship Id="rId103" Type="http://schemas.openxmlformats.org/officeDocument/2006/relationships/hyperlink" Target="https://www.sec.gov/Archives/edgar/data/66004/000117494724000816/ex99-3.htm" TargetMode="External"/><Relationship Id="rId104" Type="http://schemas.openxmlformats.org/officeDocument/2006/relationships/hyperlink" Target="https://www.sec.gov/Archives/edgar/data/66004/000117494724001219/ex10-2.htm" TargetMode="External"/><Relationship Id="rId105" Type="http://schemas.openxmlformats.org/officeDocument/2006/relationships/hyperlink" Target="https://www.sec.gov/Archives/edgar/data/66004/000110465924123078/tm2429517d1_ex99-2.htm" TargetMode="External"/><Relationship Id="rId106" Type="http://schemas.openxmlformats.org/officeDocument/2006/relationships/hyperlink" Target="https://www.sec.gov/Archives/edgar/data/66004/000110465924123078/tm2429517d1_ex99-3.htm" TargetMode="External"/><Relationship Id="rId107" Type="http://schemas.openxmlformats.org/officeDocument/2006/relationships/hyperlink" Target="https://www.sec.gov/Archives/edgar/data/66004/000117494724001219/ex10-1.htm" TargetMode="External"/><Relationship Id="rId108" Type="http://schemas.openxmlformats.org/officeDocument/2006/relationships/hyperlink" Target="https://www.sec.gov/Archives/edgar/data/66004/000117494724001219/ex10-3.htm" TargetMode="External"/><Relationship Id="rId109" Type="http://schemas.openxmlformats.org/officeDocument/2006/relationships/hyperlink" Target="https://www.sec.gov/Archives/edgar/data/66004/000117494724001219/ex10-4.htm" TargetMode="External"/><Relationship Id="rId110" Type="http://schemas.openxmlformats.org/officeDocument/2006/relationships/hyperlink" Target="https://www.sec.gov/Archives/edgar/data/66004/000117494724001219/ex10-5.htm" TargetMode="External"/><Relationship Id="rId111" Type="http://schemas.openxmlformats.org/officeDocument/2006/relationships/hyperlink" Target="http://www.sec.gov/Archives/edgar/data/66004/000117494717000294/ex10-13a.htm" TargetMode="External"/><Relationship Id="rId112" Type="http://schemas.openxmlformats.org/officeDocument/2006/relationships/hyperlink" Target="http://www.sec.gov/Archives/edgar/data/66004/000117494718001309/ex10-16.htm" TargetMode="External"/><Relationship Id="rId113" Type="http://schemas.openxmlformats.org/officeDocument/2006/relationships/hyperlink" Target="http://www.sec.gov/Archives/edgar/data/66004/000091431705000934/ex10-26.txt" TargetMode="External"/><Relationship Id="rId114" Type="http://schemas.openxmlformats.org/officeDocument/2006/relationships/hyperlink" Target="http://www.sec.gov/Archives/edgar/data/66004/000091431705000934/ex10-27.txt" TargetMode="External"/><Relationship Id="rId115" Type="http://schemas.openxmlformats.org/officeDocument/2006/relationships/hyperlink" Target="http://www.sec.gov/Archives/edgar/data/66004/000117494715000337/ex10-23.htm" TargetMode="External"/><Relationship Id="rId117" Type="http://schemas.openxmlformats.org/officeDocument/2006/relationships/hyperlink" Target="http://www.sec.gov/Archives/edgar/data/66004/000117494721000499/msex10qex10-19b.htm" TargetMode="External"/><Relationship Id="rId118" Type="http://schemas.openxmlformats.org/officeDocument/2006/relationships/hyperlink" Target="http://www.sec.gov/Archives/edgar/data/66004/000117494723001376/ex10-17c.htm" TargetMode="External"/><Relationship Id="rId119" Type="http://schemas.openxmlformats.org/officeDocument/2006/relationships/hyperlink" Target="http://www.sec.gov/Archives/edgar/data/66004/000117494723001376/ex10-17d.htm" TargetMode="External"/><Relationship Id="rId120" Type="http://schemas.openxmlformats.org/officeDocument/2006/relationships/hyperlink" Target="http://www.sec.gov/Archives/edgar/data/66004/000091431706001322/ex10-2.txt" TargetMode="External"/><Relationship Id="rId121" Type="http://schemas.openxmlformats.org/officeDocument/2006/relationships/hyperlink" Target="http://www.sec.gov/Archives/edgar/data/66004/000091431707000647/ex10-30.htm" TargetMode="External"/><Relationship Id="rId122" Type="http://schemas.openxmlformats.org/officeDocument/2006/relationships/hyperlink" Target="http://www.sec.gov/Archives/edgar/data/66004/000091431707000647/ex10-31.htm" TargetMode="External"/><Relationship Id="rId123" Type="http://schemas.openxmlformats.org/officeDocument/2006/relationships/hyperlink" Target="http://www.sec.gov/Archives/edgar/data/66004/000091431708000733/ex10_32.htm" TargetMode="External"/><Relationship Id="rId124" Type="http://schemas.openxmlformats.org/officeDocument/2006/relationships/hyperlink" Target="http://www.sec.gov/Archives/edgar/data/66004/000091431708000733/ex10_33.htm" TargetMode="External"/><Relationship Id="rId125" Type="http://schemas.openxmlformats.org/officeDocument/2006/relationships/hyperlink" Target="http://www.sec.gov/Archives/edgar/data/66004/000091431709000646/ex10-34.htm" TargetMode="External"/><Relationship Id="rId127" Type="http://schemas.openxmlformats.org/officeDocument/2006/relationships/hyperlink" Target="http://www.sec.gov/Archives/edgar/data/66004/000091431709000646/ex10-35.htm" TargetMode="External"/><Relationship Id="rId128" Type="http://schemas.openxmlformats.org/officeDocument/2006/relationships/hyperlink" Target="http://www.sec.gov/Archives/edgar/data/66004/000110465922085546/tm2222254d2_424b5.htm" TargetMode="External"/><Relationship Id="rId129" Type="http://schemas.openxmlformats.org/officeDocument/2006/relationships/hyperlink" Target="http://www.sec.gov/Archives/edgar/data/66004/000117494723000909/form424b5-30532_msx.htm" TargetMode="External"/><Relationship Id="rId130" Type="http://schemas.openxmlformats.org/officeDocument/2006/relationships/hyperlink" Target="http://www.sec.gov/Archives/edgar/data/66004/000117494722000283/msex10kex10-26a.htm" TargetMode="External"/><Relationship Id="rId131" Type="http://schemas.openxmlformats.org/officeDocument/2006/relationships/hyperlink" Target="http://www.sec.gov/Archives/edgar/data/66004/000117494722000283/msex10kex10-26b.htm" TargetMode="External"/><Relationship Id="rId132" Type="http://schemas.openxmlformats.org/officeDocument/2006/relationships/hyperlink" Target="http://www.sec.gov/Archives/edgar/data/66004/000117494723000678/ex10-26c.htm" TargetMode="External"/><Relationship Id="rId133" Type="http://schemas.openxmlformats.org/officeDocument/2006/relationships/hyperlink" Target="http://www.sec.gov/Archives/edgar/data/66004/000117494723000678/ex10-26d.htm" TargetMode="External"/><Relationship Id="rId135" Type="http://schemas.openxmlformats.org/officeDocument/2006/relationships/hyperlink" Target="http://www.sec.gov/Archives/edgar/data/66004/000117494723000933/ex10-26e.htm" TargetMode="External"/><Relationship Id="rId136" Type="http://schemas.openxmlformats.org/officeDocument/2006/relationships/hyperlink" Target="https://www.sec.gov/Archives/edgar/data/66004/000117494724000281/ex10-26f.htm" TargetMode="External"/><Relationship Id="rId137" Type="http://schemas.openxmlformats.org/officeDocument/2006/relationships/hyperlink" Target="http://www.sec.gov/Archives/edgar/data/66004/000117494721000198/msex10kex10-30.htm" TargetMode="External"/><Relationship Id="rId138" Type="http://schemas.openxmlformats.org/officeDocument/2006/relationships/hyperlink" Target="http://www.sec.gov/Archives/edgar/data/66004/000117494722000283/msex10kex10-27b.htm" TargetMode="External"/><Relationship Id="rId139" Type="http://schemas.openxmlformats.org/officeDocument/2006/relationships/hyperlink" Target="http://www.sec.gov/Archives/edgar/data/66004/000117494723000258/ex10-27c.htm" TargetMode="External"/><Relationship Id="rId142" Type="http://schemas.openxmlformats.org/officeDocument/2006/relationships/hyperlink" Target="https://www.sec.gov/Archives/edgar/data/66004/000117494724000281/ex10-27d.htm" TargetMode="External"/><Relationship Id="rId143" Type="http://schemas.openxmlformats.org/officeDocument/2006/relationships/hyperlink" Target="http://www.sec.gov/Archives/edgar/data/66004/000117494720001063/msex10qex10-34.htm" TargetMode="External"/><Relationship Id="rId144" Type="http://schemas.openxmlformats.org/officeDocument/2006/relationships/hyperlink" Target="http://www.sec.gov/Archives/edgar/data/66004/000091431711000359/ex10_41.htm" TargetMode="External"/><Relationship Id="rId145" Type="http://schemas.openxmlformats.org/officeDocument/2006/relationships/hyperlink" Target="http://www.sec.gov/Archives/edgar/data/66004/000091431711000359/ex10_42.htm" TargetMode="External"/><Relationship Id="rId146" Type="http://schemas.openxmlformats.org/officeDocument/2006/relationships/hyperlink" Target="http://www.sec.gov/Archives/edgar/data/66004/000091431712001169/ex10-43.htm" TargetMode="External"/><Relationship Id="rId147" Type="http://schemas.openxmlformats.org/officeDocument/2006/relationships/hyperlink" Target="http://www.sec.gov/Archives/edgar/data/66004/000091431712001169/ex10-44.htm" TargetMode="External"/><Relationship Id="rId148" Type="http://schemas.openxmlformats.org/officeDocument/2006/relationships/hyperlink" Target="http://www.sec.gov/Archives/edgar/data/66004/000091431713000279/ex10-41.htm" TargetMode="External"/><Relationship Id="rId149" Type="http://schemas.openxmlformats.org/officeDocument/2006/relationships/hyperlink" Target="http://www.sec.gov/Archives/edgar/data/66004/000091431713001000/ex10-42.htm" TargetMode="External"/><Relationship Id="rId151" Type="http://schemas.openxmlformats.org/officeDocument/2006/relationships/hyperlink" Target="http://www.sec.gov/Archives/edgar/data/66004/000091431713001000/ex10-43.htm" TargetMode="External"/><Relationship Id="rId152" Type="http://schemas.openxmlformats.org/officeDocument/2006/relationships/hyperlink" Target="http://www.sec.gov/Archives/edgar/data/66004/000091431714001038/ex10-43.htm" TargetMode="External"/><Relationship Id="rId153" Type="http://schemas.openxmlformats.org/officeDocument/2006/relationships/hyperlink" Target="http://www.sec.gov/Archives/edgar/data/66004/000091431714001038/ex10-44.htm" TargetMode="External"/><Relationship Id="rId154" Type="http://schemas.openxmlformats.org/officeDocument/2006/relationships/hyperlink" Target="http://www.sec.gov/Archives/edgar/data/66004/000117494718000337/ex10-44.htm" TargetMode="External"/><Relationship Id="rId155" Type="http://schemas.openxmlformats.org/officeDocument/2006/relationships/hyperlink" Target="http://www.sec.gov/Archives/edgar/data/66004/000117494718000337/ex10-45.htm" TargetMode="External"/><Relationship Id="rId156" Type="http://schemas.openxmlformats.org/officeDocument/2006/relationships/hyperlink" Target="http://www.sec.gov/Archives/edgar/data/66004/000117494718001063/ex10-46.htm" TargetMode="External"/><Relationship Id="rId157" Type="http://schemas.openxmlformats.org/officeDocument/2006/relationships/hyperlink" Target="http://www.sec.gov/Archives/edgar/data/66004/000117494718001063/ex10-47.htm" TargetMode="External"/><Relationship Id="rId158" Type="http://schemas.openxmlformats.org/officeDocument/2006/relationships/hyperlink" Target="http://www.sec.gov/Archives/edgar/data/66004/000117494719001035/ex10-50.htm" TargetMode="External"/><Relationship Id="rId159" Type="http://schemas.openxmlformats.org/officeDocument/2006/relationships/hyperlink" Target="http://www.sec.gov/Archives/edgar/data/66004/000117494721000198/msex10kex10-48.htm" TargetMode="External"/><Relationship Id="rId160" Type="http://schemas.openxmlformats.org/officeDocument/2006/relationships/hyperlink" Target="http://www.sec.gov/Archives/edgar/data/66004/000117494722000283/msex10kex10-46.htm" TargetMode="External"/><Relationship Id="rId162" Type="http://schemas.openxmlformats.org/officeDocument/2006/relationships/hyperlink" Target="http://www.sec.gov/Archives/edgar/data/66004/000117494722000866/ex10-40.htm" TargetMode="External"/><Relationship Id="rId163" Type="http://schemas.openxmlformats.org/officeDocument/2006/relationships/hyperlink" Target="http://www.sec.gov/Archives/edgar/data/66004/000117494722000866/ex10-41.htm" TargetMode="External"/><Relationship Id="rId164" Type="http://schemas.openxmlformats.org/officeDocument/2006/relationships/hyperlink" Target="http://www.sec.gov/Archives/edgar/data/66004/000117494723000678/ex10-48.htm" TargetMode="External"/><Relationship Id="rId165" Type="http://schemas.openxmlformats.org/officeDocument/2006/relationships/hyperlink" Target="http://www.sec.gov/Archives/edgar/data/66004/000117494723000678/ex10-49.htm" TargetMode="External"/><Relationship Id="rId166" Type="http://schemas.openxmlformats.org/officeDocument/2006/relationships/hyperlink" Target="http://www.sec.gov/Archives/edgar/data/66004/000117494723000678/ex10-50.htm" TargetMode="External"/><Relationship Id="rId167" Type="http://schemas.openxmlformats.org/officeDocument/2006/relationships/hyperlink" Target="http://www.sec.gov/Archives/edgar/data/66004/000117494723000678/ex10-51.htm" TargetMode="External"/><Relationship Id="rId168" Type="http://schemas.openxmlformats.org/officeDocument/2006/relationships/hyperlink" Target="http://www.sec.gov/Archives/edgar/data/66004/000117494723001376/ex10-53.htm" TargetMode="External"/><Relationship Id="rId169" Type="http://schemas.openxmlformats.org/officeDocument/2006/relationships/hyperlink" Target="http://www.sec.gov/Archives/edgar/data/66004/000117494723001376/ex10-54.htm" TargetMode="External"/><Relationship Id="rId171" Type="http://schemas.openxmlformats.org/officeDocument/2006/relationships/hyperlink" Target="http://www.sec.gov/Archives/edgar/data/66004/000117494723001376/ex10-55.htm" TargetMode="External"/><Relationship Id="rId172" Type="http://schemas.openxmlformats.org/officeDocument/2006/relationships/hyperlink" Target="http://www.sec.gov/Archives/edgar/data/66004/000117494724000110/ex99-4.htm" TargetMode="External"/><Relationship Id="rId173" Type="http://schemas.openxmlformats.org/officeDocument/2006/relationships/hyperlink" Target="https://www.sec.gov/Archives/edgar/data/66004/000117494724000934/ex10-55.htm" TargetMode="External"/><Relationship Id="rId174" Type="http://schemas.openxmlformats.org/officeDocument/2006/relationships/hyperlink" Target="https://www.sec.gov/Archives/edgar/data/66004/000117494724000934/ex10-56.htm" TargetMode="External"/><Relationship Id="rId175" Type="http://schemas.openxmlformats.org/officeDocument/2006/relationships/hyperlink" Target="https://www.sec.gov/Archives/edgar/data/66004/000117494724000934/ex10-57.htm" TargetMode="External"/><Relationship Id="rId176" Type="http://schemas.openxmlformats.org/officeDocument/2006/relationships/hyperlink" Target="https://www.sec.gov/Archives/edgar/data/66004/000117494724000934/ex10-58.htm" TargetMode="External"/><Relationship Id="rId177" Type="http://schemas.openxmlformats.org/officeDocument/2006/relationships/hyperlink" Target="https://www.sec.gov/Archives/edgar/data/66004/000117494724001201/ex10-59.htm" TargetMode="External"/><Relationship Id="rId180" Type="http://schemas.openxmlformats.org/officeDocument/2006/relationships/hyperlink" Target="https://www.sec.gov/Archives/edgar/data/66004/000117494724000281/ex19.htm" TargetMode="External"/><Relationship Id="rId181" Type="http://schemas.openxmlformats.org/officeDocument/2006/relationships/hyperlink" Target="https://www.sec.gov/Archives/edgar/data/66004/000117494724000281/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2025-02-28T16:19:29Z</dcterms:created>
  <dcterms:modified xsi:type="dcterms:W3CDTF">2025-02-28T16:19:29Z</dcterms:modified>
</cp:coreProperties>
</file>