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1160" w:hanging="747"/>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5"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2022</w:t>
      </w:r>
    </w:p>
    <w:p>
      <w:pPr>
        <w:spacing w:after="0" w:line="7"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1140" w:right="1560" w:hanging="727"/>
        <w:spacing w:after="0" w:line="266" w:lineRule="auto"/>
        <w:tabs>
          <w:tab w:leader="none" w:pos="97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 to ______________________</w:t>
      </w:r>
    </w:p>
    <w:p>
      <w:pPr>
        <w:spacing w:after="0" w:line="72" w:lineRule="exact"/>
        <w:rPr>
          <w:sz w:val="24"/>
          <w:szCs w:val="24"/>
          <w:color w:val="auto"/>
        </w:rPr>
      </w:pPr>
    </w:p>
    <w:tbl>
      <w:tblPr>
        <w:tblLayout w:type="fixed"/>
        <w:tblInd w:w="116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40" w:type="dxa"/>
            <w:vAlign w:val="bottom"/>
            <w:gridSpan w:val="3"/>
          </w:tcPr>
          <w:p>
            <w:pPr>
              <w:ind w:left="940"/>
              <w:spacing w:after="0"/>
              <w:rPr>
                <w:sz w:val="20"/>
                <w:szCs w:val="20"/>
                <w:color w:val="auto"/>
              </w:rPr>
            </w:pPr>
            <w:r>
              <w:rPr>
                <w:rFonts w:ascii="Arial" w:cs="Arial" w:eastAsia="Arial" w:hAnsi="Arial"/>
                <w:sz w:val="18"/>
                <w:szCs w:val="18"/>
                <w:color w:val="auto"/>
                <w:w w:val="97"/>
              </w:rPr>
              <w:t>Commission File Number</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0-422</w:t>
            </w:r>
          </w:p>
        </w:tc>
        <w:tc>
          <w:tcPr>
            <w:tcW w:w="3400" w:type="dxa"/>
            <w:vAlign w:val="bottom"/>
          </w:tcPr>
          <w:p>
            <w:pPr>
              <w:spacing w:after="0"/>
              <w:rPr>
                <w:sz w:val="20"/>
                <w:szCs w:val="20"/>
                <w:color w:val="auto"/>
              </w:rPr>
            </w:pPr>
          </w:p>
        </w:tc>
      </w:tr>
      <w:tr>
        <w:trPr>
          <w:trHeight w:val="310"/>
        </w:trPr>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gridSpan w:val="5"/>
          </w:tcPr>
          <w:p>
            <w:pPr>
              <w:jc w:val="center"/>
              <w:ind w:right="2790"/>
              <w:spacing w:after="0"/>
              <w:rPr>
                <w:sz w:val="20"/>
                <w:szCs w:val="20"/>
                <w:color w:val="auto"/>
              </w:rPr>
            </w:pPr>
            <w:r>
              <w:rPr>
                <w:rFonts w:ascii="Arial" w:cs="Arial" w:eastAsia="Arial" w:hAnsi="Arial"/>
                <w:sz w:val="18"/>
                <w:szCs w:val="18"/>
                <w:b w:val="1"/>
                <w:bCs w:val="1"/>
                <w:color w:val="auto"/>
              </w:rPr>
              <w:t>MIDDLESEX WATER COMPANY</w:t>
            </w:r>
          </w:p>
        </w:tc>
      </w:tr>
      <w:tr>
        <w:trPr>
          <w:trHeight w:val="230"/>
        </w:trPr>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80" w:type="dxa"/>
            <w:vAlign w:val="bottom"/>
            <w:gridSpan w:val="5"/>
          </w:tcPr>
          <w:p>
            <w:pPr>
              <w:jc w:val="center"/>
              <w:ind w:right="279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10"/>
        </w:trPr>
        <w:tc>
          <w:tcPr>
            <w:tcW w:w="340" w:type="dxa"/>
            <w:vAlign w:val="bottom"/>
          </w:tcPr>
          <w:p>
            <w:pPr>
              <w:spacing w:after="0"/>
              <w:rPr>
                <w:sz w:val="24"/>
                <w:szCs w:val="24"/>
                <w:color w:val="auto"/>
              </w:rPr>
            </w:pPr>
          </w:p>
        </w:tc>
        <w:tc>
          <w:tcPr>
            <w:tcW w:w="192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8"/>
              </w:rPr>
              <w:t>New Jersey</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4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rPr>
              <w:t>22-1114430</w:t>
            </w:r>
          </w:p>
        </w:tc>
      </w:tr>
      <w:tr>
        <w:trPr>
          <w:trHeight w:val="230"/>
        </w:trPr>
        <w:tc>
          <w:tcPr>
            <w:tcW w:w="340" w:type="dxa"/>
            <w:vAlign w:val="bottom"/>
          </w:tcPr>
          <w:p>
            <w:pPr>
              <w:spacing w:after="0"/>
              <w:rPr>
                <w:sz w:val="20"/>
                <w:szCs w:val="20"/>
                <w:color w:val="auto"/>
              </w:rPr>
            </w:pPr>
          </w:p>
        </w:tc>
        <w:tc>
          <w:tcPr>
            <w:tcW w:w="4860" w:type="dxa"/>
            <w:vAlign w:val="bottom"/>
            <w:gridSpan w:val="5"/>
          </w:tcPr>
          <w:p>
            <w:pPr>
              <w:jc w:val="center"/>
              <w:ind w:right="2240"/>
              <w:spacing w:after="0"/>
              <w:rPr>
                <w:sz w:val="20"/>
                <w:szCs w:val="20"/>
                <w:color w:val="auto"/>
              </w:rPr>
            </w:pPr>
            <w:r>
              <w:rPr>
                <w:rFonts w:ascii="Arial" w:cs="Arial" w:eastAsia="Arial" w:hAnsi="Arial"/>
                <w:sz w:val="18"/>
                <w:szCs w:val="18"/>
                <w:color w:val="auto"/>
                <w:w w:val="92"/>
              </w:rPr>
              <w:t>(State of Incorporation)</w:t>
            </w:r>
          </w:p>
        </w:tc>
        <w:tc>
          <w:tcPr>
            <w:tcW w:w="4340" w:type="dxa"/>
            <w:vAlign w:val="bottom"/>
            <w:gridSpan w:val="2"/>
          </w:tcPr>
          <w:p>
            <w:pPr>
              <w:jc w:val="center"/>
              <w:ind w:right="9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gridSpan w:val="5"/>
          </w:tcPr>
          <w:p>
            <w:pPr>
              <w:jc w:val="center"/>
              <w:ind w:right="2770"/>
              <w:spacing w:after="0"/>
              <w:rPr>
                <w:sz w:val="20"/>
                <w:szCs w:val="20"/>
                <w:color w:val="auto"/>
              </w:rPr>
            </w:pPr>
            <w:r>
              <w:rPr>
                <w:rFonts w:ascii="Arial" w:cs="Arial" w:eastAsia="Arial" w:hAnsi="Arial"/>
                <w:sz w:val="18"/>
                <w:szCs w:val="18"/>
                <w:b w:val="1"/>
                <w:bCs w:val="1"/>
                <w:color w:val="auto"/>
                <w:w w:val="89"/>
              </w:rPr>
              <w:t>485C Route 1 South, Suite 400, Iselin New Jersey 08830</w:t>
            </w:r>
          </w:p>
        </w:tc>
      </w:tr>
      <w:tr>
        <w:trPr>
          <w:trHeight w:val="212"/>
        </w:trPr>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80" w:type="dxa"/>
            <w:vAlign w:val="bottom"/>
            <w:gridSpan w:val="5"/>
          </w:tcPr>
          <w:p>
            <w:pPr>
              <w:jc w:val="center"/>
              <w:ind w:right="279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220"/>
        </w:trPr>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w w:val="90"/>
              </w:rPr>
              <w:t>(732) 634-1500</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80" w:type="dxa"/>
            <w:vAlign w:val="bottom"/>
            <w:gridSpan w:val="5"/>
          </w:tcPr>
          <w:p>
            <w:pPr>
              <w:jc w:val="center"/>
              <w:ind w:right="279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06"/>
        </w:trPr>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gridSpan w:val="5"/>
          </w:tcPr>
          <w:p>
            <w:pPr>
              <w:jc w:val="center"/>
              <w:ind w:right="277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194"/>
        </w:trPr>
        <w:tc>
          <w:tcPr>
            <w:tcW w:w="340" w:type="dxa"/>
            <w:vAlign w:val="bottom"/>
          </w:tcPr>
          <w:p>
            <w:pPr>
              <w:spacing w:after="0"/>
              <w:rPr>
                <w:sz w:val="16"/>
                <w:szCs w:val="16"/>
                <w:color w:val="auto"/>
              </w:rPr>
            </w:pPr>
          </w:p>
        </w:tc>
        <w:tc>
          <w:tcPr>
            <w:tcW w:w="1920" w:type="dxa"/>
            <w:vAlign w:val="bottom"/>
            <w:gridSpan w:val="2"/>
          </w:tcPr>
          <w:p>
            <w:pPr>
              <w:jc w:val="center"/>
              <w:ind w:right="420"/>
              <w:spacing w:after="0" w:line="194" w:lineRule="exact"/>
              <w:rPr>
                <w:sz w:val="20"/>
                <w:szCs w:val="20"/>
                <w:color w:val="auto"/>
              </w:rPr>
            </w:pPr>
            <w:r>
              <w:rPr>
                <w:rFonts w:ascii="Arial" w:cs="Arial" w:eastAsia="Arial" w:hAnsi="Arial"/>
                <w:sz w:val="18"/>
                <w:szCs w:val="18"/>
                <w:b w:val="1"/>
                <w:bCs w:val="1"/>
                <w:color w:val="auto"/>
                <w:w w:val="90"/>
              </w:rPr>
              <w:t>Title of Each Class:</w:t>
            </w:r>
          </w:p>
        </w:tc>
        <w:tc>
          <w:tcPr>
            <w:tcW w:w="2940" w:type="dxa"/>
            <w:vAlign w:val="bottom"/>
            <w:gridSpan w:val="3"/>
          </w:tcPr>
          <w:p>
            <w:pPr>
              <w:jc w:val="center"/>
              <w:ind w:left="1390"/>
              <w:spacing w:after="0" w:line="194" w:lineRule="exact"/>
              <w:rPr>
                <w:sz w:val="20"/>
                <w:szCs w:val="20"/>
                <w:color w:val="auto"/>
              </w:rPr>
            </w:pPr>
            <w:r>
              <w:rPr>
                <w:rFonts w:ascii="Arial" w:cs="Arial" w:eastAsia="Arial" w:hAnsi="Arial"/>
                <w:sz w:val="18"/>
                <w:szCs w:val="18"/>
                <w:b w:val="1"/>
                <w:bCs w:val="1"/>
                <w:color w:val="auto"/>
                <w:w w:val="92"/>
              </w:rPr>
              <w:t>Trading Symbol</w:t>
            </w:r>
            <w:r>
              <w:rPr>
                <w:rFonts w:ascii="Arial" w:cs="Arial" w:eastAsia="Arial" w:hAnsi="Arial"/>
                <w:sz w:val="18"/>
                <w:szCs w:val="18"/>
                <w:color w:val="auto"/>
                <w:w w:val="92"/>
              </w:rPr>
              <w:t>:</w:t>
            </w:r>
          </w:p>
        </w:tc>
        <w:tc>
          <w:tcPr>
            <w:tcW w:w="4340" w:type="dxa"/>
            <w:vAlign w:val="bottom"/>
            <w:gridSpan w:val="2"/>
          </w:tcPr>
          <w:p>
            <w:pPr>
              <w:jc w:val="center"/>
              <w:ind w:left="850"/>
              <w:spacing w:after="0" w:line="194" w:lineRule="exact"/>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r>
      <w:tr>
        <w:trPr>
          <w:trHeight w:val="237"/>
        </w:trPr>
        <w:tc>
          <w:tcPr>
            <w:tcW w:w="22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No Par Value</w:t>
            </w:r>
          </w:p>
        </w:tc>
        <w:tc>
          <w:tcPr>
            <w:tcW w:w="1560" w:type="dxa"/>
            <w:vAlign w:val="bottom"/>
          </w:tcPr>
          <w:p>
            <w:pPr>
              <w:spacing w:after="0"/>
              <w:rPr>
                <w:sz w:val="20"/>
                <w:szCs w:val="20"/>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MSEX</w:t>
            </w:r>
          </w:p>
        </w:tc>
        <w:tc>
          <w:tcPr>
            <w:tcW w:w="94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84"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84"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right="3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2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8"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their corporate web site, if any, every Interactive Data File required to be submitted and posted pursuant to Rule 405 of Regulation S-T during the preceding 12 months (or for such shorter period that the registrants</w:t>
      </w:r>
    </w:p>
    <w:p>
      <w:pPr>
        <w:spacing w:after="0" w:line="1" w:lineRule="exact"/>
        <w:rPr>
          <w:sz w:val="24"/>
          <w:szCs w:val="24"/>
          <w:color w:val="auto"/>
        </w:rPr>
      </w:pPr>
    </w:p>
    <w:p>
      <w:pPr>
        <w:spacing w:after="0" w:line="207" w:lineRule="exact"/>
        <w:tabs>
          <w:tab w:leader="none" w:pos="4080" w:val="left"/>
        </w:tabs>
        <w:rPr>
          <w:sz w:val="20"/>
          <w:szCs w:val="20"/>
          <w:color w:val="auto"/>
        </w:rPr>
      </w:pPr>
      <w:r>
        <w:rPr>
          <w:rFonts w:ascii="Arial" w:cs="Arial" w:eastAsia="Arial" w:hAnsi="Arial"/>
          <w:sz w:val="18"/>
          <w:szCs w:val="18"/>
          <w:color w:val="auto"/>
        </w:rPr>
        <w:t>were required to submit and post such files).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94" w:right="339" w:bottom="1440" w:gutter="0" w:footer="0" w:header="0"/>
        </w:sectPr>
      </w:pPr>
    </w:p>
    <w:p>
      <w:pPr>
        <w:spacing w:after="0" w:line="43" w:lineRule="exact"/>
        <w:rPr>
          <w:sz w:val="24"/>
          <w:szCs w:val="24"/>
          <w:color w:val="auto"/>
        </w:rPr>
      </w:pPr>
    </w:p>
    <w:p>
      <w:pPr>
        <w:jc w:val="center"/>
        <w:ind w:right="4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4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12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jc w:val="center"/>
        <w:ind w:right="8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3">
            <w:col w:w="4220" w:space="720"/>
            <w:col w:w="2600" w:space="720"/>
            <w:col w:w="2980"/>
          </w:cols>
          <w:pgMar w:left="320" w:top="594" w:right="339" w:bottom="1440"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2022 was $1,505,071,215 based on the closing market price of $87.68 per share on the NASDAQ Global Select Market.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for each of the registrant's classes of common stock, as of February 24, 2023: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No par Value 17,642,147 shares outstanding</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23"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Proxy Statement to be filed in connection with the Registrant’s Annual Meeting of Stockholders to be held on May 23, 2023, which will be filed with the Securities and Exchange Commission within 120 days of the end of our 2022 fiscal year, is incorporated by reference into Part III of this Annual Report on Form 10-K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gridSpan w:val="12"/>
          </w:tcPr>
          <w:p>
            <w:pPr>
              <w:jc w:val="center"/>
              <w:ind w:right="2900"/>
              <w:spacing w:after="0"/>
              <w:rPr>
                <w:sz w:val="20"/>
                <w:szCs w:val="20"/>
                <w:color w:val="auto"/>
              </w:rPr>
            </w:pPr>
            <w:r>
              <w:rPr>
                <w:rFonts w:ascii="Arial" w:cs="Arial" w:eastAsia="Arial" w:hAnsi="Arial"/>
                <w:sz w:val="18"/>
                <w:szCs w:val="18"/>
                <w:b w:val="1"/>
                <w:bCs w:val="1"/>
                <w:color w:val="auto"/>
              </w:rPr>
              <w:t>MIDDLESEX WATER COMPANY</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920" w:type="dxa"/>
            <w:vAlign w:val="bottom"/>
            <w:gridSpan w:val="10"/>
          </w:tcPr>
          <w:p>
            <w:pPr>
              <w:jc w:val="center"/>
              <w:ind w:right="3820"/>
              <w:spacing w:after="0"/>
              <w:rPr>
                <w:sz w:val="20"/>
                <w:szCs w:val="20"/>
                <w:color w:val="auto"/>
              </w:rPr>
            </w:pPr>
            <w:r>
              <w:rPr>
                <w:rFonts w:ascii="Arial" w:cs="Arial" w:eastAsia="Arial" w:hAnsi="Arial"/>
                <w:sz w:val="18"/>
                <w:szCs w:val="18"/>
                <w:b w:val="1"/>
                <w:bCs w:val="1"/>
                <w:color w:val="auto"/>
              </w:rPr>
              <w:t>FORM 10-K</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40" w:type="dxa"/>
            <w:vAlign w:val="bottom"/>
            <w:gridSpan w:val="9"/>
          </w:tcPr>
          <w:p>
            <w:pPr>
              <w:jc w:val="center"/>
              <w:ind w:right="4020"/>
              <w:spacing w:after="0"/>
              <w:rPr>
                <w:sz w:val="20"/>
                <w:szCs w:val="20"/>
                <w:color w:val="auto"/>
              </w:rPr>
            </w:pPr>
            <w:r>
              <w:rPr>
                <w:rFonts w:ascii="Arial" w:cs="Arial" w:eastAsia="Arial" w:hAnsi="Arial"/>
                <w:sz w:val="18"/>
                <w:szCs w:val="18"/>
                <w:color w:val="auto"/>
              </w:rPr>
              <w:t>INDEX</w:t>
            </w:r>
          </w:p>
        </w:tc>
        <w:tc>
          <w:tcPr>
            <w:tcW w:w="1140" w:type="dxa"/>
            <w:vAlign w:val="bottom"/>
            <w:vMerge w:val="restart"/>
          </w:tcPr>
          <w:p>
            <w:pPr>
              <w:ind w:left="680"/>
              <w:spacing w:after="0"/>
              <w:rPr>
                <w:sz w:val="20"/>
                <w:szCs w:val="20"/>
                <w:color w:val="auto"/>
              </w:rPr>
            </w:pPr>
            <w:r>
              <w:rPr>
                <w:rFonts w:ascii="Arial" w:cs="Arial" w:eastAsia="Arial" w:hAnsi="Arial"/>
                <w:sz w:val="18"/>
                <w:szCs w:val="18"/>
                <w:color w:val="auto"/>
                <w:w w:val="87"/>
              </w:rPr>
              <w:t>PAGE</w:t>
            </w: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000" w:type="dxa"/>
            <w:vAlign w:val="bottom"/>
            <w:gridSpan w:val="39"/>
          </w:tcPr>
          <w:p>
            <w:pPr>
              <w:spacing w:after="0" w:line="190" w:lineRule="exact"/>
              <w:rPr>
                <w:sz w:val="20"/>
                <w:szCs w:val="20"/>
                <w:color w:val="auto"/>
              </w:rPr>
            </w:pPr>
            <w:r>
              <w:rPr>
                <w:rFonts w:ascii="Arial" w:cs="Arial" w:eastAsia="Arial" w:hAnsi="Arial"/>
                <w:sz w:val="18"/>
                <w:szCs w:val="18"/>
                <w:color w:val="0000EE"/>
              </w:rPr>
              <w:t>Forward-Looking Statements</w:t>
            </w:r>
          </w:p>
        </w:tc>
        <w:tc>
          <w:tcPr>
            <w:tcW w:w="1140" w:type="dxa"/>
            <w:vAlign w:val="bottom"/>
          </w:tcPr>
          <w:p>
            <w:pPr>
              <w:jc w:val="center"/>
              <w:ind w:left="610"/>
              <w:spacing w:after="0" w:line="190"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304"/>
        </w:trPr>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b w:val="1"/>
                <w:bCs w:val="1"/>
                <w:color w:val="0000EE"/>
                <w:w w:val="98"/>
              </w:rPr>
              <w:t>PART I</w:t>
            </w:r>
          </w:p>
        </w:tc>
        <w:tc>
          <w:tcPr>
            <w:tcW w:w="380" w:type="dxa"/>
            <w:vAlign w:val="bottom"/>
            <w:tcBorders>
              <w:top w:val="single" w:sz="8" w:color="0000EE"/>
            </w:tcBorders>
            <w:gridSpan w:val="4"/>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jc w:val="center"/>
              <w:ind w:left="61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Business:</w:t>
            </w:r>
          </w:p>
        </w:tc>
        <w:tc>
          <w:tcPr>
            <w:tcW w:w="1140" w:type="dxa"/>
            <w:vAlign w:val="bottom"/>
          </w:tcPr>
          <w:p>
            <w:pPr>
              <w:jc w:val="center"/>
              <w:ind w:left="610"/>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Overview</w:t>
            </w:r>
          </w:p>
        </w:tc>
        <w:tc>
          <w:tcPr>
            <w:tcW w:w="8140" w:type="dxa"/>
            <w:vAlign w:val="bottom"/>
            <w:gridSpan w:val="29"/>
          </w:tcPr>
          <w:p>
            <w:pPr>
              <w:spacing w:after="0"/>
              <w:rPr>
                <w:sz w:val="17"/>
                <w:szCs w:val="17"/>
                <w:color w:val="auto"/>
              </w:rPr>
            </w:pPr>
          </w:p>
        </w:tc>
        <w:tc>
          <w:tcPr>
            <w:tcW w:w="1140" w:type="dxa"/>
            <w:vAlign w:val="bottom"/>
          </w:tcPr>
          <w:p>
            <w:pPr>
              <w:jc w:val="center"/>
              <w:ind w:left="610"/>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60" w:type="dxa"/>
            <w:vAlign w:val="bottom"/>
            <w:gridSpan w:val="33"/>
          </w:tcPr>
          <w:p>
            <w:pPr>
              <w:spacing w:after="0" w:line="196" w:lineRule="exact"/>
              <w:rPr>
                <w:sz w:val="20"/>
                <w:szCs w:val="20"/>
                <w:color w:val="auto"/>
              </w:rPr>
            </w:pPr>
            <w:r>
              <w:rPr>
                <w:rFonts w:ascii="Arial" w:cs="Arial" w:eastAsia="Arial" w:hAnsi="Arial"/>
                <w:sz w:val="18"/>
                <w:szCs w:val="18"/>
                <w:color w:val="0000EE"/>
              </w:rPr>
              <w:t>Financial Information</w:t>
            </w:r>
          </w:p>
        </w:tc>
        <w:tc>
          <w:tcPr>
            <w:tcW w:w="1140" w:type="dxa"/>
            <w:vAlign w:val="bottom"/>
          </w:tcPr>
          <w:p>
            <w:pPr>
              <w:jc w:val="center"/>
              <w:ind w:left="610"/>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8"/>
              </w:rPr>
              <w:t>Water Supplies and Contracts</w:t>
            </w:r>
          </w:p>
        </w:tc>
        <w:tc>
          <w:tcPr>
            <w:tcW w:w="6720" w:type="dxa"/>
            <w:vAlign w:val="bottom"/>
            <w:gridSpan w:val="14"/>
          </w:tcPr>
          <w:p>
            <w:pPr>
              <w:spacing w:after="0"/>
              <w:rPr>
                <w:sz w:val="17"/>
                <w:szCs w:val="17"/>
                <w:color w:val="auto"/>
              </w:rPr>
            </w:pPr>
          </w:p>
        </w:tc>
        <w:tc>
          <w:tcPr>
            <w:tcW w:w="1140" w:type="dxa"/>
            <w:vAlign w:val="bottom"/>
          </w:tcPr>
          <w:p>
            <w:pPr>
              <w:jc w:val="center"/>
              <w:ind w:left="610"/>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60" w:type="dxa"/>
            <w:vAlign w:val="bottom"/>
            <w:gridSpan w:val="33"/>
          </w:tcPr>
          <w:p>
            <w:pPr>
              <w:spacing w:after="0" w:line="196" w:lineRule="exact"/>
              <w:rPr>
                <w:sz w:val="20"/>
                <w:szCs w:val="20"/>
                <w:color w:val="auto"/>
              </w:rPr>
            </w:pPr>
            <w:r>
              <w:rPr>
                <w:rFonts w:ascii="Arial" w:cs="Arial" w:eastAsia="Arial" w:hAnsi="Arial"/>
                <w:sz w:val="18"/>
                <w:szCs w:val="18"/>
                <w:color w:val="0000EE"/>
              </w:rPr>
              <w:t>Wastewater Facilities</w:t>
            </w:r>
          </w:p>
        </w:tc>
        <w:tc>
          <w:tcPr>
            <w:tcW w:w="1140" w:type="dxa"/>
            <w:vAlign w:val="bottom"/>
          </w:tcPr>
          <w:p>
            <w:pPr>
              <w:jc w:val="center"/>
              <w:ind w:left="610"/>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60" w:type="dxa"/>
            <w:vAlign w:val="bottom"/>
            <w:gridSpan w:val="33"/>
          </w:tcPr>
          <w:p>
            <w:pPr>
              <w:spacing w:after="0" w:line="196" w:lineRule="exact"/>
              <w:rPr>
                <w:sz w:val="20"/>
                <w:szCs w:val="20"/>
                <w:color w:val="auto"/>
              </w:rPr>
            </w:pPr>
            <w:r>
              <w:rPr>
                <w:rFonts w:ascii="Arial" w:cs="Arial" w:eastAsia="Arial" w:hAnsi="Arial"/>
                <w:sz w:val="18"/>
                <w:szCs w:val="18"/>
                <w:color w:val="0000EE"/>
              </w:rPr>
              <w:t>Human Capital Management</w:t>
            </w:r>
          </w:p>
        </w:tc>
        <w:tc>
          <w:tcPr>
            <w:tcW w:w="1140" w:type="dxa"/>
            <w:vAlign w:val="bottom"/>
          </w:tcPr>
          <w:p>
            <w:pPr>
              <w:jc w:val="center"/>
              <w:ind w:left="610"/>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Competition</w:t>
            </w:r>
          </w:p>
        </w:tc>
        <w:tc>
          <w:tcPr>
            <w:tcW w:w="6780" w:type="dxa"/>
            <w:vAlign w:val="bottom"/>
            <w:gridSpan w:val="15"/>
          </w:tcPr>
          <w:p>
            <w:pPr>
              <w:spacing w:after="0"/>
              <w:rPr>
                <w:sz w:val="17"/>
                <w:szCs w:val="17"/>
                <w:color w:val="auto"/>
              </w:rPr>
            </w:pPr>
          </w:p>
        </w:tc>
        <w:tc>
          <w:tcPr>
            <w:tcW w:w="1140" w:type="dxa"/>
            <w:vAlign w:val="bottom"/>
          </w:tcPr>
          <w:p>
            <w:pPr>
              <w:jc w:val="center"/>
              <w:ind w:left="610"/>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Regulation</w:t>
            </w:r>
          </w:p>
        </w:tc>
        <w:tc>
          <w:tcPr>
            <w:tcW w:w="100" w:type="dxa"/>
            <w:vAlign w:val="bottom"/>
            <w:tcBorders>
              <w:top w:val="single" w:sz="8" w:color="0000EE"/>
            </w:tcBorders>
            <w:gridSpan w:val="2"/>
          </w:tcPr>
          <w:p>
            <w:pPr>
              <w:spacing w:after="0"/>
              <w:rPr>
                <w:sz w:val="17"/>
                <w:szCs w:val="17"/>
                <w:color w:val="auto"/>
              </w:rPr>
            </w:pPr>
          </w:p>
        </w:tc>
        <w:tc>
          <w:tcPr>
            <w:tcW w:w="7960" w:type="dxa"/>
            <w:vAlign w:val="bottom"/>
            <w:gridSpan w:val="25"/>
          </w:tcPr>
          <w:p>
            <w:pPr>
              <w:spacing w:after="0"/>
              <w:rPr>
                <w:sz w:val="17"/>
                <w:szCs w:val="17"/>
                <w:color w:val="auto"/>
              </w:rPr>
            </w:pPr>
          </w:p>
        </w:tc>
        <w:tc>
          <w:tcPr>
            <w:tcW w:w="1140" w:type="dxa"/>
            <w:vAlign w:val="bottom"/>
          </w:tcPr>
          <w:p>
            <w:pPr>
              <w:jc w:val="center"/>
              <w:ind w:left="610"/>
              <w:spacing w:after="0" w:line="19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8"/>
              </w:rPr>
              <w:t>Seasonality</w:t>
            </w:r>
          </w:p>
        </w:tc>
        <w:tc>
          <w:tcPr>
            <w:tcW w:w="8020" w:type="dxa"/>
            <w:vAlign w:val="bottom"/>
            <w:gridSpan w:val="26"/>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60" w:type="dxa"/>
            <w:vAlign w:val="bottom"/>
            <w:gridSpan w:val="33"/>
          </w:tcPr>
          <w:p>
            <w:pPr>
              <w:spacing w:after="0" w:line="196" w:lineRule="exact"/>
              <w:rPr>
                <w:sz w:val="20"/>
                <w:szCs w:val="20"/>
                <w:color w:val="auto"/>
              </w:rPr>
            </w:pPr>
            <w:r>
              <w:rPr>
                <w:rFonts w:ascii="Arial" w:cs="Arial" w:eastAsia="Arial" w:hAnsi="Arial"/>
                <w:sz w:val="18"/>
                <w:szCs w:val="18"/>
                <w:color w:val="0000EE"/>
              </w:rPr>
              <w:t>Management</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Risk Factors</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Unresolved Staff Comments</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Properties</w:t>
            </w:r>
          </w:p>
        </w:tc>
        <w:tc>
          <w:tcPr>
            <w:tcW w:w="6980" w:type="dxa"/>
            <w:vAlign w:val="bottom"/>
            <w:gridSpan w:val="16"/>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8"/>
              </w:rPr>
              <w:t>Legal Proceedings</w:t>
            </w:r>
          </w:p>
        </w:tc>
        <w:tc>
          <w:tcPr>
            <w:tcW w:w="7680" w:type="dxa"/>
            <w:vAlign w:val="bottom"/>
            <w:gridSpan w:val="21"/>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Mine Safety Disclosures</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304"/>
        </w:trPr>
        <w:tc>
          <w:tcPr>
            <w:tcW w:w="980" w:type="dxa"/>
            <w:vAlign w:val="bottom"/>
            <w:gridSpan w:val="5"/>
          </w:tcPr>
          <w:p>
            <w:pPr>
              <w:spacing w:after="0"/>
              <w:rPr>
                <w:sz w:val="20"/>
                <w:szCs w:val="20"/>
                <w:color w:val="auto"/>
              </w:rPr>
            </w:pPr>
            <w:r>
              <w:rPr>
                <w:rFonts w:ascii="Arial" w:cs="Arial" w:eastAsia="Arial" w:hAnsi="Arial"/>
                <w:sz w:val="18"/>
                <w:szCs w:val="18"/>
                <w:b w:val="1"/>
                <w:bCs w:val="1"/>
                <w:color w:val="0000EE"/>
              </w:rPr>
              <w:t>PART II</w:t>
            </w: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jc w:val="center"/>
              <w:ind w:left="59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320" w:type="dxa"/>
            <w:vAlign w:val="bottom"/>
            <w:gridSpan w:val="3"/>
          </w:tcPr>
          <w:p>
            <w:pPr>
              <w:spacing w:after="0"/>
              <w:rPr>
                <w:sz w:val="17"/>
                <w:szCs w:val="17"/>
                <w:color w:val="auto"/>
              </w:rPr>
            </w:pP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w w:val="97"/>
              </w:rPr>
              <w:t>Market for the Registrant's Common Equity, Related Stockholder Matters and Issuer Purchases of Equity Securities</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320" w:type="dxa"/>
            <w:vAlign w:val="bottom"/>
            <w:tcBorders>
              <w:top w:val="single" w:sz="8" w:color="0000EE"/>
            </w:tcBorders>
            <w:gridSpan w:val="33"/>
          </w:tcPr>
          <w:p>
            <w:pPr>
              <w:spacing w:after="0" w:line="196" w:lineRule="exact"/>
              <w:rPr>
                <w:sz w:val="20"/>
                <w:szCs w:val="20"/>
                <w:color w:val="auto"/>
              </w:rPr>
            </w:pPr>
            <w:r>
              <w:rPr>
                <w:rFonts w:ascii="Arial" w:cs="Arial" w:eastAsia="Arial" w:hAnsi="Arial"/>
                <w:sz w:val="18"/>
                <w:szCs w:val="18"/>
                <w:color w:val="0000EE"/>
              </w:rPr>
              <w:t>[Reserved]</w:t>
            </w:r>
          </w:p>
        </w:tc>
        <w:tc>
          <w:tcPr>
            <w:tcW w:w="700" w:type="dxa"/>
            <w:vAlign w:val="bottom"/>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580" w:type="dxa"/>
            <w:vAlign w:val="bottom"/>
            <w:gridSpan w:val="4"/>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Qualitative and Quantitative Disclosure About Market Risk</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8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Financial Statements and Supplementary Data</w:t>
            </w:r>
          </w:p>
        </w:tc>
        <w:tc>
          <w:tcPr>
            <w:tcW w:w="4740" w:type="dxa"/>
            <w:vAlign w:val="bottom"/>
            <w:gridSpan w:val="9"/>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1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90"/>
              </w:rPr>
              <w:t>Changes in and Disagreements with Accountants on Accounting and Financial Disclosure</w:t>
            </w:r>
          </w:p>
        </w:tc>
        <w:tc>
          <w:tcPr>
            <w:tcW w:w="2540" w:type="dxa"/>
            <w:vAlign w:val="bottom"/>
            <w:gridSpan w:val="3"/>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Controls and Procedures</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4"/>
          </w:tcPr>
          <w:p>
            <w:pPr>
              <w:spacing w:after="0"/>
              <w:rPr>
                <w:sz w:val="17"/>
                <w:szCs w:val="17"/>
                <w:color w:val="auto"/>
              </w:rPr>
            </w:pPr>
          </w:p>
        </w:tc>
        <w:tc>
          <w:tcPr>
            <w:tcW w:w="7260" w:type="dxa"/>
            <w:vAlign w:val="bottom"/>
            <w:gridSpan w:val="18"/>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9C.</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rPr>
              <w:t>PART III</w:t>
            </w:r>
          </w:p>
        </w:tc>
        <w:tc>
          <w:tcPr>
            <w:tcW w:w="2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jc w:val="center"/>
              <w:ind w:left="590"/>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0"/>
              </w:rPr>
              <w:t>Directors, Executive Officers and Corporate Governance</w:t>
            </w:r>
          </w:p>
        </w:tc>
        <w:tc>
          <w:tcPr>
            <w:tcW w:w="4920" w:type="dxa"/>
            <w:vAlign w:val="bottom"/>
            <w:gridSpan w:val="10"/>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Executive Compensation</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40" w:type="dxa"/>
            <w:vAlign w:val="bottom"/>
            <w:gridSpan w:val="1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32"/>
          </w:tcPr>
          <w:p>
            <w:pPr>
              <w:spacing w:after="0" w:line="19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740" w:type="dxa"/>
            <w:vAlign w:val="bottom"/>
            <w:gridSpan w:val="2"/>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8"/>
                <w:szCs w:val="18"/>
                <w:color w:val="0000EE"/>
              </w:rPr>
              <w:t>Principal Accountant Fees and Services</w:t>
            </w:r>
          </w:p>
        </w:tc>
        <w:tc>
          <w:tcPr>
            <w:tcW w:w="3580" w:type="dxa"/>
            <w:vAlign w:val="bottom"/>
            <w:gridSpan w:val="5"/>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304"/>
        </w:trPr>
        <w:tc>
          <w:tcPr>
            <w:tcW w:w="980" w:type="dxa"/>
            <w:vAlign w:val="bottom"/>
            <w:gridSpan w:val="5"/>
          </w:tcPr>
          <w:p>
            <w:pPr>
              <w:spacing w:after="0"/>
              <w:rPr>
                <w:sz w:val="20"/>
                <w:szCs w:val="20"/>
                <w:color w:val="auto"/>
              </w:rPr>
            </w:pPr>
            <w:r>
              <w:rPr>
                <w:rFonts w:ascii="Arial" w:cs="Arial" w:eastAsia="Arial" w:hAnsi="Arial"/>
                <w:sz w:val="18"/>
                <w:szCs w:val="18"/>
                <w:b w:val="1"/>
                <w:bCs w:val="1"/>
                <w:color w:val="0000EE"/>
              </w:rPr>
              <w:t>PART IV</w:t>
            </w: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jc w:val="center"/>
              <w:ind w:left="590"/>
              <w:spacing w:after="0"/>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260" w:type="dxa"/>
            <w:vAlign w:val="bottom"/>
            <w:gridSpan w:val="2"/>
          </w:tcPr>
          <w:p>
            <w:pPr>
              <w:spacing w:after="0"/>
              <w:rPr>
                <w:sz w:val="17"/>
                <w:szCs w:val="17"/>
                <w:color w:val="auto"/>
              </w:rPr>
            </w:pPr>
          </w:p>
        </w:tc>
        <w:tc>
          <w:tcPr>
            <w:tcW w:w="316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89"/>
              </w:rPr>
              <w:t>Exhibits and Financial Statement Schedules</w:t>
            </w:r>
          </w:p>
        </w:tc>
        <w:tc>
          <w:tcPr>
            <w:tcW w:w="5860" w:type="dxa"/>
            <w:vAlign w:val="bottom"/>
            <w:gridSpan w:val="12"/>
          </w:tcPr>
          <w:p>
            <w:pPr>
              <w:spacing w:after="0"/>
              <w:rPr>
                <w:sz w:val="17"/>
                <w:szCs w:val="17"/>
                <w:color w:val="auto"/>
              </w:rPr>
            </w:pP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96"/>
        </w:trPr>
        <w:tc>
          <w:tcPr>
            <w:tcW w:w="98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9020" w:type="dxa"/>
            <w:vAlign w:val="bottom"/>
            <w:gridSpan w:val="34"/>
          </w:tcPr>
          <w:p>
            <w:pPr>
              <w:spacing w:after="0" w:line="196" w:lineRule="exact"/>
              <w:rPr>
                <w:sz w:val="20"/>
                <w:szCs w:val="20"/>
                <w:color w:val="auto"/>
              </w:rPr>
            </w:pPr>
            <w:r>
              <w:rPr>
                <w:rFonts w:ascii="Arial" w:cs="Arial" w:eastAsia="Arial" w:hAnsi="Arial"/>
                <w:sz w:val="18"/>
                <w:szCs w:val="18"/>
                <w:color w:val="0000EE"/>
              </w:rPr>
              <w:t>Form 10-K Summary</w:t>
            </w:r>
          </w:p>
        </w:tc>
        <w:tc>
          <w:tcPr>
            <w:tcW w:w="1140" w:type="dxa"/>
            <w:vAlign w:val="bottom"/>
          </w:tcPr>
          <w:p>
            <w:pPr>
              <w:jc w:val="center"/>
              <w:ind w:left="590"/>
              <w:spacing w:after="0" w:line="19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Signatures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statements contained in this annual report and in the documents incorporated by reference constitute “forward-looking statements” within the meaning of Section 21E of the Securities Exchange Act of 1934 and Section 27A of the Securities Act of 1933. Middlesex Water Company (the Company) intends that these statements be covered by the safe harbors created under those laws. They include, but are not limited to statements as to:</w:t>
      </w:r>
    </w:p>
    <w:p>
      <w:pPr>
        <w:spacing w:after="0" w:line="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financial condition, performance, prospects and earnings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plans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customer rates, consumption volumes, service fees, revenues, margins, expenses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amount of cash contributions to fund the Company’s retirement benefit plans, anticipated discount rates and rates of return on plan assets;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pay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and reliability of the Company’s equipment, facilities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plans to renew municipal franchises and consents in the territories it 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quality of our water supply.</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7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general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competition for growth in non-franchised markets to be potentially served by the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supplies of water;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government regulators, including decisions on rate increase requests;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modified water quality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variations and other natural phenomena impacting utility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risks associated with acquisitions and, or privatizations;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pace of housing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availability of materials and supplies for operations and for critical infrastructure projects;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the Novel Coronavirus (COVID-19) or other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elsewhere in this annual report.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annual report or to reflect the occurrence of unanticipated events, except as may be required under applicable securities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Middlesex Water Company (Middlesex) was incorporated as a water utility company in 1897 and owns and operates regulated water utility and wastewater systems primarily in New Jersey and Delaware. Middlesex also operates water and wastewater systems under contract on behalf of municipal and private clients primarily in New Jersey and Delaware.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terms “the Company,” “we,” “our,” and “us” refer to Middlesex Water Company and its subsidiaries, including Tidewater Utilities, Inc. (Tidewater) and Tidewater’s wholly-owned subsidiaries, Southern Shores Water Company, LLC (Southern Shores) and White Marsh Environmental Systems, Inc. (White Marsh). The Company’s other subsidiaries are Pinelands Water Company (Pinelands Water) and Pinelands Wastewater Company (Pinelands Wastewater) (collectively, Pinelands), Utility Service Affiliates, Inc. (USA) and Utility Service Affiliates (Perth Amboy) Inc., (USA-PA).</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principal executive offices are located at 485C Route 1 South, Suite 400, Iselin, New Jersey 08830. Our telephone number is (732) 634-1500. Our website address is http://www.middlesexwater.com. Information contained on our website is not part of this Annual Report on Form 10-K. We make available, free of charge through our website, reports and amendments filed or furnished pursuant to Section 13(a) or 15(d) of the Securities Exchange Act of 1934, after such material is electronically filed with or furnished to the United States Securities and Exchange Commission (the SEC).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Located in New Jersey, the Middlesex System provides water services to approximately 61,000 retail customers, primarily in eastern Middlesex County and under wholesale contracts to the City of Rahway, Townships of Edison and Marlboro, the Borough of Highland Park and the Old Bridge Municipal Utilities Authority. The Middlesex System treats, stores and distributes water for residential, commercial, industrial and fire protection purposes. The Middlesex System also provides water treatment and pumping services to the Township of East Brunswick under contract. The amount of water supply allocated to the Township of East Brunswick is granted directly to the Township by the New Jersey Water Supply Authority. The Middlesex System produced approximately 65% of our 2022 consolidated operating revenues.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Middlesex System’s retail customers are located in an area of approximately 55 square miles in Woodbridge Township, the City of South Amboy, the Boroughs of Metuchen and Carteret, portions of the Township of Edison and the Borough of South Plainfield, all in Middlesex County, and a portion of the Township of Clark in Union County. Retail customers include a mix of residential customers, large industrial concerns and commercial and light industrial facilities. These customers are located in generally well-developed areas of central New Jersey.</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contract customers of the Middlesex System comprise an area of approximately 110 square miles with a population of over 200,000. Contract sales to the Townships of Edison and Marlboro, the City of Rahway and the Old Bridge Municipal Utilities Authority are supplemental to the water systems owned and operated by these customers. Middlesex is the sole source of water for the Borough of Highland Park and the Township of East Brunswick.</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Middlesex provides water service to approximately 300 customers in Cumberland County, New Jersey. This system is referred to as the Bayview System, and is not physically interconnected with the Middlesex System. The Bayview System produced less than 0.1% of our 2022 consolidated operating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Tidewater, together with its wholly-owned subsidiary, Southern Shores, provides water services to approximately 56,000 retail customers for residential, commercial and fire protection purposes in over 460 separate communities</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New Castle, Kent and Sussex Counties, Delaware. The Tidewater System produced approximately 26% of our 2022 consolidated operating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USA-PA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City of Perth Amboy, New Jersey’s (Perth Amboy) water and wastewater systems under a 10-year agreement, which expires in December 2028. In addition to performing day-to day operations, USA-PA is also responsible for emergency responses and management of capital projects funded by Perth Amboy. USA-PA produced approximately 4% of our 2022 consolidated operating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Systems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Pinelands Water provides water services to approximately 2,500 residential customers in Burlington County, New Jersey. Pinelands Water is not physically interconnected with the Middlesex System. Pinelands Water produced approximately 1% of our 2022 consolidated operating revenues.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Pinelands Wastewater provides wastewater collection and treatment services to approximately 2,500 residential customers. Under contract, it also services one municipal wastewater system in Burlington County, New Jersey with approximately 200 residential customers. Pinelands Wastewater produced approximately 1% of our 2022 consolidated operating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ten-year operations and maintenance contract expiring in 2032. In addition to performing day-to-day service operations, USA is responsible for emergency responses and management of capital projects funded by Avalon.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USA operates the Borough of Highland Park, New Jersey’s (Highland Park) water utility and sewer utility under a ten-year operations and maintenance contract expiring in 2030.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USA also provides water and wastewater services to several other New Jersey municipalities under contracts that are not regulated by a public utility commission as to rates and service.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a marketing agreement with HomeServe USA Corp. (HomeServe) expiring in 2031, USA offers residential customers in New Jersey and Delaware various water and wastewater related home maintenance programs. USA receives a service fee for the billing, cash collection and other administrative matters associated with HomeServe’s service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USA produced approximately 2% of our 2022 consolidated 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White Marsh</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White Marsh operates or maintains water and/or wastewater systems that serve approximately 4,500 service connections under 30 separate contracts. White Marsh also owns two commercial properties that are leased to Tidewater for its administrative office campus and its field operations center. White Marsh produced approximately 1% of our 2022 consolidated operating revenues.</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spacing w:after="0"/>
              <w:rPr>
                <w:sz w:val="20"/>
                <w:szCs w:val="20"/>
                <w:color w:val="auto"/>
              </w:rPr>
            </w:pPr>
            <w:r>
              <w:rPr>
                <w:rFonts w:ascii="Arial" w:cs="Arial" w:eastAsia="Arial" w:hAnsi="Arial"/>
                <w:sz w:val="18"/>
                <w:szCs w:val="18"/>
                <w:i w:val="1"/>
                <w:iCs w:val="1"/>
                <w:color w:val="0000EE"/>
              </w:rPr>
              <w:t>Index</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0"/>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20" w:type="dxa"/>
            <w:vAlign w:val="bottom"/>
            <w:gridSpan w:val="3"/>
          </w:tcPr>
          <w:p>
            <w:pPr>
              <w:spacing w:after="0"/>
              <w:rPr>
                <w:sz w:val="20"/>
                <w:szCs w:val="20"/>
                <w:color w:val="auto"/>
              </w:rPr>
            </w:pPr>
            <w:r>
              <w:rPr>
                <w:rFonts w:ascii="Arial" w:cs="Arial" w:eastAsia="Arial" w:hAnsi="Arial"/>
                <w:sz w:val="18"/>
                <w:szCs w:val="18"/>
                <w:color w:val="auto"/>
                <w:w w:val="99"/>
              </w:rPr>
              <w:t>Consolidated operating revenues, operating income and net income are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0"/>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gridSpan w:val="9"/>
          </w:tcPr>
          <w:p>
            <w:pPr>
              <w:jc w:val="right"/>
              <w:ind w:right="70"/>
              <w:spacing w:after="0"/>
              <w:rPr>
                <w:sz w:val="20"/>
                <w:szCs w:val="20"/>
                <w:color w:val="auto"/>
              </w:rPr>
            </w:pPr>
            <w:r>
              <w:rPr>
                <w:rFonts w:ascii="Arial" w:cs="Arial" w:eastAsia="Arial" w:hAnsi="Arial"/>
                <w:sz w:val="18"/>
                <w:szCs w:val="18"/>
                <w:b w:val="1"/>
                <w:bCs w:val="1"/>
                <w:color w:val="auto"/>
                <w:w w:val="89"/>
              </w:rPr>
              <w:t>(Thousands of Dollars)</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10"/>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162,434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143,141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141,592</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47,333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33,211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37,420</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42,429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36,543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38,425</w:t>
            </w:r>
          </w:p>
        </w:tc>
      </w:tr>
      <w:tr>
        <w:trPr>
          <w:trHeight w:val="432"/>
        </w:trPr>
        <w:tc>
          <w:tcPr>
            <w:tcW w:w="6620" w:type="dxa"/>
            <w:vAlign w:val="bottom"/>
            <w:gridSpan w:val="3"/>
          </w:tcPr>
          <w:p>
            <w:pPr>
              <w:spacing w:after="0"/>
              <w:rPr>
                <w:sz w:val="20"/>
                <w:szCs w:val="20"/>
                <w:color w:val="auto"/>
              </w:rPr>
            </w:pPr>
            <w:r>
              <w:rPr>
                <w:rFonts w:ascii="Arial" w:cs="Arial" w:eastAsia="Arial" w:hAnsi="Arial"/>
                <w:sz w:val="18"/>
                <w:szCs w:val="18"/>
                <w:color w:val="auto"/>
              </w:rPr>
              <w:t>Operating revenues were earned from the following sources: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10"/>
          </w:tcPr>
          <w:p>
            <w:pPr>
              <w:jc w:val="center"/>
              <w:ind w:left="350"/>
              <w:spacing w:after="0"/>
              <w:rPr>
                <w:sz w:val="20"/>
                <w:szCs w:val="20"/>
                <w:color w:val="auto"/>
              </w:rPr>
            </w:pPr>
            <w:r>
              <w:rPr>
                <w:rFonts w:ascii="Arial" w:cs="Arial" w:eastAsia="Arial" w:hAnsi="Arial"/>
                <w:sz w:val="18"/>
                <w:szCs w:val="18"/>
                <w:b w:val="1"/>
                <w:bCs w:val="1"/>
                <w:color w:val="auto"/>
                <w:w w:val="89"/>
              </w:rPr>
              <w:t>Years Ended December 31,</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54.2%</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Fire Protection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Contract Operations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auto"/>
            </w:tcBorders>
            <w:shd w:val="clear" w:color="auto" w:fill="CCEEFF"/>
          </w:tcPr>
          <w:p>
            <w:pPr>
              <w:spacing w:after="0"/>
              <w:rPr>
                <w:sz w:val="19"/>
                <w:szCs w:val="19"/>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100.0%</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Supplies and Contracts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New Jersey and Delaware water supply systems are physically separate and are not interconnected. In New Jersey, the Pinelands System and Bayview System are not interconnected with the Middlesex System or each other. We believe we have adequate sources of water supply to meet the current service requirements of our present customers in New Jersey and Delaware.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Middlesex System produced approximately 14.2 billion gallons in 2022 from:</w:t>
      </w:r>
    </w:p>
    <w:p>
      <w:pPr>
        <w:spacing w:after="0" w:line="225" w:lineRule="exact"/>
        <w:rPr>
          <w:sz w:val="20"/>
          <w:szCs w:val="20"/>
          <w:color w:val="auto"/>
        </w:rPr>
      </w:pPr>
    </w:p>
    <w:p>
      <w:pPr>
        <w:ind w:left="720" w:hanging="334"/>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Carl J. Olsen Surface Water Treatment Plant (CJO Plant)-11.7 billion gallons;</w:t>
      </w:r>
    </w:p>
    <w:p>
      <w:pPr>
        <w:spacing w:after="0" w:line="23" w:lineRule="exact"/>
        <w:rPr>
          <w:rFonts w:ascii="Arial" w:cs="Arial" w:eastAsia="Arial" w:hAnsi="Arial"/>
          <w:sz w:val="18"/>
          <w:szCs w:val="18"/>
          <w:color w:val="auto"/>
        </w:rPr>
      </w:pPr>
    </w:p>
    <w:p>
      <w:pPr>
        <w:ind w:left="720" w:hanging="334"/>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Twenty-seven Company-owned wells (ground water)-0.8 billion gallons, and;</w:t>
      </w:r>
    </w:p>
    <w:p>
      <w:pPr>
        <w:spacing w:after="0" w:line="9" w:lineRule="exact"/>
        <w:rPr>
          <w:rFonts w:ascii="Arial" w:cs="Arial" w:eastAsia="Arial" w:hAnsi="Arial"/>
          <w:sz w:val="18"/>
          <w:szCs w:val="18"/>
          <w:color w:val="auto"/>
        </w:rPr>
      </w:pPr>
    </w:p>
    <w:p>
      <w:pPr>
        <w:jc w:val="both"/>
        <w:ind w:left="720" w:hanging="334"/>
        <w:spacing w:after="0" w:line="255"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balance purchased from a non-affiliated water utility regulated by the New Jersey Board of Public Utilities (NJBPU) under an agreement which expires February 27, 2026. This agreement provides for minimum purchases of 3.0 million gallons per day (mgd) of treated water with provisions for additional purchases.</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Middlesex temporarily ceased pumping from its Company-owned wells at the Park Avenue Wellfield Treatment Plant in South Plainfield, New Jersey and alternate sources of supply were obtained in order to comply with new State of New Jersey water quality regulations relative to poly- and perfluoroalkyl substances, collectively referred to as PFAS that became effective in 2021.</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2021, the Company began design for construction of an enhanced treatment process at the Park Avenue Wellfield Treatment Plant to meet the expected PFAS water quality standards anticipated to be enacted by the State of New Jersey, which at that time were unknown as to their timing and extent. In June 2022, a portion of the enhanced treatment process was completed, placed into service and is effectively treating the ground water in compliance with all state and federal drinking water standards.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Middlesex System’s distribution storage facilities are used to supply water to customers at times of peak demand, outages and emergencies.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source of surface water for the Middlesex System is the Delaware &amp; Raritan Canal, which is owned by the State of New Jersey and operated by the New Jersey Water Supply Authority (NJWSA). Middlesex is under contract with the NJWSA, which expires November 30, 2023, and provides for average purchases of 27.0 mgd of untreated water from the Delaware &amp; Raritan Canal, augmented by the Round Valley/Spruce Run Reservoir System. The untreated surface water is pumped to, and treated at, the CJO Plant.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Water supply to customers of the Bayview System is derived from two wells, which produced approximately 6.4 million gallons in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Tidewater System produced approximately 2.8 billion gallons in 2022, primarily from 178 wells. Tidewater expects to submit applications to Delaware regulatory authorities for the approval of additional wells as growth, customer demand and water quality warrant. Tidewater augments its water production with annual minimum purchases of 15.0 million gallons of treated water under contract from the City of Dover, Delaware. Tidewater does not have a central water treatment facility for the over 460 separate communities it serves. As the number has grown, many of Tidewater’s individual systems have been interconnected, forming several regional systems that are served by multiple water treatment facilities owned by Tidewater.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supply to our Pinelands Water System is derived from four wells which produced approximately 139.6 million gallons in 2022. The aggregate pumping capacity of the four wells is 2.2 mgd.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Wastewater Facilities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Pinelands Wastewater System discharges into the South Branch of the Rancocas Creek through a wastewater treatment plant that provides clarification, sedimentation, filtration and disinfection. The total capacity of the plant is 0.5 mgd, and the system treated approximately 93.7 million gallons in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strives to attract and retain employees by offering competitive compensation and benefits along with career development and training opportunities in a safe, supportive and inclusive work environment. Our mission, our business philosophy and the manner in which we deliver value for our customers, our shareholders and our employees is inherent in what we, as an enterprise, profess to be our core values of Respect, Integrity, Growth, Honesty and Teamwork. Our employees’ success is a key element of the Company’s success.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Workforce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Company had 350 employees. None of our employees are subject to a collective bargaining agreement. We believe our employee relations are positive.</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Compensation and Benefits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offer comprehensive competitive employee compensation and benefit programs consistent with job functions, skill levels, experience, knowledge and geographic location. These programs are periodically independently evaluated by a nationally recognized consulting firm to gauge effectiveness and are benchmarked against industry peers and the overall markets in which we operate our businesses. Compensation increases and incentive compensation are based on merit, which is communicated to employees and documented in our bi-annual performance evaluation process. Benefits include a variety of programs to enhance employee overall physical, mental and financial health and well-being, including healthcare insurance, employer funded retirement savings plans, life insurance, disability insurance, accident insurance, tuition reimbursement, flu shots, wellness newsletters and webinars, flexible hybrid office and remote work capabilities, incentive programs for achieving fitness milestones, financial counseling, elder care assistance, substance abuse support and more.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implemented safety programs and management practices designed to promote a culture of safety to protect its employees. This includes required trainings for employees, as well as specific qualifications and certifications for certain operational employees. All employees have been empowered to report, and immediately stop, work which, in their personal judgement, is unsafe or is not consistent with our safety policies and procedures. They can take this action without fear of reprisal.</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response to the Coronavirus (COVID-19) pandemic, the Company continues to implement changes it determines are in the best interest of our employees and customers, as well as required to comply with government emergency orders and regulations. While the nature of our utility services business requires portions of our workforce to operate in the field and at treatment facilities, we employ and maintain a variety of processes to help ensure the safety of those employees and the public in light of the pandemic. For further discussion of the impact of the COVID-19 pandemic on the Company, see </w:t>
      </w:r>
      <w:r>
        <w:rPr>
          <w:rFonts w:ascii="Arial" w:cs="Arial" w:eastAsia="Arial" w:hAnsi="Arial"/>
          <w:sz w:val="17"/>
          <w:szCs w:val="17"/>
          <w:i w:val="1"/>
          <w:iCs w:val="1"/>
          <w:color w:val="auto"/>
        </w:rPr>
        <w:t>Item 7 - Management’s Discussion and Analysis of Financial Condition and Results of Operation, Coronavirus (COVID-19</w:t>
      </w:r>
      <w:r>
        <w:rPr>
          <w:rFonts w:ascii="Arial" w:cs="Arial" w:eastAsia="Arial" w:hAnsi="Arial"/>
          <w:sz w:val="17"/>
          <w:szCs w:val="17"/>
          <w:color w:val="auto"/>
        </w:rPr>
        <w:t>)</w:t>
      </w:r>
      <w:r>
        <w:rPr>
          <w:rFonts w:ascii="Arial" w:cs="Arial" w:eastAsia="Arial" w:hAnsi="Arial"/>
          <w:sz w:val="17"/>
          <w:szCs w:val="17"/>
          <w:i w:val="1"/>
          <w:iCs w:val="1"/>
          <w:color w:val="auto"/>
        </w:rPr>
        <w:t xml:space="preserve"> Pandemic</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Development and Training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employs various training and other educational programs and has developed company-wide and project-specific training and educational programs, including tuition assistance for full-time employees enrolled in pre-approved undergraduate or graduate courses or professional licensing courses. All employees receive training to identify and report operational and financial risks, as well as risks to Company brand and reputation, which fosters a personal culture of accountability and reinforces our commitment to a safe and sustainable workplace. All employees receive cybersecurity training and other education regarding their use of sensitive data. Our Executive Management team and our Board of Directors continually assess succession plans, leadership development progress and policies and strategies regarding recruitment, retention, career development, diversity, equity and inclusion. Formalized succession planning strategies have been developed for key leadership positions.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&amp; Inclusion (DEI)</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committed to DEI based upon our belief that embracing DEI is consistent with our Company culture and benefits all stakeholders by maintaining a workforce with a variety of skills and perspectives as a result of their diverse backgrounds and experiences. The Company is a signatory to CEO Action for Diversity and Inclusion, a business led initiative which encourages companies to cultivate environments that support dialogue on DEI, implement and expand bias education and training and engage boards of directors in the development and evaluation of inclusion and diversity strategies. The Company also delivered various DEI trainings throughout 2022 to its entire employee base.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focused on recruitment and/or development of both external and internal candidates so that all prospective and current employees are provided an opportunity to advance their careers. We are intentional in our efforts to attract candidates from historically marginalized groups and seek a diverse pool of candidates for</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apprenticeships and internship opportunities. Statements on Diversity, Equity and Inclusion and our Human Rights Policy can be found on our website. We continue to monitor the results of our DEI efforts and continually explore opportunities to further engage our employees and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 in our franchised service areas is substantially free from direct competition for growth with other public utilities, municipalities and other entities. However, our ability to provide contract wholesale water supply and operations and maintenance services that are not under the jurisdiction of a state public utility commission is subject to competition from other public utilities, municipalities and other entities. Although Tidewater has been granted exclusive franchises for its existing community water systems, the ability to expand service areas can be affected by the Delaware Public Service Commission (DEPSC) awarding franchises to other regulated water utilities with whom we compete for such franchises and for projects.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rates charged to customers for utility services, the quality of the services we provide and certain other matters are regulated by the NJBPU and DEPSC (collectively, the Public Utility Commissions).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USA, USA-PA and White Marsh subsidiaries are not regulated public utilities as related to rates and service quality. However, they are subject to federal and state environmental regulations with respect to water quality and wastewater effluent quality to the extent such services are provided.</w:t>
      </w:r>
    </w:p>
    <w:p>
      <w:pPr>
        <w:spacing w:after="0" w:line="146"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are subject to environmental and water quality regulation by the following regulatory agencies (collectively, the Government Environmental Regulatory Agencies):</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United States Environmental Protection Agency (USEPA);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Jersey Department of Environmental Protection (NJDEP) with respect to operations in New Jersey;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Delaware Department of Natural Resources and Environmental Control, the Delaware Department of Health and Social Services-Division of Public Health (DEDPH), and the Delaware River Basin Commission with respect to operations in Delaware.</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our issuances of equity securities are subject to the prior approval of the NJBPU and require registration with the Securities &amp; Exchange Commission (SEC). Our issuances of long-term debt securities are subject to the prior approval of the respective state Public Utility Commissions.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Rates and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regulated rate setting purposes, we account separately for our regulated utility operations to facilitate independent rate setting by the applicable Public Utility Commissions.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determining our regulated utility rates, the respective Public Utility Commissions consider the revenue, expenses and utility infrastructure used and useful in providing service to the public. Rate determinations by the respective Public Utility Commissions do not guarantee achievement by our regulated utility companies of specific rates of return for our regulated utility operations. Thus, we may not achieve the rates of return authorized by the Public Utility Commissions. In addition, there can be no assurance that any future rate increases will be granted or, if granted, that they will be in the amounts requested.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Rate Matters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2021, Middlesex’s petition to the NJBPU seeking permission to increase its base water rates was concluded, based on a 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was implemented in two phases with $20.7 million of the increase effective January 1, 2022 and the remaining $7.0 million effective</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January 1, 2023. As part of the negotiated settlement, the Purchased Water Adjustment Clause (PWAC), which is a rate mechanism that allows for recovery of increased purchased water costs between base rate case filings, was reset to zero.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2022, the NJBPU approved Middlesex's Emergency Relief Motion to permit Middlesex to reset its PWAC tariff rate to recover additional costs of $2.7 million for the purchase of treated water from a non-affiliated regulated water utility. The increase, effective October 1, 2022, is on an interim basis and subject to refund, with interest, pending final resolution expected in the second quarter of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2021, the NJBPU approved Middlesex’s annual petition to reset its PWAC tariff rate to recover additional costs of $1.1 million for the purchase of treated water from a non-affiliated regulated water utility. The new PWAC rate became effective April 4,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Rate Matters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2022, the DEPSC issued an Order requiring Tidewater to reduce its base rates charged to general metered and private fire customers by 6%, effective for service rendered on and after September 1, 2022. In June 2022, the Delaware Division of the Public Advocate had filed a petition with the DEPSC requesting that Tidewater’s rates be reduced based on the claim that Tidewater had been earning above its authorized rate of return. The rate reduction is expected to reduce annual revenues by approximately $2.2 million.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2021, Tidewater was notified by the DEPSC that it had determined Tidewater’s earned rate of return exceeded the rate of return authorized by the DEPSC. Consequently, Tidewater reset its Distribution System Improvement Charge (DSIC) rate to zero effective April 1, 2021 and refunded approximately $1.0 million to customers primarily in the form of an account credit for DSIC revenue previously billed between April 1, 2020 and March 31, 2021. A DSIC is a rate-mechanism that allows water utilities to recover investments in, and generate a return on, qualifying capital improvements made between base rate proceedings.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Rate Matters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2022, Pinelands Water and Pinelands Wastewater filed separate petitions with the NJBPU seeking permission to increase base rates by approximately $0.6 million and $0.4 million per year, respectively. These requests were necessitated by capital infrastructure investments both companies have made, or have committed to make, and increased operations and maintenance costs. We cannot predict whether the NJBPU will ultimately approve, deny, or reduce the amount of the requests. A decision by the NJBPU in both matters is expected in the first quarter of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Southern Shores Rate Matters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2020, the DEPSC approved the renewal of a multi-year agreement for water service to a 2,200 unit condominium community we serve in Sussex County, Delaware. Under the agreement, current rates were to remain in effect until December 31, 2024, unless there are unanticipated capital expenditures or regulatory related changes in operating expenses exceeding certain thresholds during this time period. In 2022, capital expenditures did exceed the established threshold and rates were increased by 5.39%, effective January 1, 2023. Beginning in 2025 and thereafter, inflation based rate increases cannot exceed the lesser of the regional Consumer Price Index or, 3%. Inflation based increases are in addition to the threshold rate increases. This agreement expires on December 31, 2029.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Rate Filings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monitors the need for rate relief for our regulated entities on an ongoing basis. When capital improvements and/or increases in operation, maintenance or other costs indicate a need for rate relief, base rate increase requests are filed with the respective Public Utility Commissions.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Service Matters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Twin Lakes Utilities, Inc. (Twin Lakes) provides water services to approximately 115 residential customers in Shohola, Pennsylvania. 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to submit $1.7 million into an escrow account within 30 days. Twin Lakes immediately filed a Petition For Review (PFR) with the Commonwealth Court of Pennsylvania (the Pennsylvania Court) seeking reversal and vacation of the escrow requirement on the grounds that it violates the Pennsylvania Public Utility Code as well as the United States Constitution. In addition, Twin Lakes filed an emergency petition for stay of the PAPUC Order pending the Pennsylvania Court’s review of the merits arguments contained in Twin Lakes’ PFR. In December 2021, the Pennsylvania Court granted Twin Lakes’ emergency petition, pending its review. In August 2022, the Commonwealth Court issued an opinion upholding PAPUC’s November 2021 Order in its entirety. In September 2022, Twin Lakes filed a Petition For Allowance of Appeal to the Supreme Court of Pennsylvania seeking reversal of the Commonwealth Court’s decision to uphold the escrow requirement on the grounds that the Pennsylvania Court erred in failing to address Twin Lakes’ constitutional claims. The timing of the final decision by the Supreme Court of Pennsylvania and the final adjudication of this matter cannot be predicted at this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results, total assets and financial obligations of Twin Lakes are not material to Middlesex.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NJBPU and the DEPSC have allowed for potential future recovery in customer rates of incremental costs related to the COVID-19 pandemic. The Company has not deferred any COVID-19 related incremental costs. Neither jurisdiction has yet to establish a timeline or definitive formal procedures for seeking cost recovery (for further discussion of the impact of COVID-19 on the Company, see </w:t>
      </w:r>
      <w:r>
        <w:rPr>
          <w:rFonts w:ascii="Arial" w:cs="Arial" w:eastAsia="Arial" w:hAnsi="Arial"/>
          <w:sz w:val="18"/>
          <w:szCs w:val="18"/>
          <w:i w:val="1"/>
          <w:iCs w:val="1"/>
          <w:color w:val="auto"/>
        </w:rPr>
        <w:t>Item 7 -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Coronavirus (COVID-19</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and Wastewater Quality and Environmental Regulations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Government environmental regulatory agencies regulate our operations in New Jersey and Delaware with respect to water supply, treatment and distribution systems and the quality of the water. They also regulate our operations with respect to wastewater collection, treatment and disposal.</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Regulations relating to water quality require us to perform tests to ensure our water meets state and federal quality requirements. In addition, government environmental regulatory agencies continuously review current regulations governing the limits of certain organic compounds found in the water as byproducts of the treatment process. We participate in industry-related research to identify technologies that may reduce the level of organic, inorganic and synthetic compounds found in water. The cost to water utilities to comply with any proposed water quality standards depends in part on the limits set in the regulations and on the method selected to treat the water to the required standards. We regularly test our water to determine compliance with government environmental regulatory agencies’ water quality standards.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2021, the NJDEP issued a Notice of Non-Compliance (Notice) to Middlesex based on self-reporting by Middlesex that the level of Perfluorooctanoic Acid (PFOA) in water treated at its Park Avenue Wellfield Treatment Plant in South Plainfield, New Jersey exceeded a recently promulgated NJDEP standard effective in 2021. The NJDEP standard for PFOA was developed based on a Health-based Maximum Contaminant Level of 14 parts per trillion. Neither the NJDEP nor Middlesex characterized this exceedance as an acute health threat.</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However, Middlesex was required to notify its affected customers and complied in November 2021 as required by the regulation.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Notice further required the Company to take any action necessary to comply with the new standard by September 7, 2022. Prior to 2021, the Company began design for construction of an enhanced treatment process at the Park Avenue Wellfield Treatment Plant to meet the expected PFAS water quality standards anticipated to be enacted by the State of New Jersey, which at that time were unknown as to their timing and extent. Since completion was not expected until mid-2023, in December 2021, the Company implemented an interim solution to meet the Notice requirements. The Park Avenue Wellfield Treatment Plant was temporarily taken off-line and alternate sources of supply were obtained. Simultaneously, the Company accelerated a portion of the enhanced treatment project to allow a restart of the Park Avenue Wellfield Treatment Plant ahead of historical higher water demand periods during the summer months.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2022, a portion of the enhanced treatment process was completed, placed into service and is effectively treating the ground water in compliance with all state and federal drinking water standards.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enhanced groundwater treatment process for PFAS, we treat the groundwater supplies in our Middlesex System with chlorination for primary disinfection purposes and use air stripping for removal of volatile organic compounds.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Surface water treatment in our Middlesex System is by conventional treatment; coagulation, sedimentation and filtration. The treatment process includes pH adjustment, ozone and chlorination for disinfection, and corrosion control for the distribution system.</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Treatment of groundwater in our Tidewater System is by chlorination for disinfection purposes and, in some cases, pH adjustment and filtration for nitrate and iron removal and granular activated carbon filtration for organics removal. Chloramination is used for final disinfection at Southern Shores.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Treatment of groundwater in the Pinelands Water and Bayview Systems (primary disinfection only) is performed at individual well sites.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Treatment of wastewater in the Pinelands Wastewater System includes the use of rotating biological contactors.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NJDEP and DEDPH monitor our activities and review the results of water quality tests that are performed for adherence to applicable regulations. Other applicable regulations include the Federal Lead and Copper Rule, the Federal Surface Water Treatment Rule and the Federal Total Coliform Rule and regulations for maximum contaminant levels established for various volatile organic compounds.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must comply with various environmental laws and regulations promulgated by the USEPA, NJDEP and other governmental agencies, including the Toxic Catastrophe Prevention Act, the Spill Prevention, Control, and Countermeasure Rule and the Discharge Prevention Program of the New Jersey Spill Compensation and Control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demand for our water during the warmer months is generally greater than other times of the year due primarily to additional consumption of water in connection with irrigation systems, swimming pools, cooling systems and other outside water use. Throughout the year, and particularly during typically warmer months, demand may vary with temperature and rainfall timing and overall levels. In the event that temperatures during the typically warmer months are cooler than normal, or if there is more rainfall than normal, the customer demand for our water may decrease and therefore, adversely affect our revenues.</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table lists information concerning our executive management team: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Age</w:t>
            </w:r>
          </w:p>
        </w:tc>
        <w:tc>
          <w:tcPr>
            <w:tcW w:w="7800" w:type="dxa"/>
            <w:vAlign w:val="bottom"/>
          </w:tcPr>
          <w:p>
            <w:pPr>
              <w:spacing w:after="0"/>
              <w:rPr>
                <w:sz w:val="20"/>
                <w:szCs w:val="20"/>
                <w:color w:val="auto"/>
              </w:rPr>
            </w:pPr>
            <w:r>
              <w:rPr>
                <w:rFonts w:ascii="Arial" w:cs="Arial" w:eastAsia="Arial" w:hAnsi="Arial"/>
                <w:sz w:val="18"/>
                <w:szCs w:val="18"/>
                <w:b w:val="1"/>
                <w:bCs w:val="1"/>
                <w:color w:val="auto"/>
              </w:rPr>
              <w:t>Principal Position(s)</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W. Doll</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tcBorders>
              <w:top w:val="single" w:sz="8" w:color="CCEEFF"/>
            </w:tcBorders>
            <w:shd w:val="clear" w:color="auto" w:fill="CCEEFF"/>
          </w:tcPr>
          <w:p>
            <w:pPr>
              <w:spacing w:after="0"/>
              <w:rPr>
                <w:sz w:val="18"/>
                <w:szCs w:val="18"/>
                <w:color w:val="auto"/>
              </w:rPr>
            </w:pPr>
          </w:p>
        </w:tc>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A. Bruce O’Connor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Christian Andreasen, Jr.</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8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President-Enterprise Engineering</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Robert K. Fullagar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Vice President-Operations</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Lorrie B. Ginegaw</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President-Human Resources</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Jay L. Kooper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Vice President-General Counsel and Secretary</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 M. Simpson</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Vice President-Information Technology</w:t>
            </w: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Bernadette M. Sohler</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8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Vice President-Corporate Affairs</w:t>
            </w:r>
          </w:p>
        </w:tc>
      </w:tr>
    </w:tbl>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Dennis W. Doll </w:t>
      </w:r>
      <w:r>
        <w:rPr>
          <w:rFonts w:ascii="Arial" w:cs="Arial" w:eastAsia="Arial" w:hAnsi="Arial"/>
          <w:sz w:val="17"/>
          <w:szCs w:val="17"/>
          <w:color w:val="auto"/>
        </w:rPr>
        <w:t>– Mr. Doll joined the Company as Executive Vice President in November 2004 and was named President and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a Director of Middlesex, effective January 1, 2006. In May 2010, he was elected Chairman of the Board, also serving as Chairman of the Boards of the Company’s subsidiary companies. He is a Past President of the National Association of Water Companies and past Chairman of the Board of the New Jersey Utilities Association, representing the state’s electric, gas, water and telecommunications industries. He is a past Chairman of the Board of The Water Research Foundation where he continues to serve as Director Emeritus, and has served as a Director and member of the Executive Committee of the Board of Directors of the American Water Works Association. He presently serves as Treasurer and member of the Board of Court Appointed Special Advocates of Middlesex County, NJ serving the needs of children living in foster care.</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 Bruce O’Connor </w:t>
      </w:r>
      <w:r>
        <w:rPr>
          <w:rFonts w:ascii="Arial" w:cs="Arial" w:eastAsia="Arial" w:hAnsi="Arial"/>
          <w:sz w:val="18"/>
          <w:szCs w:val="18"/>
          <w:color w:val="auto"/>
        </w:rPr>
        <w:t>– Mr. O’Connor, a Certified Public Accountant, joined the Company in 1990 and was named Vice President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in 1996 and Treasurer in 2014. On January 1, 2019, Mr. O’Connor was appointed Senior Vice President of Middlesex and President of Tidewater and White Marsh. Mr. O’Connor is also the principal financial officer and a Director of all Middlesex subsidiaries.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 Christian Andreasen, Jr. </w:t>
      </w:r>
      <w:r>
        <w:rPr>
          <w:rFonts w:ascii="Arial" w:cs="Arial" w:eastAsia="Arial" w:hAnsi="Arial"/>
          <w:sz w:val="17"/>
          <w:szCs w:val="17"/>
          <w:color w:val="auto"/>
        </w:rPr>
        <w:t>– Mr. Andreasen, a licensed professional engineer, joined the Company in 1982, was named Assistant Vice President-Enterprise Engineering in January 2019 and promoted to Vice President-Enterprise Engineering in July 2019. He is President and a Director of Pinelands Water and Pinelands Wastewater. Mr. Andreasen serves as a Member and Vice Chair of the NJDEP’s Water Supply Advisory Council.</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Robert K. Fullagar – </w:t>
      </w:r>
      <w:r>
        <w:rPr>
          <w:rFonts w:ascii="Arial" w:cs="Arial" w:eastAsia="Arial" w:hAnsi="Arial"/>
          <w:sz w:val="18"/>
          <w:szCs w:val="18"/>
          <w:color w:val="auto"/>
        </w:rPr>
        <w:t>Mr. Fullagar, a licensed professional engineer, joined the Company in 1997, was named Assistant Vice President-Operations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2019 and promoted to Vice President-Operations in July 2019. He is President and a Director of USA-PA, USA and Twin Lakes. Mr. Fullagar serves as Sector Chair of the New Jersey Infrastructure Advisory Committee.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Lorrie B. Ginegaw </w:t>
      </w:r>
      <w:r>
        <w:rPr>
          <w:rFonts w:ascii="Arial" w:cs="Arial" w:eastAsia="Arial" w:hAnsi="Arial"/>
          <w:sz w:val="16"/>
          <w:szCs w:val="16"/>
          <w:color w:val="auto"/>
        </w:rPr>
        <w:t>– Ms. Ginegaw joined Tidewater in 2004 and in 2007 was promoted to Director of Human Resources for Middlesex. In March 2012,</w:t>
      </w:r>
      <w:r>
        <w:rPr>
          <w:rFonts w:ascii="Arial" w:cs="Arial" w:eastAsia="Arial" w:hAnsi="Arial"/>
          <w:sz w:val="16"/>
          <w:szCs w:val="16"/>
          <w:i w:val="1"/>
          <w:iCs w:val="1"/>
          <w:color w:val="auto"/>
        </w:rPr>
        <w:t xml:space="preserve"> </w:t>
      </w:r>
      <w:r>
        <w:rPr>
          <w:rFonts w:ascii="Arial" w:cs="Arial" w:eastAsia="Arial" w:hAnsi="Arial"/>
          <w:sz w:val="16"/>
          <w:szCs w:val="16"/>
          <w:color w:val="auto"/>
        </w:rPr>
        <w:t>Ms. Ginegaw was named Vice President-Human Resources. Prior to joining the Company, Ms. Ginegaw worked in various human resources positions in the healthcare and transportation/logistics industries. Ms. Ginegaw serves as a volunteer director on the Board of the New Jersey Utilities Association.</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Jay L. Kooper </w:t>
      </w:r>
      <w:r>
        <w:rPr>
          <w:rFonts w:ascii="Arial" w:cs="Arial" w:eastAsia="Arial" w:hAnsi="Arial"/>
          <w:sz w:val="16"/>
          <w:szCs w:val="16"/>
          <w:color w:val="auto"/>
        </w:rPr>
        <w:t>– Mr. Kooper joined the Company in 2014 as Vice President and General Counsel and serves as Secretary for the Company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Prior to joining the Company, Mr. Kooper held various positions in private and public entities as well as in private law practice, representing electric, gas, water, wastewater, telephone and cable companies as well as municipalities and private clients before 17 state public utility commissions and legislatures, federal agencies and federal and state appellate courts. Mr. Kooper serves as a volunteer director on selected non-profit utility industry-related Boards including the National Association of Water Companies (current Director and Chairman of the New Jersey Chapter) and the New Jersey State Bar Association’s Public Utility Law Section (current Consultor and Past Chairman) and on other non-profit boards based in New</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Jersey, including as President of Temple B’Nai Abraham in Livingston, New Jersey and as a Director of the Crohn’s and Colitis Foundation’s New Jersey Chapter.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Georgia M. Simpson </w:t>
      </w:r>
      <w:r>
        <w:rPr>
          <w:rFonts w:ascii="Arial" w:cs="Arial" w:eastAsia="Arial" w:hAnsi="Arial"/>
          <w:sz w:val="18"/>
          <w:szCs w:val="18"/>
          <w:color w:val="auto"/>
        </w:rPr>
        <w:t>– Ms. Simpson joined the Company in 2009, was named Assistant Vice President-Information Technology in January 2019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promoted to Vice President- Information Technology in July 2019. In April 2022, Ms. Simpson was named Chief Technology Officer. Prior to joining the Company, Ms. Simpson held various Information Technology positions and has gained an extensive array of technical and business computer certifications. Ms. Simpson serves as a member of the Delaware Cyber Security Advisory Council, the Society for Information Management, New Jersey chapter and the Project Management Institute, New Jersey chapter.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Bernadette M. Sohler – </w:t>
      </w:r>
      <w:r>
        <w:rPr>
          <w:rFonts w:ascii="Arial" w:cs="Arial" w:eastAsia="Arial" w:hAnsi="Arial"/>
          <w:sz w:val="18"/>
          <w:szCs w:val="18"/>
          <w:color w:val="auto"/>
        </w:rPr>
        <w:t>Ms. Sohler joined the Company in 1994 and was named Vice President-Corporate Affairs in March 2007. She also serves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USA. Prior to joining the Company, Ms. Sohler held marketing and public relations management positions in the financial services industry. Ms. Sohler serves as a volunteer director on area Chambers of Commerce and several other non-profit Boards and is the former Chair of the New Jersey Utilities Association’s Communications Committee.</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Risks</w:t>
      </w: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Weather conditions and overuse of underground aquifers may interfere with our sources of water, demand for water services and our ability to supply water to customers.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ability to meet current and future water demands of our customers depends on the availability of an adequate supply of water. Unexpected conditions may interfere with our water supply sources. Drought and overuse of underground aquifers may limit the availability of ground and/or surface water. Freezing weather may also contribute to water transmission interruptions caused by water main breakage. Any interruption in our water supply could cause a reduction in our revenue and profitability. These factors may adversely affect our ability to supply water in sufficient quantities to our customers. Governmental drought restrictions may result in decreased customer demand for water services and can adversely affect our revenue and earnings.</w:t>
      </w:r>
    </w:p>
    <w:p>
      <w:pPr>
        <w:spacing w:after="0" w:line="15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Our water sources or water service provided to customers may become contaminated by naturally-occurring or man-made compounds and events. This may cause disruption in services and impose operational and regulatory enforcement costs upon us to restore the water to required levels of quality as well as may damage our reputation and cause private litigation claims against us</w:t>
      </w:r>
      <w:r>
        <w:rPr>
          <w:rFonts w:ascii="Arial" w:cs="Arial" w:eastAsia="Arial" w:hAnsi="Arial"/>
          <w:sz w:val="17"/>
          <w:szCs w:val="17"/>
          <w:b w:val="1"/>
          <w:bCs w:val="1"/>
          <w:i w:val="1"/>
          <w:iCs w:val="1"/>
          <w:color w:val="auto"/>
        </w:rPr>
        <w:t>.</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sources of water or water in our distribution systems may become contaminated by naturally-occurring or man-made compounds or other events. In the event that any portion of our water supply sources or water distribution systems is contaminated, we may need to interrupt service to our customers until we are able to remediate the contamination or substitute the flow of water from an uncontaminated water source through existing interconnections with other water purveyors or through our transmission and distribution systems, where possible. We may also incur significant costs in treating any contaminated water, or remediating the effects on our treatment and distribution systems, through the use of our current treatment facilities, or development of new treatment methods. Our inability to substitute water supply from an uncontaminated water source, or to adequately treat the contaminated water supply in a cost-effective manner, may reduce our revenues or increase our expenses and make us less profitable.</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be unable to recover costs associated with treating water supplies through rates or, recovery of these costs may not occur in a timely manner. In addition, we could be subject to claims for damages arising from government enforcement actions or legal actions arising out of interruption of service or perceived human exposure to hazardous substances in our drinking water and water supplies. Such costs could adversely affect our financial results.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Contamination of the water supply or the water service provided to our customers could result in substantial injury or damage to our customers, employees or others and we could be exposed to substantial claims and litigation, which are inherently subject to uncertainties and are potentially subject to unfavorable regulatory and/or legal</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actions. Negative impacts to our profitability and/or our reputation may occur even if we are not responsible for the contamination or the consequences arising out of human exposure to contamination or hazardous substances in the water supplies. Pending or future claims against us could have a material adverse impact on our financial condition,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necessity for ongoing physical and technological security has resulted, and may continue to result, in increased operating costs.</w:t>
      </w:r>
    </w:p>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Because of physical and technological threats to the health and security of the United States of America, we employ procedures to review and modify security measures. We provide ongoing training and communications to our employees about threats to our water supply, our assets and related systems and our employees’ personal safety. We have incurred, and will continue to incur, costs for security measures in efforts to protect against such risks.</w:t>
      </w:r>
    </w:p>
    <w:p>
      <w:pPr>
        <w:spacing w:after="0" w:line="14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Climate variability may cause weather volatility in the future, which may impact water usage and related revenue or, may require additional expenditures to reduce risk associated with any increasing storm, flood, drought or other weather occurrences.</w:t>
      </w:r>
    </w:p>
    <w:p>
      <w:pPr>
        <w:spacing w:after="0" w:line="16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Increased climate variability may cause increased precipitation and flooding, increased frequency and severity of storms and other weather events, potential degradation of water quality, decreases in available water supply, changes in water usage patterns and disruptions in service. Because of the uncertainty of weather volatility related to climate variability, we cannot predict its potential impact on our financial condition, results of operations, cash flows and liquidity. Although some or all potential expenditures and costs with respect to our regulated businesses could be recovered through rates we charge to our customers, there can be no assurance that the NJBPU or the DEPSC would authorize recovery of such costs, in whole or in part.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revenue and earnings depend on the rates we charge our customers. We cannot raise utility rates in our regulated businesses without petitioning the appropriate Utility Commissions. If these agencies modify, delay or deny our petition, our revenues will not increase and our earnings will decline unless we are able to reduce costs without degrading service quality.</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NJBPU regulates our public utility companies in New Jersey with respect to rates and charges for service, classification of accounts, awards of new service territory, acquisitions, financings and other matters. That means, for example, that we cannot raise the utility rates we charge to our customers without first petitioning the NJBPU and navigating a lengthy administrative process. Similarly, the DEPSC regulates our public utility companies in Delaware. We cannot provide assurance as to when we will request approval for any such matter, nor can we predict whether these Utility Commissions will approve, deny or reduce the amount of such requests.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costs are not completely within our control. The failure to obtain any rate increase would prevent us from increasing our revenues and, unless we are able to reduce costs without degrading service quality, would result in reduced earnings.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environmental laws and regulations, including water quality and wastewater effluent quality regulations, as well as other state and local regulations. Compliance with those laws and regulations requires us to incur costs and we are subject to fines or other sanctions for non-compliance.</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 environmental regulatory agencies regulate our operations in New Jersey and Delaware with respect to water supply, treatment and distribution systems and the quality of water. Government environmental regulatory agencies also regulate our operations in New Jersey and Delaware with respect to wastewater collection, treatment and disposal.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 environmental regulatory agencies’ regulations relating to water quality require us to perform expanded types of testing to ensure our water meets state and federal water quality requirements. We are subject to USEPA regulations under the Federal Safe Drinking Water Act and under the Federal Clean Water Act regarding</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wastewater services. Regulations under the Safe Drinking Water Act include the Lead and Copper Rule, the maximum contaminant levels established for various volatile organic compounds, the Federal Surface Water Treatment Rule and the Total Coliform Rule. There are also similar NJDEP regulations for our New Jersey water systems. The NJDEP and DEDPH a monitor our activities and review the results of water quality tests we perform for adherence to applicable regulations. In addition, Government Environmental Regulatory Agencies are continually reviewing regulations governing the limits of certain organic compounds found in the water as byproducts of treatment.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subject to regulations related to fire protection services in New Jersey and Delaware. In New Jersey there is no state-wide fire protection regulatory agency. However, New Jersey regulations exist as to the size of piping required regarding the provision of fire protection services. In Delaware, fire protection is regulated statewide by the Office of State Fire Marshal.</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 of compliance with the water and wastewater effluent quality standards depends in part on the limits set in the regulations and on the methods selected to comply with these standards. If new or more restrictive standards are imposed, the cost of compliance could increase and therefore, have an adverse impact on our revenues and results of operations if we cannot recover those costs through the rates we charge our customers. The cost of compliance with fire protection requirements could also increase and make us less profitable if we cannot recover those costs through our rates charged to our customers.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must comply with various environmental laws and regulations promulgated by the USEPA, NJDEP and other governmental agencies, including the Toxic Catastrophe Prevention Act, the Spill Prevention, Control, and Countermeasure Rule and the Discharge Prevention Program of the New Jersey Spill Compensation and Control Act. If we fail to comply with environmental or other laws and regulations to which our business is subject, we could be fined or subject to other sanctions, which could adversely impact our business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Risks</w:t>
      </w:r>
    </w:p>
    <w:p>
      <w:pPr>
        <w:spacing w:after="0" w:line="22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depend upon our ability to raise money in the capital markets to finance some of the costs of complying with laws and regulations, including environmental laws and regulations or to pay for some of the costs of improvements to or the expansion of our utility system assets. Our regulated utility companies cannot issue debt or equity securities without prior regulatory approval.</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require financing from external sources to fund the ongoing capital program for the improvement in our utility system assets and for planned expansion of those systems. We expect to spend approximately $266 million for capital projects through 2025. We must obtain prior approval from our economic regulators to sell debt or equity securities to raise capital for these projects. If sufficient capital is not available, or the cost of capital is too high, or if the regulatory authorities deny our petition to sell debt or equity securities, we may not be able to meet the costs of complying with environmental laws and regulations or the costs of improving and expanding our utility system assets to the level we believe operationally prudent. This may result in the imposition of fines from environmental regulators or restrictions on our operations which could curtail our ability to upgrade or replace utility system assets.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competition from other utilities and service providers which might hinder our growth opportunities and mitigate our future profitability.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face risks of competition from other utilities or other entities authorized by federal, state or local agencies to expand rate-regulated or contracted utility services. Once a state utility regulator grants a franchise to a public utility to serve a specific territory, that utility effectively has an exclusive right to service that territory. Although a new franchise offers some protection against competitors, the pursuit of franchises is often competitive, particularly in Delaware, where new franchises may be awarded to utilities based upon competitive negotiation. Competing entities have challenged, and may challenge in the future, our applications for new franchises. Also, third parties entering into agreements to operate municipal utility systems may adversely affect the management of our long-term agreements to supply water or wastewater services on a contract basis to those municipalities, which could adversely affect our financial results.</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have short-term and long-term contractual obligations for water, wastewater and storm water system operation and maintenance under which we may incur costs in excess of payments received.</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USA-PA and USA operate and maintain water and wastewater systems for three New Jersey municipalities under 10-year contracts expiring in 2028, 2030 and 2032, respectively. These contracts do not protect us against incurring costs in excess of revenues we earn pursuant to the contracts. There can be no absolute assurance we will not experience losses resulting from these contracts. Losses under these contracts, or our failure or inability to perform or renew such agreements, may have a material adverse effect on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market conditions and key assumptions may adversely impact the value of our postretirement benefit plan assets and liabilities.</w:t>
      </w: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Market factors can adversely affect the rate of return on assets held in trusts to satisfy our future postretirement benefit obligations, as well negatively affect interest rates, which impacts the discount rates used in the determination of our postretirement benefit actuarial valuations. In addition, changes in demographics, such as increases in life expectancy assumptions, can increase future postretirement benefit obligations. Any negative impact to these factors, either individually or a combination thereof, may have a material adverse effect on our financial condition and results of operations.</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element of our growth strategy is the acquisition of water and wastewater assets, operations, contracts or companies. Any pending or future acquisitions we decide to undertake will involve risks.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acquisition and/or operation of water and wastewater systems is an element of our growth strategy. This strategy depends on identifying suitable opportunities that meet our risk/reward profile and reaching mutually agreeable terms with acquisition candidates or contract parties. Further, acquisitions may result in dilution in the value of our equity securities, incurrence of debt and contingent liabilities and fluctuations in financial results. In addition, the assets, operations, contracts or companies we acquire may not achieve the revenues and profitability projected.</w:t>
      </w:r>
    </w:p>
    <w:p>
      <w:pPr>
        <w:spacing w:after="0" w:line="16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ability to achieve organic customer growth in our market area is dependent on the residential building market. New housing starts and home sale closings are one element that impacts our rate of growth and therefore, may not meet our expectations.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revenues to increase from customer growth for our regulated water operations as a result of anticipated construction, sale and close of new housing units. If housing starts decline, or do not increase as we have projected, or home sales closing cycle times increase as a result of economic conditions or otherwise, the timing and extent of our organic revenue growth may not meet our expectations, our deferred project costs may not produce revenue-generating projects in the timeframes anticipated and our financial results could be negatively impacted.</w:t>
      </w:r>
    </w:p>
    <w:p>
      <w:pPr>
        <w:spacing w:after="0" w:line="167"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There can be no assurance we will continue to pay dividends in the future or, if dividends are paid, that they will be in amounts similar to past dividends.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paid dividends on our common stock each year since 1912 and have increased the amount of dividends paid each year since 1973. Our earnings, financial condition, capital requirements, applicable regulations and other factors, including the timeliness and adequacy of rate increases, will determine both our ability to pay dividends and the amount of those dividends. There can be no assurance we will continue to pay dividends in the future or, if dividends are paid, that they will be in amounts similar to past dividends.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If we are unable to pay the principal and interest on our indebtedness as it comes due or we default under certain other provisions of our loan documents, our indebtedness could be accelerated and our results of operations and financial condition could be adversely affected.</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pay the principal and interest on our indebtedness as it comes due will depend upon our current and future performance. Our performance is affected by many factors, some of which are beyond our control.</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cash generated from operations and, if necessary, borrowings under existing credit facilities, will be sufficient to enable us to make our debt payments as they become due. If, however, we do not generate sufficient cash, we may be required to refinance our obligations or sell additional equity, which may be on terms that are less favorable than we desire.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assurance can be given that any refinancing or sale of equity will be possible when needed, or that we will be able to negotiate acceptable terms. In addition, our failure to comply with certain provisions contained in our trust indentures and loan agreements relating to our outstanding indebtedness could lead to a default under these documents, which could result in an acceleration of our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seasonal fluctuations, which could affect demand for our water service and our revenues.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our water during the warmer months is generally greater than during colder months due primarily to additional consumption of water in connection with irrigation systems, swimming pools, cooling systems and other outdoor water use. Throughout the year, and particularly during typically warmer months, demand may vary with temperature and rainfall levels. In the event that temperatures during the typically warmer months are cooler than normal, or if there is more rainfall than normal, the demand for our water may decrease and adversely affect our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conditions may materially and adversely affect our financial condition and 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Adverse economic conditions could negatively impact our customers’ water usage demands, particularly the level of water usage demand by our commercial and industrial customers in our Middlesex System. If water demand by our commercial and industrial customers in our Middlesex System decreases, our financial condition and results of operations could be negatively impacted until completion of a subsequent base rate filing.</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current concentration of our business in central New Jersey and in Delaware makes us susceptible to adverse developments in local regulatory, economic, demographic, competitive and weather conditions.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Middlesex System provides water services to customers located primarily in eastern Middlesex County, New Jersey. Water service is provided under wholesale contracts to the Townships of Edison, East Brunswick and Marlboro, the Borough of Highland Park, the Old Bridge Municipal Utilities Authority and the City of Rahway. We also provide water services to customers in the State of Delaware. Our revenues and operating results are therefore subject to local regulatory, economic, demographic, competitive and weather conditions in a relatively concentrated geographic area. A change in any of these conditions could make it more costly for us to conduct our business.</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are subject to anti-takeover measures that may be used to discourage, delay or prevent changes of control that might benefit non-management shareholders.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Subsection 10A of the New Jersey Business Corporation Act, known as the New Jersey Shareholders Protection Act, applies to us. The Shareholders Protection Act deters merger proposals, tender offers or other attempts to effect changes in control that are not approved by our Board of Directors. In addition, we have a classified Board of Directors, which means only a portion of the Director population is elected each year. A classified Board can make it more difficult for an acquirer to gain control of the Company by voting its candidates onto the Board of Directors and may also deter merger proposals and tender offers. Our Board of Directors also has the ability, subject to obtaining NJBPU approval, to issue one or more series of preferred stock having such number of shares, designation, preferences, voting rights, limitations and other rights as the Board of Directors may fix. This could be used by the Board of Directors to discourage, delay or prevent an acquisition the Board of Directors determines is not in the best interest of the common shareholders.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information technology systems to help manage our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information technology systems require periodic modifications, upgrades and/or replacement which subject us to costs and risks including potential disruption of our internal control structure, substantial unanticipated capital expenditures, additional operating expenses, retention of sufficiently skilled personnel and other risks in transitioning to new systems or integrating new systems. A failure to modify, upgrade or replace our information technology systems could have an adverse impact on our business. In addition, challenges implementing new technology systems may cause disruptions in our business operations and have an adverse effect on our business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information technology systems may be subject to physical and cyber attacks.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our computer, information and communications technology systems in connection with the operation of our business, especially with respect to customer service and billing, accounting and, in some cases, the monitoring and operation of our operating facilities. Our computer and communications systems and operations could be damaged or interrupted by natural disasters, cyber-attacks, power loss and internet, telecommunications or data network failures or acts of war or terrorism or similar events or disruptions. Any of these or other events could cause service interruption, delays and loss of critical data or, impede aspects of operations and therefore, adversely affect our financial results.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Cyber-attacks could result in the loss, or compromise, of customer, financial or operational data, disruption of billing, collections or normal field service activities, disruption of electronic monitoring and control of operational systems and delays in financial reporting and other management functions. Possible impacts associated with a cyber-incident may include remediation costs related to lost, stolen, or compromised data, repairs to data processing systems, increased cyber security protection costs, adverse effects on our compliance with regulatory and environmental laws and regulations, including standards for drinking water, litigation and reputational damage.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COVID-19 pandemic and the attempt to contain it may harm our business, results of operations, financial condition and liquidity.</w:t>
      </w:r>
    </w:p>
    <w:p>
      <w:pPr>
        <w:spacing w:after="0" w:line="2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2023, the United States Secretary of Health and Human Services renewed the determination that a nationwide health emergency exists as a result of the COVID-19 Pandemic with an announced end to the declared health emergency on May 11, 2023. While the Company’s operations and capital construction program have not been materially disrupted to date from the pandemic, the impact on economic conditions nationally and the areas the Company operates continues to be uncertain and could affect the Company’s results of operations, financial condition and liquidity in the future.</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significantly on the technical and management services of our team, and the departure of any of certain persons could cause our operating results to temporarily be short of our expectations.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success depends significantly on the continued individual and collective contributions of our team. If we lose the services of certain members of our team, or are unable to attract and retain qualified personnel in key roles, our operating results could be negatively impacted.</w:t>
      </w:r>
    </w:p>
    <w:p>
      <w:pPr>
        <w:sectPr>
          <w:pgSz w:w="11900" w:h="16838" w:orient="portrait"/>
          <w:cols w:equalWidth="0" w:num="1">
            <w:col w:w="11240"/>
          </w:cols>
          <w:pgMar w:left="320" w:top="233"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UNRESOLVED STAFF COMMENTS.</w:t>
      </w:r>
    </w:p>
    <w:p>
      <w:pPr>
        <w:spacing w:after="0" w:line="211" w:lineRule="exact"/>
        <w:rPr>
          <w:sz w:val="20"/>
          <w:szCs w:val="20"/>
          <w:color w:val="auto"/>
        </w:rPr>
      </w:pPr>
    </w:p>
    <w:p>
      <w:pPr>
        <w:sectPr>
          <w:pgSz w:w="11900" w:h="16838" w:orient="portrait"/>
          <w:cols w:equalWidth="0" w:num="2">
            <w:col w:w="780" w:space="520"/>
            <w:col w:w="9940"/>
          </w:cols>
          <w:pgMar w:left="320" w:top="233"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233" w:right="339" w:bottom="1440" w:gutter="0" w:footer="0" w:header="0"/>
          <w:type w:val="continuous"/>
        </w:sectPr>
      </w:pPr>
    </w:p>
    <w:p>
      <w:pPr>
        <w:spacing w:after="0" w:line="244" w:lineRule="exact"/>
        <w:rPr>
          <w:sz w:val="20"/>
          <w:szCs w:val="20"/>
          <w:color w:val="auto"/>
        </w:rPr>
      </w:pPr>
    </w:p>
    <w:p>
      <w:pPr>
        <w:spacing w:after="0" w:line="566" w:lineRule="auto"/>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Utility Plant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673" w:lineRule="exact"/>
        <w:rPr>
          <w:sz w:val="20"/>
          <w:szCs w:val="20"/>
          <w:color w:val="auto"/>
        </w:rPr>
      </w:pPr>
    </w:p>
    <w:p>
      <w:pPr>
        <w:sectPr>
          <w:pgSz w:w="11900" w:h="16838" w:orient="portrait"/>
          <w:cols w:equalWidth="0" w:num="2">
            <w:col w:w="920" w:space="380"/>
            <w:col w:w="9940"/>
          </w:cols>
          <w:pgMar w:left="320" w:top="233"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The water utility plant in our systems consists of source of supply, pumping, water treatment, transmission and distribution, general facilities and all appurtenances, including all connecting pipes.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wastewater utility plant in our systems consist of pumping, treatment, collection mains, general facilities and all appurtenances, including all connecting pipes.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water and wastewater utility plant facilities are sufficient for the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principal source of surface supply is the Delaware &amp; Raritan Canal owned by the State of New Jersey and operated as a water resource by the NJWSA.</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Water is withdrawn from the Delaware &amp; Raritan Canal at New Brunswick, New Jersey through our intake and pumping station, located on state-owned land bordering the canal. Water is transported through two raw water pipelines for treatment and distribution at our CJO Plant in Edison, New Jersey.</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CJO Plant includes chemical storage and chemical feed equipment, two dual rapid mixing basins, four upflow clarifiers which are also called superpulsators, two ozone contactors, twelve rapid filters containing gravel, sand and anthracite for water treatment and a steel washwater tank. The CJO Plant also includes a computerized Supervisory Control and Data Acquisitions system to monitor and control the CJO Plant and the water supply and distribution system in the Middlesex System. There is a State of New Jersey certified on-site laboratory capable of performing bacteriological, chemical, process control and advanced instrumental chemical sampling and analysis. The firm design capacity of the CJO Plant is 55 mgd (60 mgd maximum capacity). The five electric motor-driven, vertical turbine pumps presently installed have an aggregate capacity of 85 mgd.</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there is a 15 mgd auxiliary pumping station on-site at the CJO Plant location. It has a dedicated substation and emergency power supply provided by a diesel-driven generator. It pumps from the 10 million gallon distribution storage reservoir directly into the distribution system.</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transmission and distribution system is comprised of 746 miles of mains and includes 24,300 feet of 48-inch concrete transmission main and 23,400 feet of 42-inch ductile iron transmission main connecting the CJO Plant to our distribution pipe network and related storage facilities. Also included are a 58,600 foot transmission main and a 38,800 foot transmission main, augmented with a long-term, non-exclusive agreement with East Brunswick to transport water through the East Brunswick system to several of our other contract customers.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storage facilities consist of a 10 million gallon reservoir at the CJO Plant, 5 million gallon and 2 million gallon reservoirs in Edison and a 2 million gallon reservoir at the Park Avenue Well Field.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New Jersey, we own the properties on which the Middlesex System’s 27 wells are located, the properties on which our storage tanks are located as well as the property where the CJO Plant is located. We own our operations center located at 1500 Ronson Road, Iselin, New Jersey, consisting of a 27,000 square foot office building, 16,500 square foot maintenance facility and a 1.96 acre equipment and materials storage and staging yard. We lease 29,036 square feet of commercial office space adjacent to the Ronson Road complex. The leased space, which is under contract through 2028, houses our corporate administrative functions including executive, accounting, customer service and billing, engineering, human resources, information technology and legal.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Tidewater System is comprised of 87 production plants that vary in pumping capacity from 46,000 gallons per day to 4.4 mgd. Water is transported to our customers through 888 miles of transmission and distribution mains. Storage facilities include 46 tanks, with an aggregate capacity of 7.9 million gallons. The Delaware office property, located on an eleven-acre parcel owned by White Marsh, consists of two office buildings totaling approximately 17,000 square feet. In addition, Tidewater maintains a field operations center servicing its largest service territory in Sussex County, Delaware. The operations center is located on a 2.9 acre parcel owned by White Marsh, and consists of three buildings totaling approximately 12,000 square feet.</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Pinelands Water owns well site and storage properties in Southampton Township, New Jersey. The Pinelands Water storage facility is a 1.3 million gallon standpipe. Water is transported to our customers through 18 miles of transmission and distribution mains.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Pinelands Wastewater owns a 12 acre site on which its 0.5 mgd capacity wastewater treatment plant and connecting pipes are located. Its wastewater collection system is comprised of approximately 24 miles of sewer 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Bayview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Bayview System includes two well sites, which are located in Downe Township, Cumberland County, New Jersey. Water is transported to its customers through our 4.2 mile distribution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USA-PA, USA and White Marsh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non-regulated subsidiaries, namely USA-PA, USA and White Marsh, do not own utility plant property.</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PFOA Regulatory Notice of Non-Compliance – </w:t>
      </w:r>
      <w:r>
        <w:rPr>
          <w:rFonts w:ascii="Arial" w:cs="Arial" w:eastAsia="Arial" w:hAnsi="Arial"/>
          <w:sz w:val="17"/>
          <w:szCs w:val="17"/>
          <w:color w:val="auto"/>
        </w:rPr>
        <w:t>In September 2021, the NJDEP issued a Notice to Middlesex based on self-reporting by Middlesex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level of PFOA in water treated at its Park Avenue Wellfield Treatment Plant in New Jersey exceeded a recently promulgated NJDEP standard effective in 2021. Neither the NJDEP nor Middlesex characterized this exceedance as an acute health emergency. However, Middlesex was required to notify its affected customers and the Company complied in due course. Water currently being delivered to customers is in compliance with all USEPA and NJDEP drinking water standards, including the newly established water quality standard for PFOA.</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2021, the Company was served with two PFOA-related class action lawsuits seeking restitution for medical, water filter replacement and other claimed related costs.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7 - Management’s Discussion and Analysis of Financial Condition and Results of Operations, Regulatory Notice of Non-Compliance. </w:t>
      </w:r>
      <w:r>
        <w:rPr>
          <w:rFonts w:ascii="Arial" w:cs="Arial" w:eastAsia="Arial" w:hAnsi="Arial"/>
          <w:sz w:val="18"/>
          <w:szCs w:val="18"/>
          <w:color w:val="auto"/>
        </w:rPr>
        <w:t>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summarizes the legal complaints brought against Middlesex related to this matter:</w:t>
      </w:r>
    </w:p>
    <w:p>
      <w:pPr>
        <w:spacing w:after="0" w:line="188" w:lineRule="exact"/>
        <w:rPr>
          <w:sz w:val="20"/>
          <w:szCs w:val="20"/>
          <w:color w:val="auto"/>
        </w:rPr>
      </w:pPr>
    </w:p>
    <w:p>
      <w:pPr>
        <w:jc w:val="both"/>
        <w:ind w:left="660" w:hanging="328"/>
        <w:spacing w:after="0" w:line="26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Vera et al. v. Middlesex Water Company </w:t>
      </w:r>
      <w:r>
        <w:rPr>
          <w:rFonts w:ascii="Arial" w:cs="Arial" w:eastAsia="Arial" w:hAnsi="Arial"/>
          <w:sz w:val="17"/>
          <w:szCs w:val="17"/>
          <w:color w:val="auto"/>
        </w:rPr>
        <w:t>- On October 29, 2021, a complaint was filed in the Superior Court of New Jersey, Middlesex County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seeking restitution, equitable and injunctive relief for the costs of (1) seeking medical advice; (2) installing home water filters; (3) purchasing bottled water; and (4) court-supervised medical monitoring/testing going forward. On November 19, 2021, a first amended complaint was filed together with motions for Class Certification and Injunctive Relief. On December 17, 2021, the parties entered into a Stipulation where it was agreed that Plaintiff’s motion for injunctive relief would be withdrawn. On February 16, 2022, Middlesex filed a Motion To Dismiss Plaintiffs’ complaint for: (1) failure to include an indispensable party, 3M Company (3M), whom Middlesex claims is the source of the PFOA in the Company’s wells; and (2) failure to state legally cognizable claims in support of all of the counts set forth in the complaint. Plaintiff’s motion for Class Certification and further discovery is postponed pending the outcome of Middlesex’s Motion To Dismiss. On April 21, 2022, the Judge granted Vera’s Motion for Class Certification and granted in part and denied in part Middlesex’s Motion to Dismiss. On May 4, 2022, the Company impleaded 3M as a third-party defendant in this lawsuit. The Company has also initiated a separate lawsuit against 3M seeking to hold 3M accountable for introduction of perfluoroalkyl substances, which include PFOA, into the Company’s water supply at its Park Avenue Wellfield facility. On July 6, 2022, the Company filed a Motion to Remove this case from New Jersey Superior Court to the United States District Court for the District of New Jersey. Vera is currently challenging Middlesex’s Motion To Remove at the U.S. District Court for the District of New Jersey in an attempt to remand the case back to the Superior Court of New Jersey.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ind w:left="660" w:hanging="328"/>
        <w:spacing w:after="0" w:line="27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Lonsk et al. v. Middlesex Water Company and 3M Company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November 9, 2021, a complaint was filed in the United States District Court,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District of New Jersey seeking Class Certification and restitution, equitable and injunctive relief for the costs of (1) seeking medical advice; (2) installing home water filters; (3) purchasing bottled water; and (4) all other claimed related costs. On December 23, 2021, the parties agreed to postpone the filing date of Middlesex’s and 3M’s answers to the complaint to January 14, 2022 at the earliest. This filing date was subsequently further postponed to March 1, 2022. On March 4, 2022, Middlesex filed a Motion to Dismiss Plaintiffs’ complaint. On April 15, 2022, Plaintiffs filed an Amended Complaint. On July 7, 2022, this case was reassigned to a new trial judge at the United States District Court for the District of New Jersey. On October 31, 2022, the trial judge in this matter dismissed Middlesex’s and 3M’s motions to dismiss the Plaintiffs’ complaint and Middlesex and 3M filed answers to Plaintiffs’ amended complaint on November 21, 2022. Discovery in this case is currently underway with a scheduled end date of January 9, 2024.</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a defendant in other lawsuits in the normal course of business. We believe the resolution of these pending claims and legal proceedings will not have a material adverse effect on the Company’s consolidated financial statements.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110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is traded on the NASDAQ Stock Market, LLC, under the symbol MSEX. As of December 31, 2022, there were 1,751 holders of record.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paid dividends on its common stock each year since 1912. The payment of future dividends is contingent upon the future earnings of the Company, its financial condition and other factors deemed relevant by the Board of Directors at its discretion.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four or more quarterly dividends are in arrears, the preferred shareholders, as a class, are entitled to elect two members to the Board of Directors in addition to Directors elected by holders of the common stock. In the event dividends on the preferred stock are in arrears, no dividends may be declared or paid on the common stock of the Company.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issues shares of its common stock in connection with its Middlesex Water Company Investment Plan (the Investment Plan), a direct share purchase and dividend reinvestment plan for the Company’s common stock. Since the inception of the Investment Plan and its predecessor plan, the Company has periodically replenished the level of authorized shares in the plans. Currently, 0.2 million shares remain registered with the SEC for the Investment Plan and available for potential issuance to participants. Middlesex has filed a petition with the NJBPU seeking to increase the number of authorized shares under the Investment Plan by 0.7 million shares. The Company raised approximately $10.3 million through the issuance of shares under the Investment Plan during 2022.</w:t>
      </w:r>
    </w:p>
    <w:p>
      <w:pPr>
        <w:spacing w:after="0" w:line="192"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March 1, 2023, the Company will begin offering shares of its common stock for purchase at a 3% discount to participants in the Investment Plan. The discount offering will continue until 200,000 shares are purchased at the discounted price or December 1, 2023, whichever event occurs first. The discount applies to all common stock purchases made under the Investment Plan, whether by optional cash payment or by dividend reinvestment.</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a long-term incentive compensation plan for certain management employees where awards are made in the form of restricted common stock. Shares issued in connection with this plan are subject to forfeiture by the employee in the event of termination of employment for any reason within five years of the award, other than as a result of retirement at normal retirement age, death, disability or change in control. The maximum number of shares authorized for award under this plan is 0.3 million shares, of which approximately 80% remain available for award.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stock plan for its independent members of the Board of Directors as a component of their compensation. In 2022, shares of the Company’s common stock valued at $0.3 million were granted and issued to the Independent Directors. The maximum number of shares authorized for grant under this plan is 0.1 million. Approximately 46% of the authorized shares remain available for future issuance.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Set forth below is a graph comparing the yearly change in the cumulative total return (which includes reinvestment of dividends) of a $100 investment for the Company’s common stock, a peer group of investor-owned water utilities, and the S&amp;P 500 Stock Index for the period of five years commencing December 31, 2017. The S&amp;P 500 Stock Index measures the stock performance of 500 large companies listed on stock exchanges in the United States.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Middlesex Water Company, the S&amp;P 500 Stock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177165</wp:posOffset>
            </wp:positionV>
            <wp:extent cx="5237480" cy="4105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37480"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4"/>
        <w:spacing w:after="0" w:line="277" w:lineRule="auto"/>
        <w:tabs>
          <w:tab w:leader="none" w:pos="802" w:val="left"/>
        </w:tabs>
        <w:numPr>
          <w:ilvl w:val="0"/>
          <w:numId w:val="9"/>
        </w:numPr>
        <w:rPr>
          <w:rFonts w:ascii="Arial" w:cs="Arial" w:eastAsia="Arial" w:hAnsi="Arial"/>
          <w:sz w:val="18"/>
          <w:szCs w:val="18"/>
          <w:color w:val="auto"/>
        </w:rPr>
      </w:pPr>
      <w:r>
        <w:rPr>
          <w:rFonts w:ascii="Arial" w:cs="Arial" w:eastAsia="Arial" w:hAnsi="Arial"/>
          <w:sz w:val="18"/>
          <w:szCs w:val="18"/>
          <w:color w:val="auto"/>
        </w:rPr>
        <w:t>Peer group includes American States Water Company, Artesian Resources Corp., California Water Service Group, Global Water Resources Inc, SJW Corp., York Water Company and Middlesex.</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ind w:left="140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0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Middlesex Water Company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3"/>
              </w:rPr>
              <w:t>165.40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S&amp;P 500 Stock Index</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95.62</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125.72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148.85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191.58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156.89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108.39</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134.25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178.54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161.23</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tcPr>
          <w:p>
            <w:pPr>
              <w:jc w:val="right"/>
              <w:ind w:right="8750"/>
              <w:spacing w:after="0"/>
              <w:rPr>
                <w:sz w:val="20"/>
                <w:szCs w:val="20"/>
                <w:color w:val="auto"/>
              </w:rPr>
            </w:pPr>
            <w:r>
              <w:rPr>
                <w:rFonts w:ascii="Arial" w:cs="Arial" w:eastAsia="Arial" w:hAnsi="Arial"/>
                <w:sz w:val="18"/>
                <w:szCs w:val="18"/>
                <w:b w:val="1"/>
                <w:bCs w:val="1"/>
                <w:color w:val="auto"/>
              </w:rPr>
              <w:t>[RESERVED]</w:t>
            </w:r>
          </w:p>
        </w:tc>
      </w:tr>
      <w:tr>
        <w:trPr>
          <w:trHeight w:val="344"/>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jc w:val="right"/>
              <w:ind w:right="545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the Company’s consolidated financial statements and related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also provide regulated wastewater services in New Jersey. We are regulated by state public utility commissions as to rates charged to customers for water and wastewater services, as to the quality of water and wastewater services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New Jersey water utility system (the Middlesex System) provides water services to approximately 61,000 retail customers, primarily in central New Jersey. The Middlesex System also provides water sales under contract to municipalities in central New Jersey with a total population of over 0.2 million. Our Bayview System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56,000 retail customers in New Castle, Kent and Sussex Counties, Delaware. Tidewater’s subsidiary, White Marsh, services approximately 4,500 customers in Kent and Sussex Counties through various operations and maintenance contracts.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operates the Borough of Avalon, New Jersey’s (Avalon) water utility, sewer utility and storm water system under a 10-year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 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Notice of Non-Compliance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2021, the New Jersey Department of Environmental Protection (NJDEP) issued a Notice of Non-Compliance (Notice) to Middlesex based on self-reporting by Middlesex that the level of Perfluorooctanoic Acid (PFOA) in water treated at its Park Avenue Wellfield Treatment Plant in South Plainfield, New Jersey exceeded a NJDEP standard that became effective in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2021, the Company began design for construction of an enhanced treatment process at the Park Avenue Wellfield Treatment Plant to comply with the new standard prior to the regulation being enacted. Since completion was not expected until mid-2023, the Company implemented an interim solution to meet the Notice requirements.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2022, a portion of the enhanced treatment process was completed, placed into service and is effectively treating the ground water in compliance with all state and federal drinking water standards.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2022, the Company entered into an Administrative Consent Order (ACO) with the NJDEP with respect to the Notice, which voided any further notice regarding the fact that the permanent treatment solution was not in service by September 7, 2022 as required by the Notice. The Company must comply with several other requirements of the ACO or face penalties.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 acknowledged coverage of potential liability which may result from these lawsuits. In May 2022, the Company impleaded 3M Company (3M) as a third-party defendant in one of these class action lawsuits. The Company has has also initiated a separate lawsuit against 3M seeking to hold 3M accountable for introduction of perfluoroalkyl substances (PFAS), which include PFOA, into the Company’s water supply at its Park Avenue Wellfield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Construction Program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multi-year capital construction program encompasses numerous projects designed to upgrade and replace utility infrastructure as well as enhance the integrity and reliability of assets to better serve the current and future generations of water and wastewater customers. The Company plans to invest approximately $102 million in 2023 in connection with this plan for projects that include, but are not limited to:</w:t>
      </w:r>
    </w:p>
    <w:p>
      <w:pPr>
        <w:spacing w:after="0" w:line="165"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construction of a facility to provide an enhanced treatment process at the Company’s largest wellfield in South Plainfield, New Jersey to comply with new state water quality regulations relative to PFAS, and integrate surge protection to mitigate spikes in water pressures along with enhancements to corrosion control and chlorination processes;</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Replacement of approximately 24,000 linear feet of cast iron 6" water main in the Port Reading and Carteret sections of Woodbridge, New Jersey;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Replacement of Company and customer owned lead and galvanized service 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Interconnecting Tidewater’s Angola and Meadows Districts which will provide redundant capacity and storage for both districts;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Improvements to Pinelands Water’s Well Station #2;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Various water main replacements and improvements.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Subsidiary</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January 2022, Middlesex closed on the Delaware Public Service Commission (DEPSC) approved sale of 100% of the common stock of its subsidiary Tidewater Environmental Services, Inc. for $6.4 million in cash and other consideration, resulting in a $5.2 million pre-tax gain. The Company will continue to own and operate its regulated water utilities in Delaware as well as its non-regulated operations and maintenance contract business.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Coronavirus (COVID-19) Pandemic</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January 2023, the United States Secretary of Health and Human Services renewed the determination that a nationwide health emergency exists as a result of the COVID-19 Pandemic with an announced end to the nationwide health emergency on May 11, 2023. While the Company’s operations and capital construction program have not been materially disrupted to date from the pandemic, the COVID-19 impact on economic conditions nationally continues to be uncertain and could affect the Company’s results of operations, financial condition and liquidity in the future. In New Jersey, the declared COVID-19 State of Emergency Order ended in March 2022. In Delaware, the declared COVID-19 State of Emergency Order ended in July 2021.</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New Jersey Board of Public Utilities (the NJBPU) and the DEPSC have approved the tracking of COVID-19 related incremental costs for potential recovery in customer rates in future rate proceedings. Neither jurisdiction has established a timetable or definitive formal procedures for seeking cost recovery. The Company has increased its allowance for doubtful accounts for expected increases in accounts receivable write-offs due to the financial impact of COVID-19 on customers. The Company has not deferred any COVID-19 related incremental costs. We will continue to monitor the effects of COVID-19 and evaluate its impact on the Company’s results of operations, financial condition and liquidity.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 for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 in projects, products and services that complement our core water and wastewater competencies;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and adequate recovery of infrastructure investments and other costs to maintain service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Prudent acquisitions of investor and municipally-owned water and wastewater utilities;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 of municipal and industrial water and wastewater systems on a contract basis which meet our risk profile.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Middlesex – </w:t>
      </w:r>
      <w:r>
        <w:rPr>
          <w:rFonts w:ascii="Arial" w:cs="Arial" w:eastAsia="Arial" w:hAnsi="Arial"/>
          <w:sz w:val="18"/>
          <w:szCs w:val="18"/>
          <w:color w:val="auto"/>
        </w:rPr>
        <w:t>In December 2021, Middlesex’s petition to the NJBPU seeking permission to increase its base water rates was concluded, based on a</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was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2022, the NJBPU approved Middlesex's Emergency Relief Motion to reset its PWAC tariff rate to recover additional costs of $2.7 million for the purchase of treated water from a non-affiliated regulated water utility. The increase, effective October 1, 2022, is on an interim basis and subject to refund with interest, pending final resolution expected in the second quarter of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2021, the NJBPU approved Middlesex’s annual petition to reset its PWAC tariff rate to recover additional costs of $1.1 million for the purchase of treated water from a non-affiliated regulated water utility. The new PWAC rate became effective April 4, 2021.</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Tidewater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On August 31, 2022, the DEPSC issued an Order requiring Tidewater to reduce its base rates charged to general metered and private fire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by 6%, effective for service rendered on and after September 1, 2022. In June 2022, the Delaware Division of the Public Advocate had filed a petition with the DEPSC requesting that Tidewater’s rates be reduced based on the claim that Tidewater had been earning above its authorized rate of return. The rate reduction is expected to reduce annual revenues by approximately $2.2 million.</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2021, Tidewater was notified by the DEPSC that it had determined Tidewater’s earned rate of return exceeded the rate of return authorized by the DEPSC. Consequently, Tidewater reset its Distribution System Improvement Charge (DSIC) rate to zero effective April 1, 2021 and refunded approximately $1.0 million to customers principally in the form of an account credit for DSIC revenue previously billed between April 1, 2020 and March 31, 2021. A DSIC is a rate-mechanism that allows water utilities to recover investments in, and generate a return on, qualifying capital improvements made between base rate proceedings.</w:t>
      </w:r>
    </w:p>
    <w:p>
      <w:pPr>
        <w:spacing w:after="0" w:line="18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Pinelands </w:t>
      </w:r>
      <w:r>
        <w:rPr>
          <w:rFonts w:ascii="Arial" w:cs="Arial" w:eastAsia="Arial" w:hAnsi="Arial"/>
          <w:sz w:val="16"/>
          <w:szCs w:val="16"/>
          <w:color w:val="auto"/>
        </w:rPr>
        <w:t>- In September 2022, Pinelands Water and Pinelands Wastewater filed separate petitions with the NJBPU seeking permission to increase base</w:t>
      </w:r>
      <w:r>
        <w:rPr>
          <w:rFonts w:ascii="Arial" w:cs="Arial" w:eastAsia="Arial" w:hAnsi="Arial"/>
          <w:sz w:val="16"/>
          <w:szCs w:val="16"/>
          <w:b w:val="1"/>
          <w:bCs w:val="1"/>
          <w:color w:val="auto"/>
        </w:rPr>
        <w:t xml:space="preserve"> </w:t>
      </w:r>
      <w:r>
        <w:rPr>
          <w:rFonts w:ascii="Arial" w:cs="Arial" w:eastAsia="Arial" w:hAnsi="Arial"/>
          <w:sz w:val="16"/>
          <w:szCs w:val="16"/>
          <w:color w:val="auto"/>
        </w:rPr>
        <w:t>rates by approximately $0.6 million and $0.4 million per year, respectively. These requests were necessitated by capital infrastructure investments both companies have made, or have committed to make, and increased operations and maintenance costs. We cannot predict whether the NJBPU will ultimately approve, deny, or reduce the amount of the requests. A decision by the NJBPU in both matters is expected in the first quarter of 2023.</w:t>
      </w:r>
    </w:p>
    <w:p>
      <w:pPr>
        <w:spacing w:after="0" w:line="15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Southern Shores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January 1, 2020, the DEPSC approved the renewal of a multi-year agreement for water service to a 2,200 unit condominium</w:t>
      </w:r>
      <w:r>
        <w:rPr>
          <w:rFonts w:ascii="Arial" w:cs="Arial" w:eastAsia="Arial" w:hAnsi="Arial"/>
          <w:sz w:val="17"/>
          <w:szCs w:val="17"/>
          <w:b w:val="1"/>
          <w:bCs w:val="1"/>
          <w:color w:val="auto"/>
        </w:rPr>
        <w:t xml:space="preserve"> </w:t>
      </w:r>
      <w:r>
        <w:rPr>
          <w:rFonts w:ascii="Arial" w:cs="Arial" w:eastAsia="Arial" w:hAnsi="Arial"/>
          <w:sz w:val="17"/>
          <w:szCs w:val="17"/>
          <w:color w:val="auto"/>
        </w:rPr>
        <w:t>community we serve in Sussex County, Delaware. Under the agreement, current rates were to remain in effect until December 31, 2024, unless there are unanticipated capital expenditures or regulatory related changes in operating expenses exceeding certain thresholds during this time period. In 2022, capital expenditures did exceed the established threshold and rates were increased by 5.39% effective January 1, 2023. Beginning in 2025 and thereafter, inflation based rate increases cannot exceed the lesser of the regional Consumer Price Index or 3%. Inflation based increases are in addition to the threshold rate increases. The agreement expires on December 31, 2029.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Our ability to increase operating income and net income is based significantly on four factors: weather, adequate and timely rate relief, effective cost management and customer growth (which are evident in comparison discussions in the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section below). Weather patterns which can result in lower customer demand for water may occur in 2023. As operating costs are anticipated to increase in 2023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DEPSC issued an Order requiring Tidewater to reduce its base rates charged to general metered and private fire customers by 6% (for further discussion of the impact of this on the Company, see </w:t>
      </w:r>
      <w:r>
        <w:rPr>
          <w:rFonts w:ascii="Arial" w:cs="Arial" w:eastAsia="Arial" w:hAnsi="Arial"/>
          <w:sz w:val="18"/>
          <w:szCs w:val="18"/>
          <w:i w:val="1"/>
          <w:iCs w:val="1"/>
          <w:color w:val="auto"/>
        </w:rPr>
        <w:t>Rates, Tidewater</w:t>
      </w:r>
      <w:r>
        <w:rPr>
          <w:rFonts w:ascii="Arial" w:cs="Arial" w:eastAsia="Arial" w:hAnsi="Arial"/>
          <w:sz w:val="18"/>
          <w:szCs w:val="18"/>
          <w:color w:val="auto"/>
        </w:rPr>
        <w:t xml:space="preserve"> above). Our investments in system infrastructure continue to grow significantly and our operating costs are anticipated to increase in 2023 and 2024 in a variety of categories. These factors, among others, will likely require Middlesex and Tidewater to file base rate increase requests as early as the second quarter of 2023.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organic residential customer growth continues in our Tidewater system (approximately 5% in 2022). However, current and evolving economic market conditions may challenge the growth level. Builders and developers in Tidewater’s service areas are experiencing lower home starts and longer home sales closing cycles due to supply chain issues, which may be further affected by inflationary trends on housing construction materials and mortgage interest rates.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projected to spend approximately $266 million for the 2023-2025 capital investment program, including approximately $22 million for PFAS-related treatment upgrades, $18 million for Lead and Copper Rule compliance in the Middlesex System, $34 million on the RENEW Program, which is our ongoing initiative to replace water mains in the Middlesex System and $8 million for construction of elevated storage tanks in our Tidewater and Middlesex Systems.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by Segment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has two operating segments, Regulated and Non-Regulated. Our Regulated segment contributed approximately 93% of total revenues for the year ended December 31, 2022 and 91% for each of the years ended December 31, 2021 and 2020 and approximately 95% of net income for the year ended December 31, 2022 and 93% of net income for each of the years ended December 31, 2021, and 2020. The discussion of the Company’s results of operations is on a consolidated basis and includes significant factors by subsidiary. The segments in the tables included below are comprised of the following companies: Regulated- Middlesex, Tidewater, Pinelands and Southern Shores; Non-Regulated- USA, USA-PA, and White Marsh.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2022 as Compared to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6"/>
          </w:tcPr>
          <w:p>
            <w:pPr>
              <w:ind w:left="38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40" w:type="dxa"/>
            <w:vAlign w:val="bottom"/>
          </w:tcPr>
          <w:p>
            <w:pPr>
              <w:spacing w:after="0"/>
              <w:rPr>
                <w:sz w:val="20"/>
                <w:szCs w:val="20"/>
                <w:color w:val="auto"/>
              </w:rPr>
            </w:pPr>
          </w:p>
        </w:tc>
        <w:tc>
          <w:tcPr>
            <w:tcW w:w="2440" w:type="dxa"/>
            <w:vAlign w:val="bottom"/>
            <w:gridSpan w:val="7"/>
          </w:tcPr>
          <w:p>
            <w:pPr>
              <w:jc w:val="right"/>
              <w:ind w:right="400"/>
              <w:spacing w:after="0"/>
              <w:rPr>
                <w:sz w:val="20"/>
                <w:szCs w:val="20"/>
                <w:color w:val="auto"/>
              </w:rPr>
            </w:pPr>
            <w:r>
              <w:rPr>
                <w:rFonts w:ascii="Arial" w:cs="Arial" w:eastAsia="Arial" w:hAnsi="Arial"/>
                <w:sz w:val="18"/>
                <w:szCs w:val="18"/>
                <w:color w:val="auto"/>
                <w:w w:val="90"/>
              </w:rPr>
              <w:t>Years Ended December 31,</w:t>
            </w:r>
          </w:p>
        </w:tc>
        <w:tc>
          <w:tcPr>
            <w:tcW w:w="120" w:type="dxa"/>
            <w:vAlign w:val="bottom"/>
          </w:tcPr>
          <w:p>
            <w:pPr>
              <w:spacing w:after="0"/>
              <w:rPr>
                <w:sz w:val="20"/>
                <w:szCs w:val="20"/>
                <w:color w:val="auto"/>
              </w:rPr>
            </w:pPr>
          </w:p>
        </w:tc>
        <w:tc>
          <w:tcPr>
            <w:tcW w:w="8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7"/>
              </w:rPr>
              <w:t>Non-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2"/>
              </w:rPr>
              <w:t>Non-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Regulated</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Regulated</w:t>
            </w: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Regulated</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Regulated</w:t>
            </w:r>
          </w:p>
        </w:tc>
        <w:tc>
          <w:tcPr>
            <w:tcW w:w="2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4"/>
              </w:rPr>
              <w:t>162.4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Operations and maintenance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Subsidiary</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47.3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Operating revenues for the year ended December 31, 2022 increased $19.3 million from the same period in 2021 due to the following factors:</w:t>
      </w:r>
    </w:p>
    <w:p>
      <w:pPr>
        <w:spacing w:after="0" w:line="237" w:lineRule="exact"/>
        <w:rPr>
          <w:sz w:val="20"/>
          <w:szCs w:val="20"/>
          <w:color w:val="auto"/>
        </w:rPr>
      </w:pPr>
    </w:p>
    <w:p>
      <w:pPr>
        <w:ind w:left="660" w:hanging="328"/>
        <w:spacing w:after="0" w:line="29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Middlesex System revenues increased by $21.6 million due to the approved 2022 base rate and PWAC rate increases and higher weather driven demand across all customer classes (for further discussion of Middlesex’s base and PWAC rate increases see </w:t>
      </w:r>
      <w:r>
        <w:rPr>
          <w:rFonts w:ascii="Arial" w:cs="Arial" w:eastAsia="Arial" w:hAnsi="Arial"/>
          <w:sz w:val="16"/>
          <w:szCs w:val="16"/>
          <w:i w:val="1"/>
          <w:iCs w:val="1"/>
          <w:color w:val="auto"/>
        </w:rPr>
        <w:t>Rates, Middlesex</w:t>
      </w:r>
      <w:r>
        <w:rPr>
          <w:rFonts w:ascii="Arial" w:cs="Arial" w:eastAsia="Arial" w:hAnsi="Arial"/>
          <w:sz w:val="16"/>
          <w:szCs w:val="16"/>
          <w:color w:val="auto"/>
        </w:rPr>
        <w:t xml:space="preserve"> above);</w:t>
      </w:r>
    </w:p>
    <w:p>
      <w:pPr>
        <w:ind w:left="660" w:right="2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Tidewater System revenues increased $0.9 million due to additional customers and a one-time customer credit issued in 2021 partially offset by a DEPSC ordered 2022 rate reduction (for further information on the one-time credit and rate reduction, see </w:t>
      </w:r>
      <w:r>
        <w:rPr>
          <w:rFonts w:ascii="Arial" w:cs="Arial" w:eastAsia="Arial" w:hAnsi="Arial"/>
          <w:sz w:val="17"/>
          <w:szCs w:val="17"/>
          <w:i w:val="1"/>
          <w:iCs w:val="1"/>
          <w:color w:val="auto"/>
        </w:rPr>
        <w:t>Rates, Tidewater</w:t>
      </w:r>
      <w:r>
        <w:rPr>
          <w:rFonts w:ascii="Arial" w:cs="Arial" w:eastAsia="Arial" w:hAnsi="Arial"/>
          <w:sz w:val="17"/>
          <w:szCs w:val="17"/>
          <w:color w:val="auto"/>
        </w:rPr>
        <w:t xml:space="preserve"> above</w:t>
      </w:r>
      <w:r>
        <w:rPr>
          <w:rFonts w:ascii="Arial" w:cs="Arial" w:eastAsia="Arial" w:hAnsi="Arial"/>
          <w:sz w:val="17"/>
          <w:szCs w:val="17"/>
          <w:i w:val="1"/>
          <w:iCs w:val="1"/>
          <w:color w:val="auto"/>
        </w:rPr>
        <w:t>)</w:t>
      </w:r>
      <w:r>
        <w:rPr>
          <w:rFonts w:ascii="Arial" w:cs="Arial" w:eastAsia="Arial" w:hAnsi="Arial"/>
          <w:sz w:val="17"/>
          <w:szCs w:val="17"/>
          <w:color w:val="auto"/>
        </w:rPr>
        <w: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of our regulated Delaware wastewater subsidiary in January 2022 reduced revenues by $2.7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Non-regulated revenues decreased $0.4 million, primarily due to lower supplemental contract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revenue categories decreased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year ended December 31, 2022 increased $5.4 million from the same period in 2021 due to the following factors:</w:t>
      </w:r>
    </w:p>
    <w:p>
      <w:pPr>
        <w:spacing w:after="0" w:line="17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 cost increased $1.5 million due to wage increases;</w:t>
      </w:r>
    </w:p>
    <w:p>
      <w:pPr>
        <w:spacing w:after="0" w:line="23"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Variable production costs increased $1.2 million primarily due to increased production, weather-driven changes in water quality and higher chemical prices;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ind w:left="900" w:right="140" w:hanging="325"/>
        <w:spacing w:after="0" w:line="25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for employee benefits increased $1.0 million due to market fluctuations in the cash surrender value of life insurance policies and higher health insurance premiums;</w:t>
      </w:r>
    </w:p>
    <w:p>
      <w:pPr>
        <w:spacing w:after="0" w:line="1" w:lineRule="exact"/>
        <w:rPr>
          <w:rFonts w:ascii="Arial" w:cs="Arial" w:eastAsia="Arial" w:hAnsi="Arial"/>
          <w:sz w:val="18"/>
          <w:szCs w:val="18"/>
          <w:color w:val="auto"/>
        </w:rPr>
      </w:pPr>
    </w:p>
    <w:p>
      <w:pPr>
        <w:ind w:left="900" w:hanging="325"/>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weather-related main break activity in our Middlesex system during the winter months resulted in $0.6 million of additional non-labor costs;</w:t>
      </w: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Equipment repairs and maintenance costs increased by $0.5 million;</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expenses increased $0.3 million due to higher fuel prices;</w:t>
      </w:r>
    </w:p>
    <w:p>
      <w:pPr>
        <w:spacing w:after="0" w:line="9" w:lineRule="exact"/>
        <w:rPr>
          <w:rFonts w:ascii="Arial" w:cs="Arial" w:eastAsia="Arial" w:hAnsi="Arial"/>
          <w:sz w:val="18"/>
          <w:szCs w:val="18"/>
          <w:color w:val="auto"/>
        </w:rPr>
      </w:pPr>
    </w:p>
    <w:p>
      <w:pPr>
        <w:ind w:left="900" w:hanging="325"/>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Costs associated with the NJDEP PFOA customer notification process resulted in $0.2 million of additional expense (for further information on this matter, see </w:t>
      </w:r>
      <w:r>
        <w:rPr>
          <w:rFonts w:ascii="Arial" w:cs="Arial" w:eastAsia="Arial" w:hAnsi="Arial"/>
          <w:sz w:val="18"/>
          <w:szCs w:val="18"/>
          <w:i w:val="1"/>
          <w:iCs w:val="1"/>
          <w:color w:val="auto"/>
        </w:rPr>
        <w:t>Regulatory Notice of Non-Compliance</w:t>
      </w:r>
      <w:r>
        <w:rPr>
          <w:rFonts w:ascii="Arial" w:cs="Arial" w:eastAsia="Arial" w:hAnsi="Arial"/>
          <w:sz w:val="18"/>
          <w:szCs w:val="18"/>
          <w:color w:val="auto"/>
        </w:rPr>
        <w:t xml:space="preserve"> above</w:t>
      </w:r>
      <w:r>
        <w:rPr>
          <w:rFonts w:ascii="Arial" w:cs="Arial" w:eastAsia="Arial" w:hAnsi="Arial"/>
          <w:sz w:val="18"/>
          <w:szCs w:val="18"/>
          <w:i w:val="1"/>
          <w:iCs w:val="1"/>
          <w:color w:val="auto"/>
        </w:rPr>
        <w:t>)</w:t>
      </w:r>
      <w:r>
        <w:rPr>
          <w:rFonts w:ascii="Arial" w:cs="Arial" w:eastAsia="Arial" w:hAnsi="Arial"/>
          <w:sz w:val="18"/>
          <w:szCs w:val="18"/>
          <w:color w:val="auto"/>
        </w:rPr>
        <w:t>; and</w:t>
      </w: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operation and maintenance expense categories increased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year ended December 31, 2022 increased $1.9 million from the same period in 2021 due to a higher level of utility plant in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2022 increased $3.0 million from the same period in 2021 primarily due to higher revenue related taxes on increased revenues in our Middlesex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Middlesex recognized a $5.2 million gain on the sale of its regulated Delaware wastewater subsidiary in January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net for the year ended December 31, 2022 increased $1.8 million from the same period in 2021 primarily due to higher actuarially-determined retirement benefit plans non-service benefit partially offset by lower Allowance for Funds Used During Construction (AFUDC) resulting from a reduced level of capital projects under construction.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year ended December 31, 2022 increased $1.3 million from the same period in 2021 due to higher long-term and short-term debt outstanding in 2022 as compared to 2021 and higher average interest rates in 2022 as compared to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Income taxes for the year ended December 31, 2022 increased by $8.7 million from the same period in 2021, primarily due to income taxes on the gain on the sale of a subsidiary and the expiration of income tax benefits associated with the adoption of Internal Revenue Service tangible property regulations as Middlesex was required by the NJBPU to account for the benefit of adopting these regulations over 48 months beginning in 2018. Partially offsetting these increases were greater income tax benefits associated with increased repair expenditures on tangible property in the Middlesex system.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year ended December 31, 2022 increased $5.9 million as compared with the same period in 2021. Basic earnings per share were $2.40 and $2.08 for the years ended December 31, 2022 and 2021, respectively. Diluted earnings per share were $2.39 and $2.07 for the years ended December 31, 2022 and 2021, respectively.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382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60" w:type="dxa"/>
            <w:vAlign w:val="bottom"/>
            <w:gridSpan w:val="4"/>
          </w:tcPr>
          <w:p>
            <w:pPr>
              <w:spacing w:after="0"/>
              <w:rPr>
                <w:sz w:val="20"/>
                <w:szCs w:val="20"/>
                <w:color w:val="auto"/>
              </w:rPr>
            </w:pPr>
            <w:r>
              <w:rPr>
                <w:rFonts w:ascii="Arial" w:cs="Arial" w:eastAsia="Arial" w:hAnsi="Arial"/>
                <w:sz w:val="18"/>
                <w:szCs w:val="18"/>
                <w:b w:val="1"/>
                <w:bCs w:val="1"/>
                <w:color w:val="auto"/>
                <w:w w:val="90"/>
              </w:rPr>
              <w:t>Results of Operations for 2021 as Compared to 2020</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ind w:left="38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2440" w:type="dxa"/>
            <w:vAlign w:val="bottom"/>
            <w:gridSpan w:val="7"/>
          </w:tcPr>
          <w:p>
            <w:pPr>
              <w:jc w:val="right"/>
              <w:ind w:right="400"/>
              <w:spacing w:after="0"/>
              <w:rPr>
                <w:sz w:val="20"/>
                <w:szCs w:val="20"/>
                <w:color w:val="auto"/>
              </w:rPr>
            </w:pPr>
            <w:r>
              <w:rPr>
                <w:rFonts w:ascii="Arial" w:cs="Arial" w:eastAsia="Arial" w:hAnsi="Arial"/>
                <w:sz w:val="18"/>
                <w:szCs w:val="18"/>
                <w:color w:val="auto"/>
                <w:w w:val="90"/>
              </w:rPr>
              <w:t>Years Ended December 31,</w:t>
            </w:r>
          </w:p>
        </w:tc>
        <w:tc>
          <w:tcPr>
            <w:tcW w:w="120" w:type="dxa"/>
            <w:vAlign w:val="bottom"/>
          </w:tcPr>
          <w:p>
            <w:pPr>
              <w:spacing w:after="0"/>
              <w:rPr>
                <w:sz w:val="20"/>
                <w:szCs w:val="20"/>
                <w:color w:val="auto"/>
              </w:rPr>
            </w:pPr>
          </w:p>
        </w:tc>
        <w:tc>
          <w:tcPr>
            <w:tcW w:w="8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97"/>
              </w:rPr>
              <w:t>Non-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92"/>
              </w:rPr>
              <w:t>Non-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Regulated</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Regulated</w:t>
            </w:r>
          </w:p>
        </w:tc>
        <w:tc>
          <w:tcPr>
            <w:tcW w:w="22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Regulated</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Regulated</w:t>
            </w:r>
          </w:p>
        </w:tc>
        <w:tc>
          <w:tcPr>
            <w:tcW w:w="20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4"/>
              </w:rPr>
              <w:t>143.1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Operations and maintenance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382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36.5</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for the year ended December 31, 2021 increased $1.5 million from the same period in 2020 due to the following factors:</w:t>
      </w:r>
    </w:p>
    <w:p>
      <w:pPr>
        <w:spacing w:after="0" w:line="225" w:lineRule="exact"/>
        <w:rPr>
          <w:sz w:val="20"/>
          <w:szCs w:val="20"/>
          <w:color w:val="auto"/>
        </w:rPr>
      </w:pPr>
    </w:p>
    <w:p>
      <w:pPr>
        <w:ind w:left="900" w:hanging="325"/>
        <w:spacing w:after="0" w:line="274"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Middlesex System revenues decreased by $0.4 million due to lower water demand from general meter service and wholesale customers, offset by an increase in the PWAC tariff rate effective April 4, 2021 (see </w:t>
      </w:r>
      <w:r>
        <w:rPr>
          <w:rFonts w:ascii="Arial" w:cs="Arial" w:eastAsia="Arial" w:hAnsi="Arial"/>
          <w:sz w:val="17"/>
          <w:szCs w:val="17"/>
          <w:i w:val="1"/>
          <w:iCs w:val="1"/>
          <w:color w:val="auto"/>
        </w:rPr>
        <w:t>Rates, Middlesex</w:t>
      </w:r>
      <w:r>
        <w:rPr>
          <w:rFonts w:ascii="Arial" w:cs="Arial" w:eastAsia="Arial" w:hAnsi="Arial"/>
          <w:sz w:val="17"/>
          <w:szCs w:val="17"/>
          <w:color w:val="auto"/>
        </w:rPr>
        <w:t xml:space="preserve"> above for further discussion);</w:t>
      </w:r>
    </w:p>
    <w:p>
      <w:pPr>
        <w:ind w:left="900" w:right="20" w:hanging="325"/>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Tidewater System revenues increased $1.7 million due to additional customers and higher customer demand for water, partially offset by $1.0 million due to the DSIC revenue refund (for further information, see </w:t>
      </w:r>
      <w:r>
        <w:rPr>
          <w:rFonts w:ascii="Arial" w:cs="Arial" w:eastAsia="Arial" w:hAnsi="Arial"/>
          <w:sz w:val="18"/>
          <w:szCs w:val="18"/>
          <w:i w:val="1"/>
          <w:iCs w:val="1"/>
          <w:color w:val="auto"/>
        </w:rPr>
        <w:t>Rates, Tidewater</w:t>
      </w:r>
      <w:r>
        <w:rPr>
          <w:rFonts w:ascii="Arial" w:cs="Arial" w:eastAsia="Arial" w:hAnsi="Arial"/>
          <w:sz w:val="18"/>
          <w:szCs w:val="18"/>
          <w:color w:val="auto"/>
        </w:rPr>
        <w:t xml:space="preserve"> above for further discussion</w:t>
      </w:r>
      <w:r>
        <w:rPr>
          <w:rFonts w:ascii="Arial" w:cs="Arial" w:eastAsia="Arial" w:hAnsi="Arial"/>
          <w:sz w:val="18"/>
          <w:szCs w:val="18"/>
          <w:i w:val="1"/>
          <w:iCs w:val="1"/>
          <w:color w:val="auto"/>
        </w:rPr>
        <w:t>)</w:t>
      </w:r>
      <w:r>
        <w:rPr>
          <w:rFonts w:ascii="Arial" w:cs="Arial" w:eastAsia="Arial" w:hAnsi="Arial"/>
          <w:sz w:val="18"/>
          <w:szCs w:val="18"/>
          <w:color w:val="auto"/>
        </w:rPr>
        <w:t>;</w:t>
      </w:r>
    </w:p>
    <w:p>
      <w:pPr>
        <w:ind w:left="900" w:right="20" w:hanging="325"/>
        <w:spacing w:after="0" w:line="25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Non-regulated revenues increased $0.3 million, primarily due to USA’s contract to operate and maintain Highland Park’s water and wastewater systems, which commenced July 1, 2020; and</w:t>
      </w: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other revenue categories decreased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year ended December 31, 2021 increased $2.9 million from the same period in 2020 due to the following factors:</w:t>
      </w:r>
    </w:p>
    <w:p>
      <w:pPr>
        <w:spacing w:after="0" w:line="170" w:lineRule="exact"/>
        <w:rPr>
          <w:sz w:val="20"/>
          <w:szCs w:val="20"/>
          <w:color w:val="auto"/>
        </w:rPr>
      </w:pPr>
    </w:p>
    <w:p>
      <w:pPr>
        <w:ind w:left="900" w:right="20" w:hanging="325"/>
        <w:spacing w:after="0" w:line="25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weather-related water main break activity in our Middlesex system during the winter months resulted in $0.5 million of additional non-labor costs;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costs increased $0.9 million due to wage increases and lower allocation of labor to capital projects;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business insurance premiums resulted in $0.3 million of additional costs;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Avalon and Highland Park billable supplemental service expenses increased $0.5 million;</w:t>
      </w:r>
    </w:p>
    <w:p>
      <w:pPr>
        <w:spacing w:after="0" w:line="9" w:lineRule="exact"/>
        <w:rPr>
          <w:rFonts w:ascii="Arial" w:cs="Arial" w:eastAsia="Arial" w:hAnsi="Arial"/>
          <w:sz w:val="18"/>
          <w:szCs w:val="18"/>
          <w:color w:val="auto"/>
        </w:rPr>
      </w:pPr>
    </w:p>
    <w:p>
      <w:pPr>
        <w:ind w:left="900" w:hanging="325"/>
        <w:spacing w:after="0" w:line="25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Outside services and consultant costs increased $0.2 million due to higher regulatory and corporate activity, including compliance with America’s Water Infrastructure Act of 2018;</w:t>
      </w: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Transportation expenses increased $0.2 million due to higher fuel prices;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technology costs increased $0.2 million due to greater software licensing fees;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operation and maintenance expense categories increased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year ended December 31, 2021 increased $2.6 million from the same period in 2020 due to a higher level of utility plant in service.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2021 increased $0.2 million from the same period in 2020 primarily due to higher payroll taxes on increased labor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Income, net for the year ended December 31, 2021 increased $1.6 million from the same period in 2020 primarily due to lower actuarially-determined retirement benefit plans non-service expense offset by lower AFUDC on a lower average level of capital construction projects under construction.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charges for the year ended December 31, 2021 increased $0.6 million from the same period in 2020 due to higher long-term and short-term debt outstanding in 2021 as compared to 2020 partially offset by lower average interest rates on short term borrowings year-over-year.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benefit from income taxes for the year ended December 31, 2021 increased by $1.4 million from the same period in 2020 primarily due to lower pre-tax income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Net income for the year ended December 31, 2021 decreased $1.9 million as compared with the same period in 2020. Basic earnings per share were $2.08 and $2.19 for the years ended December 31, 2021 and 2020, respectively. Diluted earnings per share were $2.07 and $2.18 for the years ended December 31, 2021 and 2020, respectively. In anticipation of this expected decrease, in 2021, Middlesex filed and settled a base rate increase request with the NJBPU, with rate increases becoming effective on January 1, 2022 and January 1, 2023 (for further discussion of Middlesex’s rate increase, see </w:t>
      </w:r>
      <w:r>
        <w:rPr>
          <w:rFonts w:ascii="Arial" w:cs="Arial" w:eastAsia="Arial" w:hAnsi="Arial"/>
          <w:sz w:val="18"/>
          <w:szCs w:val="18"/>
          <w:i w:val="1"/>
          <w:iCs w:val="1"/>
          <w:color w:val="auto"/>
        </w:rPr>
        <w:t>Rates, Middlesex</w:t>
      </w:r>
      <w:r>
        <w:rPr>
          <w:rFonts w:ascii="Arial" w:cs="Arial" w:eastAsia="Arial" w:hAnsi="Arial"/>
          <w:sz w:val="18"/>
          <w:szCs w:val="18"/>
          <w:color w:val="auto"/>
        </w:rPr>
        <w:t xml:space="preserve">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operating activities are largely influenced by four factors: weather, adequate and timely rate increases, effective cost management and customer growth. The effect of those factors on net income is discussed in the Results of Operations section above.</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year ended December 31, 2022, cash flows from operating activities increased $28.3 million to $61.4 million. The increase in cash flows from operating activities primarily resulted from higher operating revenues from Middlesex’s January 1, 2022 rate increase and the timing of payments to vendors and to income tax authorities.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certain operating costs impact our liquidity and capital resources. We continually monitor the need for timely rate filing to minimize the lag between the time we experience increased operating costs and capital expenditures and the time we receive appropriate rate relief. There can be no assurances however that our regulated subsidiaries’ respective utility commissions will approve base water and/or wastewater rate increase requests in whole or in part or when the decisions will be rendered.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2022, cash flows used in investing activities increased $8.8 million to $88.2 million, which was attributable to higher utility plant expenditures partially offset by cash received from the sale of Middlesex’s regulated wastewater subsidiary in January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2022, cash flows provided by financing activities decreased $12.3 million to $27.1 million. The decrease in cash flows provided by financing activities is due to a decrease in net long-term borrowings, lower net customer advances and contributions and higher common stock dividends offset by higher proceeds from the issuance of common stock and higher short-term borrowing.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the Company’s short-term and long-term debt, see “</w:t>
      </w:r>
      <w:r>
        <w:rPr>
          <w:rFonts w:ascii="Arial" w:cs="Arial" w:eastAsia="Arial" w:hAnsi="Arial"/>
          <w:sz w:val="18"/>
          <w:szCs w:val="18"/>
          <w:i w:val="1"/>
          <w:iCs w:val="1"/>
          <w:color w:val="auto"/>
        </w:rPr>
        <w:t>Sources of Liquidity</w:t>
      </w:r>
      <w:r>
        <w:rPr>
          <w:rFonts w:ascii="Arial" w:cs="Arial" w:eastAsia="Arial" w:hAnsi="Arial"/>
          <w:sz w:val="18"/>
          <w:szCs w:val="18"/>
          <w:color w:val="auto"/>
        </w:rPr>
        <w: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 and Commitments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fund our capital program, we use internally generated funds, short-term and long-term debt borrowings, proceeds from sales of common stock under the Investment Plan and, when market conditions are favorable, proceeds from sales to the public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estimated capital expenditures for the years 2023-2025.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6"/>
              </w:rPr>
              <w:t>(Millions)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63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2023-2025</w:t>
            </w: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Distribution/Network System</w:t>
            </w:r>
          </w:p>
        </w:tc>
        <w:tc>
          <w:tcPr>
            <w:tcW w:w="8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8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8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Production System</w:t>
            </w: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8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Technolgy (IT) Systems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0"/>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09"/>
        </w:trPr>
        <w:tc>
          <w:tcPr>
            <w:tcW w:w="63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Estimated Capital Expenditures</w:t>
            </w:r>
          </w:p>
        </w:tc>
        <w:tc>
          <w:tcPr>
            <w:tcW w:w="8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102</w:t>
            </w:r>
          </w:p>
        </w:tc>
        <w:tc>
          <w:tcPr>
            <w:tcW w:w="8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84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estimated capital expenditures for the items listed above are primarily comprised of the following:</w:t>
      </w:r>
    </w:p>
    <w:p>
      <w:pPr>
        <w:spacing w:after="0" w:line="225" w:lineRule="exact"/>
        <w:rPr>
          <w:sz w:val="20"/>
          <w:szCs w:val="20"/>
          <w:color w:val="auto"/>
        </w:rPr>
      </w:pPr>
    </w:p>
    <w:p>
      <w:pPr>
        <w:jc w:val="both"/>
        <w:ind w:left="660" w:hanging="328"/>
        <w:spacing w:after="0" w:line="26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Distribution/Network System-Includes projects associated with replacement, installation and relocation of water mains and service lines and wastewater collection systems, construction of water storage tanks, installation and replacement of hydrants, meters and meter pits and the RENEW Program. RENEW is our ongoing initiative to replace water mains in the Middlesex System. In connection with RENEW, we expect to spend approximately $12 million in 2023, and $11 million in each of 2024 and 2025. We expect to spend approximately $8 million in 2023 and 2024 for construction of elevated storage tanks in our Tidewater and Middlesex systems.</w:t>
      </w:r>
    </w:p>
    <w:p>
      <w:pPr>
        <w:spacing w:after="0" w:line="2"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System-Includes projects associated with our treatment plants, including approximately $22 million of expenditures in 2023 for PFAS treatment upgrades in our Middlesex system.</w:t>
      </w: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Technology (IT) Systems-Includes further upgrade of our enterprise resource planning system and hardware and software purchases for other IT systems.</w:t>
      </w:r>
    </w:p>
    <w:p>
      <w:pPr>
        <w:ind w:left="660" w:right="20" w:hanging="328"/>
        <w:spacing w:after="0" w:line="26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Other-Includes purchase of transportation equipment, tools, furniture, laboratory equipment, security systems and other general infrastructure needs including improvements to field and inventory management facilities in Iselin, New Jersey.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actual amount and timing of capital expenditures is dependent on the need for replacement of existing infrastructure, customer growth, residential new home construction and sales, project scheduling and continued refinement of project scope and costs and, could be impacted if significant effects of the COVID-19 pandemic further arise and continue for an extended period of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in 2023, we estimate we will utilize some or all of the following:</w:t>
      </w:r>
    </w:p>
    <w:p>
      <w:pPr>
        <w:spacing w:after="0" w:line="2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Internally generated funds;</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Short-term borrowings, as needed, through $140 million of available lines of credit with several financial institutions. As of December 31, 2022, $55.5 million was outstanding under these lines of credit (see discussion under “</w:t>
      </w:r>
      <w:r>
        <w:rPr>
          <w:rFonts w:ascii="Arial" w:cs="Arial" w:eastAsia="Arial" w:hAnsi="Arial"/>
          <w:sz w:val="17"/>
          <w:szCs w:val="17"/>
          <w:i w:val="1"/>
          <w:iCs w:val="1"/>
          <w:color w:val="auto"/>
        </w:rPr>
        <w:t>Sources of Liquidity-Short-term Debt</w:t>
      </w:r>
      <w:r>
        <w:rPr>
          <w:rFonts w:ascii="Arial" w:cs="Arial" w:eastAsia="Arial" w:hAnsi="Arial"/>
          <w:sz w:val="17"/>
          <w:szCs w:val="17"/>
          <w:color w:val="auto"/>
        </w:rPr>
        <w:t>” below);</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the Delaware State Revolving Fund (SRF). SRF programs provide low cost financing for projects meeting certain water quality and system improvement benchmarks (see discussion under “</w:t>
      </w:r>
      <w:r>
        <w:rPr>
          <w:rFonts w:ascii="Arial" w:cs="Arial" w:eastAsia="Arial" w:hAnsi="Arial"/>
          <w:sz w:val="18"/>
          <w:szCs w:val="18"/>
          <w:i w:val="1"/>
          <w:iCs w:val="1"/>
          <w:color w:val="auto"/>
        </w:rPr>
        <w:t>Sources of Liquidity-Long-term Debt</w:t>
      </w:r>
      <w:r>
        <w:rPr>
          <w:rFonts w:ascii="Arial" w:cs="Arial" w:eastAsia="Arial" w:hAnsi="Arial"/>
          <w:sz w:val="18"/>
          <w:szCs w:val="18"/>
          <w:color w:val="auto"/>
        </w:rPr>
        <w:t>”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Proceeds from the sale and issuance of FMBs in private placement offerings (see discussion under “</w:t>
      </w:r>
      <w:r>
        <w:rPr>
          <w:rFonts w:ascii="Arial" w:cs="Arial" w:eastAsia="Arial" w:hAnsi="Arial"/>
          <w:sz w:val="16"/>
          <w:szCs w:val="16"/>
          <w:i w:val="1"/>
          <w:iCs w:val="1"/>
          <w:color w:val="auto"/>
        </w:rPr>
        <w:t>Sources of Liquidity-Long-term Debt</w:t>
      </w:r>
      <w:r>
        <w:rPr>
          <w:rFonts w:ascii="Arial" w:cs="Arial" w:eastAsia="Arial" w:hAnsi="Arial"/>
          <w:sz w:val="16"/>
          <w:szCs w:val="16"/>
          <w:color w:val="auto"/>
        </w:rPr>
        <w:t>” below);</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other long-term borrowings (see discussion under “</w:t>
      </w:r>
      <w:r>
        <w:rPr>
          <w:rFonts w:ascii="Arial" w:cs="Arial" w:eastAsia="Arial" w:hAnsi="Arial"/>
          <w:sz w:val="18"/>
          <w:szCs w:val="18"/>
          <w:i w:val="1"/>
          <w:iCs w:val="1"/>
          <w:color w:val="auto"/>
        </w:rPr>
        <w:t>Sources of Liquidity-Long-term Debt</w:t>
      </w:r>
      <w:r>
        <w:rPr>
          <w:rFonts w:ascii="Arial" w:cs="Arial" w:eastAsia="Arial" w:hAnsi="Arial"/>
          <w:sz w:val="18"/>
          <w:szCs w:val="18"/>
          <w:color w:val="auto"/>
        </w:rPr>
        <w:t>” below);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Proceeds from common stock sales through the Investment Plan (see discussion under “</w:t>
      </w:r>
      <w:r>
        <w:rPr>
          <w:rFonts w:ascii="Arial" w:cs="Arial" w:eastAsia="Arial" w:hAnsi="Arial"/>
          <w:sz w:val="17"/>
          <w:szCs w:val="17"/>
          <w:i w:val="1"/>
          <w:iCs w:val="1"/>
          <w:color w:val="auto"/>
        </w:rPr>
        <w:t>Sources of Liquidity-Common Stock</w:t>
      </w:r>
      <w:r>
        <w:rPr>
          <w:rFonts w:ascii="Arial" w:cs="Arial" w:eastAsia="Arial" w:hAnsi="Arial"/>
          <w:sz w:val="17"/>
          <w:szCs w:val="17"/>
          <w:color w:val="auto"/>
        </w:rPr>
        <w:t>” below);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a common stock sale (see discussion under “</w:t>
      </w:r>
      <w:r>
        <w:rPr>
          <w:rFonts w:ascii="Arial" w:cs="Arial" w:eastAsia="Arial" w:hAnsi="Arial"/>
          <w:sz w:val="18"/>
          <w:szCs w:val="18"/>
          <w:i w:val="1"/>
          <w:iCs w:val="1"/>
          <w:color w:val="auto"/>
        </w:rPr>
        <w:t>Sources of Liquidity-Common Stock</w:t>
      </w:r>
      <w:r>
        <w:rPr>
          <w:rFonts w:ascii="Arial" w:cs="Arial" w:eastAsia="Arial" w:hAnsi="Arial"/>
          <w:sz w:val="18"/>
          <w:szCs w:val="18"/>
          <w:color w:val="auto"/>
        </w:rPr>
        <w:t>”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Short-term Debt - In January 2022, the Company increased available lines of credit from $110 million to $140 million. The outstanding borrowings under the credit lines at December 31, 2022 were $55.5 million, at a weighted average interest rate of 5.17%.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credit lines and the weighted average interest rates on those amounts were $28.9 million and $23.7 million at 3.34% and 1.12 % for the years ended December 31, 2022 and 2021, respectively.</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Long-term Debt - Subject to regulatory approval, the Company periodically issues long-term debt to fund investments in utility plant. To the extent possible and fiscally prudent, the Company finances qualifying capital projects under SRF loan programs in New Jersey and Delaware. These government programs provide financing at interest rates typically below rates available in the broader financial markets. A portion of the borrowings under the New Jersey SRF is interest-free. Under the New Jersey SRF program, borrowers first enter into a construction loan agreement with the New Jersey Infrastructure Bank (NJIB) and submit requisitions for cost reimbursements over the life of the construction period. The interest rate on the Company’s current construction loan borrowings is near zero percent.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 Under the Delaware SRF program, borrowers typically enter into a long-term note agreement for a term not to exceed twenty years and submit requisitions for cost reimbursements for up to two years after the agreement is executed.</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2022, Middlesex repaid its two outstanding NJIB construction loans by issuing FMBs to the NJIB under two loan agreements. The total amount of FMBs issued is $52.2 million and designated as Series 2022A ($16.2 million) and Series 2022B ($36.0 million). The interest rate on the Series 2022A bond is zero and the interest rate on the Series 2022B bond ranges between 2.7% and 3.0%. The final maturity date for both FMBs is August 1, 2056, with scheduled debt service payments over the life of these loans.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NJIB has changed the SRF program for project funding priority ranking, the proportions of interest free loans and market interest rate loans and overall loan limits on interest free loan balances to investor-owned water utilities.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currently does not include participating in the NJIB SRF program.</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2022, Middlesex filed a petition with the NJBPU for approval to borrow up to $300.0 million, in one or more negotiated transactions in the form of notes and/or FMBs through loans from the New Jersey SRF Program, the New Jersey Economic Development Authority, private placement and other financial institutions as needed in</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 to fund portions of its capital program and for other funding requirements. The Company expects to issue debt securities in a series of one or more transaction offerings over a multi-year period to align with the Company’s construction timetable.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2021, Middlesex received approval from the NJBPU to redeem up to $45.5 million of outstanding FMBs, specifically Series RR ($22.5 million) and Series SS ($23.0 million), and issue replacement FMBs at an overall lower cost of debt. In November 2021, Middlesex closed on a $45.5 million, 2.90% private placement of FMBs, designated as Series 2021B with a 2051 maturity date to effectuate the redemptions.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 May 2020, Middlesex received approval from the NJBPU to borrow up to $100 million, in one or more private placement transactions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to help fund Middlesex’s multi-year capital construction program. In connection with this approval:</w:t>
      </w:r>
    </w:p>
    <w:p>
      <w:pPr>
        <w:spacing w:after="0" w:line="211"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March 2023, Middlesex expects to close on a $40.0 million, 5.24% private placement of FMBs with a 2043 maturity date designated as Series 2023A. Proceeds will be used to reduce the Company’s outstanding balances under its lines of credit;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November 2021, Middlesex closed on a $19.5 million, 2.79% private placement of FMBs with a 2041 maturity date designated as Series 2021A. Proceeds were used to reduce the Company’s outstanding balances under its lines of credit.; and</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November 2020, Middlesex closed on a $40.0 million, 2.90% private placement of FMBs with a 2050 maturity date designated as Series 2020A. Proceeds were used to reduce the Company’s outstanding balances under its lines of credit and for the Company’s 2020 capital program.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2023, Tidewater filed three applications with the DEPSC seeking approval to borrow up to $10.2 million in total at an interest rate of 2.0% as set by the Delaware SRF Program for construction of several water transmission projects. If approved by the DEPSC, Tidewater expects to close on these loans in April 2023 and construct the projects in 2023 and 2024. Under the Delaware SRF Program, borrowers submit reimbursement requisitions during the construction period. Once the proceeds are received, Tidewater will record the debt obligation.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Tidewater expects to file an application with the DEPSC in late February 2023 seeking approval to borrow up to $20.0 million from CoBank, ACB (CoBank) with a term of up to 25 years and an interest rate to be determined at the loan’s closing. If approved by the DEPSC, Tidewater expects to close on this loan in April 2023 with the ability to draw the funds in one or more transactions until December 31, 2023. The interest rate will be set at the time of the individual draw. Proceeds from the loan would be used to pay off Tidewater’s outstanding balances under its lines of credit and for other general corporate purposes.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Tidewater closed on the DEPSC approved $5.0 million Delaware SRF Program loan and began receiving disbursements in January 2022. Tidewater has borrowed $2.6 million under this loan with expected borrowings to continue through mid-2023. The final maturity date on the loan is 2044.</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2021, Tidewater completed its $20 million secured borrowing with CoBank, at an interest rate of 3.94% with a 2046 maturity date. Proceeds from the loan were used to pay off its outstanding balances under its lines of credit.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2022, Pinelands Water and Pinelands Wastewater filed petitions with the NJBPU for approval to borrow up to $4.9 million each from CoBank with terms up to 25 years and with interest rates to be determined at the loans’ closings. If approved by the NJBPU, Pinelands expects to close on these loans in the second quarter of 2023. Proceeds from the loan would be used to pay off Pinelands’ outstanding Note Payable balances and partially fund future capital expenditures.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Common Stock - The Company issues shares of its common stock in connection with the Investment Plan, a direct share purchase and dividend reinvestment plan for the Company’s common stock. The Company raised approximately $10.3 million through the issuance of shares under the Investment Plan during 2022. Middlesex has filed a petition with the NJBPU seeking to increase the number of authorized shares under the Investment Plan by 0.7 million shares. On March 1, 2023, the Company will begin offering shares of its common stock for purchase at a 3% discount to participants in the Investment Plan. The discount offering will continue until 200,000 shares are purchased at the discounted price or December 1, 2023, whichever event occurs first. The discount applies to all common stock purchases made under the Investment Plan, whether by optional cash payment or by dividend reinvestment.</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order to fully fund the ongoing capital investment program and maintain a balanced capital structure for a regulated water utility, Middlesex may offer for sale additional shares of its common stock. The amount, the timing and the sales method of the common stock is dependent on the timing of the construction expenditures, the level of additional debt financing and financial market conditions. In October 2022, Middlesex filed a petition with the NJBPU for approval to issue and sell up to 1.0 million shares of its common stock. A decision on the matter is expected in the second quarter of 2023. Common stock offerings will occur as needed to maintain a balanced capital structure and continue on a parallel path with future debt offerings.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course of normal business activities, the Company enters into a variety of contractual obligations and commercial commitments. Some result in direct obligations on the Company’s balance sheet while others are commitments, some firm and some based on uncertainties, which are disclosed in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known contractual obligations for the periods specified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Payment Due by Period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0"/>
        </w:trPr>
        <w:tc>
          <w:tcPr>
            <w:tcW w:w="5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(Millions of Dollars)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5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Less than 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More than 5</w:t>
            </w:r>
          </w:p>
        </w:tc>
      </w:tr>
      <w:tr>
        <w:trPr>
          <w:trHeight w:val="230"/>
        </w:trPr>
        <w:tc>
          <w:tcPr>
            <w:tcW w:w="50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Year</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2-3 Years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4"/>
              </w:rPr>
              <w:t>4-5 Years</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Years</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306</w:t>
            </w:r>
          </w:p>
        </w:tc>
        <w:tc>
          <w:tcPr>
            <w:tcW w:w="8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Note Payable</w:t>
            </w: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86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207</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Purchased Water Contracts</w:t>
            </w:r>
          </w:p>
        </w:tc>
        <w:tc>
          <w:tcPr>
            <w:tcW w:w="8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86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Commercial Office Leases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10"/>
        </w:trPr>
        <w:tc>
          <w:tcPr>
            <w:tcW w:w="5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590</w:t>
            </w:r>
          </w:p>
        </w:tc>
        <w:tc>
          <w:tcPr>
            <w:tcW w:w="8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above does not reflect any anticipated cash payments for retirement benefit plan obligations. The effect on the timing and amount of these payments resulting from potential changes in actuarial assumptions and returns on plan assets cannot be estimated. In 2022, the Company contributed $2.8 million to its retirement benefit plans and expects to contribute approximately $2.9 million in 2023.</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application of accounting policies and standards often requires the use of estimates, assumptions and judgments. The Company regularly evaluates these estimates, assumptions and judgments, including those related to the calculation of pension and other retirement benefits, unbilled revenues, and the recoverability of certain assets, including regulatory assets. The Company bases its estimates, assumptions and judgments on historical experience and current operating environment. Changes in any of the variables that are used for the Company’s estimates, assumptions and judgments may lead to significantly different financial statement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are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Accounting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maintain our books and records in accordance with accounting principles generally accepted in the United States of America. Middlesex and certain of its subsidiaries are subject to regulation in the states in which they operate. Those companies are required to maintain their accounts in accordance with regulatory authorities’ rules and guidelines, which may differ from other authoritative accounting pronouncements. In those instances, the Company follows the guidance in the Financial Accounting Standards Board Accounting Standards Codification Topic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 xml:space="preserve"> (Regulatory Accounting).</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accordance with Regulatory Accounting,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would require us to change the accounting treatment of the deferred item. We have no reason to believe any of the deferred items that are recorded will be treated differently by the regulators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our regulated customers, which include amounts billed quarterly to residential customers and monthly to industrial, commercial, fire-protection and wholesale customers, also include unbilled amounts based upon estimated usage from the date of the last meter reading to the end of the accounting period. While actual usage for customers may differ from the estimate, we believe the overall total estimate of consumption and revenue for the fiscal period will not differ materially from actual consumption.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noncontributory defined benefit pension plan (Pension Plan) which covers all currently active employees hired prior to April 1, 2007. In addition, the Company maintains an unfunded supplemental plan for certain executive officers.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a retirement benefit plan other than pensions (Other Benefits Plan) for substantially all of its retired employees. Employees hired after March 31, 2007 are not eligible to participate in the Other Benefits Plan. Coverage includes healthcare and life insurance.</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costs for providing retirement benefits are dependent upon numerous factors, including actual plan experience and assumptions of future experience. Future retirement benefit plan obligations and expense will depend on future investment performance, changes in future discount rates and various other demographic factors related to the population participating in the Company’s retirement benefit plans, all of which can change significantly in future years.</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primary assumptions used for determining future retirement benefit plans’ obligations and costs, which are reviewed and revised as needed each year, are as follows:</w:t>
      </w:r>
    </w:p>
    <w:p>
      <w:pPr>
        <w:spacing w:after="0" w:line="170" w:lineRule="exact"/>
        <w:rPr>
          <w:sz w:val="20"/>
          <w:szCs w:val="20"/>
          <w:color w:val="auto"/>
        </w:rPr>
      </w:pPr>
    </w:p>
    <w:p>
      <w:pPr>
        <w:ind w:left="660" w:right="2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Discount Rate - calculated based on market rates for long-term, high-quality corporate bonds specific to the expected duration of our Pension Plan and Other Benefits Plan’s liabilities;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Increase - based on management projected future employee compensation increases;</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Long-Term Rate of Return - determined based on expected returns from our asset allocation for our Pension Plan and Other Benefits Plan assets;</w:t>
      </w:r>
    </w:p>
    <w:p>
      <w:pPr>
        <w:spacing w:after="0" w:line="46"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Mortality - The Company utilizes the Society of Actuaries’ mortality table (Pri-2012) (Mortality Improvement Scale MP-2021 for the 2022 valuation);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Healthcare Cost Trend Rate - based on management projected future healthcare costs.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discount rate, compensation increase rate and long-term rate of return used to determine future obligations of our retirement benefit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are as follows: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4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88"/>
              </w:rPr>
              <w:t>Pension Plan</w:t>
            </w: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Other Benefits Plan</w:t>
            </w: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46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90"/>
              </w:rPr>
              <w:t>4.98%</w:t>
            </w:r>
          </w:p>
        </w:tc>
        <w:tc>
          <w:tcPr>
            <w:tcW w:w="3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4.98%</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Compensation Increase</w:t>
            </w:r>
          </w:p>
        </w:tc>
        <w:tc>
          <w:tcPr>
            <w:tcW w:w="3460" w:type="dxa"/>
            <w:vAlign w:val="bottom"/>
          </w:tcPr>
          <w:p>
            <w:pPr>
              <w:jc w:val="center"/>
              <w:ind w:left="630"/>
              <w:spacing w:after="0"/>
              <w:rPr>
                <w:sz w:val="20"/>
                <w:szCs w:val="20"/>
                <w:color w:val="auto"/>
              </w:rPr>
            </w:pPr>
            <w:r>
              <w:rPr>
                <w:rFonts w:ascii="Arial" w:cs="Arial" w:eastAsia="Arial" w:hAnsi="Arial"/>
                <w:sz w:val="18"/>
                <w:szCs w:val="18"/>
                <w:color w:val="auto"/>
                <w:w w:val="90"/>
              </w:rPr>
              <w:t>3.00%</w:t>
            </w: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3.00%</w:t>
            </w:r>
          </w:p>
        </w:tc>
      </w:tr>
      <w:tr>
        <w:trPr>
          <w:trHeight w:val="216"/>
        </w:trPr>
        <w:tc>
          <w:tcPr>
            <w:tcW w:w="3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Rate of Return</w:t>
            </w:r>
          </w:p>
        </w:tc>
        <w:tc>
          <w:tcPr>
            <w:tcW w:w="3460" w:type="dxa"/>
            <w:vAlign w:val="bottom"/>
            <w:tcBorders>
              <w:bottom w:val="single" w:sz="8" w:color="auto"/>
            </w:tcBorders>
            <w:shd w:val="clear" w:color="auto" w:fill="CCEEFF"/>
          </w:tcPr>
          <w:p>
            <w:pPr>
              <w:jc w:val="center"/>
              <w:ind w:left="630"/>
              <w:spacing w:after="0"/>
              <w:rPr>
                <w:sz w:val="20"/>
                <w:szCs w:val="20"/>
                <w:color w:val="auto"/>
              </w:rPr>
            </w:pPr>
            <w:r>
              <w:rPr>
                <w:rFonts w:ascii="Arial" w:cs="Arial" w:eastAsia="Arial" w:hAnsi="Arial"/>
                <w:sz w:val="18"/>
                <w:szCs w:val="18"/>
                <w:color w:val="auto"/>
                <w:w w:val="90"/>
              </w:rPr>
              <w:t>7.00%</w:t>
            </w:r>
          </w:p>
        </w:tc>
        <w:tc>
          <w:tcPr>
            <w:tcW w:w="3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2022 valuation, costs and obligations for our Other Benefits Plan assumed an 7.5% annual rate of increase in the per capita cost of covered healthcare benefits in 2023 with the annual rate of increase declining 0.5% per year for 2024-2029, resulting in an annual rate of increase in the per capita cost of covered healthcare benefits of 4.5% by year 2029.</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is a sensitivity analysis for certain actuarial assumptions used in determining projected benefit obligations (PBO) and expenses for our retirement benefit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Pension Plan</w:t>
            </w:r>
          </w:p>
        </w:tc>
        <w:tc>
          <w:tcPr>
            <w:tcW w:w="2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560" w:type="dxa"/>
            <w:vAlign w:val="bottom"/>
            <w:gridSpan w:val="2"/>
          </w:tcPr>
          <w:p>
            <w:pPr>
              <w:ind w:left="256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Estimated</w:t>
            </w:r>
          </w:p>
        </w:tc>
      </w:tr>
      <w:tr>
        <w:trPr>
          <w:trHeight w:val="216"/>
        </w:trPr>
        <w:tc>
          <w:tcPr>
            <w:tcW w:w="5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Increase/</w:t>
            </w:r>
          </w:p>
        </w:tc>
        <w:tc>
          <w:tcPr>
            <w:tcW w:w="16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Increase/</w:t>
            </w:r>
          </w:p>
        </w:tc>
      </w:tr>
      <w:tr>
        <w:trPr>
          <w:trHeight w:val="216"/>
        </w:trPr>
        <w:tc>
          <w:tcPr>
            <w:tcW w:w="5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560" w:type="dxa"/>
            <w:vAlign w:val="bottom"/>
            <w:gridSpan w:val="2"/>
          </w:tcPr>
          <w:p>
            <w:pPr>
              <w:ind w:left="2540"/>
              <w:spacing w:after="0"/>
              <w:rPr>
                <w:sz w:val="20"/>
                <w:szCs w:val="20"/>
                <w:color w:val="auto"/>
              </w:rPr>
            </w:pPr>
            <w:r>
              <w:rPr>
                <w:rFonts w:ascii="Arial" w:cs="Arial" w:eastAsia="Arial" w:hAnsi="Arial"/>
                <w:sz w:val="18"/>
                <w:szCs w:val="18"/>
                <w:b w:val="1"/>
                <w:bCs w:val="1"/>
                <w:color w:val="auto"/>
              </w:rPr>
              <w:t>(Decrease)</w:t>
            </w: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(Decrease)</w:t>
            </w:r>
          </w:p>
        </w:tc>
      </w:tr>
      <w:tr>
        <w:trPr>
          <w:trHeight w:val="216"/>
        </w:trPr>
        <w:tc>
          <w:tcPr>
            <w:tcW w:w="5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on PBO</w:t>
            </w: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on Expense</w:t>
            </w:r>
          </w:p>
        </w:tc>
      </w:tr>
      <w:tr>
        <w:trPr>
          <w:trHeight w:val="234"/>
        </w:trPr>
        <w:tc>
          <w:tcPr>
            <w:tcW w:w="58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Actuarial Assumptions</w:t>
            </w:r>
          </w:p>
        </w:tc>
        <w:tc>
          <w:tcPr>
            <w:tcW w:w="2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(000s)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(000s)</w:t>
            </w:r>
          </w:p>
        </w:tc>
      </w:tr>
      <w:tr>
        <w:trPr>
          <w:trHeight w:val="210"/>
        </w:trPr>
        <w:tc>
          <w:tcPr>
            <w:tcW w:w="5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Discount Rate 1% Increase</w:t>
            </w:r>
          </w:p>
        </w:tc>
        <w:tc>
          <w:tcPr>
            <w:tcW w:w="2600" w:type="dxa"/>
            <w:vAlign w:val="bottom"/>
            <w:shd w:val="clear" w:color="auto" w:fill="CCEEFF"/>
          </w:tcPr>
          <w:p>
            <w:pPr>
              <w:ind w:left="25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r>
      <w:tr>
        <w:trPr>
          <w:trHeight w:val="229"/>
        </w:trPr>
        <w:tc>
          <w:tcPr>
            <w:tcW w:w="580" w:type="dxa"/>
            <w:vAlign w:val="bottom"/>
          </w:tcPr>
          <w:p>
            <w:pPr>
              <w:spacing w:after="0"/>
              <w:rPr>
                <w:sz w:val="19"/>
                <w:szCs w:val="19"/>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 1% Decrease</w:t>
            </w:r>
          </w:p>
        </w:tc>
        <w:tc>
          <w:tcPr>
            <w:tcW w:w="2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11,814</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1,943</w:t>
            </w:r>
          </w:p>
        </w:tc>
      </w:tr>
      <w:tr>
        <w:trPr>
          <w:trHeight w:val="426"/>
        </w:trPr>
        <w:tc>
          <w:tcPr>
            <w:tcW w:w="6060" w:type="dxa"/>
            <w:vAlign w:val="bottom"/>
            <w:gridSpan w:val="2"/>
          </w:tcPr>
          <w:p>
            <w:pPr>
              <w:spacing w:after="0"/>
              <w:rPr>
                <w:sz w:val="20"/>
                <w:szCs w:val="20"/>
                <w:color w:val="auto"/>
              </w:rPr>
            </w:pPr>
            <w:r>
              <w:rPr>
                <w:rFonts w:ascii="Arial" w:cs="Arial" w:eastAsia="Arial" w:hAnsi="Arial"/>
                <w:sz w:val="18"/>
                <w:szCs w:val="18"/>
                <w:color w:val="auto"/>
              </w:rPr>
              <w:t>Other Benefits Plan</w:t>
            </w:r>
          </w:p>
        </w:tc>
        <w:tc>
          <w:tcPr>
            <w:tcW w:w="2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560" w:type="dxa"/>
            <w:vAlign w:val="bottom"/>
            <w:gridSpan w:val="2"/>
          </w:tcPr>
          <w:p>
            <w:pPr>
              <w:ind w:left="2560"/>
              <w:spacing w:after="0"/>
              <w:rPr>
                <w:sz w:val="20"/>
                <w:szCs w:val="20"/>
                <w:color w:val="auto"/>
              </w:rPr>
            </w:pPr>
            <w:r>
              <w:rPr>
                <w:rFonts w:ascii="Arial" w:cs="Arial" w:eastAsia="Arial" w:hAnsi="Arial"/>
                <w:sz w:val="18"/>
                <w:szCs w:val="18"/>
                <w:b w:val="1"/>
                <w:bCs w:val="1"/>
                <w:color w:val="auto"/>
              </w:rPr>
              <w:t>Estimated</w:t>
            </w: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Estimated</w:t>
            </w:r>
          </w:p>
        </w:tc>
      </w:tr>
      <w:tr>
        <w:trPr>
          <w:trHeight w:val="216"/>
        </w:trPr>
        <w:tc>
          <w:tcPr>
            <w:tcW w:w="5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Increase/</w:t>
            </w:r>
          </w:p>
        </w:tc>
        <w:tc>
          <w:tcPr>
            <w:tcW w:w="16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Increase/</w:t>
            </w:r>
          </w:p>
        </w:tc>
      </w:tr>
      <w:tr>
        <w:trPr>
          <w:trHeight w:val="216"/>
        </w:trPr>
        <w:tc>
          <w:tcPr>
            <w:tcW w:w="5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560" w:type="dxa"/>
            <w:vAlign w:val="bottom"/>
            <w:gridSpan w:val="2"/>
          </w:tcPr>
          <w:p>
            <w:pPr>
              <w:ind w:left="2540"/>
              <w:spacing w:after="0"/>
              <w:rPr>
                <w:sz w:val="20"/>
                <w:szCs w:val="20"/>
                <w:color w:val="auto"/>
              </w:rPr>
            </w:pPr>
            <w:r>
              <w:rPr>
                <w:rFonts w:ascii="Arial" w:cs="Arial" w:eastAsia="Arial" w:hAnsi="Arial"/>
                <w:sz w:val="18"/>
                <w:szCs w:val="18"/>
                <w:b w:val="1"/>
                <w:bCs w:val="1"/>
                <w:color w:val="auto"/>
              </w:rPr>
              <w:t>(Decrease)</w:t>
            </w: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(Decrease)</w:t>
            </w:r>
          </w:p>
        </w:tc>
      </w:tr>
      <w:tr>
        <w:trPr>
          <w:trHeight w:val="216"/>
        </w:trPr>
        <w:tc>
          <w:tcPr>
            <w:tcW w:w="5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on PBO</w:t>
            </w: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on Expense</w:t>
            </w:r>
          </w:p>
        </w:tc>
      </w:tr>
      <w:tr>
        <w:trPr>
          <w:trHeight w:val="234"/>
        </w:trPr>
        <w:tc>
          <w:tcPr>
            <w:tcW w:w="58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Actuarial Assumptions</w:t>
            </w:r>
          </w:p>
        </w:tc>
        <w:tc>
          <w:tcPr>
            <w:tcW w:w="2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(000s)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(000s)</w:t>
            </w:r>
          </w:p>
        </w:tc>
      </w:tr>
      <w:tr>
        <w:trPr>
          <w:trHeight w:val="209"/>
        </w:trPr>
        <w:tc>
          <w:tcPr>
            <w:tcW w:w="5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Discount Rate 1% Increase</w:t>
            </w:r>
          </w:p>
        </w:tc>
        <w:tc>
          <w:tcPr>
            <w:tcW w:w="2600" w:type="dxa"/>
            <w:vAlign w:val="bottom"/>
            <w:shd w:val="clear" w:color="auto" w:fill="CCEEFF"/>
          </w:tcPr>
          <w:p>
            <w:pPr>
              <w:ind w:left="25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16"/>
        </w:trPr>
        <w:tc>
          <w:tcPr>
            <w:tcW w:w="580" w:type="dxa"/>
            <w:vAlign w:val="bottom"/>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Discount Rate 1% Decrease</w:t>
            </w:r>
          </w:p>
        </w:tc>
        <w:tc>
          <w:tcPr>
            <w:tcW w:w="2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5,258</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632</w:t>
            </w:r>
          </w:p>
        </w:tc>
      </w:tr>
      <w:tr>
        <w:trPr>
          <w:trHeight w:val="209"/>
        </w:trPr>
        <w:tc>
          <w:tcPr>
            <w:tcW w:w="5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Healthcare Cost Trend Rate 1% Increase</w:t>
            </w:r>
          </w:p>
        </w:tc>
        <w:tc>
          <w:tcPr>
            <w:tcW w:w="26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4,239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923</w:t>
            </w:r>
          </w:p>
        </w:tc>
      </w:tr>
      <w:tr>
        <w:trPr>
          <w:trHeight w:val="216"/>
        </w:trPr>
        <w:tc>
          <w:tcPr>
            <w:tcW w:w="580" w:type="dxa"/>
            <w:vAlign w:val="bottom"/>
          </w:tcPr>
          <w:p>
            <w:pPr>
              <w:spacing w:after="0"/>
              <w:rPr>
                <w:sz w:val="18"/>
                <w:szCs w:val="18"/>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Healthcare Cost Trend Rate 1% Decrease</w:t>
            </w:r>
          </w:p>
        </w:tc>
        <w:tc>
          <w:tcPr>
            <w:tcW w:w="2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1(r) of the Notes to Consolidated Financial Statements for a discussion of recent accounting pronouncements.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QUALITATIVE AND QUANTITATIVE DISCLOSURES ABOUT MARKET RISK.</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variable rate short-term debt. The Company’s interest rate risk related to existing fixed rate, long-term debt is not material due to the term of the majority of our First Mortgage Bonds, which have final maturity dates ranging from 2023 to 2059. Over the next twelve months, approximately $17.5 million of the current portion of existing long-term debt instruments will mature. The Company manages its interest rate risk related to existing variable-rate short-term debt by limiting our variable rate exposure. Applying a hypothetical change in the rate of interest charged by 10% on those fixed- and variable-rate borrowings would not have a material effect on our earnings.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retirement benefit plan assets are exposed to the market price variations of debt and equity securities. Changes to the Company's retirement benefit plan assets’ value can impact the Company's retirement benefit plan expense, funded status and future minimum funding requirements. Risk is mitigated through our ability to recover retirement benefit plan costs through customer rates.</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Middlesex Water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and consolidated statements of capital stock and long-term debt of Middlesex Water Company (the "Company") as of December 31, 2022 and 2021, the related consolidated statements of income, common stockholders' equity, and cash flows for each of the three years in the period ended December 31, 2022, and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6"/>
          <w:szCs w:val="16"/>
          <w:i w:val="1"/>
          <w:iCs w:val="1"/>
          <w:color w:val="auto"/>
        </w:rPr>
        <w:t xml:space="preserve">Internal Control – Integrated Framework: (2013) </w:t>
      </w:r>
      <w:r>
        <w:rPr>
          <w:rFonts w:ascii="Arial" w:cs="Arial" w:eastAsia="Arial" w:hAnsi="Arial"/>
          <w:sz w:val="16"/>
          <w:szCs w:val="16"/>
          <w:color w:val="auto"/>
        </w:rPr>
        <w:t>issued by the Committee of Sponsoring Organizations of the Treadway Commission (COSO).</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present fairly, in all material respects, the financial position of the Company as of December 31, 2022 and 2021, and the results of their operations and their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Baker Tilly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40" w:type="dxa"/>
            <w:vAlign w:val="bottom"/>
          </w:tcPr>
          <w:p>
            <w:pPr>
              <w:spacing w:after="0"/>
              <w:rPr>
                <w:sz w:val="18"/>
                <w:szCs w:val="18"/>
                <w:color w:val="auto"/>
              </w:rPr>
            </w:pPr>
          </w:p>
        </w:tc>
      </w:tr>
      <w:tr>
        <w:trPr>
          <w:trHeight w:val="234"/>
        </w:trPr>
        <w:tc>
          <w:tcPr>
            <w:tcW w:w="56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r>
      <w:tr>
        <w:trPr>
          <w:trHeight w:val="209"/>
        </w:trPr>
        <w:tc>
          <w:tcPr>
            <w:tcW w:w="5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162,434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143,141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141,592</w:t>
            </w:r>
          </w:p>
        </w:tc>
      </w:tr>
      <w:tr>
        <w:trPr>
          <w:trHeight w:val="210"/>
        </w:trPr>
        <w:tc>
          <w:tcPr>
            <w:tcW w:w="5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Operations and Maintenance</w:t>
            </w:r>
          </w:p>
        </w:tc>
        <w:tc>
          <w:tcPr>
            <w:tcW w:w="2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79,096</w:t>
            </w: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73,671</w:t>
            </w:r>
          </w:p>
        </w:tc>
        <w:tc>
          <w:tcPr>
            <w:tcW w:w="4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70,796</w:t>
            </w: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23,029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21,109</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18,472</w:t>
            </w:r>
          </w:p>
        </w:tc>
      </w:tr>
      <w:tr>
        <w:trPr>
          <w:trHeight w:val="216"/>
        </w:trPr>
        <w:tc>
          <w:tcPr>
            <w:tcW w:w="5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Taxes</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18,208</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15,150</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14,904</w:t>
            </w:r>
          </w:p>
        </w:tc>
      </w:tr>
      <w:tr>
        <w:trPr>
          <w:trHeight w:val="210"/>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120,333</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109,930</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104,172</w:t>
            </w:r>
          </w:p>
        </w:tc>
      </w:tr>
      <w:tr>
        <w:trPr>
          <w:trHeight w:val="209"/>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Gain on Sale of Subsidiary</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5,232</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47,333</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33,211</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37,420</w:t>
            </w:r>
          </w:p>
        </w:tc>
      </w:tr>
      <w:tr>
        <w:trPr>
          <w:trHeight w:val="210"/>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Funds Used During Construction</w:t>
            </w: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2,314</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2,653</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4,016</w:t>
            </w:r>
          </w:p>
        </w:tc>
      </w:tr>
      <w:tr>
        <w:trPr>
          <w:trHeight w:val="216"/>
        </w:trPr>
        <w:tc>
          <w:tcPr>
            <w:tcW w:w="5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Income (Expense), net</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5,389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3,305</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r>
      <w:tr>
        <w:trPr>
          <w:trHeight w:val="209"/>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 net</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7,703</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5,958</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4,379</w:t>
            </w:r>
          </w:p>
        </w:tc>
      </w:tr>
      <w:tr>
        <w:trPr>
          <w:trHeight w:val="209"/>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Charges</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9,367</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8,114</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7,493</w:t>
            </w:r>
          </w:p>
        </w:tc>
      </w:tr>
      <w:tr>
        <w:trPr>
          <w:trHeight w:val="210"/>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before Income Taxes</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45,669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31,055</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34,306</w:t>
            </w:r>
          </w:p>
        </w:tc>
      </w:tr>
      <w:tr>
        <w:trPr>
          <w:trHeight w:val="209"/>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3,240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(5,488)</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(4,119)</w:t>
            </w:r>
          </w:p>
        </w:tc>
      </w:tr>
      <w:tr>
        <w:trPr>
          <w:trHeight w:val="209"/>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Income</w:t>
            </w:r>
          </w:p>
        </w:tc>
        <w:tc>
          <w:tcPr>
            <w:tcW w:w="2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42,429</w:t>
            </w: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36,543</w:t>
            </w:r>
          </w:p>
        </w:tc>
        <w:tc>
          <w:tcPr>
            <w:tcW w:w="4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38,425</w:t>
            </w:r>
          </w:p>
        </w:tc>
      </w:tr>
      <w:tr>
        <w:trPr>
          <w:trHeight w:val="216"/>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 Requirements</w:t>
            </w:r>
          </w:p>
        </w:tc>
        <w:tc>
          <w:tcPr>
            <w:tcW w:w="2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120</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120</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r>
      <w:tr>
        <w:trPr>
          <w:trHeight w:val="210"/>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Applicable to Common Stock</w:t>
            </w:r>
          </w:p>
        </w:tc>
        <w:tc>
          <w:tcPr>
            <w:tcW w:w="2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42,309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36,423</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38,305</w:t>
            </w:r>
          </w:p>
        </w:tc>
      </w:tr>
      <w:tr>
        <w:trPr>
          <w:trHeight w:val="209"/>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Earnings per share of Common Stock:</w:t>
            </w: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2.39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2.07</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16"/>
        </w:trPr>
        <w:tc>
          <w:tcPr>
            <w:tcW w:w="56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Average Number of</w:t>
            </w: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Shares Outstanding :</w:t>
            </w: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Basic</w:t>
            </w:r>
          </w:p>
        </w:tc>
        <w:tc>
          <w:tcPr>
            <w:tcW w:w="22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17,597</w:t>
            </w: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17,492</w:t>
            </w:r>
          </w:p>
        </w:tc>
        <w:tc>
          <w:tcPr>
            <w:tcW w:w="4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17,459</w:t>
            </w: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17,712</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17,607</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MIDDLESEX WATER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6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Water Production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249,153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247,286</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Transmission and Distribution</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735,138</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697,200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97,581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95,658</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tcPr>
          <w:p>
            <w:pPr>
              <w:spacing w:after="0"/>
              <w:rPr>
                <w:sz w:val="18"/>
                <w:szCs w:val="18"/>
                <w:color w:val="auto"/>
              </w:rPr>
            </w:pPr>
          </w:p>
        </w:tc>
        <w:tc>
          <w:tcPr>
            <w:tcW w:w="6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Construction Work in Progress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53,570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24,947</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1,135,442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1,065,091</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tcPr>
          <w:p>
            <w:pPr>
              <w:spacing w:after="0"/>
              <w:rPr>
                <w:sz w:val="18"/>
                <w:szCs w:val="18"/>
                <w:color w:val="auto"/>
              </w:rPr>
            </w:pPr>
          </w:p>
        </w:tc>
        <w:tc>
          <w:tcPr>
            <w:tcW w:w="6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214,891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199,723</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UTILITY PLANT -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920,551</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865,368</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3,828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02"/>
        </w:trPr>
        <w:tc>
          <w:tcPr>
            <w:tcW w:w="2260" w:type="dxa"/>
            <w:vAlign w:val="bottom"/>
          </w:tcPr>
          <w:p>
            <w:pPr>
              <w:spacing w:after="0"/>
              <w:rPr>
                <w:sz w:val="17"/>
                <w:szCs w:val="17"/>
                <w:color w:val="auto"/>
              </w:rPr>
            </w:pPr>
          </w:p>
        </w:tc>
        <w:tc>
          <w:tcPr>
            <w:tcW w:w="6040" w:type="dxa"/>
            <w:vAlign w:val="bottom"/>
          </w:tcPr>
          <w:p>
            <w:pPr>
              <w:ind w:left="120"/>
              <w:spacing w:after="0" w:line="201" w:lineRule="exact"/>
              <w:rPr>
                <w:sz w:val="20"/>
                <w:szCs w:val="20"/>
                <w:color w:val="auto"/>
              </w:rPr>
            </w:pPr>
            <w:r>
              <w:rPr>
                <w:rFonts w:ascii="Arial" w:cs="Arial" w:eastAsia="Arial" w:hAnsi="Arial"/>
                <w:sz w:val="18"/>
                <w:szCs w:val="18"/>
                <w:color w:val="auto"/>
                <w:w w:val="93"/>
              </w:rPr>
              <w:t>Accounts Receivable, net of allowance for uncollectible accounts of $2,326 and</w:t>
            </w:r>
          </w:p>
        </w:tc>
        <w:tc>
          <w:tcPr>
            <w:tcW w:w="280" w:type="dxa"/>
            <w:vAlign w:val="bottom"/>
          </w:tcPr>
          <w:p>
            <w:pPr>
              <w:spacing w:after="0"/>
              <w:rPr>
                <w:sz w:val="17"/>
                <w:szCs w:val="17"/>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16,018</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$2,574, respectively</w:t>
            </w:r>
          </w:p>
        </w:tc>
        <w:tc>
          <w:tcPr>
            <w:tcW w:w="28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15,311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Unbilled Revenues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8,659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Materials and Supplies (at average cost)</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6,177</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Prepayments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2,624</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37,306</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34,355</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auto"/>
            </w:tcBorders>
            <w:shd w:val="clear" w:color="auto" w:fill="CCEEFF"/>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6040" w:type="dxa"/>
            <w:vAlign w:val="bottom"/>
          </w:tcPr>
          <w:p>
            <w:pPr>
              <w:ind w:left="120"/>
              <w:spacing w:after="0"/>
              <w:rPr>
                <w:sz w:val="20"/>
                <w:szCs w:val="20"/>
                <w:color w:val="auto"/>
              </w:rPr>
            </w:pPr>
            <w:r>
              <w:rPr>
                <w:rFonts w:ascii="Arial" w:cs="Arial" w:eastAsia="Arial" w:hAnsi="Arial"/>
                <w:sz w:val="18"/>
                <w:szCs w:val="18"/>
                <w:color w:val="auto"/>
              </w:rPr>
              <w:t>Operating Lease Right of Use Asset</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3,826</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Preliminary Survey and Investigation Charges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2,806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Regulatory Assets</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90,046</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100,738</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Non-utility Assets -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11,207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11,428</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Employee Benefit Plans</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8,689</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260" w:type="dxa"/>
            <w:vAlign w:val="bottom"/>
            <w:tcBorders>
              <w:bottom w:val="single" w:sz="8" w:color="CCEEFF"/>
            </w:tcBorders>
          </w:tcPr>
          <w:p>
            <w:pPr>
              <w:spacing w:after="0"/>
              <w:rPr>
                <w:sz w:val="18"/>
                <w:szCs w:val="18"/>
                <w:color w:val="auto"/>
              </w:rPr>
            </w:pPr>
          </w:p>
        </w:tc>
        <w:tc>
          <w:tcPr>
            <w:tcW w:w="6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116,593</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120,292</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18"/>
                <w:szCs w:val="18"/>
                <w:color w:val="auto"/>
              </w:rPr>
            </w:pPr>
          </w:p>
        </w:tc>
        <w:tc>
          <w:tcPr>
            <w:tcW w:w="6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1,074,450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1,020,015</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CAPITALIZATION AND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Borders>
              <w:bottom w:val="single" w:sz="8" w:color="auto"/>
            </w:tcBorders>
            <w:shd w:val="clear" w:color="auto" w:fill="CCEEFF"/>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8"/>
                <w:szCs w:val="18"/>
                <w:b w:val="1"/>
                <w:bCs w:val="1"/>
                <w:color w:val="auto"/>
              </w:rPr>
              <w:t>CAPITALIZATION:</w:t>
            </w:r>
          </w:p>
        </w:tc>
        <w:tc>
          <w:tcPr>
            <w:tcW w:w="6040" w:type="dxa"/>
            <w:vAlign w:val="bottom"/>
          </w:tcPr>
          <w:p>
            <w:pPr>
              <w:ind w:left="120"/>
              <w:spacing w:after="0"/>
              <w:rPr>
                <w:sz w:val="20"/>
                <w:szCs w:val="20"/>
                <w:color w:val="auto"/>
              </w:rPr>
            </w:pPr>
            <w:r>
              <w:rPr>
                <w:rFonts w:ascii="Arial" w:cs="Arial" w:eastAsia="Arial" w:hAnsi="Arial"/>
                <w:sz w:val="18"/>
                <w:szCs w:val="18"/>
                <w:color w:val="auto"/>
              </w:rPr>
              <w:t>Common Stock, No Par Value</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233,054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221,919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167,274</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145,807</w:t>
            </w:r>
          </w:p>
        </w:tc>
        <w:tc>
          <w:tcPr>
            <w:tcW w:w="0" w:type="dxa"/>
            <w:vAlign w:val="bottom"/>
          </w:tcPr>
          <w:p>
            <w:pPr>
              <w:spacing w:after="0"/>
              <w:rPr>
                <w:sz w:val="1"/>
                <w:szCs w:val="1"/>
                <w:color w:val="auto"/>
              </w:rPr>
            </w:pPr>
          </w:p>
        </w:tc>
      </w:tr>
      <w:tr>
        <w:trPr>
          <w:trHeight w:val="209"/>
        </w:trPr>
        <w:tc>
          <w:tcPr>
            <w:tcW w:w="2260" w:type="dxa"/>
            <w:vAlign w:val="bottom"/>
            <w:tcBorders>
              <w:bottom w:val="single" w:sz="8" w:color="CCEEFF"/>
            </w:tcBorders>
          </w:tcPr>
          <w:p>
            <w:pPr>
              <w:spacing w:after="0"/>
              <w:rPr>
                <w:sz w:val="18"/>
                <w:szCs w:val="18"/>
                <w:color w:val="auto"/>
              </w:rPr>
            </w:pPr>
          </w:p>
        </w:tc>
        <w:tc>
          <w:tcPr>
            <w:tcW w:w="6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COMMON EQUITY</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400,328</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367,726</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tcPr>
          <w:p>
            <w:pPr>
              <w:spacing w:after="0"/>
              <w:rPr>
                <w:sz w:val="18"/>
                <w:szCs w:val="18"/>
                <w:color w:val="auto"/>
              </w:rPr>
            </w:pPr>
          </w:p>
        </w:tc>
        <w:tc>
          <w:tcPr>
            <w:tcW w:w="6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290,280</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306,520</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CAPITALIZATION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692,692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676,330</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17,462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6,731</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040" w:type="dxa"/>
            <w:vAlign w:val="bottom"/>
          </w:tcPr>
          <w:p>
            <w:pPr>
              <w:ind w:left="12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55,500</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24,847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Accrued Taxes</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12,162</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2,535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Unearned Revenues and Advanced Service Fees</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1,365</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3,988</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117,859</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56,619</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auto"/>
            </w:tcBorders>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CONTINGENT LIABILITIES (Note 4)</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6040" w:type="dxa"/>
            <w:vAlign w:val="bottom"/>
          </w:tcPr>
          <w:p>
            <w:pPr>
              <w:ind w:left="120"/>
              <w:spacing w:after="0"/>
              <w:rPr>
                <w:sz w:val="20"/>
                <w:szCs w:val="20"/>
                <w:color w:val="auto"/>
              </w:rPr>
            </w:pPr>
            <w:r>
              <w:rPr>
                <w:rFonts w:ascii="Arial" w:cs="Arial" w:eastAsia="Arial" w:hAnsi="Arial"/>
                <w:sz w:val="18"/>
                <w:szCs w:val="18"/>
                <w:color w:val="auto"/>
              </w:rPr>
              <w:t>Customer Advances for Construction</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21,382</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23,529</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Obligations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3,706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Accumulated Deferred Income Taxes</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77,783</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69,500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Benefit Plans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11,290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Regulatory Liabilities</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46,734</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49,431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60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919</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6040" w:type="dxa"/>
            <w:vAlign w:val="bottom"/>
          </w:tcPr>
          <w:p>
            <w:pPr>
              <w:ind w:left="120"/>
              <w:spacing w:after="0"/>
              <w:rPr>
                <w:sz w:val="20"/>
                <w:szCs w:val="20"/>
                <w:color w:val="auto"/>
              </w:rPr>
            </w:pPr>
            <w:r>
              <w:rPr>
                <w:rFonts w:ascii="Arial" w:cs="Arial" w:eastAsia="Arial" w:hAnsi="Arial"/>
                <w:sz w:val="18"/>
                <w:szCs w:val="18"/>
                <w:color w:val="auto"/>
              </w:rPr>
              <w:t>TOTAL OTHER LIABILITIES</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150,524</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159,203</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auto"/>
            </w:tcBorders>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2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113,375</w:t>
            </w:r>
          </w:p>
        </w:tc>
        <w:tc>
          <w:tcPr>
            <w:tcW w:w="2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127,863</w:t>
            </w:r>
          </w:p>
        </w:tc>
        <w:tc>
          <w:tcPr>
            <w:tcW w:w="0" w:type="dxa"/>
            <w:vAlign w:val="bottom"/>
          </w:tcPr>
          <w:p>
            <w:pPr>
              <w:spacing w:after="0"/>
              <w:rPr>
                <w:sz w:val="1"/>
                <w:szCs w:val="1"/>
                <w:color w:val="auto"/>
              </w:rPr>
            </w:pPr>
          </w:p>
        </w:tc>
      </w:tr>
      <w:tr>
        <w:trPr>
          <w:trHeight w:val="209"/>
        </w:trPr>
        <w:tc>
          <w:tcPr>
            <w:tcW w:w="2260" w:type="dxa"/>
            <w:vAlign w:val="bottom"/>
            <w:tcBorders>
              <w:top w:val="single" w:sz="8" w:color="CCEEFF"/>
            </w:tcBorders>
            <w:shd w:val="clear" w:color="auto" w:fill="CCEEFF"/>
          </w:tcPr>
          <w:p>
            <w:pPr>
              <w:spacing w:after="0"/>
              <w:rPr>
                <w:sz w:val="18"/>
                <w:szCs w:val="18"/>
                <w:color w:val="auto"/>
              </w:rPr>
            </w:pPr>
          </w:p>
        </w:tc>
        <w:tc>
          <w:tcPr>
            <w:tcW w:w="60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CAPITALIZATION AND LIABILITIES</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1,074,450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1,020,015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233" w:right="339" w:bottom="1440" w:gutter="0" w:footer="0" w:header="0"/>
        </w:sectPr>
      </w:pP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400" w:type="dxa"/>
            <w:vAlign w:val="bottom"/>
            <w:tcBorders>
              <w:top w:val="single" w:sz="8" w:color="0000EE"/>
            </w:tcBorders>
          </w:tcPr>
          <w:p>
            <w:pPr>
              <w:spacing w:after="0"/>
              <w:rPr>
                <w:sz w:val="24"/>
                <w:szCs w:val="24"/>
                <w:color w:val="auto"/>
              </w:rPr>
            </w:pPr>
          </w:p>
        </w:tc>
        <w:tc>
          <w:tcPr>
            <w:tcW w:w="6880" w:type="dxa"/>
            <w:vAlign w:val="bottom"/>
            <w:gridSpan w:val="2"/>
          </w:tcPr>
          <w:p>
            <w:pPr>
              <w:jc w:val="center"/>
              <w:ind w:left="3470"/>
              <w:spacing w:after="0"/>
              <w:rPr>
                <w:sz w:val="20"/>
                <w:szCs w:val="20"/>
                <w:color w:val="auto"/>
              </w:rPr>
            </w:pPr>
            <w:r>
              <w:rPr>
                <w:rFonts w:ascii="Arial" w:cs="Arial" w:eastAsia="Arial" w:hAnsi="Arial"/>
                <w:sz w:val="18"/>
                <w:szCs w:val="18"/>
                <w:b w:val="1"/>
                <w:bCs w:val="1"/>
                <w:color w:val="auto"/>
              </w:rPr>
              <w:t>MIDDLESEX WATER COMPANY</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980" w:type="dxa"/>
            <w:vAlign w:val="bottom"/>
            <w:gridSpan w:val="3"/>
          </w:tcPr>
          <w:p>
            <w:pPr>
              <w:jc w:val="center"/>
              <w:ind w:left="23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460" w:type="dxa"/>
            <w:vAlign w:val="bottom"/>
          </w:tcPr>
          <w:p>
            <w:pPr>
              <w:jc w:val="center"/>
              <w:ind w:left="3890"/>
              <w:spacing w:after="0"/>
              <w:rPr>
                <w:sz w:val="20"/>
                <w:szCs w:val="20"/>
                <w:color w:val="auto"/>
              </w:rPr>
            </w:pPr>
            <w:r>
              <w:rPr>
                <w:rFonts w:ascii="Arial" w:cs="Arial" w:eastAsia="Arial" w:hAnsi="Arial"/>
                <w:sz w:val="18"/>
                <w:szCs w:val="18"/>
                <w:b w:val="1"/>
                <w:bCs w:val="1"/>
                <w:color w:val="auto"/>
                <w:w w:val="90"/>
              </w:rPr>
              <w:t>(In thousands)</w:t>
            </w: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Borders>
              <w:bottom w:val="single" w:sz="8" w:color="CCEEFF"/>
            </w:tcBorders>
          </w:tcPr>
          <w:p>
            <w:pPr>
              <w:spacing w:after="0"/>
              <w:rPr>
                <w:sz w:val="20"/>
                <w:szCs w:val="20"/>
                <w:color w:val="auto"/>
              </w:rPr>
            </w:pPr>
          </w:p>
        </w:tc>
        <w:tc>
          <w:tcPr>
            <w:tcW w:w="64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42,429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36,543</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38,425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27,475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26,799</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20,838</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Provision for Deferred Income Taxes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(5,334)</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(10,989)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(13,490)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 Portion of Allowance for Funds Used During Construction (AFUDC)</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401</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Compensation Expense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1,630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1,338</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Gain on Sale of Subsidiary</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(5,232)</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Revenues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Materials &amp; Supplies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(819)</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Prepayments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3,722</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(9,318)</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Taxes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3,541</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Accrued Interest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549</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Employee Benefit Plans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(4,266)</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Unearned Revenue &amp; Advanced Service Fees</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75</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Assets and Liabilities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16"/>
        </w:trPr>
        <w:tc>
          <w:tcPr>
            <w:tcW w:w="400" w:type="dxa"/>
            <w:vAlign w:val="bottom"/>
            <w:tcBorders>
              <w:bottom w:val="single" w:sz="8" w:color="CCEEFF"/>
            </w:tcBorders>
          </w:tcPr>
          <w:p>
            <w:pPr>
              <w:spacing w:after="0"/>
              <w:rPr>
                <w:sz w:val="18"/>
                <w:szCs w:val="18"/>
                <w:color w:val="auto"/>
              </w:rPr>
            </w:pPr>
          </w:p>
        </w:tc>
        <w:tc>
          <w:tcPr>
            <w:tcW w:w="64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61,361</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33,028</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53,355</w:t>
            </w: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Utility Plant Expenditures, Including AFUDC of $927 in 2022, $1,148 in 2021 and $1,513</w:t>
            </w:r>
          </w:p>
        </w:tc>
        <w:tc>
          <w:tcPr>
            <w:tcW w:w="4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(91,335)</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 2020</w:t>
            </w:r>
          </w:p>
        </w:tc>
        <w:tc>
          <w:tcPr>
            <w:tcW w:w="42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(79,378)</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(105,619)</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Proceeds from Sale of Subsidiary</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3,122</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(88,213)</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(79,378)</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(105,619)</w:t>
            </w: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Redemption of Long-term Debt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(7,423)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(52,691)</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2,662</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86,595</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50,316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Net Short-term Bank Borrowings</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42,500</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11,000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Debt Issuance Expense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Common Stock Issuance Expense</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10,335</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3,837</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Payment of Common Dividends</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(20,810)</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(19,373)</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(18,178)</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Preferred Dividends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Construction Advances and Contributions-Net</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659</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11,225</w:t>
            </w:r>
          </w:p>
        </w:tc>
        <w:tc>
          <w:tcPr>
            <w:tcW w:w="4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27,147</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39,479</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295</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(36,095)</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8"/>
              </w:rPr>
              <w:t>CASH, CASH EQUIVALENTS AND RESTRICTED CASH AT BEGINNING OF PERIOD</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3,533</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10,404</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46,499</w:t>
            </w: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3,828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3,533</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10,404</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SUPPLEMENTAL DISCLOSURE OF NON-CASH ACTIVITY:</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6,252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4,750</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Long-term Debt Deobligation</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Consideration for Sale of Subsidiary</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2,100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SUPPLEMENTAL DISCLOSURE OF CASH FLOWS INFORMATION:</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Paid During the Year for:</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Interest</w:t>
            </w:r>
          </w:p>
        </w:tc>
        <w:tc>
          <w:tcPr>
            <w:tcW w:w="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9,251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8,546</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7,644</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Capitalized</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3,230</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3,335</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216" w:right="339" w:bottom="1440" w:gutter="0" w:footer="0" w:header="0"/>
        </w:sectPr>
      </w:pP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772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542"/>
        </w:trPr>
        <w:tc>
          <w:tcPr>
            <w:tcW w:w="400" w:type="dxa"/>
            <w:vAlign w:val="bottom"/>
            <w:tcBorders>
              <w:top w:val="single" w:sz="8" w:color="0000EE"/>
            </w:tcBorders>
          </w:tcPr>
          <w:p>
            <w:pPr>
              <w:spacing w:after="0"/>
              <w:rPr>
                <w:sz w:val="24"/>
                <w:szCs w:val="24"/>
                <w:color w:val="auto"/>
              </w:rPr>
            </w:pPr>
          </w:p>
        </w:tc>
        <w:tc>
          <w:tcPr>
            <w:tcW w:w="7320" w:type="dxa"/>
            <w:vAlign w:val="bottom"/>
          </w:tcPr>
          <w:p>
            <w:pPr>
              <w:jc w:val="center"/>
              <w:ind w:left="3030"/>
              <w:spacing w:after="0"/>
              <w:rPr>
                <w:sz w:val="20"/>
                <w:szCs w:val="20"/>
                <w:color w:val="auto"/>
              </w:rPr>
            </w:pPr>
            <w:r>
              <w:rPr>
                <w:rFonts w:ascii="Arial" w:cs="Arial" w:eastAsia="Arial" w:hAnsi="Arial"/>
                <w:sz w:val="18"/>
                <w:szCs w:val="18"/>
                <w:b w:val="1"/>
                <w:bCs w:val="1"/>
                <w:color w:val="auto"/>
              </w:rPr>
              <w:t>MIDDLESEX WATER COMPANY</w:t>
            </w: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942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9"/>
              </w:rPr>
              <w:t>CONSOLIDATED STATEMENTS OF CAPITAL STOCK AND LONG-TERM DEBT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7320" w:type="dxa"/>
            <w:vAlign w:val="bottom"/>
          </w:tcPr>
          <w:p>
            <w:pPr>
              <w:jc w:val="center"/>
              <w:ind w:left="303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4"/>
        </w:trPr>
        <w:tc>
          <w:tcPr>
            <w:tcW w:w="4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0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10"/>
        </w:trPr>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Shares Authorized - 40,000</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Outstanding - 2022 - 17,642; 2021 - 17,522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233,054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221,919</w:t>
            </w:r>
          </w:p>
        </w:tc>
      </w:tr>
      <w:tr>
        <w:trPr>
          <w:trHeight w:val="216"/>
        </w:trPr>
        <w:tc>
          <w:tcPr>
            <w:tcW w:w="40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167,274</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145,807</w:t>
            </w:r>
          </w:p>
        </w:tc>
      </w:tr>
      <w:tr>
        <w:trPr>
          <w:trHeight w:val="210"/>
        </w:trPr>
        <w:tc>
          <w:tcPr>
            <w:tcW w:w="77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TOTAL COMMON EQUITY</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400,328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367,726</w:t>
            </w:r>
          </w:p>
        </w:tc>
      </w:tr>
      <w:tr>
        <w:trPr>
          <w:trHeight w:val="209"/>
        </w:trPr>
        <w:tc>
          <w:tcPr>
            <w:tcW w:w="4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Cumulative Preferred Stock, No Par Value:</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Authorized - 120</w:t>
            </w: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Shares Outstanding - 20</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Convertible:</w:t>
            </w: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Shares Outstanding, $7.00 Series - 10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1,005</w:t>
            </w:r>
          </w:p>
        </w:tc>
      </w:tr>
      <w:tr>
        <w:trPr>
          <w:trHeight w:val="216"/>
        </w:trPr>
        <w:tc>
          <w:tcPr>
            <w:tcW w:w="7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Nonredeemable:</w:t>
            </w: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Shares Outstanding, $7.00 Series -  1</w:t>
            </w:r>
          </w:p>
        </w:tc>
        <w:tc>
          <w:tcPr>
            <w:tcW w:w="8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16"/>
        </w:trPr>
        <w:tc>
          <w:tcPr>
            <w:tcW w:w="772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Shares Outstanding, $4.75 Series - 10</w:t>
            </w:r>
          </w:p>
        </w:tc>
        <w:tc>
          <w:tcPr>
            <w:tcW w:w="8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10"/>
        </w:trPr>
        <w:tc>
          <w:tcPr>
            <w:tcW w:w="77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TOTAL PREFERRED STOCK</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2,084</w:t>
            </w:r>
          </w:p>
        </w:tc>
      </w:tr>
      <w:tr>
        <w:trPr>
          <w:trHeight w:val="209"/>
        </w:trPr>
        <w:tc>
          <w:tcPr>
            <w:tcW w:w="40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Mortgage Bonds, 0.00%-5.50%, due 2023-2059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252,269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203,892</w:t>
            </w:r>
          </w:p>
        </w:tc>
      </w:tr>
      <w:tr>
        <w:trPr>
          <w:trHeight w:val="216"/>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Amortizing Secured Notes, 3.94%-7.05%, due 2028-2046</w:t>
            </w:r>
          </w:p>
        </w:tc>
        <w:tc>
          <w:tcPr>
            <w:tcW w:w="8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44,918</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47,613</w:t>
            </w:r>
          </w:p>
        </w:tc>
      </w:tr>
      <w:tr>
        <w:trPr>
          <w:trHeight w:val="216"/>
        </w:trPr>
        <w:tc>
          <w:tcPr>
            <w:tcW w:w="7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 Revolving Trust Notes, 2.00%-4.22%, due 2025-2038</w:t>
            </w: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9,200</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7,510</w:t>
            </w:r>
          </w:p>
        </w:tc>
      </w:tr>
      <w:tr>
        <w:trPr>
          <w:trHeight w:val="216"/>
        </w:trPr>
        <w:tc>
          <w:tcPr>
            <w:tcW w:w="77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Construction Loans, 0.00%</w:t>
            </w:r>
          </w:p>
        </w:tc>
        <w:tc>
          <w:tcPr>
            <w:tcW w:w="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52,131</w:t>
            </w:r>
          </w:p>
        </w:tc>
      </w:tr>
      <w:tr>
        <w:trPr>
          <w:trHeight w:val="210"/>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SUBTOTAL LONG-TERM DEBT</w:t>
            </w: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306,387</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311,146</w:t>
            </w:r>
          </w:p>
        </w:tc>
      </w:tr>
      <w:tr>
        <w:trPr>
          <w:trHeight w:val="216"/>
        </w:trPr>
        <w:tc>
          <w:tcPr>
            <w:tcW w:w="7720" w:type="dxa"/>
            <w:vAlign w:val="bottom"/>
            <w:gridSpan w:val="2"/>
          </w:tcPr>
          <w:p>
            <w:pPr>
              <w:ind w:left="360"/>
              <w:spacing w:after="0"/>
              <w:rPr>
                <w:sz w:val="20"/>
                <w:szCs w:val="20"/>
                <w:color w:val="auto"/>
              </w:rPr>
            </w:pPr>
            <w:r>
              <w:rPr>
                <w:rFonts w:ascii="Arial" w:cs="Arial" w:eastAsia="Arial" w:hAnsi="Arial"/>
                <w:sz w:val="18"/>
                <w:szCs w:val="18"/>
                <w:color w:val="auto"/>
              </w:rPr>
              <w:t>Add: Premium on Issuance of Long-term Debt</w:t>
            </w:r>
          </w:p>
        </w:tc>
        <w:tc>
          <w:tcPr>
            <w:tcW w:w="84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6,873</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7,271</w:t>
            </w:r>
          </w:p>
        </w:tc>
      </w:tr>
      <w:tr>
        <w:trPr>
          <w:trHeight w:val="216"/>
        </w:trPr>
        <w:tc>
          <w:tcPr>
            <w:tcW w:w="7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Unamortized Debt Expense</w:t>
            </w:r>
          </w:p>
        </w:tc>
        <w:tc>
          <w:tcPr>
            <w:tcW w:w="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(5,518)</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w:t>
            </w:r>
          </w:p>
        </w:tc>
      </w:tr>
      <w:tr>
        <w:trPr>
          <w:trHeight w:val="216"/>
        </w:trPr>
        <w:tc>
          <w:tcPr>
            <w:tcW w:w="772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Less: Current Portion of Long-term Debt</w:t>
            </w:r>
          </w:p>
        </w:tc>
        <w:tc>
          <w:tcPr>
            <w:tcW w:w="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(17,462)</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w:t>
            </w:r>
          </w:p>
        </w:tc>
      </w:tr>
      <w:tr>
        <w:trPr>
          <w:trHeight w:val="210"/>
        </w:trPr>
        <w:tc>
          <w:tcPr>
            <w:tcW w:w="772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290,280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306,520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468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42"/>
        </w:trPr>
        <w:tc>
          <w:tcPr>
            <w:tcW w:w="400" w:type="dxa"/>
            <w:vAlign w:val="bottom"/>
            <w:tcBorders>
              <w:top w:val="single" w:sz="8" w:color="0000EE"/>
            </w:tcBorders>
          </w:tcPr>
          <w:p>
            <w:pPr>
              <w:spacing w:after="0"/>
              <w:rPr>
                <w:sz w:val="24"/>
                <w:szCs w:val="24"/>
                <w:color w:val="auto"/>
              </w:rPr>
            </w:pPr>
          </w:p>
        </w:tc>
        <w:tc>
          <w:tcPr>
            <w:tcW w:w="6600" w:type="dxa"/>
            <w:vAlign w:val="bottom"/>
            <w:gridSpan w:val="5"/>
          </w:tcPr>
          <w:p>
            <w:pPr>
              <w:jc w:val="center"/>
              <w:ind w:left="3750"/>
              <w:spacing w:after="0"/>
              <w:rPr>
                <w:sz w:val="20"/>
                <w:szCs w:val="20"/>
                <w:color w:val="auto"/>
              </w:rPr>
            </w:pPr>
            <w:r>
              <w:rPr>
                <w:rFonts w:ascii="Arial" w:cs="Arial" w:eastAsia="Arial" w:hAnsi="Arial"/>
                <w:sz w:val="18"/>
                <w:szCs w:val="18"/>
                <w:b w:val="1"/>
                <w:bCs w:val="1"/>
                <w:color w:val="auto"/>
              </w:rPr>
              <w:t>MIDDLESEX WATER COMPANY</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8380" w:type="dxa"/>
            <w:vAlign w:val="bottom"/>
            <w:gridSpan w:val="10"/>
          </w:tcPr>
          <w:p>
            <w:pPr>
              <w:jc w:val="center"/>
              <w:ind w:left="1970"/>
              <w:spacing w:after="0"/>
              <w:rPr>
                <w:sz w:val="20"/>
                <w:szCs w:val="20"/>
                <w:color w:val="auto"/>
              </w:rPr>
            </w:pPr>
            <w:r>
              <w:rPr>
                <w:rFonts w:ascii="Arial" w:cs="Arial" w:eastAsia="Arial" w:hAnsi="Arial"/>
                <w:sz w:val="18"/>
                <w:szCs w:val="18"/>
                <w:b w:val="1"/>
                <w:bCs w:val="1"/>
                <w:color w:val="auto"/>
              </w:rPr>
              <w:t>CONSOLIDATED STATEMENTS OF COMMON STOCKHOLDERS' EQUITY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3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4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Common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Common</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4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Stock</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320" w:type="dxa"/>
            <w:vAlign w:val="bottom"/>
          </w:tcPr>
          <w:p>
            <w:pPr>
              <w:spacing w:after="0"/>
              <w:rPr>
                <w:sz w:val="19"/>
                <w:szCs w:val="19"/>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32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w w:val="90"/>
              </w:rPr>
              <w:t>Earnings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09"/>
        </w:trPr>
        <w:tc>
          <w:tcPr>
            <w:tcW w:w="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2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17,434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108,667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323,792</w:t>
            </w:r>
          </w:p>
        </w:tc>
      </w:tr>
      <w:tr>
        <w:trPr>
          <w:trHeight w:val="216"/>
        </w:trPr>
        <w:tc>
          <w:tcPr>
            <w:tcW w:w="40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38,425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38,425</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w w:val="99"/>
              </w:rPr>
              <w:t>Dividend Reinvestment &amp; Common Stock Purchase Plan</w:t>
            </w:r>
          </w:p>
        </w:tc>
        <w:tc>
          <w:tcPr>
            <w:tcW w:w="2220" w:type="dxa"/>
            <w:vAlign w:val="bottom"/>
            <w:gridSpan w:val="3"/>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1,230</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2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Stock Award - Board Of Directors</w:t>
            </w:r>
          </w:p>
        </w:tc>
        <w:tc>
          <w:tcPr>
            <w:tcW w:w="2220" w:type="dxa"/>
            <w:vAlign w:val="bottom"/>
            <w:gridSpan w:val="3"/>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 ($1.041 per share)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(18,178)</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Cash Dividends on Preferred Stock</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Expenses</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9"/>
        </w:trPr>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at December 31, 2020</w:t>
            </w:r>
          </w:p>
        </w:tc>
        <w:tc>
          <w:tcPr>
            <w:tcW w:w="7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17,473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217,451</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128,757</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346,208</w:t>
            </w:r>
          </w:p>
        </w:tc>
      </w:tr>
      <w:tr>
        <w:trPr>
          <w:trHeight w:val="209"/>
        </w:trPr>
        <w:tc>
          <w:tcPr>
            <w:tcW w:w="4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36,543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36,543</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Dividend Reinvestment &amp; Common Stock Purchase Plan</w:t>
            </w:r>
          </w:p>
        </w:tc>
        <w:tc>
          <w:tcPr>
            <w:tcW w:w="2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3,837</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2220" w:type="dxa"/>
            <w:vAlign w:val="bottom"/>
            <w:gridSpan w:val="3"/>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Award - Board Of Directors</w:t>
            </w:r>
          </w:p>
        </w:tc>
        <w:tc>
          <w:tcPr>
            <w:tcW w:w="2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Cash Dividends on Common Stock ($1.108 per share)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(19,373)</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Balance at December 31, 2021</w:t>
            </w:r>
          </w:p>
        </w:tc>
        <w:tc>
          <w:tcPr>
            <w:tcW w:w="7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17,522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221,919</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145,807</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367,726</w:t>
            </w:r>
          </w:p>
        </w:tc>
      </w:tr>
      <w:tr>
        <w:trPr>
          <w:trHeight w:val="209"/>
        </w:trPr>
        <w:tc>
          <w:tcPr>
            <w:tcW w:w="4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42,429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42,429</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Dividend Reinvestment &amp; Common Stock Purchase Plan</w:t>
            </w:r>
          </w:p>
        </w:tc>
        <w:tc>
          <w:tcPr>
            <w:tcW w:w="2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10,335</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Restricted Stock Award - Net - Employees</w:t>
            </w:r>
          </w:p>
        </w:tc>
        <w:tc>
          <w:tcPr>
            <w:tcW w:w="2220" w:type="dxa"/>
            <w:vAlign w:val="bottom"/>
            <w:gridSpan w:val="3"/>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Award - Board Of Directors</w:t>
            </w:r>
          </w:p>
        </w:tc>
        <w:tc>
          <w:tcPr>
            <w:tcW w:w="2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16"/>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Cash Dividends on Common Stock ($1.1825 per share)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(20,810)</w:t>
            </w:r>
          </w:p>
        </w:tc>
      </w:tr>
      <w:tr>
        <w:trPr>
          <w:trHeight w:val="216"/>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Dividends on Preferred Stock</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Common Stock Expenses</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720" w:type="dxa"/>
            <w:vAlign w:val="bottom"/>
            <w:shd w:val="clear" w:color="auto" w:fill="CCEEFF"/>
          </w:tcPr>
          <w:p>
            <w:pPr>
              <w:spacing w:after="0"/>
              <w:rPr>
                <w:sz w:val="18"/>
                <w:szCs w:val="18"/>
                <w:color w:val="auto"/>
              </w:rPr>
            </w:pPr>
          </w:p>
        </w:tc>
        <w:tc>
          <w:tcPr>
            <w:tcW w:w="15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17,642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233,054</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167,274</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400,328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Summary of Significant Accounting Policies and Recent Developments</w:t>
      </w:r>
    </w:p>
    <w:p>
      <w:pPr>
        <w:spacing w:after="0" w:line="225" w:lineRule="exact"/>
        <w:rPr>
          <w:sz w:val="20"/>
          <w:szCs w:val="20"/>
          <w:color w:val="auto"/>
        </w:rPr>
      </w:pPr>
    </w:p>
    <w:p>
      <w:pPr>
        <w:jc w:val="both"/>
        <w:ind w:firstLine="8"/>
        <w:spacing w:after="0" w:line="303" w:lineRule="auto"/>
        <w:tabs>
          <w:tab w:leader="none" w:pos="282"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Organization </w:t>
      </w:r>
      <w:r>
        <w:rPr>
          <w:rFonts w:ascii="Arial" w:cs="Arial" w:eastAsia="Arial" w:hAnsi="Arial"/>
          <w:sz w:val="16"/>
          <w:szCs w:val="16"/>
          <w:color w:val="auto"/>
        </w:rPr>
        <w:t>- Middlesex Water Company (Middlesex or the Company) is the parent company and sole shareholder of Tidewater Utilities, Inc.</w:t>
      </w:r>
      <w:r>
        <w:rPr>
          <w:rFonts w:ascii="Arial" w:cs="Arial" w:eastAsia="Arial" w:hAnsi="Arial"/>
          <w:sz w:val="16"/>
          <w:szCs w:val="16"/>
          <w:b w:val="1"/>
          <w:bCs w:val="1"/>
          <w:color w:val="auto"/>
        </w:rPr>
        <w:t xml:space="preserve"> </w:t>
      </w:r>
      <w:r>
        <w:rPr>
          <w:rFonts w:ascii="Arial" w:cs="Arial" w:eastAsia="Arial" w:hAnsi="Arial"/>
          <w:sz w:val="16"/>
          <w:szCs w:val="16"/>
          <w:color w:val="auto"/>
        </w:rPr>
        <w:t>(Tidewater),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w:t>
      </w:r>
    </w:p>
    <w:p>
      <w:pPr>
        <w:spacing w:after="0" w:line="15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Middlesex has operated as a water utility in New Jersey since 1897 and in Delaware, through our wholly-owned subsidiary, Tidewater, since 1992. We are in the business of collecting, treating, distributing and selling water for domestic, commercial, municipal, industrial and fire protection purposes. We also operate New Jersey municipal water, wastewater and storm water systems under contract and provide unregulated water and wastewater services in New Jersey and Delaware through our subsidiaries. Our rates charged to customers for water and wastewater services, the quality of services we provide and certain other matters are regulated in New Jersey and Delaware by the New Jersey Board of Public Utilities (NJBPU) and the Delaware Public Service Commission (DEPSC), respectively. Our USA, USA-PA and White Marsh subsidiaries are not regulated utilities.</w:t>
      </w:r>
    </w:p>
    <w:p>
      <w:pPr>
        <w:spacing w:after="0" w:line="160" w:lineRule="exact"/>
        <w:rPr>
          <w:sz w:val="20"/>
          <w:szCs w:val="20"/>
          <w:color w:val="auto"/>
        </w:rPr>
      </w:pPr>
    </w:p>
    <w:p>
      <w:pPr>
        <w:jc w:val="both"/>
        <w:ind w:firstLine="8"/>
        <w:spacing w:after="0" w:line="258" w:lineRule="auto"/>
        <w:tabs>
          <w:tab w:leader="none" w:pos="26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statements for Middlesex and its wholly-owned subsidiaries (the Company) are reported on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All significant intercompany accounts and transactions have been eliminated. Other financial investments in which the Company holds a 50% or less voting interest and cannot exercise control over the operation and policies of the investments are accounted for under the equity method of accounting. Under the equity method of accounting, the Company records its investment interests in Non-Utility Assets and its percentage share of the earnings or losses of the investees in Other Income (Expense).</w:t>
      </w:r>
    </w:p>
    <w:p>
      <w:pPr>
        <w:spacing w:after="0" w:line="183" w:lineRule="exact"/>
        <w:rPr>
          <w:rFonts w:ascii="Arial" w:cs="Arial" w:eastAsia="Arial" w:hAnsi="Arial"/>
          <w:sz w:val="18"/>
          <w:szCs w:val="18"/>
          <w:b w:val="1"/>
          <w:bCs w:val="1"/>
          <w:color w:val="auto"/>
        </w:rPr>
      </w:pPr>
    </w:p>
    <w:p>
      <w:pPr>
        <w:ind w:firstLine="8"/>
        <w:spacing w:after="0" w:line="282" w:lineRule="auto"/>
        <w:tabs>
          <w:tab w:leader="none" w:pos="24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System of Accounts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regulated utilities maintain their accounts in accordance with the Uniform System of Accounts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NJBPU and DEPSC.</w:t>
      </w:r>
    </w:p>
    <w:p>
      <w:pPr>
        <w:spacing w:after="0" w:line="161" w:lineRule="exact"/>
        <w:rPr>
          <w:rFonts w:ascii="Arial" w:cs="Arial" w:eastAsia="Arial" w:hAnsi="Arial"/>
          <w:sz w:val="18"/>
          <w:szCs w:val="18"/>
          <w:b w:val="1"/>
          <w:bCs w:val="1"/>
          <w:color w:val="auto"/>
        </w:rPr>
      </w:pPr>
    </w:p>
    <w:p>
      <w:pPr>
        <w:jc w:val="both"/>
        <w:ind w:firstLine="8"/>
        <w:spacing w:after="0" w:line="258" w:lineRule="auto"/>
        <w:tabs>
          <w:tab w:leader="none" w:pos="28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Accounting </w:t>
      </w:r>
      <w:r>
        <w:rPr>
          <w:rFonts w:ascii="Arial" w:cs="Arial" w:eastAsia="Arial" w:hAnsi="Arial"/>
          <w:sz w:val="18"/>
          <w:szCs w:val="18"/>
          <w:color w:val="auto"/>
        </w:rPr>
        <w:t>- We maintain our books and records in accordance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America. Middlesex and certain of its subsidiaries, which account for 93% of Operating Revenues and 99% of Total Assets, are subject to regulation in the state in which they operate. Those companies are required to maintain their accounts in accordance with regulatory authorities’ rules and guidelines, which may differ from other authoritative accounting pronouncements. In those instances, the Company follows the guidance provided in Accounting Standards Codification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 xml:space="preserve">,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 For additional information, see Note 2 – </w:t>
      </w:r>
      <w:r>
        <w:rPr>
          <w:rFonts w:ascii="Arial" w:cs="Arial" w:eastAsia="Arial" w:hAnsi="Arial"/>
          <w:sz w:val="18"/>
          <w:szCs w:val="18"/>
          <w:i w:val="1"/>
          <w:iCs w:val="1"/>
          <w:color w:val="auto"/>
        </w:rPr>
        <w:t>Rate</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Regulatory Matters</w:t>
      </w:r>
      <w:r>
        <w:rPr>
          <w:rFonts w:ascii="Arial" w:cs="Arial" w:eastAsia="Arial" w:hAnsi="Arial"/>
          <w:sz w:val="18"/>
          <w:szCs w:val="18"/>
          <w:color w:val="auto"/>
        </w:rPr>
        <w:t>.</w:t>
      </w:r>
    </w:p>
    <w:p>
      <w:pPr>
        <w:spacing w:after="0" w:line="184" w:lineRule="exact"/>
        <w:rPr>
          <w:sz w:val="20"/>
          <w:szCs w:val="20"/>
          <w:color w:val="auto"/>
        </w:rPr>
      </w:pPr>
    </w:p>
    <w:p>
      <w:pPr>
        <w:jc w:val="both"/>
        <w:ind w:firstLine="8"/>
        <w:spacing w:after="0" w:line="258" w:lineRule="auto"/>
        <w:tabs>
          <w:tab w:leader="none" w:pos="24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Benefit Plans </w:t>
      </w:r>
      <w:r>
        <w:rPr>
          <w:rFonts w:ascii="Arial" w:cs="Arial" w:eastAsia="Arial" w:hAnsi="Arial"/>
          <w:sz w:val="18"/>
          <w:szCs w:val="18"/>
          <w:color w:val="auto"/>
        </w:rPr>
        <w:t>- We maintain a noncontributory defined benefit pension plan (Pension Plan), which covers all active employees who were</w:t>
      </w:r>
      <w:r>
        <w:rPr>
          <w:rFonts w:ascii="Arial" w:cs="Arial" w:eastAsia="Arial" w:hAnsi="Arial"/>
          <w:sz w:val="18"/>
          <w:szCs w:val="18"/>
          <w:b w:val="1"/>
          <w:bCs w:val="1"/>
          <w:color w:val="auto"/>
        </w:rPr>
        <w:t xml:space="preserve"> </w:t>
      </w:r>
      <w:r>
        <w:rPr>
          <w:rFonts w:ascii="Arial" w:cs="Arial" w:eastAsia="Arial" w:hAnsi="Arial"/>
          <w:sz w:val="18"/>
          <w:szCs w:val="18"/>
          <w:color w:val="auto"/>
        </w:rPr>
        <w:t>hired prior to April 1, 2007, as well as a defined contribution plan in which all employees are eligible to participate. In addition, the Company maintains an unfunded supplemental plan for certain of its executive officers. The Company has a retirement benefit plan other than pensions (Other Benefits Plan) for substantially all of its retired employees. Employees hired after March 31, 2007 are not eligible to participate in this plan. Coverage includes healthcare and life insurance.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costs for providing retirement benefits are dependent upon numerous factors, including actual plan experience and assumptions of future experience. Retirement benefit plan obligations and expense are determined</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based on investment performance, discount rates and various other demographic factors related to the population participating in the Company’s retirement benefit plans, all of which can change significantly in future years. For more information on the Company’s Retirement Benefit Plans, see Note 7 –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180" w:lineRule="exact"/>
        <w:rPr>
          <w:sz w:val="20"/>
          <w:szCs w:val="20"/>
          <w:color w:val="auto"/>
        </w:rPr>
      </w:pPr>
    </w:p>
    <w:p>
      <w:pPr>
        <w:jc w:val="both"/>
        <w:ind w:firstLine="8"/>
        <w:spacing w:after="0" w:line="258" w:lineRule="auto"/>
        <w:tabs>
          <w:tab w:leader="none" w:pos="22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Utility Plant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is stated at original cost as defined for regulatory purposes. Property accounts are charged with the cost of betterments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major replacements of property. Cost includes direct material, labor and indirect charges for pension benefits and payroll taxes. The cost of labor, materials, supervision and other expenses incurred in making repairs and minor replacements and in maintaining the properties is charged to the appropriate expense accounts. At December 31, 2022, there was no event or change in circumstance that would indicate that the carrying amount of any long-lived asset was not recoverable.</w:t>
      </w:r>
    </w:p>
    <w:p>
      <w:pPr>
        <w:spacing w:after="0" w:line="183" w:lineRule="exact"/>
        <w:rPr>
          <w:rFonts w:ascii="Arial" w:cs="Arial" w:eastAsia="Arial" w:hAnsi="Arial"/>
          <w:sz w:val="18"/>
          <w:szCs w:val="18"/>
          <w:b w:val="1"/>
          <w:bCs w:val="1"/>
          <w:color w:val="auto"/>
        </w:rPr>
      </w:pPr>
    </w:p>
    <w:p>
      <w:pPr>
        <w:jc w:val="both"/>
        <w:ind w:firstLine="8"/>
        <w:spacing w:after="0" w:line="261" w:lineRule="auto"/>
        <w:tabs>
          <w:tab w:leader="none" w:pos="26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Depreciation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is computed by each regulated member of the Company utilizing a rate approved by the applicable regulatory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accumulated provision for depreciation is charged with the cost of property retired, less salvage. The following table sets forth the range of depreciation rates for the major utility plant categories used to calculate depreciation for the years ended December 31, 2022, 2021 and 2020. These rates have been approved by the NJBPU or DEPSC:</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Source of Supply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3.44%</w:t>
            </w:r>
          </w:p>
        </w:tc>
        <w:tc>
          <w:tcPr>
            <w:tcW w:w="582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Transmission and Distribution (T&amp;D):</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Pumping</w:t>
            </w: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5.39%</w:t>
            </w:r>
          </w:p>
        </w:tc>
        <w:tc>
          <w:tcPr>
            <w:tcW w:w="1960" w:type="dxa"/>
            <w:vAlign w:val="bottom"/>
          </w:tcPr>
          <w:p>
            <w:pPr>
              <w:ind w:left="480"/>
              <w:spacing w:after="0"/>
              <w:rPr>
                <w:sz w:val="20"/>
                <w:szCs w:val="20"/>
                <w:color w:val="auto"/>
              </w:rPr>
            </w:pPr>
            <w:r>
              <w:rPr>
                <w:rFonts w:ascii="Arial" w:cs="Arial" w:eastAsia="Arial" w:hAnsi="Arial"/>
                <w:sz w:val="18"/>
                <w:szCs w:val="18"/>
                <w:color w:val="auto"/>
              </w:rPr>
              <w:t>T&amp;D – Mains</w:t>
            </w: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840" w:type="dxa"/>
            <w:vAlign w:val="bottom"/>
          </w:tcPr>
          <w:p>
            <w:pPr>
              <w:jc w:val="right"/>
              <w:ind w:right="2230"/>
              <w:spacing w:after="0"/>
              <w:rPr>
                <w:sz w:val="20"/>
                <w:szCs w:val="20"/>
                <w:color w:val="auto"/>
              </w:rPr>
            </w:pPr>
            <w:r>
              <w:rPr>
                <w:rFonts w:ascii="Arial" w:cs="Arial" w:eastAsia="Arial" w:hAnsi="Arial"/>
                <w:sz w:val="18"/>
                <w:szCs w:val="18"/>
                <w:color w:val="auto"/>
                <w:w w:val="97"/>
              </w:rPr>
              <w:t>3.13%</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7.09%</w:t>
            </w:r>
          </w:p>
        </w:tc>
        <w:tc>
          <w:tcPr>
            <w:tcW w:w="1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T&amp;D – Services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jc w:val="right"/>
              <w:ind w:right="2230"/>
              <w:spacing w:after="0"/>
              <w:rPr>
                <w:sz w:val="20"/>
                <w:szCs w:val="20"/>
                <w:color w:val="auto"/>
              </w:rPr>
            </w:pPr>
            <w:r>
              <w:rPr>
                <w:rFonts w:ascii="Arial" w:cs="Arial" w:eastAsia="Arial" w:hAnsi="Arial"/>
                <w:sz w:val="18"/>
                <w:szCs w:val="18"/>
                <w:color w:val="auto"/>
                <w:w w:val="97"/>
              </w:rPr>
              <w:t>3.16%</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General Plant</w:t>
            </w: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160" w:type="dxa"/>
            <w:vAlign w:val="bottom"/>
            <w:gridSpan w:val="2"/>
          </w:tcPr>
          <w:p>
            <w:pPr>
              <w:jc w:val="right"/>
              <w:ind w:right="390"/>
              <w:spacing w:after="0"/>
              <w:rPr>
                <w:sz w:val="20"/>
                <w:szCs w:val="20"/>
                <w:color w:val="auto"/>
              </w:rPr>
            </w:pPr>
            <w:r>
              <w:rPr>
                <w:rFonts w:ascii="Arial" w:cs="Arial" w:eastAsia="Arial" w:hAnsi="Arial"/>
                <w:sz w:val="18"/>
                <w:szCs w:val="18"/>
                <w:color w:val="auto"/>
                <w:w w:val="91"/>
              </w:rPr>
              <w:t>- 17.84%</w:t>
            </w:r>
          </w:p>
        </w:tc>
        <w:tc>
          <w:tcPr>
            <w:tcW w:w="1960" w:type="dxa"/>
            <w:vAlign w:val="bottom"/>
          </w:tcPr>
          <w:p>
            <w:pPr>
              <w:ind w:left="480"/>
              <w:spacing w:after="0"/>
              <w:rPr>
                <w:sz w:val="20"/>
                <w:szCs w:val="20"/>
                <w:color w:val="auto"/>
              </w:rPr>
            </w:pPr>
            <w:r>
              <w:rPr>
                <w:rFonts w:ascii="Arial" w:cs="Arial" w:eastAsia="Arial" w:hAnsi="Arial"/>
                <w:sz w:val="18"/>
                <w:szCs w:val="18"/>
                <w:color w:val="auto"/>
              </w:rPr>
              <w:t>T&amp;D – Other</w:t>
            </w:r>
          </w:p>
        </w:tc>
        <w:tc>
          <w:tcPr>
            <w:tcW w:w="84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840" w:type="dxa"/>
            <w:vAlign w:val="bottom"/>
          </w:tcPr>
          <w:p>
            <w:pPr>
              <w:jc w:val="right"/>
              <w:ind w:right="2230"/>
              <w:spacing w:after="0"/>
              <w:rPr>
                <w:sz w:val="20"/>
                <w:szCs w:val="20"/>
                <w:color w:val="auto"/>
              </w:rPr>
            </w:pPr>
            <w:r>
              <w:rPr>
                <w:rFonts w:ascii="Arial" w:cs="Arial" w:eastAsia="Arial" w:hAnsi="Arial"/>
                <w:sz w:val="18"/>
                <w:szCs w:val="18"/>
                <w:color w:val="auto"/>
                <w:w w:val="97"/>
              </w:rPr>
              <w:t>4.63%</w:t>
            </w: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Wastewater Collection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1.81%</w:t>
            </w:r>
          </w:p>
        </w:tc>
        <w:tc>
          <w:tcPr>
            <w:tcW w:w="1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Non-regulated fixed assets consist primarily of office buildings, furniture and fixtures, and transportation equipment. These assets are recorded at original cost and depreciation is calculated based on the estimated useful lives, ranging from 3 to 42 years.</w:t>
      </w:r>
    </w:p>
    <w:p>
      <w:pPr>
        <w:spacing w:after="0" w:line="166" w:lineRule="exact"/>
        <w:rPr>
          <w:sz w:val="20"/>
          <w:szCs w:val="20"/>
          <w:color w:val="auto"/>
        </w:rPr>
      </w:pPr>
    </w:p>
    <w:p>
      <w:pPr>
        <w:jc w:val="both"/>
        <w:ind w:firstLine="8"/>
        <w:spacing w:after="0" w:line="277" w:lineRule="auto"/>
        <w:tabs>
          <w:tab w:leader="none" w:pos="294"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Preliminary Survey and Investigation (PS&amp;I) Costs </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design of water and wastewater systems that the Company ultimately intends to</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 own and operate, certain expenditures are incurred to advance those project activities. These PS&amp;I costs are recorded as deferred charges on the balance sheet as these costs are expected to be recovered through future rates charged to customers as the underlying project assets are placed into service as utility plant. If it is subsequently determined that costs for a project recorded as PS&amp;I are not recoverable through rates charged to our customers, the applicable PS&amp;I costs are recorded as Other Expense on the Statement of Income at that time.</w:t>
      </w:r>
    </w:p>
    <w:p>
      <w:pPr>
        <w:spacing w:after="0" w:line="167" w:lineRule="exact"/>
        <w:rPr>
          <w:rFonts w:ascii="Arial" w:cs="Arial" w:eastAsia="Arial" w:hAnsi="Arial"/>
          <w:sz w:val="17"/>
          <w:szCs w:val="17"/>
          <w:b w:val="1"/>
          <w:bCs w:val="1"/>
          <w:color w:val="auto"/>
        </w:rPr>
      </w:pPr>
    </w:p>
    <w:p>
      <w:pPr>
        <w:jc w:val="both"/>
        <w:ind w:firstLine="8"/>
        <w:spacing w:after="0" w:line="258" w:lineRule="auto"/>
        <w:tabs>
          <w:tab w:leader="none" w:pos="21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Customers’ Advances for Construction (CAC)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and/or cash advances are provided to the Company by customers, real estate developers</w:t>
      </w:r>
      <w:r>
        <w:rPr>
          <w:rFonts w:ascii="Arial" w:cs="Arial" w:eastAsia="Arial" w:hAnsi="Arial"/>
          <w:sz w:val="18"/>
          <w:szCs w:val="18"/>
          <w:b w:val="1"/>
          <w:bCs w:val="1"/>
          <w:color w:val="auto"/>
        </w:rPr>
        <w:t xml:space="preserve"> </w:t>
      </w:r>
      <w:r>
        <w:rPr>
          <w:rFonts w:ascii="Arial" w:cs="Arial" w:eastAsia="Arial" w:hAnsi="Arial"/>
          <w:sz w:val="18"/>
          <w:szCs w:val="18"/>
          <w:color w:val="auto"/>
        </w:rPr>
        <w:t>and builders in order to extend utility service to their properties. These transactions are recorded as CAC. Contractual Refunds of CACs in the form of cash are made by the Company and are based on either additional operating revenues generated from new customers or, as new customers are connected to the respective system. After all refunds are made and/or contract terms have expired, any remaining balance is transferred to Contributions in Aid of Construction.</w:t>
      </w:r>
    </w:p>
    <w:p>
      <w:pPr>
        <w:spacing w:after="0" w:line="183"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Contributions in Aid of Construction (CIAC) </w:t>
      </w:r>
      <w:r>
        <w:rPr>
          <w:rFonts w:ascii="Arial" w:cs="Arial" w:eastAsia="Arial" w:hAnsi="Arial"/>
          <w:sz w:val="18"/>
          <w:szCs w:val="18"/>
          <w:color w:val="auto"/>
        </w:rPr>
        <w:t>– CIAC include direct non-refundable contributions of utility plant and/or cash and the portion of CAC</w:t>
      </w:r>
      <w:r>
        <w:rPr>
          <w:rFonts w:ascii="Arial" w:cs="Arial" w:eastAsia="Arial" w:hAnsi="Arial"/>
          <w:sz w:val="18"/>
          <w:szCs w:val="18"/>
          <w:b w:val="1"/>
          <w:bCs w:val="1"/>
          <w:color w:val="auto"/>
        </w:rPr>
        <w:t xml:space="preserve"> </w:t>
      </w:r>
      <w:r>
        <w:rPr>
          <w:rFonts w:ascii="Arial" w:cs="Arial" w:eastAsia="Arial" w:hAnsi="Arial"/>
          <w:sz w:val="18"/>
          <w:szCs w:val="18"/>
          <w:color w:val="auto"/>
        </w:rPr>
        <w:t>that becomes non-refundable.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regulatory requirements, CAC and CIAC are not depreciated. In addition, these amounts reduce the investment base for purposes of setting rates.</w:t>
      </w:r>
    </w:p>
    <w:p>
      <w:pPr>
        <w:spacing w:after="0" w:line="166" w:lineRule="exact"/>
        <w:rPr>
          <w:sz w:val="20"/>
          <w:szCs w:val="20"/>
          <w:color w:val="auto"/>
        </w:rPr>
      </w:pPr>
    </w:p>
    <w:p>
      <w:pPr>
        <w:jc w:val="both"/>
        <w:ind w:firstLine="8"/>
        <w:spacing w:after="0" w:line="281" w:lineRule="auto"/>
        <w:tabs>
          <w:tab w:leader="none" w:pos="225"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Allowance for Funds Used During Construction (AFUDC) </w:t>
      </w:r>
      <w:r>
        <w:rPr>
          <w:rFonts w:ascii="Arial" w:cs="Arial" w:eastAsia="Arial" w:hAnsi="Arial"/>
          <w:sz w:val="17"/>
          <w:szCs w:val="17"/>
          <w:color w:val="auto"/>
        </w:rPr>
        <w:t>- Middlesex and its regulated subsidiaries capitalize AFUDC, which represents the cost of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projects during construction. AFUDC is added to the construction costs of individual projects exceeding specific cost and construction period thresholds established for each company and then depreciated with the utility plant direct costs over the underlying assets’ estimated useful life. AFUDC is calculated using each company’s weighted cost of debt and equity as approved in their most recent</w:t>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respective regulatory rate order. The AFUDC rates for the years ended December 31, 2022, 2021 and 2020 for Middlesex and Tidewater are as follows: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4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Middlesex</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Tidewater</w:t>
            </w:r>
          </w:p>
        </w:tc>
        <w:tc>
          <w:tcPr>
            <w:tcW w:w="1120" w:type="dxa"/>
            <w:vAlign w:val="bottom"/>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w:t>
            </w:r>
          </w:p>
        </w:tc>
      </w:tr>
    </w:tbl>
    <w:p>
      <w:pPr>
        <w:spacing w:after="0" w:line="183" w:lineRule="exact"/>
        <w:rPr>
          <w:sz w:val="20"/>
          <w:szCs w:val="20"/>
          <w:color w:val="auto"/>
        </w:rPr>
      </w:pPr>
    </w:p>
    <w:p>
      <w:pPr>
        <w:jc w:val="both"/>
        <w:ind w:firstLine="8"/>
        <w:spacing w:after="0" w:line="258" w:lineRule="auto"/>
        <w:tabs>
          <w:tab w:leader="none" w:pos="265"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We record bad debt expense based on a variety of factors such as our customers’ payment history, current economic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trending reasonable and supportable forecasts on expected collectability of accounts receivable. The allowance for doubtful accounts was $2.3 million and $2.6 million as of December 31, 2022 and 2021, respectively. For the years ended December 31, 2022, 2021 and 2020, bad debt expense was $0.5 million, $0.9 million and $1.1 million, respectively. For the years ended December 31, 2022, 2021 and 2020, write-offs were $0.7 million, $0.4 million and $0.5 million, respectively.</w:t>
      </w:r>
    </w:p>
    <w:p>
      <w:pPr>
        <w:spacing w:after="0" w:line="183" w:lineRule="exact"/>
        <w:rPr>
          <w:rFonts w:ascii="Arial" w:cs="Arial" w:eastAsia="Arial" w:hAnsi="Arial"/>
          <w:sz w:val="18"/>
          <w:szCs w:val="18"/>
          <w:b w:val="1"/>
          <w:bCs w:val="1"/>
          <w:color w:val="auto"/>
        </w:rPr>
      </w:pPr>
    </w:p>
    <w:p>
      <w:pPr>
        <w:jc w:val="both"/>
        <w:ind w:firstLine="8"/>
        <w:spacing w:after="0" w:line="261" w:lineRule="auto"/>
        <w:tabs>
          <w:tab w:leader="none" w:pos="228"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 The Company’s revenues are primarily generated from regulated tariff-based sales of water and wastewater services and non-regulated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maintenance contracts for services on water and wastewater systems owned by others. Revenue from contracts with customers is recognized when control of a promised good or service is transferred to customers at an amount that reflects the consideration to which the Company expects to be entitled in exchange for those goods and services.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regulated revenue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to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2032 and contain remaining performance obligations for which the Company expects to recognize revenue in the future. These contracts also contain customary termination provisions.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Substantially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46" w:lineRule="exact"/>
        <w:rPr>
          <w:sz w:val="20"/>
          <w:szCs w:val="20"/>
          <w:color w:val="auto"/>
        </w:rPr>
      </w:pPr>
    </w:p>
    <w:p>
      <w:pPr>
        <w:jc w:val="right"/>
        <w:ind w:right="5520"/>
        <w:spacing w:after="0" w:line="402" w:lineRule="auto"/>
        <w:rPr>
          <w:sz w:val="20"/>
          <w:szCs w:val="20"/>
          <w:color w:val="auto"/>
        </w:rPr>
      </w:pPr>
      <w:r>
        <w:rPr>
          <w:rFonts w:ascii="Arial" w:cs="Arial" w:eastAsia="Arial" w:hAnsi="Arial"/>
          <w:sz w:val="18"/>
          <w:szCs w:val="18"/>
          <w:color w:val="auto"/>
        </w:rPr>
        <w:t>The Company’s contracts do not contain any significant financing components.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revenues are comprised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color w:val="auto"/>
                <w:w w:val="90"/>
              </w:rPr>
              <w:t>(In Thousands)</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60" w:type="dxa"/>
            <w:vAlign w:val="bottom"/>
            <w:gridSpan w:val="4"/>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00" w:type="dxa"/>
            <w:vAlign w:val="bottom"/>
          </w:tcPr>
          <w:p>
            <w:pPr>
              <w:spacing w:after="0"/>
              <w:rPr>
                <w:sz w:val="18"/>
                <w:szCs w:val="18"/>
                <w:color w:val="auto"/>
              </w:rPr>
            </w:pPr>
          </w:p>
        </w:tc>
      </w:tr>
      <w:tr>
        <w:trPr>
          <w:trHeight w:val="230"/>
        </w:trPr>
        <w:tc>
          <w:tcPr>
            <w:tcW w:w="68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2021</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84,950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77,699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76,798</w:t>
            </w: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22,689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16,715</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15,448</w:t>
            </w: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11,152</w:t>
            </w:r>
          </w:p>
        </w:tc>
        <w:tc>
          <w:tcPr>
            <w:tcW w:w="1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8,990</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9,512</w:t>
            </w: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Fire Protection</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12,726</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12,608</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12,374</w:t>
            </w: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Wholesale</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18,769</w:t>
            </w:r>
          </w:p>
        </w:tc>
        <w:tc>
          <w:tcPr>
            <w:tcW w:w="1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14,590</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15,187</w:t>
            </w: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12,006</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12,391</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12,130</w:t>
            </w:r>
          </w:p>
        </w:tc>
      </w:tr>
      <w:tr>
        <w:trPr>
          <w:trHeight w:val="210"/>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162,292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142,993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141,449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831</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929</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Non-Regulated Revenues</w:t>
            </w:r>
          </w:p>
        </w:tc>
        <w:tc>
          <w:tcPr>
            <w:tcW w:w="4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427</w:t>
            </w:r>
          </w:p>
        </w:tc>
        <w:tc>
          <w:tcPr>
            <w:tcW w:w="4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09"/>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162,434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143,141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141,592</w:t>
            </w:r>
          </w:p>
        </w:tc>
      </w:tr>
    </w:tbl>
    <w:p>
      <w:pPr>
        <w:spacing w:after="0" w:line="198" w:lineRule="exact"/>
        <w:rPr>
          <w:sz w:val="20"/>
          <w:szCs w:val="20"/>
          <w:color w:val="auto"/>
        </w:rPr>
      </w:pPr>
    </w:p>
    <w:p>
      <w:pPr>
        <w:ind w:firstLine="8"/>
        <w:spacing w:after="0" w:line="282" w:lineRule="auto"/>
        <w:tabs>
          <w:tab w:leader="none" w:pos="323"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Unamortized Debt Expense and Premiums on Long-Term Debt </w:t>
      </w:r>
      <w:r>
        <w:rPr>
          <w:rFonts w:ascii="Arial" w:cs="Arial" w:eastAsia="Arial" w:hAnsi="Arial"/>
          <w:sz w:val="18"/>
          <w:szCs w:val="18"/>
          <w:color w:val="auto"/>
        </w:rPr>
        <w:t>- Unamortized Debt Expense and Premiums on Long-Term Debt, included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 in long-term debt, are amortized over the lives of the related debt issues.</w:t>
      </w:r>
    </w:p>
    <w:p>
      <w:pPr>
        <w:spacing w:after="0" w:line="161" w:lineRule="exact"/>
        <w:rPr>
          <w:rFonts w:ascii="Arial" w:cs="Arial" w:eastAsia="Arial" w:hAnsi="Arial"/>
          <w:sz w:val="18"/>
          <w:szCs w:val="18"/>
          <w:b w:val="1"/>
          <w:bCs w:val="1"/>
          <w:color w:val="auto"/>
        </w:rPr>
      </w:pPr>
    </w:p>
    <w:p>
      <w:pPr>
        <w:jc w:val="both"/>
        <w:ind w:firstLine="8"/>
        <w:spacing w:after="0" w:line="294" w:lineRule="auto"/>
        <w:tabs>
          <w:tab w:leader="none" w:pos="26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Middlesex files a consolidated federal income tax return for the Company and income taxes are allocated based on the separate return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method. Certain income and expense items are accounted for in different time periods for financial reporting than for income tax reporting purposes. Deferred income taxes are provided on differences between the tax basis of assets and liabilities and the amounts at which they are carried in the consolidated financial statements. Investment tax credits have been deferred and are amortized over the estimated useful life of the related property. In the event that there are interest and penalties associated with income tax adjustments from income tax authority examinations, these amounts will be reported under interest expense and other expense, respectively. For more information on income taxes, see Note 3 –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159" w:lineRule="exact"/>
        <w:rPr>
          <w:rFonts w:ascii="Arial" w:cs="Arial" w:eastAsia="Arial" w:hAnsi="Arial"/>
          <w:sz w:val="16"/>
          <w:szCs w:val="16"/>
          <w:b w:val="1"/>
          <w:bCs w:val="1"/>
          <w:color w:val="auto"/>
        </w:rPr>
      </w:pPr>
    </w:p>
    <w:p>
      <w:pPr>
        <w:jc w:val="both"/>
        <w:ind w:firstLine="8"/>
        <w:spacing w:after="0" w:line="266" w:lineRule="auto"/>
        <w:tabs>
          <w:tab w:leader="none" w:pos="26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For purposes of reporting cash flows, the Company considers all highly liquid investments with original maturity dates</w:t>
      </w:r>
      <w:r>
        <w:rPr>
          <w:rFonts w:ascii="Arial" w:cs="Arial" w:eastAsia="Arial" w:hAnsi="Arial"/>
          <w:sz w:val="18"/>
          <w:szCs w:val="18"/>
          <w:b w:val="1"/>
          <w:bCs w:val="1"/>
          <w:color w:val="auto"/>
        </w:rPr>
        <w:t xml:space="preserve"> </w:t>
      </w:r>
      <w:r>
        <w:rPr>
          <w:rFonts w:ascii="Arial" w:cs="Arial" w:eastAsia="Arial" w:hAnsi="Arial"/>
          <w:sz w:val="18"/>
          <w:szCs w:val="18"/>
          <w:color w:val="auto"/>
        </w:rPr>
        <w:t>of three months or less to be cash equivalents. Cash and cash equivalents represent bank balances and money market funds with investments maturing in less than 90 days.</w:t>
      </w:r>
    </w:p>
    <w:p>
      <w:pPr>
        <w:spacing w:after="0" w:line="175" w:lineRule="exact"/>
        <w:rPr>
          <w:rFonts w:ascii="Arial" w:cs="Arial" w:eastAsia="Arial" w:hAnsi="Arial"/>
          <w:sz w:val="18"/>
          <w:szCs w:val="18"/>
          <w:b w:val="1"/>
          <w:bCs w:val="1"/>
          <w:color w:val="auto"/>
        </w:rPr>
      </w:pPr>
    </w:p>
    <w:p>
      <w:pPr>
        <w:ind w:firstLine="8"/>
        <w:spacing w:after="0" w:line="282" w:lineRule="auto"/>
        <w:tabs>
          <w:tab w:leader="none" w:pos="269"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includes cash proceeds from loan transactions entered into through government financing programs and are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trusts for specific capital expenditures or debt service.</w:t>
      </w:r>
    </w:p>
    <w:p>
      <w:pPr>
        <w:spacing w:after="0" w:line="161" w:lineRule="exact"/>
        <w:rPr>
          <w:rFonts w:ascii="Arial" w:cs="Arial" w:eastAsia="Arial" w:hAnsi="Arial"/>
          <w:sz w:val="18"/>
          <w:szCs w:val="18"/>
          <w:b w:val="1"/>
          <w:bCs w:val="1"/>
          <w:color w:val="auto"/>
        </w:rPr>
      </w:pPr>
    </w:p>
    <w:p>
      <w:pPr>
        <w:ind w:firstLine="8"/>
        <w:spacing w:after="0" w:line="312" w:lineRule="auto"/>
        <w:tabs>
          <w:tab w:leader="none" w:pos="269"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Conformity with accounting principles generally accepted in the United States of America requires management to make estimates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assumptions that affect the reported amounts in the financial statements. Actual results could differ from those estimates.</w:t>
      </w:r>
    </w:p>
    <w:p>
      <w:pPr>
        <w:spacing w:after="0" w:line="139" w:lineRule="exact"/>
        <w:rPr>
          <w:rFonts w:ascii="Arial" w:cs="Arial" w:eastAsia="Arial" w:hAnsi="Arial"/>
          <w:sz w:val="17"/>
          <w:szCs w:val="17"/>
          <w:b w:val="1"/>
          <w:bCs w:val="1"/>
          <w:color w:val="auto"/>
        </w:rPr>
      </w:pPr>
    </w:p>
    <w:p>
      <w:pPr>
        <w:ind w:right="320" w:firstLine="8"/>
        <w:spacing w:after="0" w:line="282" w:lineRule="auto"/>
        <w:tabs>
          <w:tab w:leader="none" w:pos="24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 There are no new adopted or proposed accounting guidance that the Company is aware of that could have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impact on the Company’s consolidated financial statements.</w:t>
      </w:r>
    </w:p>
    <w:p>
      <w:pPr>
        <w:spacing w:after="0" w:line="161" w:lineRule="exact"/>
        <w:rPr>
          <w:rFonts w:ascii="Arial" w:cs="Arial" w:eastAsia="Arial" w:hAnsi="Arial"/>
          <w:sz w:val="18"/>
          <w:szCs w:val="18"/>
          <w:b w:val="1"/>
          <w:bCs w:val="1"/>
          <w:color w:val="auto"/>
        </w:rPr>
      </w:pPr>
    </w:p>
    <w:p>
      <w:pPr>
        <w:jc w:val="both"/>
        <w:ind w:firstLine="8"/>
        <w:spacing w:after="0" w:line="256" w:lineRule="auto"/>
        <w:tabs>
          <w:tab w:leader="none" w:pos="239"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Coronavirus (COVID-19) Pandemic </w:t>
      </w:r>
      <w:r>
        <w:rPr>
          <w:rFonts w:ascii="Arial" w:cs="Arial" w:eastAsia="Arial" w:hAnsi="Arial"/>
          <w:sz w:val="18"/>
          <w:szCs w:val="18"/>
          <w:color w:val="auto"/>
        </w:rPr>
        <w:t>– In January 2023, the United States Secretary of Health and Human Services renewed the determination that a</w:t>
      </w:r>
      <w:r>
        <w:rPr>
          <w:rFonts w:ascii="Arial" w:cs="Arial" w:eastAsia="Arial" w:hAnsi="Arial"/>
          <w:sz w:val="18"/>
          <w:szCs w:val="18"/>
          <w:b w:val="1"/>
          <w:bCs w:val="1"/>
          <w:color w:val="auto"/>
        </w:rPr>
        <w:t xml:space="preserve"> </w:t>
      </w:r>
      <w:r>
        <w:rPr>
          <w:rFonts w:ascii="Arial" w:cs="Arial" w:eastAsia="Arial" w:hAnsi="Arial"/>
          <w:sz w:val="18"/>
          <w:szCs w:val="18"/>
          <w:color w:val="auto"/>
        </w:rPr>
        <w:t>nationwide health emergency exists as a result of the COVID-19 Pandemic with an announced end to the declared health emergency on May 11, 2023. While the Company’s operations and capital construction program have not been materially disrupted to date from the pandemic, the COVID-19 impact on economic conditions nationally and areas the Company operated continues to be uncertain and could affect the Company’s results of operations, financial condition and liquidity in the future. In New Jersey, the declared COVID-19 State of Emergency Order ended in March 2022. In Delaware, the declared COVID-19 State of Emergency Order ended in July 2021.</w:t>
      </w: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NJBPU and the DEPSC have approved the tracking of COVID-19 related incremental costs for potential recovery in customer rates in future rate proceedings. Neither jurisdiction has established a timetable or definitive formal procedures for seeking cost recovery. The Company’s allowance for doubtful accounts was increased for expected increases in accounts receivable write-offs due to the financial impact of COVID-19 on customers. The Company has not deferred any COVID-19 related incremental costs. We will continue to monitor the effects of COVID-19.</w:t>
      </w:r>
    </w:p>
    <w:p>
      <w:pPr>
        <w:spacing w:after="0" w:line="167" w:lineRule="exact"/>
        <w:rPr>
          <w:sz w:val="20"/>
          <w:szCs w:val="20"/>
          <w:color w:val="auto"/>
        </w:rPr>
      </w:pPr>
    </w:p>
    <w:p>
      <w:pPr>
        <w:jc w:val="both"/>
        <w:ind w:firstLine="8"/>
        <w:spacing w:after="0" w:line="256" w:lineRule="auto"/>
        <w:tabs>
          <w:tab w:leader="none" w:pos="23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Notice of Non-Compliance – </w:t>
      </w:r>
      <w:r>
        <w:rPr>
          <w:rFonts w:ascii="Arial" w:cs="Arial" w:eastAsia="Arial" w:hAnsi="Arial"/>
          <w:sz w:val="18"/>
          <w:szCs w:val="18"/>
          <w:color w:val="auto"/>
        </w:rPr>
        <w:t>In September 2021, the New Jersey Department of Environmental Protection (NJDEP) issued a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Non-Compliance (Notice) to Middlesex based on self-reporting by Middlesex that the level of Perfluorooctanoic Acid (PFOA) in water treated at its Park Avenue Wellfield Treatment Plant in South Plainfield, New Jersey exceeded a recently promulgated NJDEP standard effective in 2021. The NJDEP standard for PFOA was developed based on a Health-based Maximum Contaminant Level of 14 parts per trillion. Neither the NJDEP nor Middlesex has characterized this exceedance as an acute health threat. However, Middlesex was required to notify its affected customers and complied in November 2021 as required by the regulation.</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Notice further required the Company to take any action necessary to comply with the new standard by September 7, 2022. Prior to 2021, the Company began design for construction of an enhanced treatment process at the Park Avenue Wellfield Treatment Plant to comply with the new standard prior to the regulation being enacted. Since completion was not expected until mid-2023, in December 2021, the Company implemented an interim solution to meet the Notice requirements. The Park Avenue Wellfield Treatment Plant was temporarily taken off-line and alternate sources of supply were obtained. Simultaneously, the Company accelerated a portion of the enhanced treatment project to allow a restart of the Park Avenue Wellfield Treatment Plant ahead of historical higher water demand periods during the summer months.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2022, a portion of the enhanced treatment process was completed, placed into service and is effectively treating the ground water in compliance with all state and federal drinking water standards.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September 13, 2022, the Company entered into an Administrative Consent Order (ACO) with the NJDEP, which requires the Company to take whatever actions are necessary to achieve and maintain compliance with the Safe Drinking Water Act, N.J.S.A, 58:12A-1 et seq., and the Safe Drinking Water Act regulations N.J.A.C. 7:10-1 et seq., including applicable public notifications. The Company’s agreement to enter into an ACO avoided any further Notice regarding the fact that the permanent treatment solution was not in service by September 7, 2022. The Company issued the public notifications in February 2023 and will continue to update and distribute public information as prescribed in the ACO. In addition, in accordance with the ACO:</w:t>
      </w:r>
    </w:p>
    <w:p>
      <w:pPr>
        <w:spacing w:after="0" w:line="161" w:lineRule="exact"/>
        <w:rPr>
          <w:sz w:val="20"/>
          <w:szCs w:val="20"/>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or before June 30, 2023, the Company shall complete the permanent construction of the Park Avenue Wellfield treatment upgrades, place the treatment upgrades into operation, and all water at the Park Avenue Wellfield Treatment Plant shall be treated to comply with the PFOA NJDEP standards.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must perform required sample testing and reporting for PFOA subsequent to completion of the Park Avenue Wellfield treatment upgrades.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submit to the NJDEP quarterly progress reports detailing the Company’s compliance with the ACO.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failure to comply with the compliance schedule and/or progress reporting requirements of the ACO could lead to penalties up to $500 per day. In addition, the NJDEP could penalize the Company for other violations, if any, of the ACO.</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 was served with two PFOA-related class action lawsuits seeking restitution for medical, water replacement and other claimed related costs. These lawsuits are in the early stages of the legal process and their ultimate resolution cannot be predicted at this time. The Company’s insurance provider has</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acknowledged coverage of potential liability which may result from these lawsuits. In May 2022, the Company impleaded 3M Company (3M) as a third-party defendant in one of these class action lawsuits. The Company had previously initiated a separate lawsuit against 3M seeking to hold 3M accountable for introduction of perfluoroalkyl substances, which include PFOA, into the Company’s water supply at its Park Avenue Wellfield facility.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2022, the Company filed a petition with the NJBPU seeking to establish a regulatory asset and deferred accounting treatment until its next base rate setting proceeding for all costs associated with the interim solution to comply with the Notice. The Company is currently awaiting a decision on this matter from the NJBPU.</w:t>
      </w:r>
    </w:p>
    <w:p>
      <w:pPr>
        <w:spacing w:after="0" w:line="180" w:lineRule="exact"/>
        <w:rPr>
          <w:sz w:val="20"/>
          <w:szCs w:val="20"/>
          <w:color w:val="auto"/>
        </w:rPr>
      </w:pPr>
    </w:p>
    <w:p>
      <w:pPr>
        <w:jc w:val="both"/>
        <w:ind w:firstLine="8"/>
        <w:spacing w:after="0" w:line="289" w:lineRule="auto"/>
        <w:tabs>
          <w:tab w:leader="none" w:pos="283"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Sale of Subsidiary </w:t>
      </w:r>
      <w:r>
        <w:rPr>
          <w:rFonts w:ascii="Arial" w:cs="Arial" w:eastAsia="Arial" w:hAnsi="Arial"/>
          <w:sz w:val="17"/>
          <w:szCs w:val="17"/>
          <w:color w:val="auto"/>
        </w:rPr>
        <w:t>–– In January 2022, Middlesex closed on the DEPSC approved sale of 100% of the common stock of its subsidiary Tidewater</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Services, Inc. for $6.4 million in cash and other consideration, resulting in a $5.2 million pre-tax gain. The Company will continue to own and operate its regulated water utilities in Delaware as well as its non-regulated operations and maintenance contract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Rate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Matters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Middlesex </w:t>
      </w:r>
      <w:r>
        <w:rPr>
          <w:rFonts w:ascii="Arial" w:cs="Arial" w:eastAsia="Arial" w:hAnsi="Arial"/>
          <w:sz w:val="18"/>
          <w:szCs w:val="18"/>
          <w:color w:val="auto"/>
        </w:rPr>
        <w:t>- In December 2021, Middlesex’s petition to the NJBPU seeking permission to increase its base water rates was concluded, based on a</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negotiated settlement, resulting in an expected increase in annual operating revenues of $27.7 million. The approved tariff rates were designed to recover increased operating costs, as well as a return on invested capital of $513.5 million, based on an authorized return on common equity of 9.6%. The increase was implemented in two phases with $20.7 million of the increase effective January 1, 2022 and the remaining $7.0 million effective January 1, 2023. As part of the negotiated settlement, the Purchased Water Adjustment Clause (PWAC), which is a rate mechanism that allows for recovery of increased purchased water costs between base rate case filings, was reset to zero.</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2022, the NJBPU approved Middlesex's Emergency Relief Motion to reset its PWAC tariff rate to recover additional costs of $2.7 million for the purchase of treated water from a non-affiliated regulated water utility. The increase, effective October 1, 2022, is on an interim basis and subject to refund with interest, pending final resolution of this matter, which is expected in the second quarter of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2021, the NJBPU approved Middlesex’s annual petition to reset its PWAC tariff rate to recover additional costs of $1.1 million for the purchase of treated water from a non-affiliated regulated water utility. The new PWAC rate became effective April 4, 2021.</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Tidewater – </w:t>
      </w:r>
      <w:r>
        <w:rPr>
          <w:rFonts w:ascii="Arial" w:cs="Arial" w:eastAsia="Arial" w:hAnsi="Arial"/>
          <w:sz w:val="18"/>
          <w:szCs w:val="18"/>
          <w:color w:val="auto"/>
        </w:rPr>
        <w:t>On August 31, 2022, the DEPSC issued an Order requiring Tidewater to reduce its base rates charged to general metered and private fire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by 6%, effective for service rendered on and after September 1, 2022. In June 2022, the Delaware Division of the Public Advocate filed a petition with the DEPSC requesting that Tidewater’s rates be reduced based on the claim that Tidewater had been earning above its authorized rate of return. The rate reduction is expected to reduce annual revenues by approximately $2.2 million.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2021, Tidewater was notified by the DEPSC that it had determined Tidewater’s earned rate of return exceeded the rate of return authorized by the DEPSC. Consequently, Tidewater reset its Distribution System Improvement Charge (DSIC) rate to zero effective April 1, 2021 and refunded approximately $1.0 million to customers primarily in the form of an account credit for DSIC revenue previously billed between April 1, 2020 and March 31, 2021. A DSIC is a rate-mechanism that allows water utilities to recover investments in, and generate a return on, qualifying capital improvements made between base rate proceedings.</w:t>
      </w:r>
    </w:p>
    <w:p>
      <w:pPr>
        <w:spacing w:after="0" w:line="18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Pinelands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September 2022, Pinelands Water and Pinelands Wastewater filed separate petitions with the NJBPU seeking permission to increase base</w:t>
      </w:r>
      <w:r>
        <w:rPr>
          <w:rFonts w:ascii="Arial" w:cs="Arial" w:eastAsia="Arial" w:hAnsi="Arial"/>
          <w:sz w:val="16"/>
          <w:szCs w:val="16"/>
          <w:b w:val="1"/>
          <w:bCs w:val="1"/>
          <w:color w:val="auto"/>
        </w:rPr>
        <w:t xml:space="preserve"> </w:t>
      </w:r>
      <w:r>
        <w:rPr>
          <w:rFonts w:ascii="Arial" w:cs="Arial" w:eastAsia="Arial" w:hAnsi="Arial"/>
          <w:sz w:val="16"/>
          <w:szCs w:val="16"/>
          <w:color w:val="auto"/>
        </w:rPr>
        <w:t>rates by approximately $0.6 million and $0.4 million per year, respectively. These requests were necessitated by capital infrastructure investments both companies have made, or have committed to make, and increased operations and maintenance costs. We cannot predict whether the NJBPU will ultimately approve, deny, or reduce the amount of the requests. A decision by the NJBPU in both matters is expected in the first quarter of 2023.</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Southern Shores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January 1, 2020, the DEPSC approved the renewal of a multi-year agreement for water service to a 2,200 unit condominium</w:t>
      </w:r>
      <w:r>
        <w:rPr>
          <w:rFonts w:ascii="Arial" w:cs="Arial" w:eastAsia="Arial" w:hAnsi="Arial"/>
          <w:sz w:val="17"/>
          <w:szCs w:val="17"/>
          <w:b w:val="1"/>
          <w:bCs w:val="1"/>
          <w:color w:val="auto"/>
        </w:rPr>
        <w:t xml:space="preserve"> </w:t>
      </w:r>
      <w:r>
        <w:rPr>
          <w:rFonts w:ascii="Arial" w:cs="Arial" w:eastAsia="Arial" w:hAnsi="Arial"/>
          <w:sz w:val="17"/>
          <w:szCs w:val="17"/>
          <w:color w:val="auto"/>
        </w:rPr>
        <w:t>community we serve in Sussex County, Delaware. Under the agreement, current rates were to remain in effect until December 31, 2024, unless there are unanticipated capital expenditures or regulatory related changes in operating expenses exceeding certain thresholds during this time period. In 2022, capital expenditures did exceed the established threshold and rates were increased by 5.39%, effective January 1, 2023. Beginning in 2025 and thereafter, inflation based rate increases cannot exceed the lesser of the regional Consumer Price Index or, 3%. Inflation based increases are in addition to the threshold rate increases. This agreement expires on December 31, 2029.</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Twin Lakes Utilities, Inc. (Twin Lakes) - </w:t>
      </w:r>
      <w:r>
        <w:rPr>
          <w:rFonts w:ascii="Arial" w:cs="Arial" w:eastAsia="Arial" w:hAnsi="Arial"/>
          <w:sz w:val="17"/>
          <w:szCs w:val="17"/>
          <w:color w:val="auto"/>
        </w:rPr>
        <w:t>Twin Lakes provides water services to approximately 115 residential customers in Shohola, Pennsylvania.</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to submit $1.7 million into an escrow account within 30 days. Twin Lakes immediately filed a Petition For Review (PFR) with the Commonwealth Court of Pennsylvania (the Pennsylvania Court) seeking reversal and vacation of the escrow requirement on the grounds that it violates the Pennsylvania Public Utility Code as well as the United States Constitution. In addition, Twin Lakes filed an emergency petition for stay of the PAPUC Order pending the Pennsylvania Court’s review of the merits arguments contained in Twin Lakes’ PFR. In December 2021, the Pennsylvania Court granted Twin Lakes’ emergency petition, pending its review. In August 2022, the Commonwealth Court issued an opinion upholding PAPUC’s November 2021 Order in its entirety. In September 2022, Twin Lakes filed a Petition For Allowance of Appeal to the Supreme Court of Pennsylvania seeking reversal of the Commonwealth Court’s decision to uphold the escrow requirement on the grounds that the Pennsylvania Court erred in failing to address Twin Lakes’ constitutional claims. The timing of the final decision by the Supreme Court of Pennsylvania and the final adjudication of this matter cannot be predicted at this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financial results, total assets and financial obligations of Twin Lakes are not material to Middlesex.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certain costs as regulatory assets because we expect full recovery of, or are currently recovering, these costs in the rates we charge customers. These deferred costs have been excluded from rate base and, therefore, we are not earning a return on the unamortized balances. These items are detailed as follows: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(Thousands of Dollars)</w:t>
            </w:r>
          </w:p>
        </w:tc>
        <w:tc>
          <w:tcPr>
            <w:tcW w:w="1360" w:type="dxa"/>
            <w:vAlign w:val="bottom"/>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194"/>
        </w:trPr>
        <w:tc>
          <w:tcPr>
            <w:tcW w:w="120" w:type="dxa"/>
            <w:vAlign w:val="bottom"/>
          </w:tcPr>
          <w:p>
            <w:pPr>
              <w:spacing w:after="0"/>
              <w:rPr>
                <w:sz w:val="16"/>
                <w:szCs w:val="16"/>
                <w:color w:val="auto"/>
              </w:rPr>
            </w:pPr>
          </w:p>
        </w:tc>
        <w:tc>
          <w:tcPr>
            <w:tcW w:w="59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Regulatory Assets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16"/>
                <w:szCs w:val="16"/>
                <w:color w:val="auto"/>
              </w:rPr>
            </w:pPr>
          </w:p>
        </w:tc>
        <w:tc>
          <w:tcPr>
            <w:tcW w:w="92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8"/>
              </w:rPr>
              <w:t>Recovery Periods</w:t>
            </w: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r>
      <w:tr>
        <w:trPr>
          <w:trHeight w:val="216"/>
        </w:trPr>
        <w:tc>
          <w:tcPr>
            <w:tcW w:w="608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74,422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70,427</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Various</w:t>
            </w:r>
          </w:p>
        </w:tc>
      </w:tr>
      <w:tr>
        <w:trPr>
          <w:trHeight w:val="230"/>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Rate Cases, Tank Painting, and Other</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 years</w:t>
            </w:r>
          </w:p>
        </w:tc>
      </w:tr>
      <w:tr>
        <w:trPr>
          <w:trHeight w:val="223"/>
        </w:trPr>
        <w:tc>
          <w:tcPr>
            <w:tcW w:w="6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100,738</w:t>
            </w:r>
          </w:p>
        </w:tc>
        <w:tc>
          <w:tcPr>
            <w:tcW w:w="100" w:type="dxa"/>
            <w:vAlign w:val="bottom"/>
            <w:tcBorders>
              <w:bottom w:val="single" w:sz="8" w:color="auto"/>
            </w:tcBorders>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Retirement benefits include pension and other retirement benefits that have been recorded on the Consolidated Balance Sheet in accordance with the guidance provided in ASC 715</w:t>
      </w:r>
      <w:r>
        <w:rPr>
          <w:rFonts w:ascii="Arial" w:cs="Arial" w:eastAsia="Arial" w:hAnsi="Arial"/>
          <w:sz w:val="18"/>
          <w:szCs w:val="18"/>
          <w:i w:val="1"/>
          <w:iCs w:val="1"/>
          <w:color w:val="auto"/>
        </w:rPr>
        <w:t>, Compensation – Retirement Benefits.</w:t>
      </w:r>
      <w:r>
        <w:rPr>
          <w:rFonts w:ascii="Arial" w:cs="Arial" w:eastAsia="Arial" w:hAnsi="Arial"/>
          <w:sz w:val="18"/>
          <w:szCs w:val="18"/>
          <w:color w:val="auto"/>
        </w:rPr>
        <w:t xml:space="preserve"> These amounts represent obligations in excess of current funding, which the Company believes will be fully recovered in rates set by the regulatory authorities.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recovery period for income taxes is dependent upon when the temporary differences between the tax and book treatment of various items reverse.</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2017 Tax Act reduced the statutory corporate federal income tax rate from 35% to 21%. The tariff rates charged to customers effective prior to 2018 in the Company’s regulated companies include recovery of income taxes at the statutory rate in effect at the time those rates were approved by the respective state public utility commissions. As of December 31, 2022 and 2021, the Company has recorded regulatory liabilities of $29.0 million and $30.4 million, respectively for excess income taxes collected through rates due to the lower income tax rate under the 2017 Tax Act. These regulatory liabilities are overwhelmingly related to utility plant depreciation deduction timing differences, which are subject to Internal Revenue Service (IRS) normalization rules. The IRS rules limit how quickly the excess taxes attributable to accelerated taxes can be returned to customers. The current base rates for Middlesex and Pinelands customers became effective after 2017 and reflect the impact of the 2017 Tax Act on their revenue requirements.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Middlesex’s March 2018 base water rate settlement with the NJBPU, Middlesex received approval for regulatory accounting treatment of income tax benefits associated with the adoption of tangible property regulations issued by the IRS, and, as of December 31, 2022 and 2021, the Company has recorded $0.0 and $3.0 million of related regulatory liabilities, respectively,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composite depreciation rates for its regulated utility assets, which is currently an acceptable method under generally accepted accounting principles and is widely used in the utility industry. Historically, under the composite depreciation method, the anticipated costs of removing assets upon retirement are provided for over the life of those assets as a component of depreciation expense. The Company recovers certain asset retirement costs through rates charged to customers as an approved component of depreciation expense. As of December 31, 2022 and 2021, the Company has approximately $17.7 million and $16.1 million, respectively, of expected costs of removal recovered currently in rates in excess of actual costs incurred as regulatory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expense differs from the amount computed by applying the statutory rate on book income subject to tax for the following reasons: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(Thousands of Dollars)</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p>
        </w:tc>
        <w:tc>
          <w:tcPr>
            <w:tcW w:w="24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9,590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Tax Effect of:</w:t>
            </w: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Utility Plant Related</w:t>
            </w: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Tangible Property Repairs</w:t>
            </w: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(6,767)</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(11,298)</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 Income Taxes – Net</w:t>
            </w: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1,296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1,499</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24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24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3,240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560" w:type="dxa"/>
            <w:vAlign w:val="bottom"/>
          </w:tcPr>
          <w:p>
            <w:pPr>
              <w:spacing w:after="0"/>
              <w:rPr>
                <w:sz w:val="18"/>
                <w:szCs w:val="18"/>
                <w:color w:val="auto"/>
              </w:rPr>
            </w:pPr>
          </w:p>
        </w:tc>
      </w:tr>
      <w:tr>
        <w:trPr>
          <w:trHeight w:val="554"/>
        </w:trPr>
        <w:tc>
          <w:tcPr>
            <w:tcW w:w="5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sz w:val="20"/>
                <w:szCs w:val="20"/>
                <w:color w:val="auto"/>
              </w:rPr>
            </w:pPr>
            <w:r>
              <w:rPr>
                <w:rFonts w:ascii="Arial" w:cs="Arial" w:eastAsia="Arial" w:hAnsi="Arial"/>
                <w:sz w:val="18"/>
                <w:szCs w:val="18"/>
                <w:i w:val="1"/>
                <w:iCs w:val="1"/>
                <w:color w:val="0000EE"/>
              </w:rPr>
              <w:t>Index</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740" w:type="dxa"/>
            <w:vAlign w:val="bottom"/>
            <w:gridSpan w:val="3"/>
          </w:tcPr>
          <w:p>
            <w:pPr>
              <w:spacing w:after="0"/>
              <w:rPr>
                <w:sz w:val="20"/>
                <w:szCs w:val="20"/>
                <w:color w:val="auto"/>
              </w:rPr>
            </w:pPr>
            <w:r>
              <w:rPr>
                <w:rFonts w:ascii="Arial" w:cs="Arial" w:eastAsia="Arial" w:hAnsi="Arial"/>
                <w:sz w:val="18"/>
                <w:szCs w:val="18"/>
                <w:color w:val="auto"/>
              </w:rPr>
              <w:t>Income tax expense (benefit) is comprised of the following:</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(Thousands of Dollars)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6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1,381</w:t>
            </w:r>
          </w:p>
        </w:tc>
        <w:tc>
          <w:tcPr>
            <w:tcW w:w="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1,467</w:t>
            </w:r>
          </w:p>
        </w:tc>
        <w:tc>
          <w:tcPr>
            <w:tcW w:w="4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1,242</w:t>
            </w:r>
          </w:p>
        </w:tc>
        <w:tc>
          <w:tcPr>
            <w:tcW w:w="3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Investment Tax Credits</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3,240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Middlesex’s March 2018 base water rate settlement with the NJBPU, Middlesex received approval for regulatory accounting treatment of income tax benefits associated with the adoption of tangible property regulations issued by the IRS (fully amortized as of March 31, 2022) as well as prospective recognition of the income tax benefits for the immediate deduction of repair costs on tangible property. This results in significant reductions in the Company’s effective income tax rate, current income tax expense (benefit) and deferred income tax expense (benefit).</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purposes and the amounts used for income tax purposes. The components of the net deferred tax liability are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5"/>
              </w:rPr>
              <w:t>(Thousands of Dollars)</w:t>
            </w:r>
          </w:p>
        </w:tc>
      </w:tr>
      <w:tr>
        <w:trPr>
          <w:trHeight w:val="216"/>
        </w:trPr>
        <w:tc>
          <w:tcPr>
            <w:tcW w:w="7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4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Utility Plant Related</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72,996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65,107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Customer Advances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(3,568)</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(3,595)</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7,380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7,091</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Investment Tax Credits</w:t>
            </w:r>
          </w:p>
        </w:tc>
        <w:tc>
          <w:tcPr>
            <w:tcW w:w="3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373</w:t>
            </w: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Total Accumulated Deferred Income Taxes</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77,783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69,500</w:t>
            </w: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federal income tax returns for the tax years 2014 through 2017 were selected for examination by the IRS, which included the tax year in which the Company had adopted the final IRS tangible property regulations and changed its accounting method for the tax treatment of expenditures that qualified as deductible repairs. As a result of the audit examination, the Company agreed to certain modifications of its accounting method for expenditures that qualify as deductible repairs. In 2019, the Company paid $2.7 million in income taxes and $0.1 million in interest in connection with the conclusion of the 2014 through 2017 federal income tax return audits. The statutory review period for 2018 and prior federal income tax returns has now closed, and as such, in the third quarter of 2022 the Company reversed the December 31, 2021 income tax reserve provision and interest expense liability of $0.5 million and $0.2 million, respectively.</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statutory review periods for federal income tax returns for the years prior to 2019 have been closed. There are no unrecognized tax benefits resulting from prior period tax positions.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Contingent Liabilities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Water Supply </w:t>
      </w:r>
      <w:r>
        <w:rPr>
          <w:rFonts w:ascii="Arial" w:cs="Arial" w:eastAsia="Arial" w:hAnsi="Arial"/>
          <w:sz w:val="16"/>
          <w:szCs w:val="16"/>
          <w:color w:val="auto"/>
        </w:rPr>
        <w:t>- Middlesex has an agreement with the New Jersey Water Supply Authority (NJWSA) for the purchase of untreated water through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Middlesex also has an agreement with a non-affiliated NJBPU-regulated water utility for the purchase of treated water. This agreement, which expires February 27, 2026, provides for the minimum purchase of 3.0 mgd of treated water with provisions for additional purchases if needed.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treated water of 15.0 million gallons annually.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Purchased water costs are shown below:</w:t>
            </w: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2"/>
              </w:rPr>
              <w:t>(Millions of Dollars)</w:t>
            </w:r>
          </w:p>
        </w:tc>
        <w:tc>
          <w:tcPr>
            <w:tcW w:w="84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Years Ended December 31,</w:t>
            </w:r>
          </w:p>
        </w:tc>
        <w:tc>
          <w:tcPr>
            <w:tcW w:w="84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16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r>
      <w:tr>
        <w:trPr>
          <w:trHeight w:val="209"/>
        </w:trPr>
        <w:tc>
          <w:tcPr>
            <w:tcW w:w="5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Untreated</w:t>
            </w:r>
          </w:p>
        </w:tc>
        <w:tc>
          <w:tcPr>
            <w:tcW w:w="9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3.2</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0"/>
        </w:trPr>
        <w:tc>
          <w:tcPr>
            <w:tcW w:w="580" w:type="dxa"/>
            <w:vAlign w:val="bottom"/>
          </w:tcPr>
          <w:p>
            <w:pPr>
              <w:spacing w:after="0"/>
              <w:rPr>
                <w:sz w:val="19"/>
                <w:szCs w:val="19"/>
                <w:color w:val="auto"/>
              </w:rPr>
            </w:pPr>
          </w:p>
        </w:tc>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Treated</w:t>
            </w:r>
          </w:p>
        </w:tc>
        <w:tc>
          <w:tcPr>
            <w:tcW w:w="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7"/>
              </w:rPr>
              <w:t>3.9</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209"/>
        </w:trPr>
        <w:tc>
          <w:tcPr>
            <w:tcW w:w="58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Costs</w:t>
            </w:r>
          </w:p>
        </w:tc>
        <w:tc>
          <w:tcPr>
            <w:tcW w:w="9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7.1</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The Company determines if an arrangement is a lease at the inception of the lease. Generally, a lease agreement exists if the Company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arrangement gives the Company control over the use of an identified asset and obtains substantially all of the benefits from the identified asset.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commencement date based on the present value of lease payments over the lease term. The Company’s operating lease does not provide an implicit discount rate and as such the Company used an estimated incremental borrowing rate (4.03%) based on the information available at commencement date in determining the present value of lease payments.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Given the impacts of accounting for regulated operations, and the resulting recognition of expense at the amounts recovered in customer rates, expenditures for operating leases are consistent with lease expense and was $0.8 million for each of the years ended December 31, 2022, 2021 and 2020.</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w w:val="99"/>
              </w:rPr>
              <w:t>Information related to operating lease ROU assets is as follows:</w:t>
            </w:r>
          </w:p>
        </w:tc>
        <w:tc>
          <w:tcPr>
            <w:tcW w:w="3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 Millions)</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2021</w:t>
            </w:r>
          </w:p>
        </w:tc>
      </w:tr>
      <w:tr>
        <w:trPr>
          <w:trHeight w:val="210"/>
        </w:trPr>
        <w:tc>
          <w:tcPr>
            <w:tcW w:w="58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ROU Asset at Lease Inception</w:t>
            </w:r>
          </w:p>
        </w:tc>
        <w:tc>
          <w:tcPr>
            <w:tcW w:w="30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6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30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6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Current ROU Asset</w:t>
            </w:r>
          </w:p>
        </w:tc>
        <w:tc>
          <w:tcPr>
            <w:tcW w:w="30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6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18"/>
                <w:szCs w:val="18"/>
                <w:color w:val="auto"/>
              </w:rPr>
            </w:pPr>
          </w:p>
        </w:tc>
      </w:tr>
      <w:tr>
        <w:trPr>
          <w:trHeight w:val="554"/>
        </w:trPr>
        <w:tc>
          <w:tcPr>
            <w:tcW w:w="5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color w:val="auto"/>
              </w:rPr>
              <w:t>54</w:t>
            </w: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Company’s future minimum operating lease commitments as of December 31, 2022 are as follows:</w:t>
      </w:r>
    </w:p>
    <w:p>
      <w:pPr>
        <w:spacing w:after="0" w:line="225"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(In Millions)</w:t>
            </w:r>
          </w:p>
        </w:tc>
      </w:tr>
      <w:tr>
        <w:trPr>
          <w:trHeight w:val="230"/>
        </w:trPr>
        <w:tc>
          <w:tcPr>
            <w:tcW w:w="412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Arial" w:cs="Arial" w:eastAsia="Arial" w:hAnsi="Arial"/>
                <w:sz w:val="18"/>
                <w:szCs w:val="18"/>
                <w:color w:val="auto"/>
                <w:w w:val="92"/>
              </w:rPr>
              <w:t>December 31, 2022</w:t>
            </w:r>
          </w:p>
        </w:tc>
      </w:tr>
      <w:tr>
        <w:trPr>
          <w:trHeight w:val="216"/>
        </w:trPr>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r>
      <w:tr>
        <w:trPr>
          <w:trHeight w:val="216"/>
        </w:trPr>
        <w:tc>
          <w:tcPr>
            <w:tcW w:w="4120" w:type="dxa"/>
            <w:vAlign w:val="bottom"/>
          </w:tcPr>
          <w:p>
            <w:pPr>
              <w:jc w:val="right"/>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r>
      <w:tr>
        <w:trPr>
          <w:trHeight w:val="216"/>
        </w:trPr>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r>
      <w:tr>
        <w:trPr>
          <w:trHeight w:val="216"/>
        </w:trPr>
        <w:tc>
          <w:tcPr>
            <w:tcW w:w="4120" w:type="dxa"/>
            <w:vAlign w:val="bottom"/>
          </w:tcPr>
          <w:p>
            <w:pPr>
              <w:jc w:val="right"/>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r>
      <w:tr>
        <w:trPr>
          <w:trHeight w:val="216"/>
        </w:trPr>
        <w:tc>
          <w:tcPr>
            <w:tcW w:w="4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r>
      <w:tr>
        <w:trPr>
          <w:trHeight w:val="229"/>
        </w:trPr>
        <w:tc>
          <w:tcPr>
            <w:tcW w:w="4300" w:type="dxa"/>
            <w:vAlign w:val="bottom"/>
            <w:gridSpan w:val="2"/>
          </w:tcPr>
          <w:p>
            <w:pPr>
              <w:jc w:val="right"/>
              <w:ind w:right="130"/>
              <w:spacing w:after="0"/>
              <w:rPr>
                <w:sz w:val="20"/>
                <w:szCs w:val="20"/>
                <w:color w:val="auto"/>
              </w:rPr>
            </w:pPr>
            <w:r>
              <w:rPr>
                <w:rFonts w:ascii="Arial" w:cs="Arial" w:eastAsia="Arial" w:hAnsi="Arial"/>
                <w:sz w:val="18"/>
                <w:szCs w:val="18"/>
                <w:color w:val="auto"/>
              </w:rPr>
              <w:t>Thereafter</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10"/>
        </w:trPr>
        <w:tc>
          <w:tcPr>
            <w:tcW w:w="4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Total Lease Payments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300" w:type="dxa"/>
            <w:vAlign w:val="bottom"/>
            <w:gridSpan w:val="2"/>
          </w:tcPr>
          <w:p>
            <w:pPr>
              <w:jc w:val="right"/>
              <w:ind w:right="130"/>
              <w:spacing w:after="0"/>
              <w:rPr>
                <w:sz w:val="20"/>
                <w:szCs w:val="20"/>
                <w:color w:val="auto"/>
              </w:rPr>
            </w:pPr>
            <w:r>
              <w:rPr>
                <w:rFonts w:ascii="Arial" w:cs="Arial" w:eastAsia="Arial" w:hAnsi="Arial"/>
                <w:sz w:val="18"/>
                <w:szCs w:val="18"/>
                <w:color w:val="auto"/>
              </w:rPr>
              <w:t>Imputed Interest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209"/>
        </w:trPr>
        <w:tc>
          <w:tcPr>
            <w:tcW w:w="4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Present Value of Lease Payments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300" w:type="dxa"/>
            <w:vAlign w:val="bottom"/>
            <w:gridSpan w:val="2"/>
          </w:tcPr>
          <w:p>
            <w:pPr>
              <w:jc w:val="right"/>
              <w:ind w:right="130"/>
              <w:spacing w:after="0"/>
              <w:rPr>
                <w:sz w:val="20"/>
                <w:szCs w:val="20"/>
                <w:color w:val="auto"/>
              </w:rPr>
            </w:pPr>
            <w:r>
              <w:rPr>
                <w:rFonts w:ascii="Arial" w:cs="Arial" w:eastAsia="Arial" w:hAnsi="Arial"/>
                <w:sz w:val="18"/>
                <w:szCs w:val="18"/>
                <w:color w:val="auto"/>
              </w:rPr>
              <w:t>Less Current Portion*</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09"/>
        </w:trPr>
        <w:tc>
          <w:tcPr>
            <w:tcW w:w="4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Non-Current Lease Liability</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-121920</wp:posOffset>
            </wp:positionV>
            <wp:extent cx="356616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Construction </w:t>
      </w:r>
      <w:r>
        <w:rPr>
          <w:rFonts w:ascii="Arial" w:cs="Arial" w:eastAsia="Arial" w:hAnsi="Arial"/>
          <w:sz w:val="16"/>
          <w:szCs w:val="16"/>
          <w:color w:val="auto"/>
        </w:rPr>
        <w:t>–The Company has projected to spend approximately $102 million in 2023, $86 million in 2024 and $78 million in 2025 on its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program. The Company has entered into several contractual construction agreements that in total obligate it to expend an estimated $16.8 million in the future. The actual amount and timing of capital expenditures is dependent on the need for replacement of existing infrastructure, customer growth, residential new home construction and sales, project scheduling, supply chain issues and continued refinement of project scope and costs and could be impacted if the effects of the COVID-19 pandemic continues for an extended period of time (for further discussion of the impact of COVID-19 on the Company, see </w:t>
      </w:r>
      <w:r>
        <w:rPr>
          <w:rFonts w:ascii="Arial" w:cs="Arial" w:eastAsia="Arial" w:hAnsi="Arial"/>
          <w:sz w:val="16"/>
          <w:szCs w:val="16"/>
          <w:i w:val="1"/>
          <w:iCs w:val="1"/>
          <w:color w:val="auto"/>
        </w:rPr>
        <w:t>Note 1(s) COVID-19</w:t>
      </w:r>
      <w:r>
        <w:rPr>
          <w:rFonts w:ascii="Arial" w:cs="Arial" w:eastAsia="Arial" w:hAnsi="Arial"/>
          <w:sz w:val="16"/>
          <w:szCs w:val="16"/>
          <w:color w:val="auto"/>
        </w:rPr>
        <w:t>). There is no assurance that projected customer growth and residential new home construction and sales will occur.</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Based on our operations in the heavily-regulated water and wastewater industries, the Company is routinely involved in disputes, claims,</w:t>
      </w:r>
      <w:r>
        <w:rPr>
          <w:rFonts w:ascii="Arial" w:cs="Arial" w:eastAsia="Arial" w:hAnsi="Arial"/>
          <w:sz w:val="18"/>
          <w:szCs w:val="18"/>
          <w:i w:val="1"/>
          <w:iCs w:val="1"/>
          <w:color w:val="auto"/>
        </w:rPr>
        <w:t xml:space="preserve"> </w:t>
      </w:r>
      <w:r>
        <w:rPr>
          <w:rFonts w:ascii="Arial" w:cs="Arial" w:eastAsia="Arial" w:hAnsi="Arial"/>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PFOA Matter - </w:t>
      </w:r>
      <w:r>
        <w:rPr>
          <w:rFonts w:ascii="Arial" w:cs="Arial" w:eastAsia="Arial" w:hAnsi="Arial"/>
          <w:sz w:val="18"/>
          <w:szCs w:val="18"/>
          <w:color w:val="auto"/>
        </w:rPr>
        <w:t>In November 2021, the Company was served with two PFOA-related class action lawsuits seeking restitution for medical, water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replacement and other related costs and economic damages. These lawsuits are in the early stages of the legal process and their ultimate resolution cannot be predicted at this time. The Company’s insurance provider has acknowledged coverage of potential liability resulting from these lawsuits (for further discussion of this matter, see </w:t>
      </w:r>
      <w:r>
        <w:rPr>
          <w:rFonts w:ascii="Arial" w:cs="Arial" w:eastAsia="Arial" w:hAnsi="Arial"/>
          <w:sz w:val="18"/>
          <w:szCs w:val="18"/>
          <w:i w:val="1"/>
          <w:iCs w:val="1"/>
          <w:color w:val="auto"/>
        </w:rPr>
        <w:t>Note 1(t) Regulatory Notice of Non-Compliance</w:t>
      </w:r>
      <w:r>
        <w:rPr>
          <w:rFonts w:ascii="Arial" w:cs="Arial" w:eastAsia="Arial" w:hAnsi="Arial"/>
          <w:sz w:val="18"/>
          <w:szCs w:val="18"/>
          <w:color w:val="auto"/>
        </w:rPr>
        <w: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Change in Control Agreements </w:t>
      </w:r>
      <w:r>
        <w:rPr>
          <w:rFonts w:ascii="Arial" w:cs="Arial" w:eastAsia="Arial" w:hAnsi="Arial"/>
          <w:sz w:val="18"/>
          <w:szCs w:val="18"/>
          <w:color w:val="auto"/>
        </w:rPr>
        <w:t>– The Company has Change in Control Agreements with its executive officers that provide compensation and benefits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event of termination of employment in connection with a change in control of the Company.</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Short-term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short-term borrowings for the years ended December 31, 2022 and 2021 is summarized below:</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42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(Millions of Dollars)</w:t>
            </w:r>
          </w:p>
        </w:tc>
        <w:tc>
          <w:tcPr>
            <w:tcW w:w="500" w:type="dxa"/>
            <w:vAlign w:val="bottom"/>
          </w:tcPr>
          <w:p>
            <w:pPr>
              <w:spacing w:after="0"/>
              <w:rPr>
                <w:sz w:val="18"/>
                <w:szCs w:val="18"/>
                <w:color w:val="auto"/>
              </w:rPr>
            </w:pPr>
          </w:p>
        </w:tc>
      </w:tr>
      <w:tr>
        <w:trPr>
          <w:trHeight w:val="234"/>
        </w:trPr>
        <w:tc>
          <w:tcPr>
            <w:tcW w:w="5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Average Amount Outstanding</w:t>
            </w:r>
          </w:p>
        </w:tc>
        <w:tc>
          <w:tcPr>
            <w:tcW w:w="29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28.9</w:t>
            </w:r>
          </w:p>
        </w:tc>
        <w:tc>
          <w:tcPr>
            <w:tcW w:w="8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290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7"/>
              </w:rPr>
              <w:t>3.34%</w:t>
            </w:r>
          </w:p>
        </w:tc>
        <w:tc>
          <w:tcPr>
            <w:tcW w:w="82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90"/>
              </w:rPr>
              <w:t>1.12%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at Year-End</w:t>
            </w:r>
          </w:p>
        </w:tc>
        <w:tc>
          <w:tcPr>
            <w:tcW w:w="29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55.5</w:t>
            </w:r>
          </w:p>
        </w:tc>
        <w:tc>
          <w:tcPr>
            <w:tcW w:w="82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13.0</w:t>
            </w: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290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7"/>
              </w:rPr>
              <w:t>5.17%</w:t>
            </w:r>
          </w:p>
        </w:tc>
        <w:tc>
          <w:tcPr>
            <w:tcW w:w="82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90"/>
              </w:rPr>
              <w:t>1.04%</w:t>
            </w: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6"/>
          </w:tcPr>
          <w:p>
            <w:pPr>
              <w:jc w:val="right"/>
              <w:ind w:right="850"/>
              <w:spacing w:after="0"/>
              <w:rPr>
                <w:sz w:val="20"/>
                <w:szCs w:val="20"/>
                <w:color w:val="auto"/>
              </w:rPr>
            </w:pPr>
            <w:r>
              <w:rPr>
                <w:rFonts w:ascii="Arial" w:cs="Arial" w:eastAsia="Arial" w:hAnsi="Arial"/>
                <w:sz w:val="18"/>
                <w:szCs w:val="18"/>
                <w:color w:val="auto"/>
                <w:w w:val="91"/>
              </w:rPr>
              <w:t>The Company maintains bank lines of credit aggregating $140.0 million.</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(Millions)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5"/>
          </w:tcPr>
          <w:p>
            <w:pPr>
              <w:jc w:val="center"/>
              <w:ind w:right="550"/>
              <w:spacing w:after="0"/>
              <w:rPr>
                <w:sz w:val="20"/>
                <w:szCs w:val="20"/>
                <w:color w:val="auto"/>
              </w:rPr>
            </w:pPr>
            <w:r>
              <w:rPr>
                <w:rFonts w:ascii="Arial" w:cs="Arial" w:eastAsia="Arial" w:hAnsi="Arial"/>
                <w:sz w:val="18"/>
                <w:szCs w:val="18"/>
                <w:b w:val="1"/>
                <w:bCs w:val="1"/>
                <w:color w:val="auto"/>
                <w:w w:val="89"/>
              </w:rPr>
              <w:t>As of December 31, 2022</w:t>
            </w:r>
          </w:p>
        </w:tc>
        <w:tc>
          <w:tcPr>
            <w:tcW w:w="1400" w:type="dxa"/>
            <w:vAlign w:val="bottom"/>
          </w:tcPr>
          <w:p>
            <w:pPr>
              <w:spacing w:after="0"/>
              <w:rPr>
                <w:sz w:val="18"/>
                <w:szCs w:val="18"/>
                <w:color w:val="auto"/>
              </w:rPr>
            </w:pPr>
          </w:p>
        </w:tc>
        <w:tc>
          <w:tcPr>
            <w:tcW w:w="1720" w:type="dxa"/>
            <w:vAlign w:val="bottom"/>
          </w:tcPr>
          <w:p>
            <w:pPr>
              <w:ind w:left="420"/>
              <w:spacing w:after="0"/>
              <w:rPr>
                <w:sz w:val="20"/>
                <w:szCs w:val="20"/>
                <w:color w:val="auto"/>
              </w:rPr>
            </w:pPr>
            <w:r>
              <w:rPr>
                <w:rFonts w:ascii="Arial" w:cs="Arial" w:eastAsia="Arial" w:hAnsi="Arial"/>
                <w:sz w:val="18"/>
                <w:szCs w:val="18"/>
                <w:b w:val="1"/>
                <w:bCs w:val="1"/>
                <w:color w:val="auto"/>
              </w:rPr>
              <w:t>Line of Credit</w:t>
            </w:r>
          </w:p>
        </w:tc>
      </w:tr>
      <w:tr>
        <w:trPr>
          <w:trHeight w:val="234"/>
        </w:trPr>
        <w:tc>
          <w:tcPr>
            <w:tcW w:w="580" w:type="dxa"/>
            <w:vAlign w:val="bottom"/>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Available</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Maximum</w:t>
            </w: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Credit Type</w:t>
            </w:r>
          </w:p>
        </w:tc>
        <w:tc>
          <w:tcPr>
            <w:tcW w:w="17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Renewal Date</w:t>
            </w:r>
          </w:p>
        </w:tc>
      </w:tr>
      <w:tr>
        <w:trPr>
          <w:trHeight w:val="210"/>
        </w:trPr>
        <w:tc>
          <w:tcPr>
            <w:tcW w:w="58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60.0</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Uncommitted</w:t>
            </w:r>
          </w:p>
        </w:tc>
        <w:tc>
          <w:tcPr>
            <w:tcW w:w="1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25, 2024</w:t>
            </w:r>
          </w:p>
        </w:tc>
      </w:tr>
      <w:tr>
        <w:trPr>
          <w:trHeight w:val="216"/>
        </w:trPr>
        <w:tc>
          <w:tcPr>
            <w:tcW w:w="5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PNC Bank</w:t>
            </w:r>
          </w:p>
        </w:tc>
        <w:tc>
          <w:tcPr>
            <w:tcW w:w="56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68.0</w:t>
            </w:r>
          </w:p>
        </w:tc>
        <w:tc>
          <w:tcPr>
            <w:tcW w:w="1400" w:type="dxa"/>
            <w:vAlign w:val="bottom"/>
          </w:tcPr>
          <w:p>
            <w:pPr>
              <w:ind w:left="40"/>
              <w:spacing w:after="0"/>
              <w:rPr>
                <w:sz w:val="20"/>
                <w:szCs w:val="20"/>
                <w:color w:val="auto"/>
              </w:rPr>
            </w:pPr>
            <w:r>
              <w:rPr>
                <w:rFonts w:ascii="Arial" w:cs="Arial" w:eastAsia="Arial" w:hAnsi="Arial"/>
                <w:sz w:val="18"/>
                <w:szCs w:val="18"/>
                <w:color w:val="auto"/>
              </w:rPr>
              <w:t>Committed</w:t>
            </w:r>
          </w:p>
        </w:tc>
        <w:tc>
          <w:tcPr>
            <w:tcW w:w="1720" w:type="dxa"/>
            <w:vAlign w:val="bottom"/>
          </w:tcPr>
          <w:p>
            <w:pPr>
              <w:ind w:left="200"/>
              <w:spacing w:after="0"/>
              <w:rPr>
                <w:sz w:val="20"/>
                <w:szCs w:val="20"/>
                <w:color w:val="auto"/>
              </w:rPr>
            </w:pPr>
            <w:r>
              <w:rPr>
                <w:rFonts w:ascii="Arial" w:cs="Arial" w:eastAsia="Arial" w:hAnsi="Arial"/>
                <w:sz w:val="18"/>
                <w:szCs w:val="18"/>
                <w:color w:val="auto"/>
              </w:rPr>
              <w:t>January 31, 2024</w:t>
            </w:r>
          </w:p>
        </w:tc>
      </w:tr>
      <w:tr>
        <w:trPr>
          <w:trHeight w:val="216"/>
        </w:trPr>
        <w:tc>
          <w:tcPr>
            <w:tcW w:w="58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CoBank, ACB (CoBank)</w:t>
            </w:r>
          </w:p>
        </w:tc>
        <w:tc>
          <w:tcPr>
            <w:tcW w:w="5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12.0</w:t>
            </w:r>
          </w:p>
        </w:tc>
        <w:tc>
          <w:tcPr>
            <w:tcW w:w="1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Committed</w:t>
            </w:r>
          </w:p>
        </w:tc>
        <w:tc>
          <w:tcPr>
            <w:tcW w:w="17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November 30, 2023</w:t>
            </w:r>
          </w:p>
        </w:tc>
      </w:tr>
      <w:tr>
        <w:trPr>
          <w:trHeight w:val="209"/>
        </w:trPr>
        <w:tc>
          <w:tcPr>
            <w:tcW w:w="5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140.0</w:t>
            </w:r>
          </w:p>
        </w:tc>
        <w:tc>
          <w:tcPr>
            <w:tcW w:w="14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Bank of America line of credit is renewed on an annual basis and was increased from $30 million to $60 million in January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maturity dates for the Notes Payable as of December 31, 2022 are in January 2023 through March 2023 and are extendable at the discretion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rates for borrowings under the Bank of America and PNC Bank lines of credit are set using the Bloomberg Short-Term Bank Yield Index and adding a credit spread, which varies by financial institution. The interest rate for borrowings under the CoBank line of credit are set weekly using CoBank’s internal cost of funds index that is similar to the Standard Overnight Financing Rate and adding a credit spread. There is no requirement for a compensating balance under any of the established lines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the transactions discussed below related to the issuance of securities were approved by either the NJBPU or DEPSC, except where otherwise noted.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issues shares of its common stock in connection with its Middlesex Water Company Investment Plan (the Investment Plan), a direct share purchase and dividend reinvestment plan for the Company’s common stock. The Company raised approximately $10.3 million under the Investment Plan during 2022. On March 1, 2023, the Company will begin offering shares of its common stock for purchase at a 3% discount to participants in the Investment Plan. The discount offering will continue until 200,000 shares are purchased at the discounted price or December 1, 2023, whichever event occurs first. The discount applies to all common stock purchases made under the Investment Plan, whether by optional cash payment or by dividend reinvestment. Since the inception of the Investment Plan and its predecessor plan, the Company has periodically replenished the level of authorized shares in the plans. Currently, 0.2 million shares remain registered with the United States Securities and Exchange Commission for the Investment Plan and available for potential issuance to participants. Middlesex has filed a</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petition with the NJBPU seeking to increase the number of authorized shares under the Investment Plan by 0.7 million shares.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 issues common shares under a restricted stock plan for certain management employees, which is described in Note 7 – </w:t>
      </w:r>
      <w:r>
        <w:rPr>
          <w:rFonts w:ascii="Arial" w:cs="Arial" w:eastAsia="Arial" w:hAnsi="Arial"/>
          <w:sz w:val="18"/>
          <w:szCs w:val="18"/>
          <w:i w:val="1"/>
          <w:iCs w:val="1"/>
          <w:color w:val="auto"/>
        </w:rPr>
        <w:t>Employee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Plans</w:t>
      </w:r>
      <w:r>
        <w:rPr>
          <w:rFonts w:ascii="Arial" w:cs="Arial" w:eastAsia="Arial" w:hAnsi="Arial"/>
          <w:sz w:val="18"/>
          <w:szCs w:val="18"/>
          <w:color w:val="auto"/>
        </w:rPr>
        <w: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stock plan for its independent Directors as a component of outside members of the Board of Directors compensation. For the years ended December 31, 2022, 2021 and 2020, 2,664, 3,444 and 4,074 shares, respectively, of Middlesex common stock were granted and issued to the Company’s independent Directors under the plan. The maximum number of shares authorized for grant under the plan is 100,000, of which 46,461 shares remain available for future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event dividends on the preferred stock are in arrears, no dividends may be declared or paid on the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2022 and 2021, there were 120,000 shares of preferred stock authorized and less than 21,000 shares of preferred stock outstanding. There were no preferred stock dividends in arrears.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may not pay any dividends on its common stock unless full cumulative dividends to the preceding dividend date for all outstanding shares of preferred stock have been paid or set aside for payment. If four or more quarterly dividends are in arrears, the preferred shareholders, as a class, are entitled to elect two members to the Board of Directors in addition to Directors elected by holders of the common stock. In addition, if Middlesex were to liquidate, holders of preferred stock would be paid back the stated value of their preferred shares before any distributions could be made to common stockholders.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conversion feature of the no par $7.00 Series Cumulative and Convertible Preferred Stock allows the security holders to exchange one convertible preferred share for twelve shares of the Company's common stock. In addition, the Company may redeem up to 10% of the outstanding convertible stock in any calendar year at a price equal to the fair value of twelve shares of the Company's common stock for each share of convertible stock redeemed.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regulatory approval, the Company periodically issues long-term debt to fund its investments in utility plant. To the extent 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interest rate on the Company’s current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term of the long-term loans currently offered through the NJIB is up to thirty years.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2022, Middlesex repaid two outstanding NJIB construction loans by issuing First Mortgage Bonds (FMBs) to the NJIB under two loan agreements. The total amount of FMBs issued is $52.2 million and designated as Series 2022A ($16.2 million) and Series 2022B ($36.0 million). The interest rate on the Series 2022A bond is zero and the interest rate on the Series 2022B bond ranges between 2.7% and 3.0%. The final maturity date for both FMBs is August 1, 2056, with scheduled debt service payments over the life of these loans.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NJIB has changed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new</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As a result of all these changes, the Company’s future capital funding plan currently does not include participating in the NJIB SRF program.</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2021, Middlesex received approval from the NJBPU to redeem up to $45.5 million of outstanding FMBs, specifically Series RR ($22.5 million) and Series SS ($23.0 million), and issue replacement FMBs at an overall lower cost of debt. In November 2021, Middlesex closed on a $45.5 million, 2.90% private placement of FMBs, designated as Series 2021B with a 2051 maturity date to effectuate the redemptions.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 May 2020, Middlesex received approval from the NJBPU to borrow up to $100 million, in one or more private placement transactions through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to help fund Middlesex’s multi-year capital construction program. In connection with this approval:</w:t>
      </w:r>
    </w:p>
    <w:p>
      <w:pPr>
        <w:spacing w:after="0" w:line="211"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November 2021, Middlesex closed on a $19.5 million, 2.79% private placement of FMBs with a 2041 maturity date designated as Series 2021A. Proceeds were used to reduce the Company’s outstanding balances under its lines of credit.; and</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November 2020, Middlesex closed on a $40.0 million, 2.90% private placement of FMBs with a 2050 maturity date designated as Series 2020A. Proceeds were used to reduce the Company’s outstanding balances under its lines of credit and for the Company’s 2020 capital program.</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2021, Tidewater closed on the DEPSC approved $5.0 million Delaware SRF Program loan and began receiving disbursements in January 2022. Tidewater has borrowed $2.6 million under this loan with borrowing expected to continue through mid-2023. The final maturity date on the loan is 2044.</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2021, Tidewater completed its $20 million secured borrowing with CoBank, at an interest rate of 3.94% with a 2046 maturity date. Proceeds from the loan were used to pay off its outstanding balances under its lines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annual principal repayment obligations for all long-term debt over the next five years and thereafter are shown below:</w:t>
      </w:r>
    </w:p>
    <w:p>
      <w:pPr>
        <w:spacing w:after="0" w:line="225" w:lineRule="exact"/>
        <w:rPr>
          <w:sz w:val="20"/>
          <w:szCs w:val="20"/>
          <w:color w:val="auto"/>
        </w:rPr>
      </w:pPr>
    </w:p>
    <w:tbl>
      <w:tblPr>
        <w:tblLayout w:type="fixed"/>
        <w:tblInd w:w="2820" w:type="dxa"/>
        <w:tblCellMar>
          <w:top w:w="0" w:type="dxa"/>
          <w:left w:w="0" w:type="dxa"/>
          <w:bottom w:w="0" w:type="dxa"/>
          <w:right w:w="0" w:type="dxa"/>
        </w:tblCellMar>
      </w:tblPr>
      <w:tr>
        <w:trPr>
          <w:trHeight w:val="212"/>
        </w:trPr>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rPr>
              <w:t>(Millions of Dollars)</w:t>
            </w:r>
          </w:p>
        </w:tc>
      </w:tr>
      <w:tr>
        <w:trPr>
          <w:trHeight w:val="194"/>
        </w:trPr>
        <w:tc>
          <w:tcPr>
            <w:tcW w:w="4040" w:type="dxa"/>
            <w:vAlign w:val="bottom"/>
            <w:gridSpan w:val="3"/>
          </w:tcPr>
          <w:p>
            <w:pPr>
              <w:jc w:val="center"/>
              <w:ind w:right="40"/>
              <w:spacing w:after="0" w:line="194" w:lineRule="exact"/>
              <w:rPr>
                <w:sz w:val="20"/>
                <w:szCs w:val="20"/>
                <w:color w:val="auto"/>
              </w:rPr>
            </w:pPr>
            <w:r>
              <w:rPr>
                <w:rFonts w:ascii="Arial" w:cs="Arial" w:eastAsia="Arial" w:hAnsi="Arial"/>
                <w:sz w:val="18"/>
                <w:szCs w:val="18"/>
                <w:b w:val="1"/>
                <w:bCs w:val="1"/>
                <w:color w:val="auto"/>
                <w:w w:val="92"/>
              </w:rPr>
              <w:t>Year</w:t>
            </w:r>
          </w:p>
        </w:tc>
        <w:tc>
          <w:tcPr>
            <w:tcW w:w="15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Annual Maturities</w:t>
            </w:r>
          </w:p>
        </w:tc>
      </w:tr>
      <w:tr>
        <w:trPr>
          <w:trHeight w:val="20"/>
        </w:trPr>
        <w:tc>
          <w:tcPr>
            <w:tcW w:w="18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10"/>
        </w:trPr>
        <w:tc>
          <w:tcPr>
            <w:tcW w:w="40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2023</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r>
      <w:tr>
        <w:trPr>
          <w:trHeight w:val="216"/>
        </w:trPr>
        <w:tc>
          <w:tcPr>
            <w:tcW w:w="40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2024</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16"/>
        </w:trPr>
        <w:tc>
          <w:tcPr>
            <w:tcW w:w="40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2025</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16"/>
        </w:trPr>
        <w:tc>
          <w:tcPr>
            <w:tcW w:w="40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2026</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16"/>
        </w:trPr>
        <w:tc>
          <w:tcPr>
            <w:tcW w:w="4040" w:type="dxa"/>
            <w:vAlign w:val="bottom"/>
            <w:gridSpan w:val="3"/>
            <w:shd w:val="clear" w:color="auto" w:fill="CCEEFF"/>
          </w:tcPr>
          <w:p>
            <w:pPr>
              <w:jc w:val="center"/>
              <w:ind w:right="40"/>
              <w:spacing w:after="0"/>
              <w:rPr>
                <w:sz w:val="20"/>
                <w:szCs w:val="20"/>
                <w:color w:val="auto"/>
              </w:rPr>
            </w:pPr>
            <w:r>
              <w:rPr>
                <w:rFonts w:ascii="Arial" w:cs="Arial" w:eastAsia="Arial" w:hAnsi="Arial"/>
                <w:sz w:val="18"/>
                <w:szCs w:val="18"/>
                <w:color w:val="auto"/>
                <w:w w:val="89"/>
              </w:rPr>
              <w:t>2027</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230"/>
        </w:trPr>
        <w:tc>
          <w:tcPr>
            <w:tcW w:w="404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Thereafter</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261.5</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weighted average interest rate on all long-term debt at December 31, 2022 and 2021 was 2.98% and 2.83%, respectively. Except for the FMB Series 2020 ($40.0 million), FMB Series 2021 ($65.0 million) and Amortizing Secured Notes ($44.9 million), all of the Company’s outstanding long-term debt has been issued through the NJEDA ($63.6 million), the NJIB SRF program ($83.7 million) and the Delaware SRF program ($9.2 million).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the calculation of basic and diluted earnings per share (EPS) for the years ended December 31, 2022, 2021 and 2020. Basic EPS is computed on the basis of the weighted average number of shares outstanding. Diluted EPS assumes the conversion of the Convertible Preferred Stock $7.00 Series.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00" w:type="dxa"/>
            <w:vAlign w:val="bottom"/>
            <w:gridSpan w:val="6"/>
          </w:tcPr>
          <w:p>
            <w:pPr>
              <w:ind w:left="14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3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2020</w:t>
            </w:r>
          </w:p>
        </w:tc>
        <w:tc>
          <w:tcPr>
            <w:tcW w:w="1180" w:type="dxa"/>
            <w:vAlign w:val="bottom"/>
          </w:tcPr>
          <w:p>
            <w:pPr>
              <w:spacing w:after="0"/>
              <w:rPr>
                <w:sz w:val="19"/>
                <w:szCs w:val="19"/>
                <w:color w:val="auto"/>
              </w:rPr>
            </w:pPr>
          </w:p>
        </w:tc>
      </w:tr>
      <w:tr>
        <w:trPr>
          <w:trHeight w:val="230"/>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Income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Shares</w:t>
            </w:r>
          </w:p>
        </w:tc>
        <w:tc>
          <w:tcPr>
            <w:tcW w:w="6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Income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Shares</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Income</w:t>
            </w: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4"/>
              </w:rPr>
              <w:t>Shares</w:t>
            </w: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42,429</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17,597</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36,543</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17,492</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38,425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17,459</w:t>
            </w:r>
          </w:p>
        </w:tc>
      </w:tr>
      <w:tr>
        <w:trPr>
          <w:trHeight w:val="216"/>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Dividend</w:t>
            </w: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180" w:type="dxa"/>
            <w:vAlign w:val="bottom"/>
            <w:tcBorders>
              <w:bottom w:val="single" w:sz="8" w:color="auto"/>
            </w:tcBorders>
          </w:tcPr>
          <w:p>
            <w:pPr>
              <w:spacing w:after="0"/>
              <w:rPr>
                <w:sz w:val="18"/>
                <w:szCs w:val="18"/>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42,309</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0"/>
              </w:rPr>
              <w:t>17,597</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36,423</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17,492</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38,305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17,459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Basic EPS</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2.40</w:t>
            </w: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2.08</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2.19</w:t>
            </w:r>
          </w:p>
        </w:tc>
        <w:tc>
          <w:tcPr>
            <w:tcW w:w="1180" w:type="dxa"/>
            <w:vAlign w:val="bottom"/>
          </w:tcPr>
          <w:p>
            <w:pPr>
              <w:spacing w:after="0"/>
              <w:rPr>
                <w:sz w:val="18"/>
                <w:szCs w:val="18"/>
                <w:color w:val="auto"/>
              </w:rPr>
            </w:pPr>
          </w:p>
        </w:tc>
      </w:tr>
      <w:tr>
        <w:trPr>
          <w:trHeight w:val="216"/>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42,309</w:t>
            </w:r>
          </w:p>
        </w:tc>
        <w:tc>
          <w:tcPr>
            <w:tcW w:w="60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17,597</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36,423</w:t>
            </w:r>
          </w:p>
        </w:tc>
        <w:tc>
          <w:tcPr>
            <w:tcW w:w="5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17,492</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38,305</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17,459</w:t>
            </w:r>
          </w:p>
        </w:tc>
      </w:tr>
      <w:tr>
        <w:trPr>
          <w:trHeight w:val="216"/>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$7.00 Series Dividend</w:t>
            </w: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5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w w:val="97"/>
              </w:rPr>
              <w:t>Adjusted Earnings Applicable to Common Stock</w:t>
            </w:r>
          </w:p>
        </w:tc>
        <w:tc>
          <w:tcPr>
            <w:tcW w:w="52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42,376</w:t>
            </w:r>
          </w:p>
        </w:tc>
        <w:tc>
          <w:tcPr>
            <w:tcW w:w="60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17,712</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36,490</w:t>
            </w:r>
          </w:p>
        </w:tc>
        <w:tc>
          <w:tcPr>
            <w:tcW w:w="5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17,607</w:t>
            </w:r>
          </w:p>
        </w:tc>
        <w:tc>
          <w:tcPr>
            <w:tcW w:w="40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38,372</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17,574</w:t>
            </w:r>
          </w:p>
        </w:tc>
      </w:tr>
      <w:tr>
        <w:trPr>
          <w:trHeight w:val="216"/>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EPS</w:t>
            </w:r>
          </w:p>
        </w:tc>
        <w:tc>
          <w:tcPr>
            <w:tcW w:w="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w:t>
            </w: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2.07</w:t>
            </w:r>
          </w:p>
        </w:tc>
        <w:tc>
          <w:tcPr>
            <w:tcW w:w="5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1180" w:type="dxa"/>
            <w:vAlign w:val="bottom"/>
            <w:tcBorders>
              <w:bottom w:val="single" w:sz="8" w:color="auto"/>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methods and assumptions were used by the Company in estimating its fair value disclosure for financial instruments for which it is practicable to estimate that value. The carrying amounts reflected in the consolidated balance sheets for cash and cash equivalents, accounts receivable, accounts payable and notes payable approximate their respective fair values due to the short-term maturities of these instruments. The fair value of FMBs and SRF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39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(Thousands of Dollars)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gridSpan w:val="5"/>
          </w:tcPr>
          <w:p>
            <w:pPr>
              <w:ind w:left="340"/>
              <w:spacing w:after="0"/>
              <w:rPr>
                <w:sz w:val="20"/>
                <w:szCs w:val="20"/>
                <w:color w:val="auto"/>
              </w:rPr>
            </w:pPr>
            <w:r>
              <w:rPr>
                <w:rFonts w:ascii="Arial" w:cs="Arial" w:eastAsia="Arial" w:hAnsi="Arial"/>
                <w:sz w:val="18"/>
                <w:szCs w:val="18"/>
                <w:b w:val="1"/>
                <w:bCs w:val="1"/>
                <w:color w:val="auto"/>
              </w:rPr>
              <w:t>At December 31,</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4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4"/>
              </w:rPr>
              <w:t>Carrying</w:t>
            </w:r>
          </w:p>
        </w:tc>
        <w:tc>
          <w:tcPr>
            <w:tcW w:w="300" w:type="dxa"/>
            <w:vAlign w:val="bottom"/>
          </w:tcPr>
          <w:p>
            <w:pPr>
              <w:spacing w:after="0"/>
              <w:rPr>
                <w:sz w:val="16"/>
                <w:szCs w:val="16"/>
                <w:color w:val="auto"/>
              </w:rPr>
            </w:pPr>
          </w:p>
        </w:tc>
        <w:tc>
          <w:tcPr>
            <w:tcW w:w="92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190"/>
              <w:spacing w:after="0" w:line="195" w:lineRule="exact"/>
              <w:rPr>
                <w:sz w:val="20"/>
                <w:szCs w:val="20"/>
                <w:color w:val="auto"/>
              </w:rPr>
            </w:pPr>
            <w:r>
              <w:rPr>
                <w:rFonts w:ascii="Arial" w:cs="Arial" w:eastAsia="Arial" w:hAnsi="Arial"/>
                <w:sz w:val="18"/>
                <w:szCs w:val="18"/>
                <w:color w:val="auto"/>
                <w:w w:val="94"/>
              </w:rPr>
              <w:t>Carrying</w:t>
            </w:r>
          </w:p>
        </w:tc>
        <w:tc>
          <w:tcPr>
            <w:tcW w:w="300" w:type="dxa"/>
            <w:vAlign w:val="bottom"/>
          </w:tcPr>
          <w:p>
            <w:pPr>
              <w:spacing w:after="0"/>
              <w:rPr>
                <w:sz w:val="16"/>
                <w:szCs w:val="16"/>
                <w:color w:val="auto"/>
              </w:rPr>
            </w:pPr>
          </w:p>
        </w:tc>
        <w:tc>
          <w:tcPr>
            <w:tcW w:w="8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6"/>
              </w:rPr>
              <w:t>Fair</w:t>
            </w:r>
          </w:p>
        </w:tc>
        <w:tc>
          <w:tcPr>
            <w:tcW w:w="100" w:type="dxa"/>
            <w:vAlign w:val="bottom"/>
          </w:tcPr>
          <w:p>
            <w:pPr>
              <w:spacing w:after="0"/>
              <w:rPr>
                <w:sz w:val="16"/>
                <w:szCs w:val="16"/>
                <w:color w:val="auto"/>
              </w:rPr>
            </w:pPr>
          </w:p>
        </w:tc>
      </w:tr>
      <w:tr>
        <w:trPr>
          <w:trHeight w:val="230"/>
        </w:trPr>
        <w:tc>
          <w:tcPr>
            <w:tcW w:w="4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6"/>
              </w:rPr>
              <w:t>Amount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Amount</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1"/>
              </w:rPr>
              <w:t>Value</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FMBs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147,269</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138,756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98,828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107,781</w:t>
            </w: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was not practicable to estimate their fair value on our outstanding long-term debt for which there is no quoted market price and there is not an active trading market. For details, including carrying value, interest rate and due date on these series of long-term debt, please refer to those series of long-term debt titled “Amortizing Secured Notes”, “State Revolving Trust Notes”, “State Revolving Fund Bond” and “Construction Loans” on the Consolidated Statements of Capital Stock and Long-Term Debt. The carrying amount of these instruments was $159.1 million and $212.3 million at December 31, 2022 and 2021, respectively. Customer advances for construction have carrying amounts of $21.4 million and $23.5 million at December 31, 2022 and 2021, respectively. Their relative fair values cannot be accurately estimated since future refund payments depend on several variables, including new customer connections, customer consumption levels and future rate increases.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In order to be eligible for contribution, the eligible employee must be employed by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Company on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the year to which the contribution relates. The Company maintains an unfunded supplemental plan for a limited number of its executive officers. The Accumulated Benefit Obligation for the Company’s Pension Plan at December 31, 2022 and 2021 was $79.4 million and $100.4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Benefits Plan covers substantially all of its current retired employees. Employees hired after March 31, 2007 are not eligible to participate in this plan. Coverage includes healthcare and life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Treatment of Over/Underfunded Retirement Obligations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Because the Company is subject to rate regulation in the states in which it operates, it is required to maintain its accounts in accordance with the regulatory authority’s rules and guidelines, which may differ from other authoritative accounting pronouncements. In those instances, the Company follows the guidance of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Based on prior regulatory practice, and in accordance with the guidance in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the Company records underfunded Pension Plan and Other Benefits Plan obligation costs, which otherwise would be recognized in Other Comprehensive Income under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 a Regulatory Asset, and expects to recover those costs in rates charged to customers.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a December 31 measurement date for all of its employee benefit plans. The tables below set forth information relating to the Company’s Pension Plan and Other Benefits Plan for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3"/>
          </w:tcPr>
          <w:p>
            <w:pPr>
              <w:jc w:val="right"/>
              <w:ind w:right="25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Thousands of Dollars)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Pension Plan</w:t>
            </w:r>
          </w:p>
        </w:tc>
        <w:tc>
          <w:tcPr>
            <w:tcW w:w="300" w:type="dxa"/>
            <w:vAlign w:val="bottom"/>
          </w:tcPr>
          <w:p>
            <w:pPr>
              <w:spacing w:after="0"/>
              <w:rPr>
                <w:sz w:val="18"/>
                <w:szCs w:val="18"/>
                <w:color w:val="auto"/>
              </w:rPr>
            </w:pPr>
          </w:p>
        </w:tc>
        <w:tc>
          <w:tcPr>
            <w:tcW w:w="21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Other Benefits Plan</w:t>
            </w:r>
          </w:p>
        </w:tc>
      </w:tr>
      <w:tr>
        <w:trPr>
          <w:trHeight w:val="216"/>
        </w:trPr>
        <w:tc>
          <w:tcPr>
            <w:tcW w:w="4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December 31,</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420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Beginning Balance</w:t>
            </w:r>
          </w:p>
        </w:tc>
        <w:tc>
          <w:tcPr>
            <w:tcW w:w="2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113,710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115,861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49,396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52,776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2,362</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799</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Cost</w:t>
            </w: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3,042</w:t>
            </w:r>
          </w:p>
        </w:tc>
        <w:tc>
          <w:tcPr>
            <w:tcW w:w="2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2,706</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1,325</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1,236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2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(27,850)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30"/>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Benefits Paid</w:t>
            </w:r>
          </w:p>
        </w:tc>
        <w:tc>
          <w:tcPr>
            <w:tcW w:w="2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(3,476)</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87,788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113,710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32,909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49,396</w:t>
            </w:r>
          </w:p>
        </w:tc>
      </w:tr>
      <w:tr>
        <w:trPr>
          <w:trHeight w:val="554"/>
        </w:trPr>
        <w:tc>
          <w:tcPr>
            <w:tcW w:w="4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60</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400" w:type="dxa"/>
            <w:vAlign w:val="bottom"/>
            <w:tcBorders>
              <w:top w:val="single" w:sz="8" w:color="0000EE"/>
            </w:tcBorders>
          </w:tcPr>
          <w:p>
            <w:pPr>
              <w:spacing w:after="0"/>
              <w:rPr>
                <w:sz w:val="24"/>
                <w:szCs w:val="24"/>
                <w:color w:val="auto"/>
              </w:rPr>
            </w:pPr>
          </w:p>
        </w:tc>
        <w:tc>
          <w:tcPr>
            <w:tcW w:w="5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3"/>
          </w:tcPr>
          <w:p>
            <w:pPr>
              <w:jc w:val="center"/>
              <w:ind w:right="15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Pension Plan</w:t>
            </w:r>
          </w:p>
        </w:tc>
        <w:tc>
          <w:tcPr>
            <w:tcW w:w="300" w:type="dxa"/>
            <w:vAlign w:val="bottom"/>
          </w:tcPr>
          <w:p>
            <w:pPr>
              <w:spacing w:after="0"/>
              <w:rPr>
                <w:sz w:val="18"/>
                <w:szCs w:val="18"/>
                <w:color w:val="auto"/>
              </w:rPr>
            </w:pPr>
          </w:p>
        </w:tc>
        <w:tc>
          <w:tcPr>
            <w:tcW w:w="21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Other Benefits Plan</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Change in Fair Value of Plan Assets:</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3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100,750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88,921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50,668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44,892</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(14,346)</w:t>
            </w:r>
          </w:p>
        </w:tc>
        <w:tc>
          <w:tcPr>
            <w:tcW w:w="2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11,798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(6,639)</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1,900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3,400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Benefits Paid</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(3,476)</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84,828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100,750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44,029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50,668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Funded Status</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414"/>
        </w:trPr>
        <w:tc>
          <w:tcPr>
            <w:tcW w:w="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3"/>
          </w:tcPr>
          <w:p>
            <w:pPr>
              <w:jc w:val="center"/>
              <w:ind w:right="15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Pension Plan</w:t>
            </w:r>
          </w:p>
        </w:tc>
        <w:tc>
          <w:tcPr>
            <w:tcW w:w="300" w:type="dxa"/>
            <w:vAlign w:val="bottom"/>
          </w:tcPr>
          <w:p>
            <w:pPr>
              <w:spacing w:after="0"/>
              <w:rPr>
                <w:sz w:val="18"/>
                <w:szCs w:val="18"/>
                <w:color w:val="auto"/>
              </w:rPr>
            </w:pPr>
          </w:p>
        </w:tc>
        <w:tc>
          <w:tcPr>
            <w:tcW w:w="21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Other Benefits Plan</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Borders>
              <w:bottom w:val="single" w:sz="8" w:color="CCEEFF"/>
            </w:tcBorders>
          </w:tcPr>
          <w:p>
            <w:pPr>
              <w:spacing w:after="0"/>
              <w:rPr>
                <w:sz w:val="20"/>
                <w:szCs w:val="20"/>
                <w:color w:val="auto"/>
              </w:rPr>
            </w:pPr>
          </w:p>
        </w:tc>
        <w:tc>
          <w:tcPr>
            <w:tcW w:w="59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Recognized in the Consolidated</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Balance Sheets consist of:</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Liability</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Noncurrent Liability (Asset)</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2,431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12,562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Liability (Asset) Recognized</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2,960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12,960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2"/>
              </w:rPr>
              <w:t>(Thousands of Dollars)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Pension Plan</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Other Benefits Plan</w:t>
            </w:r>
          </w:p>
        </w:tc>
        <w:tc>
          <w:tcPr>
            <w:tcW w:w="88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5"/>
              </w:rPr>
              <w:t>Years Ended December 31,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209"/>
        </w:trPr>
        <w:tc>
          <w:tcPr>
            <w:tcW w:w="348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Cost</w:t>
            </w:r>
          </w:p>
        </w:tc>
        <w:tc>
          <w:tcPr>
            <w:tcW w:w="7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3,042</w:t>
            </w:r>
          </w:p>
        </w:tc>
        <w:tc>
          <w:tcPr>
            <w:tcW w:w="3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2,706</w:t>
            </w:r>
          </w:p>
        </w:tc>
        <w:tc>
          <w:tcPr>
            <w:tcW w:w="2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3,099</w:t>
            </w:r>
          </w:p>
        </w:tc>
        <w:tc>
          <w:tcPr>
            <w:tcW w:w="3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1,325</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1,236</w:t>
            </w:r>
          </w:p>
        </w:tc>
        <w:tc>
          <w:tcPr>
            <w:tcW w:w="3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1,699</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(7,041)</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(6,225)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w:t>
            </w:r>
          </w:p>
        </w:tc>
      </w:tr>
      <w:tr>
        <w:trPr>
          <w:trHeight w:val="216"/>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Actuarial Loss</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1,673</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2,868</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527</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1,352</w:t>
            </w:r>
          </w:p>
        </w:tc>
      </w:tr>
      <w:tr>
        <w:trPr>
          <w:trHeight w:val="209"/>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1,957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Service cost is included in Operations and Maintenance expense on the consolidated statements of income; all other amounts are included in Other Income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Amounts that are expected to be amortized from Regulatory Assets into Net Periodic Benefit Cost in 2023 are as follows:</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(Thousands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85"/>
              </w:rPr>
              <w:t>Pension</w:t>
            </w:r>
          </w:p>
        </w:tc>
        <w:tc>
          <w:tcPr>
            <w:tcW w:w="240" w:type="dxa"/>
            <w:vAlign w:val="bottom"/>
          </w:tcPr>
          <w:p>
            <w:pPr>
              <w:spacing w:after="0"/>
              <w:rPr>
                <w:sz w:val="18"/>
                <w:szCs w:val="18"/>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Other</w:t>
            </w:r>
          </w:p>
        </w:tc>
        <w:tc>
          <w:tcPr>
            <w:tcW w:w="280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212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Plan</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Benefits Plan</w:t>
            </w:r>
          </w:p>
        </w:tc>
        <w:tc>
          <w:tcPr>
            <w:tcW w:w="2800" w:type="dxa"/>
            <w:vAlign w:val="bottom"/>
          </w:tcPr>
          <w:p>
            <w:pPr>
              <w:spacing w:after="0"/>
              <w:rPr>
                <w:sz w:val="20"/>
                <w:szCs w:val="20"/>
                <w:color w:val="auto"/>
              </w:rPr>
            </w:pPr>
          </w:p>
        </w:tc>
      </w:tr>
      <w:tr>
        <w:trPr>
          <w:trHeight w:val="210"/>
        </w:trPr>
        <w:tc>
          <w:tcPr>
            <w:tcW w:w="28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800" w:type="dxa"/>
            <w:vAlign w:val="bottom"/>
          </w:tcPr>
          <w:p>
            <w:pPr>
              <w:spacing w:after="0"/>
              <w:rPr>
                <w:sz w:val="18"/>
                <w:szCs w:val="18"/>
                <w:color w:val="auto"/>
              </w:rPr>
            </w:pPr>
          </w:p>
        </w:tc>
      </w:tr>
      <w:tr>
        <w:trPr>
          <w:trHeight w:val="560"/>
        </w:trPr>
        <w:tc>
          <w:tcPr>
            <w:tcW w:w="28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discount rate and compensation increase rate for determining our postretirement benefit plans’ benefit obligations and costs as of and for the years ended December 31, 2022, 2021 and 2020, respectively,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Pension Plan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ind w:left="1080"/>
              <w:spacing w:after="0"/>
              <w:rPr>
                <w:sz w:val="20"/>
                <w:szCs w:val="20"/>
                <w:color w:val="auto"/>
              </w:rPr>
            </w:pPr>
            <w:r>
              <w:rPr>
                <w:rFonts w:ascii="Arial" w:cs="Arial" w:eastAsia="Arial" w:hAnsi="Arial"/>
                <w:sz w:val="18"/>
                <w:szCs w:val="18"/>
                <w:b w:val="1"/>
                <w:bCs w:val="1"/>
                <w:color w:val="auto"/>
                <w:w w:val="98"/>
              </w:rPr>
              <w:t>Other Benefits Plan</w:t>
            </w:r>
          </w:p>
        </w:tc>
        <w:tc>
          <w:tcPr>
            <w:tcW w:w="920" w:type="dxa"/>
            <w:vAlign w:val="bottom"/>
          </w:tcPr>
          <w:p>
            <w:pPr>
              <w:spacing w:after="0"/>
              <w:rPr>
                <w:sz w:val="19"/>
                <w:szCs w:val="19"/>
                <w:color w:val="auto"/>
              </w:rPr>
            </w:pPr>
          </w:p>
        </w:tc>
      </w:tr>
      <w:tr>
        <w:trPr>
          <w:trHeight w:val="234"/>
        </w:trPr>
        <w:tc>
          <w:tcPr>
            <w:tcW w:w="38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Expected Return on Plan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3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Discount Rate for: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Benefit Obligation</w:t>
            </w:r>
          </w:p>
        </w:tc>
        <w:tc>
          <w:tcPr>
            <w:tcW w:w="114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Cost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3820" w:type="dxa"/>
            <w:vAlign w:val="bottom"/>
          </w:tcPr>
          <w:p>
            <w:pPr>
              <w:ind w:left="100"/>
              <w:spacing w:after="0"/>
              <w:rPr>
                <w:sz w:val="20"/>
                <w:szCs w:val="20"/>
                <w:color w:val="auto"/>
              </w:rPr>
            </w:pPr>
            <w:r>
              <w:rPr>
                <w:rFonts w:ascii="Arial" w:cs="Arial" w:eastAsia="Arial" w:hAnsi="Arial"/>
                <w:sz w:val="18"/>
                <w:szCs w:val="18"/>
                <w:color w:val="auto"/>
              </w:rPr>
              <w:t>Compensation Increase for: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Obligation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Benefit Cost</w:t>
            </w: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increase assumption for the Other Benefits Plan is attributable to life insurance provided to qualifying employees upon their retirement.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insurance coverage will be determined based on the employee’s base compensation as of their retirement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the Society of Actuaries’ mortality table (Pri-2012) (Mortality Improvement Scale MP2021 for the 2022 valuation).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2022 valuation, costs and obligations for our Other Benefits Plan assumed a 7.5% annual rate of increase in the per capita cost of covered healthcare benefits in 2022 with the annual rate of increase declining 0.5% per year for 2023-2028, resulting in an annual rate of increase in the per capita cost of covered healthcare benefits of 4.5% by year 2029.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assumed healthcare cost trend rates would have the following effects on the Other Benefits Plan:</w:t>
      </w:r>
    </w:p>
    <w:p>
      <w:pPr>
        <w:spacing w:after="0" w:line="221"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(Thousands of Dollars)</w:t>
      </w:r>
    </w:p>
    <w:p>
      <w:pPr>
        <w:spacing w:after="0" w:line="27"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1 Percentage Point</w:t>
      </w:r>
    </w:p>
    <w:p>
      <w:pPr>
        <w:spacing w:after="0" w:line="9" w:lineRule="exact"/>
        <w:rPr>
          <w:sz w:val="20"/>
          <w:szCs w:val="20"/>
          <w:color w:val="auto"/>
        </w:rPr>
      </w:pPr>
    </w:p>
    <w:p>
      <w:pPr>
        <w:ind w:left="8460"/>
        <w:spacing w:after="0"/>
        <w:tabs>
          <w:tab w:leader="none" w:pos="9720" w:val="left"/>
        </w:tabs>
        <w:rPr>
          <w:sz w:val="20"/>
          <w:szCs w:val="20"/>
          <w:color w:val="auto"/>
        </w:rPr>
      </w:pPr>
      <w:r>
        <w:rPr>
          <w:rFonts w:ascii="Arial" w:cs="Arial" w:eastAsia="Arial" w:hAnsi="Arial"/>
          <w:sz w:val="18"/>
          <w:szCs w:val="18"/>
          <w:b w:val="1"/>
          <w:bCs w:val="1"/>
          <w:color w:val="auto"/>
        </w:rPr>
        <w:t>Increase</w:t>
      </w:r>
      <w:r>
        <w:rPr>
          <w:sz w:val="20"/>
          <w:szCs w:val="20"/>
          <w:color w:val="auto"/>
        </w:rPr>
        <w:tab/>
      </w:r>
      <w:r>
        <w:rPr>
          <w:rFonts w:ascii="Arial" w:cs="Arial" w:eastAsia="Arial" w:hAnsi="Arial"/>
          <w:sz w:val="18"/>
          <w:szCs w:val="18"/>
          <w:b w:val="1"/>
          <w:bCs w:val="1"/>
          <w:color w:val="auto"/>
        </w:rPr>
        <w:t>Decrease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Pr>
          <w:p>
            <w:pPr>
              <w:spacing w:after="0"/>
              <w:rPr>
                <w:sz w:val="18"/>
                <w:szCs w:val="18"/>
                <w:color w:val="auto"/>
              </w:rPr>
            </w:pPr>
          </w:p>
        </w:tc>
        <w:tc>
          <w:tcPr>
            <w:tcW w:w="52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Effect on Current Year Service and Interest Costs</w:t>
            </w:r>
          </w:p>
        </w:tc>
        <w:tc>
          <w:tcPr>
            <w:tcW w:w="2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4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Effect on Projected Benefit Obligation</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4,239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(3,448)</w:t>
            </w:r>
          </w:p>
        </w:tc>
        <w:tc>
          <w:tcPr>
            <w:tcW w:w="560" w:type="dxa"/>
            <w:vAlign w:val="bottom"/>
          </w:tcPr>
          <w:p>
            <w:pPr>
              <w:spacing w:after="0"/>
              <w:rPr>
                <w:sz w:val="20"/>
                <w:szCs w:val="20"/>
                <w:color w:val="auto"/>
              </w:rPr>
            </w:pPr>
          </w:p>
        </w:tc>
      </w:tr>
      <w:tr>
        <w:trPr>
          <w:trHeight w:val="418"/>
        </w:trPr>
        <w:tc>
          <w:tcPr>
            <w:tcW w:w="6900" w:type="dxa"/>
            <w:vAlign w:val="bottom"/>
            <w:gridSpan w:val="6"/>
          </w:tcPr>
          <w:p>
            <w:pPr>
              <w:jc w:val="right"/>
              <w:spacing w:after="0"/>
              <w:rPr>
                <w:sz w:val="20"/>
                <w:szCs w:val="20"/>
                <w:color w:val="auto"/>
              </w:rPr>
            </w:pPr>
            <w:r>
              <w:rPr>
                <w:rFonts w:ascii="Arial" w:cs="Arial" w:eastAsia="Arial" w:hAnsi="Arial"/>
                <w:sz w:val="18"/>
                <w:szCs w:val="18"/>
                <w:color w:val="auto"/>
                <w:w w:val="90"/>
              </w:rPr>
              <w:t>The following benefit payments, which reflect expected future service, are expected to be paid:</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gridSpan w:val="4"/>
          </w:tcPr>
          <w:p>
            <w:pPr>
              <w:ind w:left="140"/>
              <w:spacing w:after="0"/>
              <w:rPr>
                <w:sz w:val="20"/>
                <w:szCs w:val="20"/>
                <w:color w:val="auto"/>
              </w:rPr>
            </w:pPr>
            <w:r>
              <w:rPr>
                <w:rFonts w:ascii="Arial" w:cs="Arial" w:eastAsia="Arial" w:hAnsi="Arial"/>
                <w:sz w:val="18"/>
                <w:szCs w:val="18"/>
                <w:b w:val="1"/>
                <w:bCs w:val="1"/>
                <w:color w:val="auto"/>
              </w:rPr>
              <w:t>(Thousands of Dollars)</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020" w:type="dxa"/>
            <w:vAlign w:val="bottom"/>
            <w:gridSpan w:val="2"/>
          </w:tcPr>
          <w:p>
            <w:pPr>
              <w:ind w:left="1320"/>
              <w:spacing w:after="0"/>
              <w:rPr>
                <w:sz w:val="20"/>
                <w:szCs w:val="20"/>
                <w:color w:val="auto"/>
              </w:rPr>
            </w:pPr>
            <w:r>
              <w:rPr>
                <w:rFonts w:ascii="Arial" w:cs="Arial" w:eastAsia="Arial" w:hAnsi="Arial"/>
                <w:sz w:val="18"/>
                <w:szCs w:val="18"/>
                <w:b w:val="1"/>
                <w:bCs w:val="1"/>
                <w:color w:val="auto"/>
              </w:rPr>
              <w:t>Year</w:t>
            </w:r>
          </w:p>
        </w:tc>
        <w:tc>
          <w:tcPr>
            <w:tcW w:w="2820" w:type="dxa"/>
            <w:vAlign w:val="bottom"/>
            <w:gridSpan w:val="5"/>
          </w:tcPr>
          <w:p>
            <w:pPr>
              <w:ind w:left="40"/>
              <w:spacing w:after="0"/>
              <w:rPr>
                <w:sz w:val="20"/>
                <w:szCs w:val="20"/>
                <w:color w:val="auto"/>
              </w:rPr>
            </w:pPr>
            <w:r>
              <w:rPr>
                <w:rFonts w:ascii="Arial" w:cs="Arial" w:eastAsia="Arial" w:hAnsi="Arial"/>
                <w:sz w:val="18"/>
                <w:szCs w:val="18"/>
                <w:b w:val="1"/>
                <w:bCs w:val="1"/>
                <w:color w:val="auto"/>
                <w:w w:val="96"/>
              </w:rPr>
              <w:t>Pension Plan Other Benefits Plan</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w:t>
            </w: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4,961</w:t>
            </w:r>
          </w:p>
        </w:tc>
        <w:tc>
          <w:tcPr>
            <w:tcW w:w="5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5,344</w:t>
            </w:r>
          </w:p>
        </w:tc>
        <w:tc>
          <w:tcPr>
            <w:tcW w:w="5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3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1,699</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820" w:type="dxa"/>
            <w:vAlign w:val="bottom"/>
            <w:gridSpan w:val="2"/>
          </w:tcPr>
          <w:p>
            <w:pPr>
              <w:spacing w:after="0"/>
              <w:rPr>
                <w:sz w:val="18"/>
                <w:szCs w:val="18"/>
                <w:color w:val="auto"/>
              </w:rPr>
            </w:pPr>
          </w:p>
        </w:tc>
        <w:tc>
          <w:tcPr>
            <w:tcW w:w="3020" w:type="dxa"/>
            <w:vAlign w:val="bottom"/>
            <w:gridSpan w:val="2"/>
          </w:tcPr>
          <w:p>
            <w:pPr>
              <w:jc w:val="right"/>
              <w:ind w:right="20"/>
              <w:spacing w:after="0"/>
              <w:rPr>
                <w:sz w:val="20"/>
                <w:szCs w:val="20"/>
                <w:color w:val="auto"/>
              </w:rPr>
            </w:pPr>
            <w:r>
              <w:rPr>
                <w:rFonts w:ascii="Arial" w:cs="Arial" w:eastAsia="Arial" w:hAnsi="Arial"/>
                <w:sz w:val="18"/>
                <w:szCs w:val="18"/>
                <w:color w:val="auto"/>
              </w:rPr>
              <w:t>2028-2032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28,483</w:t>
            </w:r>
          </w:p>
        </w:tc>
        <w:tc>
          <w:tcPr>
            <w:tcW w:w="5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9,363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jc w:val="right"/>
              <w:ind w:right="2390"/>
              <w:spacing w:after="0"/>
              <w:rPr>
                <w:sz w:val="20"/>
                <w:szCs w:val="20"/>
                <w:color w:val="auto"/>
              </w:rPr>
            </w:pPr>
            <w:r>
              <w:rPr>
                <w:rFonts w:ascii="Arial" w:cs="Arial" w:eastAsia="Arial" w:hAnsi="Arial"/>
                <w:sz w:val="18"/>
                <w:szCs w:val="18"/>
                <w:color w:val="auto"/>
              </w:rPr>
              <w:t>Totals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53,727</w:t>
            </w: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16,942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554"/>
        </w:trPr>
        <w:tc>
          <w:tcPr>
            <w:tcW w:w="5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plan assets at December 31, 2022 and 2021 by asset category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Pension Plan</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980" w:type="dxa"/>
            <w:vAlign w:val="bottom"/>
            <w:gridSpan w:val="4"/>
          </w:tcPr>
          <w:p>
            <w:pPr>
              <w:jc w:val="right"/>
              <w:ind w:right="1180"/>
              <w:spacing w:after="0"/>
              <w:rPr>
                <w:sz w:val="20"/>
                <w:szCs w:val="20"/>
                <w:color w:val="auto"/>
              </w:rPr>
            </w:pPr>
            <w:r>
              <w:rPr>
                <w:rFonts w:ascii="Arial" w:cs="Arial" w:eastAsia="Arial" w:hAnsi="Arial"/>
                <w:sz w:val="18"/>
                <w:szCs w:val="18"/>
                <w:b w:val="1"/>
                <w:bCs w:val="1"/>
                <w:color w:val="auto"/>
              </w:rPr>
              <w:t>Other Benefits Plan</w:t>
            </w:r>
          </w:p>
        </w:tc>
      </w:t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Asset Category</w:t>
            </w: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Target</w:t>
            </w:r>
          </w:p>
        </w:tc>
        <w:tc>
          <w:tcPr>
            <w:tcW w:w="5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8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8"/>
                <w:szCs w:val="18"/>
                <w:b w:val="1"/>
                <w:bCs w:val="1"/>
                <w:color w:val="auto"/>
                <w:w w:val="94"/>
              </w:rPr>
              <w:t>Target</w:t>
            </w:r>
          </w:p>
        </w:tc>
      </w:tr>
      <w:tr>
        <w:trPr>
          <w:trHeight w:val="209"/>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Debt Securities</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26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24.7%</w:t>
            </w:r>
          </w:p>
        </w:tc>
        <w:tc>
          <w:tcPr>
            <w:tcW w:w="1120" w:type="dxa"/>
            <w:vAlign w:val="bottom"/>
          </w:tcPr>
          <w:p>
            <w:pPr>
              <w:jc w:val="right"/>
              <w:spacing w:after="0"/>
              <w:rPr>
                <w:sz w:val="20"/>
                <w:szCs w:val="20"/>
                <w:color w:val="auto"/>
              </w:rPr>
            </w:pPr>
            <w:r>
              <w:rPr>
                <w:rFonts w:ascii="Arial" w:cs="Arial" w:eastAsia="Arial" w:hAnsi="Arial"/>
                <w:sz w:val="18"/>
                <w:szCs w:val="18"/>
                <w:color w:val="auto"/>
              </w:rPr>
              <w:t>30.7%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Real Estate/Commodities</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0.0%</w:t>
            </w:r>
          </w:p>
        </w:tc>
        <w:tc>
          <w:tcPr>
            <w:tcW w:w="1120" w:type="dxa"/>
            <w:vAlign w:val="bottom"/>
          </w:tcPr>
          <w:p>
            <w:pPr>
              <w:jc w:val="right"/>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9"/>
        </w:trPr>
        <w:tc>
          <w:tcPr>
            <w:tcW w:w="21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Two outside investment firms each manage a portion of the Pension Plan asset portfolio. One of those investment firms also manages the Other Benefits Plan asset portfolio. Quarterly meetings are held between the Company’s Pension Committee of the Board of Directors and the investment managers to review their performance and asset allocation. If the actual asset allocation is outside the targeted range, the Pension Committee reviews current market conditions and advice provided by the investment managers to determine the appropriateness of rebalancing the portfolio.</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objective of the Company is to maximize the long-term return on retirement plan assets, relative to a reasonable level of risk, maintain a diversified investment portfolio and maintain compliance with the Employee Retirement Income Security Act of 1974. The expected long-term rate of return is based on the various asset categories in which plan assets are invested and the current expectations and historical performance for these categories.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Accounting guidance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8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Level 1 – Inputs to the valuation methodology are unadjusted quoted market prices for identical assets or liabilities in accessible active markets.</w:t>
      </w:r>
    </w:p>
    <w:p>
      <w:pPr>
        <w:spacing w:after="0" w:line="46"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2 – Inputs to the valuation methodology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investments in cash and cash equivalents, equity securities, and commodities are valued based on quoted market prices in active markets and are classified as Level 1 investments. Certain investments in cash and cash equivalents, equity securities and fixed income securities are valued using prices received from pricing vendors that utilize observable inputs and are therefore classified as Level 2 investments.</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Pension Plan assets measured and recorded at fair value within the fair value hierarchy: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b w:val="1"/>
                <w:bCs w:val="1"/>
                <w:color w:val="auto"/>
                <w:w w:val="94"/>
              </w:rPr>
              <w:t>(Thousands of Dollars)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w w:val="90"/>
              </w:rPr>
              <w:t>As of December 31, 2022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4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71,559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71,559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3,271</w:t>
            </w:r>
          </w:p>
        </w:tc>
        <w:tc>
          <w:tcPr>
            <w:tcW w:w="28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3,271</w:t>
            </w:r>
          </w:p>
        </w:tc>
      </w:tr>
      <w:tr>
        <w:trPr>
          <w:trHeight w:val="22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9,998</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9,998</w:t>
            </w:r>
          </w:p>
        </w:tc>
      </w:tr>
      <w:tr>
        <w:trPr>
          <w:trHeight w:val="223"/>
        </w:trPr>
        <w:tc>
          <w:tcPr>
            <w:tcW w:w="486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84,828</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84,828</w:t>
            </w: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8"/>
                <w:szCs w:val="18"/>
                <w:b w:val="1"/>
                <w:bCs w:val="1"/>
                <w:color w:val="auto"/>
                <w:w w:val="94"/>
              </w:rPr>
              <w:t>(Thousands of Dollars)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w w:val="90"/>
              </w:rPr>
              <w:t>As of December 31, 2021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4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87,687</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87,687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28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1,057</w:t>
            </w:r>
          </w:p>
        </w:tc>
      </w:tr>
      <w:tr>
        <w:trPr>
          <w:trHeight w:val="22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12,006</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12,006</w:t>
            </w:r>
          </w:p>
        </w:tc>
      </w:tr>
      <w:tr>
        <w:trPr>
          <w:trHeight w:val="223"/>
        </w:trPr>
        <w:tc>
          <w:tcPr>
            <w:tcW w:w="486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100,750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100,750</w:t>
            </w: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Other Benefits Plan assets measured and recorded at fair value within the fair value hierarchy: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(Thousands of Dollars)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As of December 31, 2022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4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23,660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23,660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8,623</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8,623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Agency/US/State/Municipal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10,592</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10,592</w:t>
            </w:r>
          </w:p>
        </w:tc>
      </w:tr>
      <w:tr>
        <w:trPr>
          <w:trHeight w:val="230"/>
        </w:trPr>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1,154</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1,154</w:t>
            </w:r>
          </w:p>
        </w:tc>
      </w:tr>
      <w:tr>
        <w:trPr>
          <w:trHeight w:val="223"/>
        </w:trPr>
        <w:tc>
          <w:tcPr>
            <w:tcW w:w="4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33,437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10,592</w:t>
            </w:r>
          </w:p>
        </w:tc>
        <w:tc>
          <w:tcPr>
            <w:tcW w:w="10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44,029</w:t>
            </w: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(Thousands of Dollars)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As of December 31, 2021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4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33,844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33,844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1,291</w:t>
            </w: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1,291</w:t>
            </w:r>
          </w:p>
        </w:tc>
      </w:tr>
      <w:tr>
        <w:trPr>
          <w:trHeight w:val="23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Agency/US/State/Municipal Debt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15,533</w:t>
            </w:r>
          </w:p>
        </w:tc>
        <w:tc>
          <w:tcPr>
            <w:tcW w:w="10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15,533</w:t>
            </w:r>
          </w:p>
        </w:tc>
      </w:tr>
      <w:tr>
        <w:trPr>
          <w:trHeight w:val="223"/>
        </w:trPr>
        <w:tc>
          <w:tcPr>
            <w:tcW w:w="486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35,135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15,533</w:t>
            </w:r>
          </w:p>
        </w:tc>
        <w:tc>
          <w:tcPr>
            <w:tcW w:w="10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50,668</w:t>
            </w: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 Contributions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Pension Plan, Middlesex made total cash contributions of $1.9 million in 2022 and expects to make approximately $2.0 million of cash contributions in 2023.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Other Benefits Plan, Middlesex made total cash contributions of $0.9 million in 2022 and expects to make approximately $0.9 million of cash contributions in 2023.</w:t>
      </w: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401(k) defined contribution plan, which covers substantially all employees with more than 1,000 hours of service. Under the terms of the Plan, the Company matches 100% of a participant’s contributions, which do not exceed 1% of a participant’s compensation, plus 50% of a participant’s contributions exceeding 1%, but not more than 6%. The Company’s matching contribution was $0.7 million for each of the years ended December 31, 2022, 2021 and 2020.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Employees hired after March 31, 2007 are not eligible to participate in the Pension Plan and are generally eligible to participate in a discretionary profit sharing plan administered through the 401(k) plan. In December each year, the Board of Directors may approve that a stated percentage of eligible compensation be contributed to the account of the employee participant in the first quarter of the following year. For those employees still actively employed on December 31, 2022 or retired during the current year, the Company will fund a discretionary contribution of $0.9 million before April 1, 2023, which represents 5.0% of eligible 2022 compensation. For the years ended December 31, 2021 and 2020, the Company made qualifying discretionary contributions totaling $0.8 million and $0.7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a long-term incentive compensation plan for certain management employees where awards are made in the form of restricted common stock. Shares of restricted stock issued under the plan are subject to forfeiture by the employee in the event of termination of employment for any reason within five years of the award other than as a result of retirement at normal retirement age, death, disability or change in control. The maximum number of shares authorized for award under the plan is 300,000 shares, of which approximately 80% remain available for award.</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recognizes compensation expense at fair value for the plan awards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is determined by the market value of the stock on the date of the award and is being amortized over the expected vesting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awarded but not yet vested share information for the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Unearned</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Weighted Average</w:t>
            </w:r>
          </w:p>
        </w:tc>
      </w:tr>
      <w:tr>
        <w:trPr>
          <w:trHeight w:val="234"/>
        </w:trPr>
        <w:tc>
          <w:tcPr>
            <w:tcW w:w="42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Shares(thousands)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7"/>
              </w:rPr>
              <w:t>(thousands)</w:t>
            </w:r>
          </w:p>
        </w:tc>
        <w:tc>
          <w:tcPr>
            <w:tcW w:w="2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b w:val="1"/>
                <w:bCs w:val="1"/>
                <w:color w:val="auto"/>
                <w:w w:val="94"/>
              </w:rPr>
              <w:t>Granted Price</w:t>
            </w:r>
          </w:p>
        </w:tc>
      </w:tr>
      <w:tr>
        <w:trPr>
          <w:trHeight w:val="210"/>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3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1,706</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3960" w:type="dxa"/>
            <w:vAlign w:val="bottom"/>
          </w:tcPr>
          <w:p>
            <w:pPr>
              <w:jc w:val="right"/>
              <w:ind w:right="5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60.12</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Compensation expense</w:t>
            </w:r>
          </w:p>
        </w:tc>
        <w:tc>
          <w:tcPr>
            <w:tcW w:w="3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r>
      <w:tr>
        <w:trPr>
          <w:trHeight w:val="209"/>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3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1,837</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396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79.02</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Compensation expense</w:t>
            </w:r>
          </w:p>
        </w:tc>
        <w:tc>
          <w:tcPr>
            <w:tcW w:w="3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r>
      <w:tr>
        <w:trPr>
          <w:trHeight w:val="210"/>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3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39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105.17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Compensation expense</w:t>
            </w:r>
          </w:p>
        </w:tc>
        <w:tc>
          <w:tcPr>
            <w:tcW w:w="3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4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r>
      <w:tr>
        <w:trPr>
          <w:trHeight w:val="210"/>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2022</w:t>
            </w:r>
          </w:p>
        </w:tc>
        <w:tc>
          <w:tcPr>
            <w:tcW w:w="3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1,732</w:t>
            </w:r>
          </w:p>
        </w:tc>
        <w:tc>
          <w:tcPr>
            <w:tcW w:w="2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25"/>
        </w:trPr>
        <w:tc>
          <w:tcPr>
            <w:tcW w:w="4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Segment Data</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the states of New Jersey and Delaware with respect to utility service within these states. The other segment is primarily comprised of non-regulated contract services for the operation and maintenance of municipal and private water and wastewater systems in New Jersey and Delaware.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Inter-segment transactions relating to operational costs are treated as pass-through expenses. Finance charges on inter-segment loan activities are based on interest rates that are below what would normally be charged by a third party lender.</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(Thousands of Dollars)</w:t>
            </w:r>
          </w:p>
        </w:tc>
        <w:tc>
          <w:tcPr>
            <w:tcW w:w="8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18"/>
                <w:szCs w:val="18"/>
                <w:color w:val="auto"/>
              </w:rPr>
            </w:pPr>
          </w:p>
        </w:tc>
      </w:tr>
      <w:tr>
        <w:trPr>
          <w:trHeight w:val="23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Operations by Segments:</w:t>
            </w:r>
          </w:p>
        </w:tc>
        <w:tc>
          <w:tcPr>
            <w:tcW w:w="18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2020</w:t>
            </w: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Revenues:</w:t>
            </w:r>
          </w:p>
        </w:tc>
        <w:tc>
          <w:tcPr>
            <w:tcW w:w="1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1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151,117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131,531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129,851</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18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12,446</w:t>
            </w:r>
          </w:p>
        </w:tc>
        <w:tc>
          <w:tcPr>
            <w:tcW w:w="3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12,818</w:t>
            </w: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12,545</w:t>
            </w:r>
          </w:p>
        </w:tc>
      </w:tr>
      <w:tr>
        <w:trPr>
          <w:trHeight w:val="216"/>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1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0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Revenues</w:t>
            </w:r>
          </w:p>
        </w:tc>
        <w:tc>
          <w:tcPr>
            <w:tcW w:w="1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162,434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143,141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141,592</w:t>
            </w:r>
          </w:p>
        </w:tc>
      </w:tr>
      <w:tr>
        <w:trPr>
          <w:trHeight w:val="210"/>
        </w:trPr>
        <w:tc>
          <w:tcPr>
            <w:tcW w:w="4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1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44,257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29,577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34,043</w:t>
            </w:r>
          </w:p>
        </w:tc>
      </w:tr>
      <w:tr>
        <w:trPr>
          <w:trHeight w:val="216"/>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 – Regulated</w:t>
            </w:r>
          </w:p>
        </w:tc>
        <w:tc>
          <w:tcPr>
            <w:tcW w:w="1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3,076</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3,634</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3,377</w:t>
            </w:r>
          </w:p>
        </w:tc>
      </w:tr>
      <w:tr>
        <w:trPr>
          <w:trHeight w:val="210"/>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47,333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33,211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37,420</w:t>
            </w:r>
          </w:p>
        </w:tc>
      </w:tr>
      <w:tr>
        <w:trPr>
          <w:trHeight w:val="209"/>
        </w:trPr>
        <w:tc>
          <w:tcPr>
            <w:tcW w:w="4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22,783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20,897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18,264</w:t>
            </w:r>
          </w:p>
        </w:tc>
      </w:tr>
      <w:tr>
        <w:trPr>
          <w:trHeight w:val="216"/>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1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246</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10"/>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Depreciation</w:t>
            </w:r>
          </w:p>
        </w:tc>
        <w:tc>
          <w:tcPr>
            <w:tcW w:w="1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23,029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21,109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18,472</w:t>
            </w:r>
          </w:p>
        </w:tc>
      </w:tr>
      <w:tr>
        <w:trPr>
          <w:trHeight w:val="210"/>
        </w:trPr>
        <w:tc>
          <w:tcPr>
            <w:tcW w:w="4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1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7,898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6,112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4,605</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18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279</w:t>
            </w:r>
          </w:p>
        </w:tc>
        <w:tc>
          <w:tcPr>
            <w:tcW w:w="3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16"/>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1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10"/>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Other Income (Expense), Net</w:t>
            </w:r>
          </w:p>
        </w:tc>
        <w:tc>
          <w:tcPr>
            <w:tcW w:w="1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7,703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5,958</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4,379</w:t>
            </w:r>
          </w:p>
        </w:tc>
      </w:tr>
      <w:tr>
        <w:trPr>
          <w:trHeight w:val="210"/>
        </w:trPr>
        <w:tc>
          <w:tcPr>
            <w:tcW w:w="4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1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9,833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8,529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7,780</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Non – Regulated</w:t>
            </w:r>
          </w:p>
        </w:tc>
        <w:tc>
          <w:tcPr>
            <w:tcW w:w="18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16"/>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1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10"/>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Interest Expense</w:t>
            </w:r>
          </w:p>
        </w:tc>
        <w:tc>
          <w:tcPr>
            <w:tcW w:w="1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9,367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8,114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7,493</w:t>
            </w:r>
          </w:p>
        </w:tc>
      </w:tr>
      <w:tr>
        <w:trPr>
          <w:trHeight w:val="210"/>
        </w:trPr>
        <w:tc>
          <w:tcPr>
            <w:tcW w:w="47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Income Taxes:</w:t>
            </w:r>
          </w:p>
        </w:tc>
        <w:tc>
          <w:tcPr>
            <w:tcW w:w="1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1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r>
      <w:tr>
        <w:trPr>
          <w:trHeight w:val="216"/>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 – Regulated</w:t>
            </w:r>
          </w:p>
        </w:tc>
        <w:tc>
          <w:tcPr>
            <w:tcW w:w="1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1,156</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1,235</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1,020</w:t>
            </w:r>
          </w:p>
        </w:tc>
      </w:tr>
      <w:tr>
        <w:trPr>
          <w:trHeight w:val="210"/>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Income Taxes</w:t>
            </w:r>
          </w:p>
        </w:tc>
        <w:tc>
          <w:tcPr>
            <w:tcW w:w="1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3,240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r>
      <w:tr>
        <w:trPr>
          <w:trHeight w:val="209"/>
        </w:trPr>
        <w:tc>
          <w:tcPr>
            <w:tcW w:w="4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1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40,229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33,849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35,951</w:t>
            </w:r>
          </w:p>
        </w:tc>
      </w:tr>
      <w:tr>
        <w:trPr>
          <w:trHeight w:val="216"/>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1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2,200</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2,694</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2,474</w:t>
            </w:r>
          </w:p>
        </w:tc>
      </w:tr>
      <w:tr>
        <w:trPr>
          <w:trHeight w:val="209"/>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Net Income</w:t>
            </w:r>
          </w:p>
        </w:tc>
        <w:tc>
          <w:tcPr>
            <w:tcW w:w="1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42,429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36,543</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38,425</w:t>
            </w:r>
          </w:p>
        </w:tc>
      </w:tr>
      <w:tr>
        <w:trPr>
          <w:trHeight w:val="425"/>
        </w:trPr>
        <w:tc>
          <w:tcPr>
            <w:tcW w:w="4700" w:type="dxa"/>
            <w:vAlign w:val="bottom"/>
          </w:tcPr>
          <w:p>
            <w:pPr>
              <w:spacing w:after="0"/>
              <w:rPr>
                <w:sz w:val="20"/>
                <w:szCs w:val="20"/>
                <w:color w:val="auto"/>
              </w:rPr>
            </w:pPr>
            <w:r>
              <w:rPr>
                <w:rFonts w:ascii="Arial" w:cs="Arial" w:eastAsia="Arial" w:hAnsi="Arial"/>
                <w:sz w:val="18"/>
                <w:szCs w:val="18"/>
                <w:color w:val="auto"/>
              </w:rPr>
              <w:t>Capital Expenditures: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Regulated</w:t>
            </w:r>
          </w:p>
        </w:tc>
        <w:tc>
          <w:tcPr>
            <w:tcW w:w="1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91,054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79,195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105,091</w:t>
            </w:r>
          </w:p>
        </w:tc>
      </w:tr>
      <w:tr>
        <w:trPr>
          <w:trHeight w:val="216"/>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 – Regulated</w:t>
            </w:r>
          </w:p>
        </w:tc>
        <w:tc>
          <w:tcPr>
            <w:tcW w:w="1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281</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r>
      <w:tr>
        <w:trPr>
          <w:trHeight w:val="210"/>
        </w:trPr>
        <w:tc>
          <w:tcPr>
            <w:tcW w:w="4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91,335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79,378</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105,619</w:t>
            </w: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3400" w:type="dxa"/>
            <w:vAlign w:val="bottom"/>
            <w:gridSpan w:val="3"/>
          </w:tcPr>
          <w:p>
            <w:pPr>
              <w:spacing w:after="0"/>
              <w:rPr>
                <w:sz w:val="20"/>
                <w:szCs w:val="20"/>
                <w:color w:val="auto"/>
              </w:rPr>
            </w:pPr>
            <w:r>
              <w:rPr>
                <w:rFonts w:ascii="Arial" w:cs="Arial" w:eastAsia="Arial" w:hAnsi="Arial"/>
                <w:sz w:val="18"/>
                <w:szCs w:val="18"/>
                <w:i w:val="1"/>
                <w:iCs w:val="1"/>
                <w:color w:val="0000EE"/>
              </w:rPr>
              <w:t>Index</w:t>
            </w:r>
          </w:p>
        </w:tc>
        <w:tc>
          <w:tcPr>
            <w:tcW w:w="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26"/>
        </w:trPr>
        <w:tc>
          <w:tcPr>
            <w:tcW w:w="4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gridSpan w:val="2"/>
          </w:tcPr>
          <w:p>
            <w:pPr>
              <w:jc w:val="right"/>
              <w:ind w:right="451"/>
              <w:spacing w:after="0"/>
              <w:rPr>
                <w:sz w:val="20"/>
                <w:szCs w:val="20"/>
                <w:color w:val="auto"/>
              </w:rPr>
            </w:pPr>
            <w:r>
              <w:rPr>
                <w:rFonts w:ascii="Arial" w:cs="Arial" w:eastAsia="Arial" w:hAnsi="Arial"/>
                <w:sz w:val="18"/>
                <w:szCs w:val="18"/>
                <w:b w:val="1"/>
                <w:bCs w:val="1"/>
                <w:color w:val="auto"/>
              </w:rPr>
              <w:t>As of</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As of</w:t>
            </w: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3"/>
          </w:tcPr>
          <w:p>
            <w:pPr>
              <w:ind w:left="500"/>
              <w:spacing w:after="0"/>
              <w:rPr>
                <w:sz w:val="20"/>
                <w:szCs w:val="20"/>
                <w:color w:val="auto"/>
              </w:rPr>
            </w:pPr>
            <w:r>
              <w:rPr>
                <w:rFonts w:ascii="Arial" w:cs="Arial" w:eastAsia="Arial" w:hAnsi="Arial"/>
                <w:sz w:val="18"/>
                <w:szCs w:val="18"/>
                <w:b w:val="1"/>
                <w:bCs w:val="1"/>
                <w:color w:val="auto"/>
                <w:w w:val="88"/>
              </w:rPr>
              <w:t>December 31, 2022</w:t>
            </w:r>
          </w:p>
        </w:tc>
        <w:tc>
          <w:tcPr>
            <w:tcW w:w="2280" w:type="dxa"/>
            <w:vAlign w:val="bottom"/>
            <w:gridSpan w:val="4"/>
          </w:tcPr>
          <w:p>
            <w:pPr>
              <w:ind w:left="180"/>
              <w:spacing w:after="0"/>
              <w:rPr>
                <w:sz w:val="20"/>
                <w:szCs w:val="20"/>
                <w:color w:val="auto"/>
              </w:rPr>
            </w:pPr>
            <w:r>
              <w:rPr>
                <w:rFonts w:ascii="Arial" w:cs="Arial" w:eastAsia="Arial" w:hAnsi="Arial"/>
                <w:sz w:val="18"/>
                <w:szCs w:val="18"/>
                <w:b w:val="1"/>
                <w:bCs w:val="1"/>
                <w:color w:val="auto"/>
              </w:rPr>
              <w:t>December 31, 2021</w:t>
            </w: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7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ind w:left="180"/>
              <w:spacing w:after="0"/>
              <w:rPr>
                <w:sz w:val="20"/>
                <w:szCs w:val="20"/>
                <w:color w:val="auto"/>
              </w:rPr>
            </w:pPr>
            <w:r>
              <w:rPr>
                <w:rFonts w:ascii="Arial" w:cs="Arial" w:eastAsia="Arial" w:hAnsi="Arial"/>
                <w:sz w:val="18"/>
                <w:szCs w:val="18"/>
                <w:color w:val="auto"/>
              </w:rPr>
              <w:t>Regulated</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1,079,180</w:t>
            </w:r>
          </w:p>
        </w:tc>
        <w:tc>
          <w:tcPr>
            <w:tcW w:w="820" w:type="dxa"/>
            <w:vAlign w:val="bottom"/>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1,022,116</w:t>
            </w:r>
          </w:p>
        </w:tc>
        <w:tc>
          <w:tcPr>
            <w:tcW w:w="5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 Regulated</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7,811</w:t>
            </w:r>
          </w:p>
        </w:tc>
        <w:tc>
          <w:tcPr>
            <w:tcW w:w="56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Inter-segment Elimination</w:t>
            </w: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691"/>
              <w:spacing w:after="0"/>
              <w:rPr>
                <w:sz w:val="20"/>
                <w:szCs w:val="20"/>
                <w:color w:val="auto"/>
              </w:rPr>
            </w:pPr>
            <w:r>
              <w:rPr>
                <w:rFonts w:ascii="Arial" w:cs="Arial" w:eastAsia="Arial" w:hAnsi="Arial"/>
                <w:sz w:val="18"/>
                <w:szCs w:val="18"/>
                <w:color w:val="auto"/>
                <w:w w:val="98"/>
              </w:rPr>
              <w:t>(11,729)</w:t>
            </w: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(9,912)</w:t>
            </w:r>
          </w:p>
        </w:tc>
        <w:tc>
          <w:tcPr>
            <w:tcW w:w="560" w:type="dxa"/>
            <w:vAlign w:val="bottom"/>
          </w:tcPr>
          <w:p>
            <w:pPr>
              <w:spacing w:after="0"/>
              <w:rPr>
                <w:sz w:val="18"/>
                <w:szCs w:val="18"/>
                <w:color w:val="auto"/>
              </w:rPr>
            </w:pP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7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1,074,450</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1,020,015</w:t>
            </w:r>
          </w:p>
        </w:tc>
        <w:tc>
          <w:tcPr>
            <w:tcW w:w="560" w:type="dxa"/>
            <w:vAlign w:val="bottom"/>
          </w:tcPr>
          <w:p>
            <w:pPr>
              <w:spacing w:after="0"/>
              <w:rPr>
                <w:sz w:val="18"/>
                <w:szCs w:val="18"/>
                <w:color w:val="auto"/>
              </w:rPr>
            </w:pPr>
          </w:p>
        </w:tc>
      </w:tr>
      <w:tr>
        <w:trPr>
          <w:trHeight w:val="426"/>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Note 9 - Quarterly Data - Unaudited</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5380" w:type="dxa"/>
            <w:vAlign w:val="bottom"/>
            <w:gridSpan w:val="5"/>
          </w:tcPr>
          <w:p>
            <w:pPr>
              <w:spacing w:after="0"/>
              <w:rPr>
                <w:sz w:val="20"/>
                <w:szCs w:val="20"/>
                <w:color w:val="auto"/>
              </w:rPr>
            </w:pPr>
            <w:r>
              <w:rPr>
                <w:rFonts w:ascii="Arial" w:cs="Arial" w:eastAsia="Arial" w:hAnsi="Arial"/>
                <w:sz w:val="18"/>
                <w:szCs w:val="18"/>
                <w:color w:val="auto"/>
                <w:w w:val="97"/>
              </w:rPr>
              <w:t>Financial information for each quarter of 2022 and 2021 is as follows: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7"/>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60" w:type="dxa"/>
            <w:vAlign w:val="bottom"/>
            <w:gridSpan w:val="6"/>
          </w:tcPr>
          <w:p>
            <w:pPr>
              <w:jc w:val="center"/>
              <w:ind w:right="191"/>
              <w:spacing w:after="0"/>
              <w:rPr>
                <w:sz w:val="20"/>
                <w:szCs w:val="20"/>
                <w:color w:val="auto"/>
              </w:rPr>
            </w:pPr>
            <w:r>
              <w:rPr>
                <w:rFonts w:ascii="Arial" w:cs="Arial" w:eastAsia="Arial" w:hAnsi="Arial"/>
                <w:sz w:val="18"/>
                <w:szCs w:val="18"/>
                <w:b w:val="1"/>
                <w:bCs w:val="1"/>
                <w:color w:val="auto"/>
                <w:w w:val="90"/>
              </w:rPr>
              <w:t>(Thousands of Dollars, Except per Share Data)</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71"/>
        </w:trPr>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2022</w:t>
            </w:r>
          </w:p>
        </w:tc>
        <w:tc>
          <w:tcPr>
            <w:tcW w:w="18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52"/>
              <w:spacing w:after="0" w:line="271" w:lineRule="exact"/>
              <w:rPr>
                <w:sz w:val="20"/>
                <w:szCs w:val="20"/>
                <w:color w:val="auto"/>
              </w:rPr>
            </w:pPr>
            <w:r>
              <w:rPr>
                <w:rFonts w:ascii="Arial" w:cs="Arial" w:eastAsia="Arial" w:hAnsi="Arial"/>
                <w:sz w:val="31"/>
                <w:szCs w:val="31"/>
                <w:b w:val="1"/>
                <w:bCs w:val="1"/>
                <w:color w:val="auto"/>
                <w:vertAlign w:val="subscript"/>
              </w:rPr>
              <w:t>1</w:t>
            </w:r>
            <w:r>
              <w:rPr>
                <w:rFonts w:ascii="Arial" w:cs="Arial" w:eastAsia="Arial" w:hAnsi="Arial"/>
                <w:sz w:val="14"/>
                <w:szCs w:val="14"/>
                <w:b w:val="1"/>
                <w:bCs w:val="1"/>
                <w:color w:val="auto"/>
              </w:rPr>
              <w:t>st</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92"/>
              <w:spacing w:after="0" w:line="271" w:lineRule="exact"/>
              <w:rPr>
                <w:sz w:val="20"/>
                <w:szCs w:val="20"/>
                <w:color w:val="auto"/>
              </w:rPr>
            </w:pPr>
            <w:r>
              <w:rPr>
                <w:rFonts w:ascii="Arial" w:cs="Arial" w:eastAsia="Arial" w:hAnsi="Arial"/>
                <w:sz w:val="31"/>
                <w:szCs w:val="31"/>
                <w:b w:val="1"/>
                <w:bCs w:val="1"/>
                <w:color w:val="auto"/>
                <w:vertAlign w:val="subscript"/>
              </w:rPr>
              <w:t>2</w:t>
            </w:r>
            <w:r>
              <w:rPr>
                <w:rFonts w:ascii="Arial" w:cs="Arial" w:eastAsia="Arial" w:hAnsi="Arial"/>
                <w:sz w:val="14"/>
                <w:szCs w:val="14"/>
                <w:b w:val="1"/>
                <w:bCs w:val="1"/>
                <w:color w:val="auto"/>
              </w:rPr>
              <w:t>nd</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ind w:left="500"/>
              <w:spacing w:after="0" w:line="271" w:lineRule="exact"/>
              <w:rPr>
                <w:sz w:val="20"/>
                <w:szCs w:val="20"/>
                <w:color w:val="auto"/>
              </w:rPr>
            </w:pPr>
            <w:r>
              <w:rPr>
                <w:rFonts w:ascii="Arial" w:cs="Arial" w:eastAsia="Arial" w:hAnsi="Arial"/>
                <w:sz w:val="31"/>
                <w:szCs w:val="31"/>
                <w:b w:val="1"/>
                <w:bCs w:val="1"/>
                <w:color w:val="auto"/>
                <w:vertAlign w:val="subscript"/>
              </w:rPr>
              <w:t>3</w:t>
            </w:r>
            <w:r>
              <w:rPr>
                <w:rFonts w:ascii="Arial" w:cs="Arial" w:eastAsia="Arial" w:hAnsi="Arial"/>
                <w:sz w:val="14"/>
                <w:szCs w:val="14"/>
                <w:b w:val="1"/>
                <w:bCs w:val="1"/>
                <w:color w:val="auto"/>
              </w:rPr>
              <w:t>rd</w:t>
            </w: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11"/>
              <w:spacing w:after="0" w:line="271" w:lineRule="exact"/>
              <w:rPr>
                <w:sz w:val="20"/>
                <w:szCs w:val="20"/>
                <w:color w:val="auto"/>
              </w:rPr>
            </w:pPr>
            <w:r>
              <w:rPr>
                <w:rFonts w:ascii="Arial" w:cs="Arial" w:eastAsia="Arial" w:hAnsi="Arial"/>
                <w:sz w:val="31"/>
                <w:szCs w:val="31"/>
                <w:b w:val="1"/>
                <w:bCs w:val="1"/>
                <w:color w:val="auto"/>
                <w:w w:val="80"/>
                <w:vertAlign w:val="subscript"/>
              </w:rPr>
              <w:t>4</w:t>
            </w:r>
            <w:r>
              <w:rPr>
                <w:rFonts w:ascii="Arial" w:cs="Arial" w:eastAsia="Arial" w:hAnsi="Arial"/>
                <w:sz w:val="14"/>
                <w:szCs w:val="14"/>
                <w:b w:val="1"/>
                <w:bCs w:val="1"/>
                <w:color w:val="auto"/>
                <w:w w:val="80"/>
              </w:rPr>
              <w:t>th</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36,196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39,683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47,732</w:t>
            </w:r>
          </w:p>
        </w:tc>
        <w:tc>
          <w:tcPr>
            <w:tcW w:w="6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38,823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162,434</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Gain on Sale of Subsidiary</w:t>
            </w:r>
          </w:p>
        </w:tc>
        <w:tc>
          <w:tcPr>
            <w:tcW w:w="74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5,232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5,232</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12,523</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16,575</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8,146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47,332</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12,100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8,868</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14,291</w:t>
            </w:r>
          </w:p>
        </w:tc>
        <w:tc>
          <w:tcPr>
            <w:tcW w:w="6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7,169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42,428</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6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680" w:type="dxa"/>
            <w:vAlign w:val="bottom"/>
          </w:tcPr>
          <w:p>
            <w:pPr>
              <w:jc w:val="right"/>
              <w:ind w:right="49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0.81</w:t>
            </w:r>
          </w:p>
        </w:tc>
        <w:tc>
          <w:tcPr>
            <w:tcW w:w="6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Dividend Per 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0.2900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0.2900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0.2900</w:t>
            </w:r>
          </w:p>
        </w:tc>
        <w:tc>
          <w:tcPr>
            <w:tcW w:w="6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0.3125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1.1825</w:t>
            </w: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High/Low Common Stock Price</w:t>
            </w:r>
          </w:p>
        </w:tc>
        <w:tc>
          <w:tcPr>
            <w:tcW w:w="7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w w:val="89"/>
              </w:rPr>
              <w:t>$94.56/$121.10</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w w:val="92"/>
              </w:rPr>
              <w:t>$75.77/$108.27</w:t>
            </w:r>
          </w:p>
        </w:tc>
        <w:tc>
          <w:tcPr>
            <w:tcW w:w="14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$77.08/$96.19</w:t>
            </w:r>
          </w:p>
        </w:tc>
        <w:tc>
          <w:tcPr>
            <w:tcW w:w="1460" w:type="dxa"/>
            <w:vAlign w:val="bottom"/>
            <w:gridSpan w:val="2"/>
          </w:tcPr>
          <w:p>
            <w:pPr>
              <w:jc w:val="right"/>
              <w:ind w:right="11"/>
              <w:spacing w:after="0"/>
              <w:rPr>
                <w:sz w:val="20"/>
                <w:szCs w:val="20"/>
                <w:color w:val="auto"/>
              </w:rPr>
            </w:pPr>
            <w:r>
              <w:rPr>
                <w:rFonts w:ascii="Arial" w:cs="Arial" w:eastAsia="Arial" w:hAnsi="Arial"/>
                <w:sz w:val="18"/>
                <w:szCs w:val="18"/>
                <w:color w:val="auto"/>
              </w:rPr>
              <w:t>$74.20/$95.82</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58"/>
        </w:trPr>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2021</w:t>
            </w: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35"/>
                <w:szCs w:val="35"/>
                <w:b w:val="1"/>
                <w:bCs w:val="1"/>
                <w:color w:val="auto"/>
                <w:vertAlign w:val="subscript"/>
              </w:rPr>
              <w:t>1</w:t>
            </w:r>
            <w:r>
              <w:rPr>
                <w:rFonts w:ascii="Arial" w:cs="Arial" w:eastAsia="Arial" w:hAnsi="Arial"/>
                <w:sz w:val="15"/>
                <w:szCs w:val="15"/>
                <w:b w:val="1"/>
                <w:bCs w:val="1"/>
                <w:color w:val="auto"/>
              </w:rPr>
              <w:t>st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35"/>
                <w:szCs w:val="35"/>
                <w:b w:val="1"/>
                <w:bCs w:val="1"/>
                <w:color w:val="auto"/>
                <w:vertAlign w:val="subscript"/>
              </w:rPr>
              <w:t>2</w:t>
            </w:r>
            <w:r>
              <w:rPr>
                <w:rFonts w:ascii="Arial" w:cs="Arial" w:eastAsia="Arial" w:hAnsi="Arial"/>
                <w:sz w:val="15"/>
                <w:szCs w:val="15"/>
                <w:b w:val="1"/>
                <w:bCs w:val="1"/>
                <w:color w:val="auto"/>
              </w:rPr>
              <w:t>nd</w:t>
            </w: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center"/>
              <w:ind w:left="313"/>
              <w:spacing w:after="0"/>
              <w:rPr>
                <w:sz w:val="20"/>
                <w:szCs w:val="20"/>
                <w:color w:val="auto"/>
              </w:rPr>
            </w:pPr>
            <w:r>
              <w:rPr>
                <w:rFonts w:ascii="Arial" w:cs="Arial" w:eastAsia="Arial" w:hAnsi="Arial"/>
                <w:sz w:val="35"/>
                <w:szCs w:val="35"/>
                <w:b w:val="1"/>
                <w:bCs w:val="1"/>
                <w:color w:val="auto"/>
                <w:w w:val="85"/>
                <w:vertAlign w:val="subscript"/>
              </w:rPr>
              <w:t>3</w:t>
            </w:r>
            <w:r>
              <w:rPr>
                <w:rFonts w:ascii="Arial" w:cs="Arial" w:eastAsia="Arial" w:hAnsi="Arial"/>
                <w:sz w:val="15"/>
                <w:szCs w:val="15"/>
                <w:b w:val="1"/>
                <w:bCs w:val="1"/>
                <w:color w:val="auto"/>
                <w:w w:val="85"/>
              </w:rPr>
              <w:t>rd</w:t>
            </w:r>
          </w:p>
        </w:tc>
        <w:tc>
          <w:tcPr>
            <w:tcW w:w="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35"/>
                <w:szCs w:val="35"/>
                <w:b w:val="1"/>
                <w:bCs w:val="1"/>
                <w:color w:val="auto"/>
                <w:vertAlign w:val="subscript"/>
              </w:rPr>
              <w:t>4</w:t>
            </w:r>
            <w:r>
              <w:rPr>
                <w:rFonts w:ascii="Arial" w:cs="Arial" w:eastAsia="Arial" w:hAnsi="Arial"/>
                <w:sz w:val="15"/>
                <w:szCs w:val="15"/>
                <w:b w:val="1"/>
                <w:bCs w:val="1"/>
                <w:color w:val="auto"/>
              </w:rPr>
              <w:t>th</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32,541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36,701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39,874</w:t>
            </w:r>
          </w:p>
        </w:tc>
        <w:tc>
          <w:tcPr>
            <w:tcW w:w="6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34,025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143,141</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740" w:type="dxa"/>
            <w:vAlign w:val="bottom"/>
          </w:tcPr>
          <w:p>
            <w:pPr>
              <w:spacing w:after="0"/>
              <w:rPr>
                <w:sz w:val="18"/>
                <w:szCs w:val="18"/>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5,634</w:t>
            </w:r>
          </w:p>
        </w:tc>
        <w:tc>
          <w:tcPr>
            <w:tcW w:w="240" w:type="dxa"/>
            <w:vAlign w:val="bottom"/>
          </w:tcPr>
          <w:p>
            <w:pPr>
              <w:spacing w:after="0"/>
              <w:rPr>
                <w:sz w:val="18"/>
                <w:szCs w:val="18"/>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9,814</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11,424</w:t>
            </w:r>
          </w:p>
        </w:tc>
        <w:tc>
          <w:tcPr>
            <w:tcW w:w="64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6,339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33,211</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6,907</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10,923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11,476</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36,543</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0.62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0.65</w:t>
            </w:r>
          </w:p>
        </w:tc>
        <w:tc>
          <w:tcPr>
            <w:tcW w:w="6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0.65</w:t>
            </w:r>
          </w:p>
        </w:tc>
        <w:tc>
          <w:tcPr>
            <w:tcW w:w="64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Common Dividend Per Share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0.2725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0.2725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0.2725</w:t>
            </w:r>
          </w:p>
        </w:tc>
        <w:tc>
          <w:tcPr>
            <w:tcW w:w="64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0.2900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1.1075</w:t>
            </w:r>
          </w:p>
        </w:tc>
      </w:tr>
      <w:tr>
        <w:trPr>
          <w:trHeight w:val="216"/>
        </w:trPr>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High/Low Common Stock Price</w:t>
            </w: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$85.92/$67.09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2"/>
              </w:rPr>
              <w:t>$88.61/$77.31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2"/>
              </w:rPr>
              <w:t>$116.40/$81.02</w:t>
            </w:r>
          </w:p>
        </w:tc>
        <w:tc>
          <w:tcPr>
            <w:tcW w:w="14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$119.37/$98.12</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information above, in the opinion of the Company, includes all adjustments consisting only of normal recurring accruals necessary for a fair presentation of such amounts. The business of the Company is subject to seasonal fluctuation with the peak period usually occurring during the summer months. The quarterly earnings per share amounts above may differ slightly from previous filings due to the effects of rounding.</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8"/>
        <w:spacing w:after="0" w:line="296" w:lineRule="auto"/>
        <w:tabs>
          <w:tab w:leader="none" w:pos="261"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quarter ended December 31, 2022. Based upon that evaluation the Company’s Chief Executive Officer and the Company’s Chief Financial Officer concluded:</w:t>
      </w: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Disclosure controls and procedures were effective as of the end of the period covered by this report.</w:t>
      </w:r>
    </w:p>
    <w:p>
      <w:pPr>
        <w:spacing w:after="0" w:line="9" w:lineRule="exact"/>
        <w:rPr>
          <w:rFonts w:ascii="Arial" w:cs="Arial" w:eastAsia="Arial" w:hAnsi="Arial"/>
          <w:sz w:val="18"/>
          <w:szCs w:val="18"/>
          <w:color w:val="auto"/>
        </w:rPr>
      </w:pPr>
    </w:p>
    <w:p>
      <w:pPr>
        <w:ind w:left="340" w:right="20" w:hanging="8"/>
        <w:spacing w:after="0" w:line="250" w:lineRule="auto"/>
        <w:tabs>
          <w:tab w:leader="none" w:pos="5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changes in internal control over financial reporting occurred during our most recent fiscal quarter that has materially affected, or are reasonably likely to materially affect, internal control over financial reporting.</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Accordingly, management believes the consolidated financial statements included in this report fairly present in all material respects our financial condition, results of operations and cash flows for the periods presented.</w:t>
      </w:r>
    </w:p>
    <w:p>
      <w:pPr>
        <w:spacing w:after="0" w:line="181"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management of Middlesex Water Company (Middlesex or the Company) is responsible for establishing and maintaining adequate internal control over financial reporting as defined in Exchange Act Rule 13A-15(f) and 15d-15(f). Middlesex’s internal control system was designed to provide reasonable assurance to the Company’s management and Board of Directors of adequate preparation and fair presentation of the published financial statements.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All internal control systems, no matter how well designed, have inherent limitations. Therefore, even those systems determined to be effective can provide only reasonable assurance with respect to the adequacy of financial statement preparation and presentation. Middlesex’s management assessed the effectiveness of the Company’s internal control over financial reporting as of December 31, 2022.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Based on our assessment, we believe that as of December 31, 2022, the Company’s internal control over financial reporting is operating as designed and is effective based on those criteria.</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Middlesex’s independent registered public accounting firm (PCAOB ID 23) has audited the effectiveness of our internal control over financial reporting as of December 31, 2022 as stated in their report which is included herein.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w w:val="92"/>
              </w:rPr>
              <w:t>/s/ Dennis W. Doll</w:t>
            </w:r>
          </w:p>
        </w:tc>
        <w:tc>
          <w:tcPr>
            <w:tcW w:w="3080" w:type="dxa"/>
            <w:vAlign w:val="bottom"/>
          </w:tcPr>
          <w:p>
            <w:pPr>
              <w:spacing w:after="0"/>
              <w:rPr>
                <w:sz w:val="17"/>
                <w:szCs w:val="17"/>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 A. Bruce O’Connor</w:t>
            </w:r>
          </w:p>
        </w:tc>
      </w:tr>
      <w:tr>
        <w:trPr>
          <w:trHeight w:val="20"/>
        </w:trPr>
        <w:tc>
          <w:tcPr>
            <w:tcW w:w="1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2"/>
        </w:trPr>
        <w:tc>
          <w:tcPr>
            <w:tcW w:w="5640" w:type="dxa"/>
            <w:vAlign w:val="bottom"/>
            <w:gridSpan w:val="3"/>
          </w:tcPr>
          <w:p>
            <w:pPr>
              <w:ind w:left="1140"/>
              <w:spacing w:after="0"/>
              <w:rPr>
                <w:sz w:val="20"/>
                <w:szCs w:val="20"/>
                <w:color w:val="auto"/>
              </w:rPr>
            </w:pPr>
            <w:r>
              <w:rPr>
                <w:rFonts w:ascii="Arial" w:cs="Arial" w:eastAsia="Arial" w:hAnsi="Arial"/>
                <w:sz w:val="18"/>
                <w:szCs w:val="18"/>
                <w:color w:val="auto"/>
              </w:rPr>
              <w:t>Dennis W. Doll</w:t>
            </w:r>
          </w:p>
        </w:tc>
        <w:tc>
          <w:tcPr>
            <w:tcW w:w="2620" w:type="dxa"/>
            <w:vAlign w:val="bottom"/>
            <w:gridSpan w:val="2"/>
          </w:tcPr>
          <w:p>
            <w:pPr>
              <w:spacing w:after="0"/>
              <w:rPr>
                <w:sz w:val="20"/>
                <w:szCs w:val="20"/>
                <w:color w:val="auto"/>
              </w:rPr>
            </w:pPr>
            <w:r>
              <w:rPr>
                <w:rFonts w:ascii="Arial" w:cs="Arial" w:eastAsia="Arial" w:hAnsi="Arial"/>
                <w:sz w:val="18"/>
                <w:szCs w:val="18"/>
                <w:color w:val="auto"/>
              </w:rPr>
              <w:t>A. Bruce O’Connor</w:t>
            </w:r>
          </w:p>
        </w:tc>
      </w:tr>
      <w:tr>
        <w:trPr>
          <w:trHeight w:val="216"/>
        </w:trPr>
        <w:tc>
          <w:tcPr>
            <w:tcW w:w="5640" w:type="dxa"/>
            <w:vAlign w:val="bottom"/>
            <w:gridSpan w:val="3"/>
          </w:tcPr>
          <w:p>
            <w:pPr>
              <w:ind w:left="1140"/>
              <w:spacing w:after="0"/>
              <w:rPr>
                <w:sz w:val="20"/>
                <w:szCs w:val="20"/>
                <w:color w:val="auto"/>
              </w:rPr>
            </w:pPr>
            <w:r>
              <w:rPr>
                <w:rFonts w:ascii="Arial" w:cs="Arial" w:eastAsia="Arial" w:hAnsi="Arial"/>
                <w:sz w:val="18"/>
                <w:szCs w:val="18"/>
                <w:color w:val="auto"/>
              </w:rPr>
              <w:t>President and</w:t>
            </w:r>
          </w:p>
        </w:tc>
        <w:tc>
          <w:tcPr>
            <w:tcW w:w="2620" w:type="dxa"/>
            <w:vAlign w:val="bottom"/>
            <w:gridSpan w:val="2"/>
          </w:tcPr>
          <w:p>
            <w:pPr>
              <w:spacing w:after="0"/>
              <w:rPr>
                <w:sz w:val="20"/>
                <w:szCs w:val="20"/>
                <w:color w:val="auto"/>
              </w:rPr>
            </w:pPr>
            <w:r>
              <w:rPr>
                <w:rFonts w:ascii="Arial" w:cs="Arial" w:eastAsia="Arial" w:hAnsi="Arial"/>
                <w:sz w:val="18"/>
                <w:szCs w:val="18"/>
                <w:color w:val="auto"/>
                <w:w w:val="87"/>
              </w:rPr>
              <w:t>Senior Vice President, Treasurer and</w:t>
            </w:r>
          </w:p>
        </w:tc>
      </w:tr>
      <w:tr>
        <w:trPr>
          <w:trHeight w:val="230"/>
        </w:trPr>
        <w:tc>
          <w:tcPr>
            <w:tcW w:w="5640" w:type="dxa"/>
            <w:vAlign w:val="bottom"/>
            <w:gridSpan w:val="3"/>
          </w:tcPr>
          <w:p>
            <w:pPr>
              <w:ind w:left="1140"/>
              <w:spacing w:after="0"/>
              <w:rPr>
                <w:sz w:val="20"/>
                <w:szCs w:val="20"/>
                <w:color w:val="auto"/>
              </w:rPr>
            </w:pPr>
            <w:r>
              <w:rPr>
                <w:rFonts w:ascii="Arial" w:cs="Arial" w:eastAsia="Arial" w:hAnsi="Arial"/>
                <w:sz w:val="18"/>
                <w:szCs w:val="18"/>
                <w:color w:val="auto"/>
              </w:rPr>
              <w:t>Chief Executive Officer</w:t>
            </w:r>
          </w:p>
        </w:tc>
        <w:tc>
          <w:tcPr>
            <w:tcW w:w="26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5640" w:type="dxa"/>
            <w:vAlign w:val="bottom"/>
            <w:gridSpan w:val="3"/>
          </w:tcPr>
          <w:p>
            <w:pPr>
              <w:spacing w:after="0"/>
              <w:rPr>
                <w:sz w:val="20"/>
                <w:szCs w:val="20"/>
                <w:color w:val="auto"/>
              </w:rPr>
            </w:pPr>
            <w:r>
              <w:rPr>
                <w:rFonts w:ascii="Arial" w:cs="Arial" w:eastAsia="Arial" w:hAnsi="Arial"/>
                <w:sz w:val="18"/>
                <w:szCs w:val="18"/>
                <w:color w:val="auto"/>
              </w:rPr>
              <w:t>Iselin, New Jersey</w:t>
            </w: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5640" w:type="dxa"/>
            <w:vAlign w:val="bottom"/>
            <w:gridSpan w:val="3"/>
          </w:tcPr>
          <w:p>
            <w:pPr>
              <w:spacing w:after="0"/>
              <w:rPr>
                <w:sz w:val="20"/>
                <w:szCs w:val="20"/>
                <w:color w:val="auto"/>
              </w:rPr>
            </w:pPr>
            <w:r>
              <w:rPr>
                <w:rFonts w:ascii="Arial" w:cs="Arial" w:eastAsia="Arial" w:hAnsi="Arial"/>
                <w:sz w:val="18"/>
                <w:szCs w:val="18"/>
                <w:color w:val="auto"/>
              </w:rPr>
              <w:t>February 24, 2023</w:t>
            </w:r>
          </w:p>
        </w:tc>
        <w:tc>
          <w:tcPr>
            <w:tcW w:w="162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Directors of Middlesex Water Company is included in Middlesex Water Company’s Proxy Statement for the 2023 Annual Meeting of Stockholders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Executive Officers of Middlesex Water Company is included under Item 1. in Part I of this Annual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2022 Annual Meeting of Stockholders and is incorporated herein by reference.</w:t>
      </w:r>
    </w:p>
    <w:p>
      <w:pPr>
        <w:spacing w:after="0" w:line="166" w:lineRule="exact"/>
        <w:rPr>
          <w:sz w:val="20"/>
          <w:szCs w:val="20"/>
          <w:color w:val="auto"/>
        </w:rPr>
      </w:pPr>
    </w:p>
    <w:p>
      <w:pPr>
        <w:ind w:left="1140" w:right="2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2023 Annual Meeting of Stockholders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2023 Annual Meeting of Stockholders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2023 Annual Meeting of Stockholders and is incorporated herein by reference.</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11" w:lineRule="exact"/>
        <w:rPr>
          <w:sz w:val="20"/>
          <w:szCs w:val="20"/>
          <w:color w:val="auto"/>
        </w:rPr>
      </w:pPr>
    </w:p>
    <w:p>
      <w:pPr>
        <w:ind w:left="900" w:right="2020" w:hanging="892"/>
        <w:spacing w:after="0" w:line="375" w:lineRule="auto"/>
        <w:tabs>
          <w:tab w:leader="none" w:pos="8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following Financial Statements and Supplementary Data are included in Part II- Item 8. of this Annual Report: </w:t>
      </w:r>
      <w:r>
        <w:rPr>
          <w:rFonts w:ascii="Arial" w:cs="Arial" w:eastAsia="Arial" w:hAnsi="Arial"/>
          <w:sz w:val="18"/>
          <w:szCs w:val="18"/>
          <w:u w:val="single" w:color="auto"/>
          <w:color w:val="0000EE"/>
        </w:rPr>
        <w:t>Consolidated Balance Sheets at December 31, 2022 and 2021.</w:t>
      </w:r>
    </w:p>
    <w:p>
      <w:pPr>
        <w:spacing w:after="0" w:line="1" w:lineRule="exact"/>
        <w:rPr>
          <w:rFonts w:ascii="Arial" w:cs="Arial" w:eastAsia="Arial" w:hAnsi="Arial"/>
          <w:sz w:val="18"/>
          <w:szCs w:val="18"/>
          <w:color w:val="auto"/>
        </w:rPr>
      </w:pPr>
    </w:p>
    <w:p>
      <w:pPr>
        <w:ind w:left="900" w:right="2580"/>
        <w:spacing w:after="0" w:line="563" w:lineRule="auto"/>
        <w:rPr>
          <w:rFonts w:ascii="Arial" w:cs="Arial" w:eastAsia="Arial" w:hAnsi="Arial"/>
          <w:sz w:val="18"/>
          <w:szCs w:val="18"/>
          <w:color w:val="auto"/>
        </w:rPr>
      </w:pPr>
      <w:r>
        <w:rPr>
          <w:rFonts w:ascii="Arial" w:cs="Arial" w:eastAsia="Arial" w:hAnsi="Arial"/>
          <w:sz w:val="16"/>
          <w:szCs w:val="16"/>
          <w:u w:val="single" w:color="auto"/>
          <w:color w:val="0000EE"/>
        </w:rPr>
        <w:t>Consolidated Statements of Income for each of the three years in the period ended December 31, 2022. Consolidated Statements of Cash Flows for each of the three years in the period ended December 31, 2022.</w:t>
      </w:r>
    </w:p>
    <w:p>
      <w:pPr>
        <w:ind w:left="900"/>
        <w:spacing w:after="0"/>
        <w:rPr>
          <w:rFonts w:ascii="Arial" w:cs="Arial" w:eastAsia="Arial" w:hAnsi="Arial"/>
          <w:sz w:val="18"/>
          <w:szCs w:val="18"/>
          <w:color w:val="auto"/>
        </w:rPr>
      </w:pPr>
      <w:r>
        <w:rPr>
          <w:rFonts w:ascii="Arial" w:cs="Arial" w:eastAsia="Arial" w:hAnsi="Arial"/>
          <w:sz w:val="18"/>
          <w:szCs w:val="18"/>
          <w:u w:val="single" w:color="auto"/>
          <w:color w:val="0000EE"/>
        </w:rPr>
        <w:t>Consolidated Statements of Capital Stock and Long-term Debt as of December 31, 2022 and 2021.</w:t>
      </w:r>
    </w:p>
    <w:p>
      <w:pPr>
        <w:spacing w:after="0" w:line="117" w:lineRule="exact"/>
        <w:rPr>
          <w:rFonts w:ascii="Arial" w:cs="Arial" w:eastAsia="Arial" w:hAnsi="Arial"/>
          <w:sz w:val="18"/>
          <w:szCs w:val="18"/>
          <w:color w:val="auto"/>
        </w:rPr>
      </w:pPr>
    </w:p>
    <w:p>
      <w:pPr>
        <w:ind w:left="900" w:right="1180" w:firstLine="4"/>
        <w:spacing w:after="0" w:line="402" w:lineRule="auto"/>
        <w:rPr>
          <w:rFonts w:ascii="Arial" w:cs="Arial" w:eastAsia="Arial" w:hAnsi="Arial"/>
          <w:sz w:val="18"/>
          <w:szCs w:val="18"/>
          <w:color w:val="auto"/>
        </w:rPr>
      </w:pPr>
      <w:r>
        <w:rPr>
          <w:rFonts w:ascii="Arial" w:cs="Arial" w:eastAsia="Arial" w:hAnsi="Arial"/>
          <w:sz w:val="18"/>
          <w:szCs w:val="18"/>
          <w:u w:val="single" w:color="auto"/>
          <w:color w:val="0000EE"/>
        </w:rPr>
        <w:t>Consolidated Statements of Common Stockholders’ Equity for each of the three years in the period ended December 31, 2022. Notes to Consolidated Financial Statements.</w:t>
      </w:r>
    </w:p>
    <w:p>
      <w:pPr>
        <w:spacing w:after="0" w:line="62" w:lineRule="exact"/>
        <w:rPr>
          <w:rFonts w:ascii="Arial" w:cs="Arial" w:eastAsia="Arial" w:hAnsi="Arial"/>
          <w:sz w:val="18"/>
          <w:szCs w:val="18"/>
          <w:color w:val="auto"/>
        </w:rPr>
      </w:pPr>
    </w:p>
    <w:p>
      <w:pPr>
        <w:ind w:left="900" w:hanging="892"/>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25" w:lineRule="exact"/>
        <w:rPr>
          <w:rFonts w:ascii="Arial" w:cs="Arial" w:eastAsia="Arial" w:hAnsi="Arial"/>
          <w:sz w:val="18"/>
          <w:szCs w:val="18"/>
          <w:color w:val="auto"/>
        </w:rPr>
      </w:pPr>
    </w:p>
    <w:p>
      <w:pPr>
        <w:ind w:left="90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because of the absence of the conditions under which they are required or because the required information is shown in the financial statements or notes thereto.</w:t>
      </w:r>
    </w:p>
    <w:p>
      <w:pPr>
        <w:spacing w:after="0" w:line="170" w:lineRule="exact"/>
        <w:rPr>
          <w:rFonts w:ascii="Arial" w:cs="Arial" w:eastAsia="Arial" w:hAnsi="Arial"/>
          <w:sz w:val="18"/>
          <w:szCs w:val="18"/>
          <w:color w:val="auto"/>
        </w:rPr>
      </w:pPr>
    </w:p>
    <w:p>
      <w:pPr>
        <w:ind w:left="900" w:hanging="892"/>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See Exhibit listing immediately following the signature page.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5180" w:type="dxa"/>
            <w:vAlign w:val="bottom"/>
          </w:tcPr>
          <w:p>
            <w:pPr>
              <w:spacing w:after="0"/>
              <w:rPr>
                <w:sz w:val="20"/>
                <w:szCs w:val="20"/>
                <w:color w:val="auto"/>
              </w:rPr>
            </w:pPr>
            <w:r>
              <w:rPr>
                <w:rFonts w:ascii="Arial" w:cs="Arial" w:eastAsia="Arial" w:hAnsi="Arial"/>
                <w:sz w:val="18"/>
                <w:szCs w:val="18"/>
                <w:color w:val="auto"/>
              </w:rPr>
              <w:t>February 24, 2023</w:t>
            </w: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indicated on February 24,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Bruce O’Connor</w:t>
            </w:r>
          </w:p>
        </w:tc>
        <w:tc>
          <w:tcPr>
            <w:tcW w:w="5400" w:type="dxa"/>
            <w:vAlign w:val="bottom"/>
          </w:tcPr>
          <w:p>
            <w:pPr>
              <w:spacing w:after="0"/>
              <w:rPr>
                <w:sz w:val="20"/>
                <w:szCs w:val="20"/>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A. Bruce O’Connor</w:t>
            </w:r>
          </w:p>
        </w:tc>
        <w:tc>
          <w:tcPr>
            <w:tcW w:w="54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Treasurer and Chief Financial Officer</w:t>
            </w:r>
          </w:p>
        </w:tc>
        <w:tc>
          <w:tcPr>
            <w:tcW w:w="54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54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c>
          <w:tcPr>
            <w:tcW w:w="540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Dennis W. Doll</w:t>
            </w:r>
          </w:p>
        </w:tc>
        <w:tc>
          <w:tcPr>
            <w:tcW w:w="5400" w:type="dxa"/>
            <w:vAlign w:val="bottom"/>
          </w:tcPr>
          <w:p>
            <w:pPr>
              <w:spacing w:after="0"/>
              <w:rPr>
                <w:sz w:val="16"/>
                <w:szCs w:val="16"/>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1"/>
              </w:rPr>
              <w:t>Chairman of the Board, President, Chief Executive Officer and Director</w:t>
            </w:r>
          </w:p>
        </w:tc>
        <w:tc>
          <w:tcPr>
            <w:tcW w:w="540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4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Bershad, M.D.</w:t>
            </w:r>
          </w:p>
        </w:tc>
        <w:tc>
          <w:tcPr>
            <w:tcW w:w="540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Joshua Bershad, M.D.</w:t>
            </w:r>
          </w:p>
        </w:tc>
        <w:tc>
          <w:tcPr>
            <w:tcW w:w="540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4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Cosgrove Jr.</w:t>
            </w:r>
          </w:p>
        </w:tc>
        <w:tc>
          <w:tcPr>
            <w:tcW w:w="540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James F. Cosgrove Jr.</w:t>
            </w:r>
          </w:p>
        </w:tc>
        <w:tc>
          <w:tcPr>
            <w:tcW w:w="540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4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C. Hanemann</w:t>
            </w:r>
          </w:p>
        </w:tc>
        <w:tc>
          <w:tcPr>
            <w:tcW w:w="540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Kim C. Hanemann</w:t>
            </w:r>
          </w:p>
        </w:tc>
        <w:tc>
          <w:tcPr>
            <w:tcW w:w="540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4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M. Klein</w:t>
            </w:r>
          </w:p>
        </w:tc>
        <w:tc>
          <w:tcPr>
            <w:tcW w:w="540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Steven M. Klein</w:t>
            </w:r>
          </w:p>
        </w:tc>
        <w:tc>
          <w:tcPr>
            <w:tcW w:w="540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4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B. Mansue</w:t>
            </w:r>
          </w:p>
        </w:tc>
        <w:tc>
          <w:tcPr>
            <w:tcW w:w="540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Amy B. Mansue</w:t>
            </w:r>
          </w:p>
        </w:tc>
        <w:tc>
          <w:tcPr>
            <w:tcW w:w="540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40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Vaughn L. McKoy</w:t>
            </w:r>
          </w:p>
        </w:tc>
        <w:tc>
          <w:tcPr>
            <w:tcW w:w="540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Vaughn L. McKoy</w:t>
            </w:r>
          </w:p>
        </w:tc>
        <w:tc>
          <w:tcPr>
            <w:tcW w:w="540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400" w:type="dxa"/>
            <w:vAlign w:val="bottom"/>
          </w:tcPr>
          <w:p>
            <w:pPr>
              <w:spacing w:after="0"/>
              <w:rPr>
                <w:sz w:val="20"/>
                <w:szCs w:val="20"/>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 L. Noble</w:t>
            </w:r>
          </w:p>
        </w:tc>
        <w:tc>
          <w:tcPr>
            <w:tcW w:w="540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Ann L. Noble</w:t>
            </w:r>
          </w:p>
        </w:tc>
        <w:tc>
          <w:tcPr>
            <w:tcW w:w="540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400" w:type="dxa"/>
            <w:vAlign w:val="bottom"/>
          </w:tcPr>
          <w:p>
            <w:pPr>
              <w:spacing w:after="0"/>
              <w:rPr>
                <w:sz w:val="20"/>
                <w:szCs w:val="20"/>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G. Reinhard</w:t>
            </w:r>
          </w:p>
        </w:tc>
        <w:tc>
          <w:tcPr>
            <w:tcW w:w="5400" w:type="dxa"/>
            <w:vAlign w:val="bottom"/>
          </w:tcPr>
          <w:p>
            <w:pPr>
              <w:spacing w:after="0"/>
              <w:rPr>
                <w:sz w:val="24"/>
                <w:szCs w:val="24"/>
                <w:color w:val="auto"/>
              </w:rPr>
            </w:pPr>
          </w:p>
        </w:tc>
      </w:tr>
      <w:tr>
        <w:trPr>
          <w:trHeight w:val="195"/>
        </w:trPr>
        <w:tc>
          <w:tcPr>
            <w:tcW w:w="66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Walter G. Reinhard</w:t>
            </w:r>
          </w:p>
        </w:tc>
        <w:tc>
          <w:tcPr>
            <w:tcW w:w="540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c>
          <w:tcPr>
            <w:tcW w:w="5400" w:type="dxa"/>
            <w:vAlign w:val="bottom"/>
          </w:tcPr>
          <w:p>
            <w:pPr>
              <w:spacing w:after="0"/>
              <w:rPr>
                <w:sz w:val="20"/>
                <w:szCs w:val="20"/>
                <w:color w:val="auto"/>
              </w:rPr>
            </w:pPr>
          </w:p>
        </w:tc>
      </w:tr>
      <w:tr>
        <w:trPr>
          <w:trHeight w:val="669"/>
        </w:trPr>
        <w:tc>
          <w:tcPr>
            <w:tcW w:w="6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ind w:left="4860"/>
              <w:spacing w:after="0"/>
              <w:rPr>
                <w:sz w:val="20"/>
                <w:szCs w:val="20"/>
                <w:color w:val="auto"/>
              </w:rPr>
            </w:pPr>
            <w:r>
              <w:rPr>
                <w:rFonts w:ascii="Arial" w:cs="Arial" w:eastAsia="Arial" w:hAnsi="Arial"/>
                <w:sz w:val="18"/>
                <w:szCs w:val="18"/>
                <w:color w:val="auto"/>
              </w:rPr>
              <w:t>71</w:t>
            </w: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Exhibits designated with an asterisk (*) are filed herewith. The exhibits not so designated have heretofore been filed with the Commission and are incorporated herein by reference to the documents indicated in the previous filing columns following the description of such exhibits. Exhibits designated with a dagger (t) are management contracts or compensatory plans.</w:t>
      </w:r>
    </w:p>
    <w:p>
      <w:pPr>
        <w:spacing w:after="0" w:line="180" w:lineRule="exact"/>
        <w:rPr>
          <w:sz w:val="20"/>
          <w:szCs w:val="20"/>
          <w:color w:val="auto"/>
        </w:rPr>
      </w:pPr>
    </w:p>
    <w:p>
      <w:pPr>
        <w:ind w:left="9000"/>
        <w:spacing w:after="0"/>
        <w:tabs>
          <w:tab w:leader="none" w:pos="10320" w:val="left"/>
        </w:tabs>
        <w:rPr>
          <w:sz w:val="20"/>
          <w:szCs w:val="20"/>
          <w:color w:val="auto"/>
        </w:rPr>
      </w:pPr>
      <w:r>
        <w:rPr>
          <w:rFonts w:ascii="Arial" w:cs="Arial" w:eastAsia="Arial" w:hAnsi="Arial"/>
          <w:sz w:val="18"/>
          <w:szCs w:val="18"/>
          <w:b w:val="1"/>
          <w:bCs w:val="1"/>
          <w:color w:val="auto"/>
        </w:rPr>
        <w:t>Previous</w:t>
      </w:r>
      <w:r>
        <w:rPr>
          <w:sz w:val="20"/>
          <w:szCs w:val="20"/>
          <w:color w:val="auto"/>
        </w:rPr>
        <w:tab/>
      </w:r>
      <w:r>
        <w:rPr>
          <w:rFonts w:ascii="Arial" w:cs="Arial" w:eastAsia="Arial" w:hAnsi="Arial"/>
          <w:sz w:val="18"/>
          <w:szCs w:val="18"/>
          <w:b w:val="1"/>
          <w:bCs w:val="1"/>
          <w:color w:val="auto"/>
        </w:rPr>
        <w:t>Filing’s</w:t>
      </w:r>
    </w:p>
    <w:p>
      <w:pPr>
        <w:spacing w:after="0" w:line="27" w:lineRule="exact"/>
        <w:rPr>
          <w:sz w:val="20"/>
          <w:szCs w:val="20"/>
          <w:color w:val="auto"/>
        </w:rPr>
      </w:pPr>
    </w:p>
    <w:p>
      <w:pPr>
        <w:ind w:left="8860"/>
        <w:spacing w:after="0"/>
        <w:tabs>
          <w:tab w:leader="none" w:pos="10320" w:val="left"/>
        </w:tabs>
        <w:rPr>
          <w:sz w:val="20"/>
          <w:szCs w:val="20"/>
          <w:color w:val="auto"/>
        </w:rPr>
      </w:pP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8"/>
          <w:szCs w:val="18"/>
          <w:b w:val="1"/>
          <w:bCs w:val="1"/>
          <w:color w:val="auto"/>
        </w:rPr>
        <w:t>Exhibit</w:t>
      </w:r>
    </w:p>
    <w:p>
      <w:pPr>
        <w:spacing w:after="0" w:line="9" w:lineRule="exact"/>
        <w:rPr>
          <w:sz w:val="20"/>
          <w:szCs w:val="20"/>
          <w:color w:val="auto"/>
        </w:rPr>
      </w:pPr>
    </w:p>
    <w:p>
      <w:pPr>
        <w:ind w:left="240"/>
        <w:spacing w:after="0"/>
        <w:tabs>
          <w:tab w:leader="none" w:pos="4120" w:val="left"/>
          <w:tab w:leader="none" w:pos="9180" w:val="left"/>
          <w:tab w:leader="none" w:pos="104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Document Description</w:t>
      </w:r>
      <w:r>
        <w:rPr>
          <w:sz w:val="20"/>
          <w:szCs w:val="20"/>
          <w:color w:val="auto"/>
        </w:rPr>
        <w:tab/>
      </w:r>
      <w:r>
        <w:rPr>
          <w:rFonts w:ascii="Arial" w:cs="Arial" w:eastAsia="Arial" w:hAnsi="Arial"/>
          <w:sz w:val="18"/>
          <w:szCs w:val="18"/>
          <w:b w:val="1"/>
          <w:bCs w:val="1"/>
          <w:color w:val="auto"/>
        </w:rPr>
        <w:t>No.</w:t>
      </w:r>
      <w:r>
        <w:rPr>
          <w:sz w:val="20"/>
          <w:szCs w:val="20"/>
          <w:color w:val="auto"/>
        </w:rPr>
        <w:tab/>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jc w:val="both"/>
        <w:ind w:left="1360" w:right="2600" w:hanging="786"/>
        <w:spacing w:after="0" w:line="258"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78">
        <w:r>
          <w:rPr>
            <w:rFonts w:ascii="Arial" w:cs="Arial" w:eastAsia="Arial" w:hAnsi="Arial"/>
            <w:sz w:val="18"/>
            <w:szCs w:val="18"/>
            <w:u w:val="single" w:color="auto"/>
            <w:color w:val="0000EE"/>
          </w:rPr>
          <w:t>The Restated Certificate of Incorporation, filed as Exhibit 3.1 to the Company’s Annual Report on</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Form 10-K for the Year ended December 31, 1998.</w:t>
        </w:r>
      </w:hyperlink>
    </w:p>
    <w:p>
      <w:pPr>
        <w:spacing w:after="0" w:line="1" w:lineRule="exact"/>
        <w:rPr>
          <w:sz w:val="20"/>
          <w:szCs w:val="20"/>
          <w:color w:val="auto"/>
        </w:rPr>
      </w:pPr>
    </w:p>
    <w:p>
      <w:pPr>
        <w:jc w:val="both"/>
        <w:ind w:left="1360" w:right="2580" w:hanging="786"/>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79">
        <w:r>
          <w:rPr>
            <w:rFonts w:ascii="Arial" w:cs="Arial" w:eastAsia="Arial" w:hAnsi="Arial"/>
            <w:sz w:val="18"/>
            <w:szCs w:val="18"/>
            <w:u w:val="single" w:color="auto"/>
            <w:color w:val="0000EE"/>
          </w:rPr>
          <w:t>Certificate of Amendment to the Restated Certificate of Incorporation, filed with the State of New</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Jersey on June 20, 1997, filed as Exhibit 3.1 to the Company’s Annual Report on Form 10-K for the</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year ended December 31, 1997.</w:t>
        </w:r>
      </w:hyperlink>
    </w:p>
    <w:p>
      <w:pPr>
        <w:spacing w:after="0" w:line="1" w:lineRule="exact"/>
        <w:rPr>
          <w:rFonts w:ascii="Arial" w:cs="Arial" w:eastAsia="Arial" w:hAnsi="Arial"/>
          <w:sz w:val="18"/>
          <w:szCs w:val="18"/>
          <w:u w:val="single" w:color="auto"/>
          <w:color w:val="0000EE"/>
        </w:rPr>
      </w:pPr>
    </w:p>
    <w:p>
      <w:pPr>
        <w:jc w:val="both"/>
        <w:ind w:left="1360" w:right="2580" w:hanging="786"/>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78">
        <w:r>
          <w:rPr>
            <w:rFonts w:ascii="Arial" w:cs="Arial" w:eastAsia="Arial" w:hAnsi="Arial"/>
            <w:sz w:val="18"/>
            <w:szCs w:val="18"/>
            <w:u w:val="single" w:color="auto"/>
            <w:color w:val="0000EE"/>
          </w:rPr>
          <w:t>Certificate of Amendment to the Restated Certificate of Incorporation, filed with the State of New</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Jersey on May 27, 1998, filed as Exhibit 3.1 to the Company’s Annual Report on Form 10-K for the</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year ended December 31, 1998.</w:t>
        </w:r>
      </w:hyperlink>
    </w:p>
    <w:p>
      <w:pPr>
        <w:spacing w:after="0" w:line="1" w:lineRule="exact"/>
        <w:rPr>
          <w:rFonts w:ascii="Arial" w:cs="Arial" w:eastAsia="Arial" w:hAnsi="Arial"/>
          <w:sz w:val="18"/>
          <w:szCs w:val="18"/>
          <w:u w:val="single" w:color="auto"/>
          <w:color w:val="0000EE"/>
        </w:rPr>
      </w:pPr>
    </w:p>
    <w:p>
      <w:pPr>
        <w:jc w:val="both"/>
        <w:ind w:left="1360" w:right="2580" w:hanging="786"/>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78">
        <w:r>
          <w:rPr>
            <w:rFonts w:ascii="Arial" w:cs="Arial" w:eastAsia="Arial" w:hAnsi="Arial"/>
            <w:sz w:val="18"/>
            <w:szCs w:val="18"/>
            <w:u w:val="single" w:color="auto"/>
            <w:color w:val="0000EE"/>
          </w:rPr>
          <w:t>Certificate of Amendment to the Restated Certificate of Incorporation, filed with the State of New</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Jersey on June 10, 1998, filed as Exhibit 3.1 to the Company’s Annual Report on Form 10-K for the</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year ended December 31, 1998.</w:t>
        </w:r>
      </w:hyperlink>
    </w:p>
    <w:p>
      <w:pPr>
        <w:spacing w:after="0" w:line="1" w:lineRule="exact"/>
        <w:rPr>
          <w:rFonts w:ascii="Arial" w:cs="Arial" w:eastAsia="Arial" w:hAnsi="Arial"/>
          <w:sz w:val="18"/>
          <w:szCs w:val="18"/>
          <w:u w:val="single" w:color="auto"/>
          <w:color w:val="0000EE"/>
        </w:rPr>
      </w:pPr>
    </w:p>
    <w:p>
      <w:pPr>
        <w:jc w:val="both"/>
        <w:ind w:left="1360" w:right="2580" w:hanging="786"/>
        <w:spacing w:after="0" w:line="250" w:lineRule="auto"/>
        <w:tabs>
          <w:tab w:leader="none" w:pos="1340" w:val="left"/>
        </w:tabs>
        <w:rPr>
          <w:rFonts w:ascii="Arial" w:cs="Arial" w:eastAsia="Arial" w:hAnsi="Arial"/>
          <w:sz w:val="18"/>
          <w:szCs w:val="18"/>
          <w:color w:val="0000EE"/>
        </w:rPr>
      </w:pPr>
      <w:r>
        <w:rPr>
          <w:rFonts w:ascii="Arial" w:cs="Arial" w:eastAsia="Arial" w:hAnsi="Arial"/>
          <w:sz w:val="18"/>
          <w:szCs w:val="18"/>
          <w:color w:val="auto"/>
        </w:rPr>
        <w:t>3.5</w:t>
      </w:r>
      <w:r>
        <w:rPr>
          <w:sz w:val="20"/>
          <w:szCs w:val="20"/>
          <w:color w:val="auto"/>
        </w:rPr>
        <w:tab/>
      </w:r>
      <w:hyperlink r:id="rId80">
        <w:r>
          <w:rPr>
            <w:rFonts w:ascii="Arial" w:cs="Arial" w:eastAsia="Arial" w:hAnsi="Arial"/>
            <w:sz w:val="18"/>
            <w:szCs w:val="18"/>
            <w:u w:val="single" w:color="auto"/>
            <w:color w:val="0000EE"/>
          </w:rPr>
          <w:t>Certificate of Correction of Middlesex Water Company filed with the State of New Jersey on</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April 30, 1999, filed as Exhibit 3.3 to the Company’s Annual Report on Form 10-K/A-2 for the year</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ended December 31, 2003</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EE"/>
        </w:rPr>
      </w:pPr>
    </w:p>
    <w:p>
      <w:pPr>
        <w:jc w:val="both"/>
        <w:ind w:left="1360" w:right="2580" w:hanging="786"/>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81">
        <w:r>
          <w:rPr>
            <w:rFonts w:ascii="Arial" w:cs="Arial" w:eastAsia="Arial" w:hAnsi="Arial"/>
            <w:sz w:val="18"/>
            <w:szCs w:val="18"/>
            <w:u w:val="single" w:color="auto"/>
            <w:color w:val="0000EE"/>
          </w:rPr>
          <w:t>Certificate of Amendment to the Restated Certificate of Incorporation of Middlesex Water Company,</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filed with the State of New Jersey on February 17, 2000, filed as Exhibit 3.4 to the Company’s</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Annual Report on Form 10-K/A-2 for the year ended December 31, 2003.</w:t>
        </w:r>
      </w:hyperlink>
    </w:p>
    <w:p>
      <w:pPr>
        <w:spacing w:after="0" w:line="1" w:lineRule="exact"/>
        <w:rPr>
          <w:rFonts w:ascii="Arial" w:cs="Arial" w:eastAsia="Arial" w:hAnsi="Arial"/>
          <w:sz w:val="18"/>
          <w:szCs w:val="18"/>
          <w:u w:val="single" w:color="auto"/>
          <w:color w:val="0000EE"/>
        </w:rPr>
      </w:pPr>
    </w:p>
    <w:p>
      <w:pPr>
        <w:jc w:val="both"/>
        <w:ind w:left="1360" w:right="2580" w:hanging="786"/>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3.7</w:t>
      </w:r>
      <w:r>
        <w:rPr>
          <w:sz w:val="20"/>
          <w:szCs w:val="20"/>
          <w:color w:val="auto"/>
        </w:rPr>
        <w:tab/>
      </w:r>
      <w:hyperlink r:id="rId82">
        <w:r>
          <w:rPr>
            <w:rFonts w:ascii="Arial" w:cs="Arial" w:eastAsia="Arial" w:hAnsi="Arial"/>
            <w:sz w:val="18"/>
            <w:szCs w:val="18"/>
            <w:u w:val="single" w:color="auto"/>
            <w:color w:val="0000EE"/>
          </w:rPr>
          <w:t>Certificate of Amendment to the Restated Certificate of Incorporation of Middlesex Water Company,</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filed with the State of New Jersey on June 5, 2002, filed as Exhibit 3.5 to the Company’s Annual</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Report on Form 10-K/A-2 for the year ended December 31, 2003.</w:t>
        </w:r>
      </w:hyperlink>
    </w:p>
    <w:p>
      <w:pPr>
        <w:spacing w:after="0" w:line="1" w:lineRule="exact"/>
        <w:rPr>
          <w:rFonts w:ascii="Arial" w:cs="Arial" w:eastAsia="Arial" w:hAnsi="Arial"/>
          <w:sz w:val="18"/>
          <w:szCs w:val="18"/>
          <w:u w:val="single" w:color="auto"/>
          <w:color w:val="0000EE"/>
        </w:rPr>
      </w:pPr>
    </w:p>
    <w:p>
      <w:pPr>
        <w:jc w:val="both"/>
        <w:ind w:left="1360" w:right="2580" w:hanging="786"/>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3.8</w:t>
      </w:r>
      <w:r>
        <w:rPr>
          <w:sz w:val="20"/>
          <w:szCs w:val="20"/>
          <w:color w:val="auto"/>
        </w:rPr>
        <w:tab/>
      </w:r>
      <w:hyperlink r:id="rId83">
        <w:r>
          <w:rPr>
            <w:rFonts w:ascii="Arial" w:cs="Arial" w:eastAsia="Arial" w:hAnsi="Arial"/>
            <w:sz w:val="18"/>
            <w:szCs w:val="18"/>
            <w:u w:val="single" w:color="auto"/>
            <w:color w:val="0000EE"/>
          </w:rPr>
          <w:t>Certificate of Amendment to the Restated Certificate of Incorporation, filed with the State of New</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Jersey on June 19, 2007, filed as Exhibit 3.1 to the Company’s Current Report on Form 8-K filed</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April 30, 2010.</w:t>
        </w:r>
      </w:hyperlink>
    </w:p>
    <w:p>
      <w:pPr>
        <w:spacing w:after="0" w:line="1" w:lineRule="exact"/>
        <w:rPr>
          <w:rFonts w:ascii="Arial" w:cs="Arial" w:eastAsia="Arial" w:hAnsi="Arial"/>
          <w:sz w:val="18"/>
          <w:szCs w:val="18"/>
          <w:u w:val="single" w:color="auto"/>
          <w:color w:val="0000EE"/>
        </w:rPr>
      </w:pPr>
    </w:p>
    <w:p>
      <w:pPr>
        <w:jc w:val="both"/>
        <w:ind w:left="1360" w:right="2580" w:hanging="786"/>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3.9</w:t>
      </w:r>
      <w:r>
        <w:rPr>
          <w:sz w:val="20"/>
          <w:szCs w:val="20"/>
          <w:color w:val="auto"/>
        </w:rPr>
        <w:tab/>
      </w:r>
      <w:hyperlink r:id="rId84">
        <w:r>
          <w:rPr>
            <w:rFonts w:ascii="Arial" w:cs="Arial" w:eastAsia="Arial" w:hAnsi="Arial"/>
            <w:sz w:val="18"/>
            <w:szCs w:val="18"/>
            <w:u w:val="single" w:color="auto"/>
            <w:color w:val="0000EE"/>
          </w:rPr>
          <w:t>Certificate of Amendment to the Restated Certificate of Incorporation, filed with the State of New</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Jersey on September 4, 2019, filed as Exhibit 3.1 to the Company’s Current Report on Form 8-K</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filed September 6, 2019.</w:t>
        </w:r>
      </w:hyperlink>
    </w:p>
    <w:p>
      <w:pPr>
        <w:spacing w:after="0" w:line="1" w:lineRule="exact"/>
        <w:rPr>
          <w:rFonts w:ascii="Arial" w:cs="Arial" w:eastAsia="Arial" w:hAnsi="Arial"/>
          <w:sz w:val="18"/>
          <w:szCs w:val="18"/>
          <w:u w:val="single" w:color="auto"/>
          <w:color w:val="0000EE"/>
        </w:rPr>
      </w:pPr>
    </w:p>
    <w:p>
      <w:pPr>
        <w:jc w:val="both"/>
        <w:ind w:left="1360" w:right="2580" w:hanging="831"/>
        <w:spacing w:after="0" w:line="255"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3.10</w:t>
      </w:r>
      <w:r>
        <w:rPr>
          <w:sz w:val="20"/>
          <w:szCs w:val="20"/>
          <w:color w:val="auto"/>
        </w:rPr>
        <w:tab/>
      </w:r>
      <w:hyperlink r:id="rId85">
        <w:r>
          <w:rPr>
            <w:rFonts w:ascii="Arial" w:cs="Arial" w:eastAsia="Arial" w:hAnsi="Arial"/>
            <w:sz w:val="18"/>
            <w:szCs w:val="18"/>
            <w:u w:val="single" w:color="auto"/>
            <w:color w:val="0000EE"/>
          </w:rPr>
          <w:t>Certificate of Amendment to the Restated Certificate of Incorporation, filed with the State of New</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Jersey on September 19, 2019, filed as Exhibit 3.1 to the Company’s Current Report on Form 8-K</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filed September 23, 2019.</w:t>
        </w:r>
      </w:hyperlink>
    </w:p>
    <w:p>
      <w:pPr>
        <w:spacing w:after="0" w:line="82" w:lineRule="exact"/>
        <w:rPr>
          <w:rFonts w:ascii="Arial" w:cs="Arial" w:eastAsia="Arial" w:hAnsi="Arial"/>
          <w:sz w:val="18"/>
          <w:szCs w:val="18"/>
          <w:u w:val="single" w:color="auto"/>
          <w:color w:val="0000EE"/>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2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560"/>
        </w:trPr>
        <w:tc>
          <w:tcPr>
            <w:tcW w:w="4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 INDEX</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6"/>
        </w:trPr>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Previous</w:t>
            </w:r>
          </w:p>
        </w:tc>
        <w:tc>
          <w:tcPr>
            <w:tcW w:w="13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320" w:type="dxa"/>
            <w:vAlign w:val="bottom"/>
          </w:tcPr>
          <w:p>
            <w:pPr>
              <w:jc w:val="center"/>
              <w:ind w:left="10"/>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12"/>
          </w:tcPr>
          <w:p>
            <w:pPr>
              <w:ind w:left="500"/>
              <w:spacing w:after="0"/>
              <w:rPr>
                <w:sz w:val="20"/>
                <w:szCs w:val="20"/>
                <w:color w:val="auto"/>
              </w:rPr>
            </w:pPr>
            <w:r>
              <w:rPr>
                <w:rFonts w:ascii="Arial" w:cs="Arial" w:eastAsia="Arial" w:hAnsi="Arial"/>
                <w:sz w:val="18"/>
                <w:szCs w:val="18"/>
                <w:b w:val="1"/>
                <w:bCs w:val="1"/>
                <w:color w:val="auto"/>
              </w:rPr>
              <w:t>Document Description</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3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3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7300" w:type="dxa"/>
            <w:vAlign w:val="bottom"/>
            <w:tcBorders>
              <w:bottom w:val="single" w:sz="8" w:color="0000EE"/>
            </w:tcBorders>
            <w:gridSpan w:val="9"/>
          </w:tcPr>
          <w:p>
            <w:pPr>
              <w:spacing w:after="0" w:line="169"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By-laws of the Company, as amended, filed as Exhibit 4.1 to the Company’s Quarterly Report on</w:t>
              </w:r>
            </w:hyperlink>
          </w:p>
        </w:tc>
        <w:tc>
          <w:tcPr>
            <w:tcW w:w="100" w:type="dxa"/>
            <w:vAlign w:val="bottom"/>
            <w:gridSpan w:val="5"/>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Form 10-Q for the quarter ended June 30, 2010.</w:t>
              </w:r>
            </w:hyperlink>
          </w:p>
        </w:tc>
        <w:tc>
          <w:tcPr>
            <w:tcW w:w="3940" w:type="dxa"/>
            <w:vAlign w:val="bottom"/>
            <w:gridSpan w:val="9"/>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732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88">
              <w:r>
                <w:rPr>
                  <w:rFonts w:ascii="Arial" w:cs="Arial" w:eastAsia="Arial" w:hAnsi="Arial"/>
                  <w:sz w:val="18"/>
                  <w:szCs w:val="18"/>
                  <w:color w:val="0000EE"/>
                  <w:w w:val="96"/>
                </w:rPr>
                <w:t>Amendments to the by-laws of the Company, included as Exhibit 3(ii) to the Company’s Current</w:t>
              </w:r>
            </w:hyperlink>
          </w:p>
        </w:tc>
        <w:tc>
          <w:tcPr>
            <w:tcW w:w="8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Report on Form 8-K dated November 22, 2017.</w:t>
              </w:r>
            </w:hyperlink>
          </w:p>
        </w:tc>
        <w:tc>
          <w:tcPr>
            <w:tcW w:w="3960" w:type="dxa"/>
            <w:vAlign w:val="bottom"/>
            <w:gridSpan w:val="10"/>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7400" w:type="dxa"/>
            <w:vAlign w:val="bottom"/>
            <w:gridSpan w:val="14"/>
          </w:tcPr>
          <w:p>
            <w:pPr>
              <w:spacing w:after="0"/>
              <w:rPr>
                <w:sz w:val="20"/>
                <w:szCs w:val="20"/>
                <w:color w:val="auto"/>
              </w:rPr>
            </w:pPr>
            <w:r>
              <w:rPr>
                <w:rFonts w:ascii="Arial" w:cs="Arial" w:eastAsia="Arial" w:hAnsi="Arial"/>
                <w:sz w:val="18"/>
                <w:szCs w:val="18"/>
                <w:color w:val="auto"/>
              </w:rPr>
              <w:t>Form of Common Stock Certificate.</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2-55058</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3"/>
              </w:rPr>
              <w:t>2(a)</w:t>
            </w:r>
          </w:p>
        </w:tc>
      </w:tr>
      <w:tr>
        <w:trPr>
          <w:trHeight w:val="190"/>
        </w:trPr>
        <w:tc>
          <w:tcPr>
            <w:tcW w:w="13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7320" w:type="dxa"/>
            <w:vAlign w:val="bottom"/>
            <w:tcBorders>
              <w:bottom w:val="single" w:sz="8" w:color="0000EE"/>
            </w:tcBorders>
            <w:gridSpan w:val="10"/>
          </w:tcPr>
          <w:p>
            <w:pPr>
              <w:spacing w:after="0" w:line="190" w:lineRule="exact"/>
              <w:rPr>
                <w:rFonts w:ascii="Arial" w:cs="Arial" w:eastAsia="Arial" w:hAnsi="Arial"/>
                <w:sz w:val="18"/>
                <w:szCs w:val="18"/>
                <w:color w:val="0000EE"/>
                <w:w w:val="95"/>
              </w:rPr>
            </w:pPr>
            <w:hyperlink r:id="rId89">
              <w:r>
                <w:rPr>
                  <w:rFonts w:ascii="Arial" w:cs="Arial" w:eastAsia="Arial" w:hAnsi="Arial"/>
                  <w:sz w:val="18"/>
                  <w:szCs w:val="18"/>
                  <w:color w:val="0000EE"/>
                  <w:w w:val="95"/>
                </w:rPr>
                <w:t>Water Service Agreement, dated February 28, 2006,  between the Company and Elizabethtown</w:t>
              </w:r>
            </w:hyperlink>
          </w:p>
        </w:tc>
        <w:tc>
          <w:tcPr>
            <w:tcW w:w="80" w:type="dxa"/>
            <w:vAlign w:val="bottom"/>
            <w:gridSpan w:val="4"/>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4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r:id="rId89">
              <w:r>
                <w:rPr>
                  <w:rFonts w:ascii="Arial" w:cs="Arial" w:eastAsia="Arial" w:hAnsi="Arial"/>
                  <w:sz w:val="18"/>
                  <w:szCs w:val="18"/>
                  <w:color w:val="0000EE"/>
                  <w:w w:val="99"/>
                </w:rPr>
                <w:t>Water Company, filed as Exhibit 10 of the Company’s Quarterly Report on Form 10-Q for the</w:t>
              </w:r>
            </w:hyperlink>
          </w:p>
        </w:tc>
        <w:tc>
          <w:tcPr>
            <w:tcW w:w="6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quarter ended March 31, 2006.</w:t>
              </w:r>
            </w:hyperlink>
          </w:p>
        </w:tc>
        <w:tc>
          <w:tcPr>
            <w:tcW w:w="5180" w:type="dxa"/>
            <w:vAlign w:val="bottom"/>
            <w:gridSpan w:val="13"/>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7400" w:type="dxa"/>
            <w:vAlign w:val="bottom"/>
            <w:gridSpan w:val="14"/>
          </w:tcPr>
          <w:p>
            <w:pPr>
              <w:spacing w:after="0"/>
              <w:rPr>
                <w:sz w:val="20"/>
                <w:szCs w:val="20"/>
                <w:color w:val="auto"/>
              </w:rPr>
            </w:pPr>
            <w:r>
              <w:rPr>
                <w:rFonts w:ascii="Arial" w:cs="Arial" w:eastAsia="Arial" w:hAnsi="Arial"/>
                <w:sz w:val="18"/>
                <w:szCs w:val="18"/>
                <w:color w:val="auto"/>
                <w:w w:val="91"/>
              </w:rPr>
              <w:t>Mortgage, dated April 1, 1927, between the Company and Union County Trust Company, as Trustee,</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2-15795</w:t>
            </w:r>
          </w:p>
        </w:tc>
        <w:tc>
          <w:tcPr>
            <w:tcW w:w="1320" w:type="dxa"/>
            <w:vAlign w:val="bottom"/>
          </w:tcPr>
          <w:p>
            <w:pPr>
              <w:ind w:left="100"/>
              <w:spacing w:after="0"/>
              <w:rPr>
                <w:sz w:val="20"/>
                <w:szCs w:val="20"/>
                <w:color w:val="auto"/>
              </w:rPr>
            </w:pPr>
            <w:r>
              <w:rPr>
                <w:rFonts w:ascii="Arial" w:cs="Arial" w:eastAsia="Arial" w:hAnsi="Arial"/>
                <w:sz w:val="18"/>
                <w:szCs w:val="18"/>
                <w:color w:val="auto"/>
              </w:rPr>
              <w:t>4(a)-4(f)</w:t>
            </w:r>
          </w:p>
        </w:tc>
      </w:tr>
      <w:tr>
        <w:trPr>
          <w:trHeight w:val="216"/>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0" w:type="dxa"/>
            <w:vAlign w:val="bottom"/>
            <w:gridSpan w:val="14"/>
          </w:tcPr>
          <w:p>
            <w:pPr>
              <w:spacing w:after="0"/>
              <w:rPr>
                <w:sz w:val="20"/>
                <w:szCs w:val="20"/>
                <w:color w:val="auto"/>
              </w:rPr>
            </w:pPr>
            <w:r>
              <w:rPr>
                <w:rFonts w:ascii="Arial" w:cs="Arial" w:eastAsia="Arial" w:hAnsi="Arial"/>
                <w:sz w:val="18"/>
                <w:szCs w:val="18"/>
                <w:color w:val="auto"/>
                <w:w w:val="98"/>
              </w:rPr>
              <w:t>as supplemented by Supplemental Indentures, dated as of October 1, 1939 and April 1, 1949.</w:t>
            </w: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7400" w:type="dxa"/>
            <w:vAlign w:val="bottom"/>
            <w:gridSpan w:val="14"/>
          </w:tcPr>
          <w:p>
            <w:pPr>
              <w:spacing w:after="0"/>
              <w:rPr>
                <w:sz w:val="20"/>
                <w:szCs w:val="20"/>
                <w:color w:val="auto"/>
              </w:rPr>
            </w:pPr>
            <w:r>
              <w:rPr>
                <w:rFonts w:ascii="Arial" w:cs="Arial" w:eastAsia="Arial" w:hAnsi="Arial"/>
                <w:sz w:val="18"/>
                <w:szCs w:val="18"/>
                <w:color w:val="auto"/>
                <w:w w:val="95"/>
              </w:rPr>
              <w:t>Supplemental Indenture, dated as of July 1, 1964 and June 15, 1991, between the Company and</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33-54922</w:t>
            </w: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91"/>
              </w:rPr>
              <w:t>10.4-10.9</w:t>
            </w:r>
          </w:p>
        </w:tc>
      </w:tr>
      <w:tr>
        <w:trPr>
          <w:trHeight w:val="216"/>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0" w:type="dxa"/>
            <w:vAlign w:val="bottom"/>
            <w:gridSpan w:val="14"/>
          </w:tcPr>
          <w:p>
            <w:pPr>
              <w:spacing w:after="0"/>
              <w:rPr>
                <w:sz w:val="20"/>
                <w:szCs w:val="20"/>
                <w:color w:val="auto"/>
              </w:rPr>
            </w:pPr>
            <w:r>
              <w:rPr>
                <w:rFonts w:ascii="Arial" w:cs="Arial" w:eastAsia="Arial" w:hAnsi="Arial"/>
                <w:sz w:val="18"/>
                <w:szCs w:val="18"/>
                <w:color w:val="auto"/>
              </w:rPr>
              <w:t>Union County Trust Company, as Trustee.</w:t>
            </w: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0"/>
        </w:trPr>
        <w:tc>
          <w:tcPr>
            <w:tcW w:w="13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1"/>
              </w:rPr>
              <w:t>10.4</w:t>
            </w:r>
          </w:p>
        </w:tc>
        <w:tc>
          <w:tcPr>
            <w:tcW w:w="7380" w:type="dxa"/>
            <w:vAlign w:val="bottom"/>
            <w:tcBorders>
              <w:bottom w:val="single" w:sz="8" w:color="0000EE"/>
            </w:tcBorders>
            <w:gridSpan w:val="13"/>
          </w:tcPr>
          <w:p>
            <w:pPr>
              <w:spacing w:after="0" w:line="190" w:lineRule="exact"/>
              <w:rPr>
                <w:rFonts w:ascii="Arial" w:cs="Arial" w:eastAsia="Arial" w:hAnsi="Arial"/>
                <w:sz w:val="18"/>
                <w:szCs w:val="18"/>
                <w:color w:val="0000EE"/>
                <w:w w:val="96"/>
              </w:rPr>
            </w:pPr>
            <w:hyperlink r:id="rId90">
              <w:r>
                <w:rPr>
                  <w:rFonts w:ascii="Arial" w:cs="Arial" w:eastAsia="Arial" w:hAnsi="Arial"/>
                  <w:sz w:val="18"/>
                  <w:szCs w:val="18"/>
                  <w:color w:val="0000EE"/>
                  <w:w w:val="96"/>
                </w:rPr>
                <w:t>Agreement for a Supply of Water, dated as of July 27, 2011, between the Company and the Old</w:t>
              </w:r>
            </w:hyperlink>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6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90">
              <w:r>
                <w:rPr>
                  <w:rFonts w:ascii="Arial" w:cs="Arial" w:eastAsia="Arial" w:hAnsi="Arial"/>
                  <w:sz w:val="18"/>
                  <w:szCs w:val="18"/>
                  <w:color w:val="0000EE"/>
                  <w:w w:val="97"/>
                </w:rPr>
                <w:t>Bridge Municipal Utilities Authority, filed as Exhibit No. 10.4 of the Company’s Quarterly Report</w:t>
              </w:r>
            </w:hyperlink>
          </w:p>
        </w:tc>
        <w:tc>
          <w:tcPr>
            <w:tcW w:w="40" w:type="dxa"/>
            <w:vAlign w:val="bottom"/>
            <w:gridSpan w:val="2"/>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4"/>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on Form 10-Q for the quarter ended September 30, 2011.</w:t>
              </w:r>
            </w:hyperlink>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7400" w:type="dxa"/>
            <w:vAlign w:val="bottom"/>
            <w:gridSpan w:val="14"/>
          </w:tcPr>
          <w:p>
            <w:pPr>
              <w:spacing w:after="0"/>
              <w:rPr>
                <w:sz w:val="20"/>
                <w:szCs w:val="20"/>
                <w:color w:val="auto"/>
              </w:rPr>
            </w:pPr>
            <w:r>
              <w:rPr>
                <w:rFonts w:ascii="Arial" w:cs="Arial" w:eastAsia="Arial" w:hAnsi="Arial"/>
                <w:sz w:val="18"/>
                <w:szCs w:val="18"/>
                <w:color w:val="auto"/>
                <w:w w:val="99"/>
              </w:rPr>
              <w:t>Water Supply Agreement, dated as of July 14, 1987, between the Company and the Marlboro</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33-31476</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10.13</w:t>
            </w:r>
          </w:p>
        </w:tc>
      </w:tr>
      <w:tr>
        <w:trPr>
          <w:trHeight w:val="216"/>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0" w:type="dxa"/>
            <w:vAlign w:val="bottom"/>
            <w:gridSpan w:val="14"/>
          </w:tcPr>
          <w:p>
            <w:pPr>
              <w:spacing w:after="0"/>
              <w:rPr>
                <w:sz w:val="20"/>
                <w:szCs w:val="20"/>
                <w:color w:val="auto"/>
              </w:rPr>
            </w:pPr>
            <w:r>
              <w:rPr>
                <w:rFonts w:ascii="Arial" w:cs="Arial" w:eastAsia="Arial" w:hAnsi="Arial"/>
                <w:sz w:val="18"/>
                <w:szCs w:val="18"/>
                <w:color w:val="auto"/>
              </w:rPr>
              <w:t>Township Municipal Utilities Authority, as amended.</w:t>
            </w: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0"/>
        </w:trPr>
        <w:tc>
          <w:tcPr>
            <w:tcW w:w="13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1"/>
              </w:rPr>
              <w:t>10.6</w:t>
            </w:r>
          </w:p>
        </w:tc>
        <w:tc>
          <w:tcPr>
            <w:tcW w:w="7400" w:type="dxa"/>
            <w:vAlign w:val="bottom"/>
            <w:gridSpan w:val="14"/>
          </w:tcPr>
          <w:p>
            <w:pPr>
              <w:spacing w:after="0" w:line="190" w:lineRule="exact"/>
              <w:rPr>
                <w:rFonts w:ascii="Arial" w:cs="Arial" w:eastAsia="Arial" w:hAnsi="Arial"/>
                <w:sz w:val="18"/>
                <w:szCs w:val="18"/>
                <w:color w:val="0000EE"/>
                <w:w w:val="89"/>
              </w:rPr>
            </w:pPr>
            <w:hyperlink r:id="rId91">
              <w:r>
                <w:rPr>
                  <w:rFonts w:ascii="Arial" w:cs="Arial" w:eastAsia="Arial" w:hAnsi="Arial"/>
                  <w:sz w:val="18"/>
                  <w:szCs w:val="18"/>
                  <w:color w:val="0000EE"/>
                  <w:w w:val="89"/>
                </w:rPr>
                <w:t>Water Purchase Contract, dated as of September 25, 2003, between the Company and the New Jersey</w:t>
              </w:r>
            </w:hyperlink>
          </w:p>
        </w:tc>
        <w:tc>
          <w:tcPr>
            <w:tcW w:w="1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91">
              <w:r>
                <w:rPr>
                  <w:rFonts w:ascii="Arial" w:cs="Arial" w:eastAsia="Arial" w:hAnsi="Arial"/>
                  <w:sz w:val="18"/>
                  <w:szCs w:val="18"/>
                  <w:color w:val="0000EE"/>
                  <w:w w:val="95"/>
                </w:rPr>
                <w:t>Water Supply Authority, filed as Exhibit No. 10.7 of the Company’s Annual Report on Form 10-K</w:t>
              </w:r>
            </w:hyperlink>
          </w:p>
        </w:tc>
        <w:tc>
          <w:tcPr>
            <w:tcW w:w="8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4"/>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 the year ended December 31, 2003.</w:t>
              </w:r>
            </w:hyperlink>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10.7</w:t>
            </w:r>
          </w:p>
        </w:tc>
        <w:tc>
          <w:tcPr>
            <w:tcW w:w="73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Treatment and Pumping Agreement, dated October 1, 2014, between the Company and the Township</w:t>
              </w:r>
            </w:hyperlink>
          </w:p>
        </w:tc>
        <w:tc>
          <w:tcPr>
            <w:tcW w:w="6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92">
              <w:r>
                <w:rPr>
                  <w:rFonts w:ascii="Arial" w:cs="Arial" w:eastAsia="Arial" w:hAnsi="Arial"/>
                  <w:sz w:val="18"/>
                  <w:szCs w:val="18"/>
                  <w:color w:val="0000EE"/>
                  <w:w w:val="93"/>
                </w:rPr>
                <w:t>of East Brunswick, filed as Exhibit No. 10.7 of the Company’s Annual Report on Form 10-K for the</w:t>
              </w:r>
            </w:hyperlink>
          </w:p>
        </w:tc>
        <w:tc>
          <w:tcPr>
            <w:tcW w:w="8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4"/>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year ended December 31, 2016.</w:t>
              </w:r>
            </w:hyperlink>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7400" w:type="dxa"/>
            <w:vAlign w:val="bottom"/>
            <w:gridSpan w:val="14"/>
          </w:tcPr>
          <w:p>
            <w:pPr>
              <w:spacing w:after="0"/>
              <w:rPr>
                <w:sz w:val="20"/>
                <w:szCs w:val="20"/>
                <w:color w:val="auto"/>
              </w:rPr>
            </w:pPr>
            <w:r>
              <w:rPr>
                <w:rFonts w:ascii="Arial" w:cs="Arial" w:eastAsia="Arial" w:hAnsi="Arial"/>
                <w:sz w:val="18"/>
                <w:szCs w:val="18"/>
                <w:color w:val="auto"/>
              </w:rPr>
              <w:t>Water Supply Agreement, dated June 4, 1990, between the Company and Edison Township.</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33-54922</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10.24</w:t>
            </w:r>
          </w:p>
        </w:tc>
      </w:tr>
      <w:tr>
        <w:trPr>
          <w:trHeight w:val="190"/>
        </w:trPr>
        <w:tc>
          <w:tcPr>
            <w:tcW w:w="13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1"/>
              </w:rPr>
              <w:t>10.9</w:t>
            </w:r>
          </w:p>
        </w:tc>
        <w:tc>
          <w:tcPr>
            <w:tcW w:w="7300" w:type="dxa"/>
            <w:vAlign w:val="bottom"/>
            <w:tcBorders>
              <w:bottom w:val="single" w:sz="8" w:color="0000EE"/>
            </w:tcBorders>
            <w:gridSpan w:val="9"/>
          </w:tcPr>
          <w:p>
            <w:pPr>
              <w:spacing w:after="0" w:line="190"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Agreement for a Supply of Water, dated January 1, 2006, between the Company and the Borough of</w:t>
              </w:r>
            </w:hyperlink>
          </w:p>
        </w:tc>
        <w:tc>
          <w:tcPr>
            <w:tcW w:w="100" w:type="dxa"/>
            <w:vAlign w:val="bottom"/>
            <w:gridSpan w:val="5"/>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93">
              <w:r>
                <w:rPr>
                  <w:rFonts w:ascii="Arial" w:cs="Arial" w:eastAsia="Arial" w:hAnsi="Arial"/>
                  <w:sz w:val="18"/>
                  <w:szCs w:val="18"/>
                  <w:color w:val="0000EE"/>
                  <w:w w:val="94"/>
                </w:rPr>
                <w:t>Highland Park, filed as Exhibit No. 10.1 of the Company’s Quarterly Report on Form 10-Q for the</w:t>
              </w:r>
            </w:hyperlink>
          </w:p>
        </w:tc>
        <w:tc>
          <w:tcPr>
            <w:tcW w:w="100" w:type="dxa"/>
            <w:vAlign w:val="bottom"/>
            <w:gridSpan w:val="5"/>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2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93">
              <w:r>
                <w:rPr>
                  <w:rFonts w:ascii="Arial" w:cs="Arial" w:eastAsia="Arial" w:hAnsi="Arial"/>
                  <w:sz w:val="18"/>
                  <w:szCs w:val="18"/>
                  <w:color w:val="0000EE"/>
                  <w:w w:val="88"/>
                </w:rPr>
                <w:t>quarter ended March 31, 2006.</w:t>
              </w:r>
            </w:hyperlink>
          </w:p>
        </w:tc>
        <w:tc>
          <w:tcPr>
            <w:tcW w:w="5180" w:type="dxa"/>
            <w:vAlign w:val="bottom"/>
            <w:gridSpan w:val="13"/>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jc w:val="center"/>
              <w:ind w:right="310"/>
              <w:spacing w:after="0" w:line="196" w:lineRule="exact"/>
              <w:rPr>
                <w:sz w:val="20"/>
                <w:szCs w:val="20"/>
                <w:color w:val="auto"/>
              </w:rPr>
            </w:pPr>
            <w:r>
              <w:rPr>
                <w:rFonts w:ascii="Arial" w:cs="Arial" w:eastAsia="Arial" w:hAnsi="Arial"/>
                <w:sz w:val="18"/>
                <w:szCs w:val="18"/>
                <w:color w:val="auto"/>
                <w:w w:val="91"/>
              </w:rPr>
              <w:t>10.9(a)</w:t>
            </w:r>
          </w:p>
        </w:tc>
        <w:tc>
          <w:tcPr>
            <w:tcW w:w="7320" w:type="dxa"/>
            <w:vAlign w:val="bottom"/>
            <w:tcBorders>
              <w:bottom w:val="single" w:sz="8" w:color="0000EE"/>
            </w:tcBorders>
            <w:gridSpan w:val="10"/>
          </w:tcPr>
          <w:p>
            <w:pPr>
              <w:spacing w:after="0" w:line="196" w:lineRule="exact"/>
              <w:rPr>
                <w:rFonts w:ascii="Arial" w:cs="Arial" w:eastAsia="Arial" w:hAnsi="Arial"/>
                <w:sz w:val="18"/>
                <w:szCs w:val="18"/>
                <w:color w:val="0000EE"/>
                <w:w w:val="98"/>
              </w:rPr>
            </w:pPr>
            <w:hyperlink r:id="rId94">
              <w:r>
                <w:rPr>
                  <w:rFonts w:ascii="Arial" w:cs="Arial" w:eastAsia="Arial" w:hAnsi="Arial"/>
                  <w:sz w:val="18"/>
                  <w:szCs w:val="18"/>
                  <w:color w:val="0000EE"/>
                  <w:w w:val="98"/>
                </w:rPr>
                <w:t>Amendment to Agreement for a Supply of Water, dated as of December 1, 2015, between the</w:t>
              </w:r>
            </w:hyperlink>
          </w:p>
        </w:tc>
        <w:tc>
          <w:tcPr>
            <w:tcW w:w="80" w:type="dxa"/>
            <w:vAlign w:val="bottom"/>
            <w:gridSpan w:val="4"/>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Company and the Borough of Highland Park, filed as Exhibit No. 10.9(a) of the Company’s Annual</w:t>
              </w:r>
            </w:hyperlink>
          </w:p>
        </w:tc>
        <w:tc>
          <w:tcPr>
            <w:tcW w:w="100" w:type="dxa"/>
            <w:vAlign w:val="bottom"/>
            <w:gridSpan w:val="5"/>
          </w:tcPr>
          <w:p>
            <w:pPr>
              <w:spacing w:after="0"/>
              <w:rPr>
                <w:sz w:val="17"/>
                <w:szCs w:val="17"/>
                <w:color w:val="auto"/>
              </w:rPr>
            </w:pPr>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4"/>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Report on Form 10-K for the year ended December 31, 2015.</w:t>
              </w:r>
            </w:hyperlink>
          </w:p>
        </w:tc>
        <w:tc>
          <w:tcPr>
            <w:tcW w:w="1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65"/>
        </w:trPr>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20" w:type="dxa"/>
            <w:vAlign w:val="bottom"/>
            <w:tcBorders>
              <w:top w:val="single" w:sz="8" w:color="0000EE"/>
              <w:bottom w:val="single" w:sz="8" w:color="auto"/>
            </w:tcBorders>
            <w:gridSpan w:val="7"/>
          </w:tcPr>
          <w:p>
            <w:pPr>
              <w:ind w:left="4160"/>
              <w:spacing w:after="0"/>
              <w:rPr>
                <w:sz w:val="20"/>
                <w:szCs w:val="20"/>
                <w:color w:val="auto"/>
              </w:rPr>
            </w:pPr>
            <w:r>
              <w:rPr>
                <w:rFonts w:ascii="Arial" w:cs="Arial" w:eastAsia="Arial" w:hAnsi="Arial"/>
                <w:sz w:val="18"/>
                <w:szCs w:val="18"/>
                <w:color w:val="auto"/>
              </w:rPr>
              <w:t>73</w:t>
            </w:r>
          </w:p>
        </w:tc>
        <w:tc>
          <w:tcPr>
            <w:tcW w:w="2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560"/>
        </w:trPr>
        <w:tc>
          <w:tcPr>
            <w:tcW w:w="4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8"/>
          </w:tcPr>
          <w:p>
            <w:pPr>
              <w:ind w:left="1000"/>
              <w:spacing w:after="0"/>
              <w:rPr>
                <w:sz w:val="20"/>
                <w:szCs w:val="20"/>
                <w:color w:val="auto"/>
              </w:rPr>
            </w:pPr>
            <w:r>
              <w:rPr>
                <w:rFonts w:ascii="Arial" w:cs="Arial" w:eastAsia="Arial" w:hAnsi="Arial"/>
                <w:sz w:val="18"/>
                <w:szCs w:val="18"/>
                <w:b w:val="1"/>
                <w:bCs w:val="1"/>
                <w:color w:val="auto"/>
              </w:rPr>
              <w:t>EXHIBIT INDEX</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6"/>
        </w:trPr>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Previous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Registration</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3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2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b w:val="1"/>
                <w:bCs w:val="1"/>
                <w:color w:val="auto"/>
              </w:rPr>
              <w:t>Document Description</w:t>
            </w: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No.</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36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3"/>
              </w:rPr>
              <w:t>(t)10.10</w:t>
            </w:r>
          </w:p>
        </w:tc>
        <w:tc>
          <w:tcPr>
            <w:tcW w:w="7300" w:type="dxa"/>
            <w:vAlign w:val="bottom"/>
            <w:tcBorders>
              <w:bottom w:val="single" w:sz="8" w:color="0000EE"/>
            </w:tcBorders>
            <w:gridSpan w:val="9"/>
          </w:tcPr>
          <w:p>
            <w:pPr>
              <w:spacing w:after="0" w:line="169"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Middlesex Water Company Supplemental Executive Retirement Plan, filed as Exhibit 10.13 of the</w:t>
              </w:r>
            </w:hyperlink>
          </w:p>
        </w:tc>
        <w:tc>
          <w:tcPr>
            <w:tcW w:w="100" w:type="dxa"/>
            <w:vAlign w:val="bottom"/>
            <w:gridSpan w:val="3"/>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2"/>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Company’s Quarterly Report on Form 10-Q for the quarter ended September 30, 1999.</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0"/>
              </w:rPr>
              <w:t>(t)10.11(a)</w:t>
            </w:r>
          </w:p>
        </w:tc>
        <w:tc>
          <w:tcPr>
            <w:tcW w:w="7400" w:type="dxa"/>
            <w:vAlign w:val="bottom"/>
            <w:gridSpan w:val="12"/>
          </w:tcPr>
          <w:p>
            <w:pPr>
              <w:spacing w:after="0" w:line="196" w:lineRule="exact"/>
              <w:rPr>
                <w:rFonts w:ascii="Arial" w:cs="Arial" w:eastAsia="Arial" w:hAnsi="Arial"/>
                <w:sz w:val="18"/>
                <w:szCs w:val="18"/>
                <w:color w:val="0000EE"/>
                <w:w w:val="98"/>
              </w:rPr>
            </w:pPr>
            <w:hyperlink r:id="rId96">
              <w:r>
                <w:rPr>
                  <w:rFonts w:ascii="Arial" w:cs="Arial" w:eastAsia="Arial" w:hAnsi="Arial"/>
                  <w:sz w:val="18"/>
                  <w:szCs w:val="18"/>
                  <w:color w:val="0000EE"/>
                  <w:w w:val="98"/>
                </w:rPr>
                <w:t>Middlesex Water Company 2018 Restricted Stock Plan, filed as Appendix A to the Company’s</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Definitive Proxy Statement, dated and filed April 12, 2018.</w:t>
              </w:r>
            </w:hyperlink>
          </w:p>
        </w:tc>
        <w:tc>
          <w:tcPr>
            <w:tcW w:w="3000" w:type="dxa"/>
            <w:vAlign w:val="bottom"/>
            <w:tcBorders>
              <w:top w:val="single" w:sz="8" w:color="0000EE"/>
            </w:tcBorders>
            <w:gridSpan w:val="3"/>
          </w:tcPr>
          <w:p>
            <w:pPr>
              <w:spacing w:after="0"/>
              <w:rPr>
                <w:sz w:val="17"/>
                <w:szCs w:val="17"/>
                <w:color w:val="auto"/>
              </w:rPr>
            </w:pPr>
          </w:p>
        </w:tc>
        <w:tc>
          <w:tcPr>
            <w:tcW w:w="12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(t)10.11(b)</w:t>
            </w: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r:id="rId97">
              <w:r>
                <w:rPr>
                  <w:rFonts w:ascii="Arial" w:cs="Arial" w:eastAsia="Arial" w:hAnsi="Arial"/>
                  <w:sz w:val="18"/>
                  <w:szCs w:val="18"/>
                  <w:color w:val="0000EE"/>
                  <w:w w:val="97"/>
                </w:rPr>
                <w:t>Registration Statement, Form S-8, under the Securities Act of 1933, filed December 18, 2008,</w:t>
              </w:r>
            </w:hyperlink>
          </w:p>
        </w:tc>
        <w:tc>
          <w:tcPr>
            <w:tcW w:w="100" w:type="dxa"/>
            <w:vAlign w:val="bottom"/>
            <w:gridSpan w:val="3"/>
          </w:tcPr>
          <w:p>
            <w:pPr>
              <w:spacing w:after="0"/>
              <w:rPr>
                <w:sz w:val="17"/>
                <w:szCs w:val="17"/>
                <w:color w:val="auto"/>
              </w:rPr>
            </w:pPr>
          </w:p>
        </w:tc>
        <w:tc>
          <w:tcPr>
            <w:tcW w:w="132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333-156269</w:t>
            </w: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2"/>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relating to the Middlesex Water Company Outside Director Stock Compensation Stock Plan.</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360" w:type="dxa"/>
            <w:vAlign w:val="bottom"/>
            <w:gridSpan w:val="2"/>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10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(t)10.12(a)</w:t>
            </w: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Change in Control Termination Agreement, dated as of January 1, 2009, between the Company and</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98">
              <w:r>
                <w:rPr>
                  <w:rFonts w:ascii="Arial" w:cs="Arial" w:eastAsia="Arial" w:hAnsi="Arial"/>
                  <w:sz w:val="18"/>
                  <w:szCs w:val="18"/>
                  <w:color w:val="0000EE"/>
                  <w:w w:val="96"/>
                </w:rPr>
                <w:t>Dennis W. Doll, filed as Exhibit 10.13(a) of the Company’s Annual Report on Form 10-K for the</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year ended December 31, 2008.</w:t>
              </w:r>
            </w:hyperlink>
          </w:p>
        </w:tc>
        <w:tc>
          <w:tcPr>
            <w:tcW w:w="5100" w:type="dxa"/>
            <w:vAlign w:val="bottom"/>
            <w:gridSpan w:val="9"/>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(t)10.12(b)</w:t>
            </w: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Change in Control Termination Agreement, dated as of January 1, 2009, between the Company and</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A. Bruce O’Connor, filed as Exhibit 10.13(b) of the Company’s Annual Report on Form 10-K for the</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year ended December 31, 2008.</w:t>
              </w:r>
            </w:hyperlink>
          </w:p>
        </w:tc>
        <w:tc>
          <w:tcPr>
            <w:tcW w:w="5100" w:type="dxa"/>
            <w:vAlign w:val="bottom"/>
            <w:gridSpan w:val="9"/>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3"/>
              </w:rPr>
              <w:t>(t)10.12(c)</w:t>
            </w: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Change in Control Termination Agreement, dated as of March 1, 2012, between the Company and</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100">
              <w:r>
                <w:rPr>
                  <w:rFonts w:ascii="Arial" w:cs="Arial" w:eastAsia="Arial" w:hAnsi="Arial"/>
                  <w:sz w:val="18"/>
                  <w:szCs w:val="18"/>
                  <w:color w:val="0000EE"/>
                  <w:w w:val="94"/>
                </w:rPr>
                <w:t>Lorrie B. Ginegaw, filed as Exhibit 10.13(e) of the Company’s Annual Report on Form 10-K for the</w:t>
              </w:r>
            </w:hyperlink>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00">
              <w:r>
                <w:rPr>
                  <w:rFonts w:ascii="Arial" w:cs="Arial" w:eastAsia="Arial" w:hAnsi="Arial"/>
                  <w:sz w:val="18"/>
                  <w:szCs w:val="18"/>
                  <w:color w:val="0000EE"/>
                  <w:w w:val="87"/>
                </w:rPr>
                <w:t>year ended December 31, 2011.</w:t>
              </w:r>
            </w:hyperlink>
          </w:p>
        </w:tc>
        <w:tc>
          <w:tcPr>
            <w:tcW w:w="512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(t)10.12(d)</w:t>
            </w: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Change in Control Termination Agreement, dated as of January 1, 2009, between the Company and</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Bernadette M. Sohler, filed as Exhibit 10.13(h) of the Company’s Annual Report on Form 10-K for</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01">
              <w:r>
                <w:rPr>
                  <w:rFonts w:ascii="Arial" w:cs="Arial" w:eastAsia="Arial" w:hAnsi="Arial"/>
                  <w:sz w:val="18"/>
                  <w:szCs w:val="18"/>
                  <w:color w:val="0000EE"/>
                  <w:w w:val="88"/>
                </w:rPr>
                <w:t>the year ended December 31, 2008.</w:t>
              </w:r>
            </w:hyperlink>
          </w:p>
        </w:tc>
        <w:tc>
          <w:tcPr>
            <w:tcW w:w="4840" w:type="dxa"/>
            <w:vAlign w:val="bottom"/>
            <w:gridSpan w:val="8"/>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(t)10.12(e)</w:t>
            </w: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Change in Control Termination Agreement, dated as of March 17, 2014, between the Company and</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Jay L. Kooper, filed as Exhibit 10.12(g) of the Company’s Quarterly Report on Form 10-Q for the</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02">
              <w:r>
                <w:rPr>
                  <w:rFonts w:ascii="Arial" w:cs="Arial" w:eastAsia="Arial" w:hAnsi="Arial"/>
                  <w:sz w:val="18"/>
                  <w:szCs w:val="18"/>
                  <w:color w:val="0000EE"/>
                  <w:w w:val="87"/>
                </w:rPr>
                <w:t>quarter ended June 30, 2014.</w:t>
              </w:r>
            </w:hyperlink>
          </w:p>
        </w:tc>
        <w:tc>
          <w:tcPr>
            <w:tcW w:w="5320" w:type="dxa"/>
            <w:vAlign w:val="bottom"/>
            <w:gridSpan w:val="11"/>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6"/>
              </w:rPr>
              <w:t>(t)10.12(f)</w:t>
            </w: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Change in Control Termination Agreement, dated as of July 1, 2019, between the Company and G.</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Christian Andreasen, filed as Exhibit 10.12(f) of the Company’s Annual Report on Form 10-K for</w:t>
              </w:r>
            </w:hyperlink>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the year ended December 31, 2019.</w:t>
              </w:r>
            </w:hyperlink>
          </w:p>
        </w:tc>
        <w:tc>
          <w:tcPr>
            <w:tcW w:w="4840" w:type="dxa"/>
            <w:vAlign w:val="bottom"/>
            <w:gridSpan w:val="8"/>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(t)10.12(g)</w:t>
            </w:r>
          </w:p>
        </w:tc>
        <w:tc>
          <w:tcPr>
            <w:tcW w:w="73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04">
              <w:r>
                <w:rPr>
                  <w:rFonts w:ascii="Arial" w:cs="Arial" w:eastAsia="Arial" w:hAnsi="Arial"/>
                  <w:sz w:val="18"/>
                  <w:szCs w:val="18"/>
                  <w:color w:val="0000EE"/>
                  <w:w w:val="95"/>
                </w:rPr>
                <w:t>Change in Control Termination Agreement, dated as of July 1, 2019, between the Company and</w:t>
              </w:r>
            </w:hyperlink>
          </w:p>
        </w:tc>
        <w:tc>
          <w:tcPr>
            <w:tcW w:w="8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2"/>
          </w:tcPr>
          <w:p>
            <w:pPr>
              <w:spacing w:after="0" w:line="196" w:lineRule="exact"/>
              <w:rPr>
                <w:rFonts w:ascii="Arial" w:cs="Arial" w:eastAsia="Arial" w:hAnsi="Arial"/>
                <w:sz w:val="18"/>
                <w:szCs w:val="18"/>
                <w:color w:val="0000EE"/>
                <w:w w:val="94"/>
              </w:rPr>
            </w:pPr>
            <w:hyperlink r:id="rId104">
              <w:r>
                <w:rPr>
                  <w:rFonts w:ascii="Arial" w:cs="Arial" w:eastAsia="Arial" w:hAnsi="Arial"/>
                  <w:sz w:val="18"/>
                  <w:szCs w:val="18"/>
                  <w:color w:val="0000EE"/>
                  <w:w w:val="94"/>
                </w:rPr>
                <w:t>Robert K. Fullagar, filed as Exhibit 10.12(g) of the Company’s Annual Report on Form 10-K for the</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year ended December 31, 2019.</w:t>
              </w:r>
            </w:hyperlink>
          </w:p>
        </w:tc>
        <w:tc>
          <w:tcPr>
            <w:tcW w:w="4980" w:type="dxa"/>
            <w:vAlign w:val="bottom"/>
            <w:tcBorders>
              <w:top w:val="single" w:sz="8" w:color="0000EE"/>
            </w:tcBorders>
            <w:gridSpan w:val="5"/>
          </w:tcPr>
          <w:p>
            <w:pPr>
              <w:spacing w:after="0"/>
              <w:rPr>
                <w:sz w:val="17"/>
                <w:szCs w:val="17"/>
                <w:color w:val="auto"/>
              </w:rPr>
            </w:pPr>
          </w:p>
        </w:tc>
        <w:tc>
          <w:tcPr>
            <w:tcW w:w="12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(t)10.12(h)</w:t>
            </w:r>
          </w:p>
        </w:tc>
        <w:tc>
          <w:tcPr>
            <w:tcW w:w="73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Change in Control Termination Agreement, dated as of July 1, 2019, between the Company and</w:t>
              </w:r>
            </w:hyperlink>
          </w:p>
        </w:tc>
        <w:tc>
          <w:tcPr>
            <w:tcW w:w="8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2"/>
          </w:tcPr>
          <w:p>
            <w:pPr>
              <w:spacing w:after="0" w:line="196" w:lineRule="exact"/>
              <w:rPr>
                <w:rFonts w:ascii="Arial" w:cs="Arial" w:eastAsia="Arial" w:hAnsi="Arial"/>
                <w:sz w:val="18"/>
                <w:szCs w:val="18"/>
                <w:color w:val="0000EE"/>
                <w:w w:val="96"/>
              </w:rPr>
            </w:pPr>
            <w:hyperlink r:id="rId105">
              <w:r>
                <w:rPr>
                  <w:rFonts w:ascii="Arial" w:cs="Arial" w:eastAsia="Arial" w:hAnsi="Arial"/>
                  <w:sz w:val="18"/>
                  <w:szCs w:val="18"/>
                  <w:color w:val="0000EE"/>
                  <w:w w:val="96"/>
                </w:rPr>
                <w:t>Georgia M. Simpson, filed as Exhibit 10.12(h) of the Company’s Annual Report on Form 10-K for</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the year ended December 31, 2019.</w:t>
              </w:r>
            </w:hyperlink>
          </w:p>
        </w:tc>
        <w:tc>
          <w:tcPr>
            <w:tcW w:w="4740" w:type="dxa"/>
            <w:vAlign w:val="bottom"/>
            <w:tcBorders>
              <w:top w:val="single" w:sz="8" w:color="0000EE"/>
            </w:tcBorders>
            <w:gridSpan w:val="5"/>
          </w:tcPr>
          <w:p>
            <w:pPr>
              <w:spacing w:after="0"/>
              <w:rPr>
                <w:sz w:val="17"/>
                <w:szCs w:val="17"/>
                <w:color w:val="auto"/>
              </w:rPr>
            </w:pPr>
          </w:p>
        </w:tc>
        <w:tc>
          <w:tcPr>
            <w:tcW w:w="10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8"/>
              </w:rPr>
              <w:t>10.13</w:t>
            </w:r>
          </w:p>
        </w:tc>
        <w:tc>
          <w:tcPr>
            <w:tcW w:w="7400" w:type="dxa"/>
            <w:vAlign w:val="bottom"/>
            <w:gridSpan w:val="12"/>
          </w:tcPr>
          <w:p>
            <w:pPr>
              <w:spacing w:after="0"/>
              <w:rPr>
                <w:sz w:val="20"/>
                <w:szCs w:val="20"/>
                <w:color w:val="auto"/>
              </w:rPr>
            </w:pPr>
            <w:r>
              <w:rPr>
                <w:rFonts w:ascii="Arial" w:cs="Arial" w:eastAsia="Arial" w:hAnsi="Arial"/>
                <w:sz w:val="18"/>
                <w:szCs w:val="18"/>
                <w:color w:val="auto"/>
                <w:w w:val="92"/>
              </w:rPr>
              <w:t>Transmission Agreement, dated October 16, 1992, between the Company and the Township of East</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33-54922</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10.23</w:t>
            </w:r>
          </w:p>
        </w:tc>
      </w:tr>
      <w:tr>
        <w:trPr>
          <w:trHeight w:val="230"/>
        </w:trPr>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0" w:type="dxa"/>
            <w:vAlign w:val="bottom"/>
            <w:gridSpan w:val="12"/>
          </w:tcPr>
          <w:p>
            <w:pPr>
              <w:spacing w:after="0"/>
              <w:rPr>
                <w:sz w:val="20"/>
                <w:szCs w:val="20"/>
                <w:color w:val="auto"/>
              </w:rPr>
            </w:pPr>
            <w:r>
              <w:rPr>
                <w:rFonts w:ascii="Arial" w:cs="Arial" w:eastAsia="Arial" w:hAnsi="Arial"/>
                <w:sz w:val="18"/>
                <w:szCs w:val="18"/>
                <w:color w:val="auto"/>
              </w:rPr>
              <w:t>Brunswick.</w:t>
            </w: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44"/>
        </w:trPr>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6"/>
          </w:tcPr>
          <w:p>
            <w:pPr>
              <w:ind w:left="4160"/>
              <w:spacing w:after="0"/>
              <w:rPr>
                <w:sz w:val="20"/>
                <w:szCs w:val="20"/>
                <w:color w:val="auto"/>
              </w:rPr>
            </w:pPr>
            <w:r>
              <w:rPr>
                <w:rFonts w:ascii="Arial" w:cs="Arial" w:eastAsia="Arial" w:hAnsi="Arial"/>
                <w:sz w:val="18"/>
                <w:szCs w:val="18"/>
                <w:color w:val="auto"/>
              </w:rPr>
              <w:t>74</w:t>
            </w: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32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jc w:val="both"/>
        <w:ind w:left="9000"/>
        <w:spacing w:after="0"/>
        <w:tabs>
          <w:tab w:leader="none" w:pos="10320" w:val="left"/>
        </w:tabs>
        <w:rPr>
          <w:sz w:val="20"/>
          <w:szCs w:val="20"/>
          <w:color w:val="auto"/>
        </w:rPr>
      </w:pPr>
      <w:r>
        <w:rPr>
          <w:rFonts w:ascii="Arial" w:cs="Arial" w:eastAsia="Arial" w:hAnsi="Arial"/>
          <w:sz w:val="18"/>
          <w:szCs w:val="18"/>
          <w:b w:val="1"/>
          <w:bCs w:val="1"/>
          <w:color w:val="auto"/>
        </w:rPr>
        <w:t>Previous</w:t>
      </w:r>
      <w:r>
        <w:rPr>
          <w:sz w:val="20"/>
          <w:szCs w:val="20"/>
          <w:color w:val="auto"/>
        </w:rPr>
        <w:tab/>
      </w:r>
      <w:r>
        <w:rPr>
          <w:rFonts w:ascii="Arial" w:cs="Arial" w:eastAsia="Arial" w:hAnsi="Arial"/>
          <w:sz w:val="18"/>
          <w:szCs w:val="18"/>
          <w:b w:val="1"/>
          <w:bCs w:val="1"/>
          <w:color w:val="auto"/>
        </w:rPr>
        <w:t>Filing’s</w:t>
      </w:r>
    </w:p>
    <w:p>
      <w:pPr>
        <w:spacing w:after="0" w:line="9" w:lineRule="exact"/>
        <w:rPr>
          <w:sz w:val="20"/>
          <w:szCs w:val="20"/>
          <w:color w:val="auto"/>
        </w:rPr>
      </w:pPr>
    </w:p>
    <w:p>
      <w:pPr>
        <w:jc w:val="both"/>
        <w:ind w:left="8860"/>
        <w:spacing w:after="0"/>
        <w:tabs>
          <w:tab w:leader="none" w:pos="10320" w:val="left"/>
        </w:tabs>
        <w:rPr>
          <w:sz w:val="20"/>
          <w:szCs w:val="20"/>
          <w:color w:val="auto"/>
        </w:rPr>
      </w:pP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8"/>
          <w:szCs w:val="18"/>
          <w:b w:val="1"/>
          <w:bCs w:val="1"/>
          <w:color w:val="auto"/>
        </w:rPr>
        <w:t>Exhibit</w:t>
      </w:r>
    </w:p>
    <w:p>
      <w:pPr>
        <w:spacing w:after="0" w:line="9" w:lineRule="exact"/>
        <w:rPr>
          <w:sz w:val="20"/>
          <w:szCs w:val="20"/>
          <w:color w:val="auto"/>
        </w:rPr>
      </w:pPr>
    </w:p>
    <w:p>
      <w:pPr>
        <w:spacing w:after="0"/>
        <w:tabs>
          <w:tab w:leader="none" w:pos="4120" w:val="left"/>
          <w:tab w:leader="none" w:pos="9180" w:val="left"/>
          <w:tab w:leader="none" w:pos="104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Document Description</w:t>
      </w:r>
      <w:r>
        <w:rPr>
          <w:sz w:val="20"/>
          <w:szCs w:val="20"/>
          <w:color w:val="auto"/>
        </w:rPr>
        <w:tab/>
      </w:r>
      <w:r>
        <w:rPr>
          <w:rFonts w:ascii="Arial" w:cs="Arial" w:eastAsia="Arial" w:hAnsi="Arial"/>
          <w:sz w:val="18"/>
          <w:szCs w:val="18"/>
          <w:b w:val="1"/>
          <w:bCs w:val="1"/>
          <w:color w:val="auto"/>
        </w:rPr>
        <w:t>No.</w:t>
      </w:r>
      <w:r>
        <w:rPr>
          <w:sz w:val="20"/>
          <w:szCs w:val="20"/>
          <w:color w:val="auto"/>
        </w:rPr>
        <w:tab/>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jc w:val="both"/>
        <w:ind w:left="1360" w:right="2260" w:hanging="976"/>
        <w:spacing w:after="0" w:line="255"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10.13(a)</w:t>
      </w:r>
      <w:r>
        <w:rPr>
          <w:sz w:val="20"/>
          <w:szCs w:val="20"/>
          <w:color w:val="auto"/>
        </w:rPr>
        <w:tab/>
      </w:r>
      <w:hyperlink r:id="rId107">
        <w:r>
          <w:rPr>
            <w:rFonts w:ascii="Arial" w:cs="Arial" w:eastAsia="Arial" w:hAnsi="Arial"/>
            <w:sz w:val="18"/>
            <w:szCs w:val="18"/>
            <w:u w:val="single" w:color="auto"/>
            <w:color w:val="0000EE"/>
          </w:rPr>
          <w:t>Amendment, dated November 28, 2016, to Transmission Agreement between the Company and the</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Township of East Brunswick, filed as Exhibit No. 10.13(a) of the Company’s Annual Report on</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Form 10-K for the year ended December 31, 2016.</w:t>
        </w:r>
      </w:hyperlink>
    </w:p>
    <w:p>
      <w:pPr>
        <w:spacing w:after="0" w:line="3"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08">
        <w:r>
          <w:rPr>
            <w:rFonts w:ascii="Arial" w:cs="Arial" w:eastAsia="Arial" w:hAnsi="Arial"/>
            <w:sz w:val="18"/>
            <w:szCs w:val="18"/>
            <w:u w:val="single" w:color="auto"/>
            <w:color w:val="0000EE"/>
          </w:rPr>
          <w:t>Contract, dated August 20, 2018, between the City of Perth Amboy and Utility Service Affiliates</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(Perth Amboy), Inc., filed as Exhibit 10.16 of the Company’s Quarterly Report on Form 10-Q for the</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quarter ended September 30, 2018.</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09">
        <w:r>
          <w:rPr>
            <w:rFonts w:ascii="Arial" w:cs="Arial" w:eastAsia="Arial" w:hAnsi="Arial"/>
            <w:sz w:val="18"/>
            <w:szCs w:val="18"/>
            <w:u w:val="single" w:color="auto"/>
            <w:color w:val="0000EE"/>
          </w:rPr>
          <w:t>Thirtieth Supplemental Indenture, dated October 15, 2004, between the Company and Wachovia</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Bank, National Association; Loan Agreement, dated November 1, 2004, between the State of New</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Jersey and the Company (Series EE), filed as Exhibit No. 10.26 of the Company’s for the year ended</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December 31, 2004.</w:t>
        </w:r>
      </w:hyperlink>
    </w:p>
    <w:p>
      <w:pPr>
        <w:spacing w:after="0" w:line="2" w:lineRule="exact"/>
        <w:rPr>
          <w:rFonts w:ascii="Arial" w:cs="Arial" w:eastAsia="Arial" w:hAnsi="Arial"/>
          <w:sz w:val="18"/>
          <w:szCs w:val="18"/>
          <w:u w:val="single" w:color="auto"/>
          <w:color w:val="0000EE"/>
        </w:rPr>
      </w:pPr>
    </w:p>
    <w:p>
      <w:pPr>
        <w:jc w:val="both"/>
        <w:ind w:left="1360" w:right="2260" w:hanging="877"/>
        <w:spacing w:after="0" w:line="265" w:lineRule="auto"/>
        <w:tabs>
          <w:tab w:leader="none" w:pos="1340" w:val="left"/>
        </w:tabs>
        <w:rPr>
          <w:rFonts w:ascii="Arial" w:cs="Arial" w:eastAsia="Arial" w:hAnsi="Arial"/>
          <w:sz w:val="17"/>
          <w:szCs w:val="17"/>
          <w:color w:val="0000EE"/>
        </w:rPr>
      </w:pPr>
      <w:r>
        <w:rPr>
          <w:rFonts w:ascii="Arial" w:cs="Arial" w:eastAsia="Arial" w:hAnsi="Arial"/>
          <w:sz w:val="18"/>
          <w:szCs w:val="18"/>
          <w:color w:val="auto"/>
        </w:rPr>
        <w:t>10.16</w:t>
      </w:r>
      <w:r>
        <w:rPr>
          <w:sz w:val="20"/>
          <w:szCs w:val="20"/>
          <w:color w:val="auto"/>
        </w:rPr>
        <w:tab/>
      </w:r>
      <w:hyperlink r:id="rId110">
        <w:r>
          <w:rPr>
            <w:rFonts w:ascii="Arial" w:cs="Arial" w:eastAsia="Arial" w:hAnsi="Arial"/>
            <w:sz w:val="17"/>
            <w:szCs w:val="17"/>
            <w:u w:val="single" w:color="auto"/>
            <w:color w:val="0000EE"/>
          </w:rPr>
          <w:t>Thirty-First Supplemental Indenture, dated October 15, 2004, between the Company and Wachovia</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Bank, National Association; Loan Agreement, dated November 1, 2004, between the New Jersey</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Environmental Infrastructure Trust and the Company (Series FF), filed as Exhibit No. 10.27 of the</w:t>
        </w:r>
      </w:hyperlink>
      <w:r>
        <w:rPr>
          <w:rFonts w:ascii="Arial" w:cs="Arial" w:eastAsia="Arial" w:hAnsi="Arial"/>
          <w:sz w:val="17"/>
          <w:szCs w:val="17"/>
          <w:u w:val="single" w:color="auto"/>
          <w:color w:val="0000EE"/>
        </w:rPr>
        <w:t xml:space="preserve"> </w:t>
      </w:r>
      <w:hyperlink r:id="rId110">
        <w:r>
          <w:rPr>
            <w:rFonts w:ascii="Arial" w:cs="Arial" w:eastAsia="Arial" w:hAnsi="Arial"/>
            <w:sz w:val="17"/>
            <w:szCs w:val="17"/>
            <w:u w:val="single" w:color="auto"/>
            <w:color w:val="0000EE"/>
          </w:rPr>
          <w:t>Company’s Annual Report on Form 10-K for the year ended December 31, 2004</w:t>
        </w:r>
        <w:r>
          <w:rPr>
            <w:rFonts w:ascii="Arial" w:cs="Arial" w:eastAsia="Arial" w:hAnsi="Arial"/>
            <w:sz w:val="17"/>
            <w:szCs w:val="17"/>
            <w:color w:val="000000"/>
          </w:rPr>
          <w:t>.</w:t>
        </w:r>
      </w:hyperlink>
    </w:p>
    <w:p>
      <w:pPr>
        <w:spacing w:after="0" w:line="1" w:lineRule="exact"/>
        <w:rPr>
          <w:rFonts w:ascii="Arial" w:cs="Arial" w:eastAsia="Arial" w:hAnsi="Arial"/>
          <w:sz w:val="17"/>
          <w:szCs w:val="17"/>
          <w:u w:val="single" w:color="auto"/>
          <w:color w:val="0000EE"/>
        </w:rPr>
      </w:pPr>
    </w:p>
    <w:p>
      <w:pPr>
        <w:jc w:val="both"/>
        <w:ind w:left="1360" w:right="2260" w:hanging="976"/>
        <w:spacing w:after="0" w:line="250" w:lineRule="auto"/>
        <w:tabs>
          <w:tab w:leader="none" w:pos="1340" w:val="left"/>
        </w:tabs>
        <w:rPr>
          <w:rFonts w:ascii="Arial" w:cs="Arial" w:eastAsia="Arial" w:hAnsi="Arial"/>
          <w:sz w:val="18"/>
          <w:szCs w:val="18"/>
          <w:color w:val="0000EE"/>
        </w:rPr>
      </w:pPr>
      <w:r>
        <w:rPr>
          <w:rFonts w:ascii="Arial" w:cs="Arial" w:eastAsia="Arial" w:hAnsi="Arial"/>
          <w:sz w:val="18"/>
          <w:szCs w:val="18"/>
          <w:color w:val="auto"/>
        </w:rPr>
        <w:t>10.17(a)</w:t>
      </w:r>
      <w:r>
        <w:rPr>
          <w:sz w:val="20"/>
          <w:szCs w:val="20"/>
          <w:color w:val="auto"/>
        </w:rPr>
        <w:tab/>
      </w:r>
      <w:hyperlink r:id="rId111">
        <w:r>
          <w:rPr>
            <w:rFonts w:ascii="Arial" w:cs="Arial" w:eastAsia="Arial" w:hAnsi="Arial"/>
            <w:sz w:val="18"/>
            <w:szCs w:val="18"/>
            <w:u w:val="single" w:color="auto"/>
            <w:color w:val="0000EE"/>
          </w:rPr>
          <w:t>Promissory Note and Supplement, dated October 15, 2014, between Tidewater Utilities, Inc. and</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CoBank, ACB; Amendment to Combination Water Utility Real Estate Mortgage and Security</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Agreement, effective October 15, 2014, between Tidewater Utilities, Inc. and CoBank, ACB, filed as</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Exhibit 10.23 of the Company’s Annual Report on Form 10-K for the year ended December 31,</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2014</w:t>
        </w:r>
        <w:r>
          <w:rPr>
            <w:rFonts w:ascii="Arial" w:cs="Arial" w:eastAsia="Arial" w:hAnsi="Arial"/>
            <w:sz w:val="18"/>
            <w:szCs w:val="18"/>
            <w:color w:val="000000"/>
          </w:rPr>
          <w:t>.</w:t>
        </w:r>
      </w:hyperlink>
    </w:p>
    <w:p>
      <w:pPr>
        <w:spacing w:after="0" w:line="2" w:lineRule="exact"/>
        <w:rPr>
          <w:rFonts w:ascii="Arial" w:cs="Arial" w:eastAsia="Arial" w:hAnsi="Arial"/>
          <w:sz w:val="18"/>
          <w:szCs w:val="18"/>
          <w:u w:val="single" w:color="auto"/>
          <w:color w:val="0000EE"/>
        </w:rPr>
      </w:pPr>
    </w:p>
    <w:p>
      <w:pPr>
        <w:jc w:val="both"/>
        <w:ind w:left="1360" w:right="2260" w:hanging="981"/>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10.17(b)</w:t>
      </w:r>
      <w:r>
        <w:rPr>
          <w:sz w:val="20"/>
          <w:szCs w:val="20"/>
          <w:color w:val="auto"/>
        </w:rPr>
        <w:tab/>
      </w:r>
      <w:hyperlink r:id="rId112">
        <w:r>
          <w:rPr>
            <w:rFonts w:ascii="Arial" w:cs="Arial" w:eastAsia="Arial" w:hAnsi="Arial"/>
            <w:sz w:val="18"/>
            <w:szCs w:val="18"/>
            <w:u w:val="single" w:color="auto"/>
            <w:color w:val="0000EE"/>
          </w:rPr>
          <w:t>Promissory Note and Supplement, dated March 29, 2021, between Tidewater Utilities, Inc. and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CoBank, ACB; Amendment to Combination Water Utility Real Estate Mortgage and Security</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Agreement, effective March 29,2021, between Tidewater Utilities, Inc. and CoBank, ACB, filed as</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Exhibit 10.19(b) of the Company’s Quarterly Report on Form 10-Q for the quarter ended March 31,</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2021.</w:t>
        </w:r>
      </w:hyperlink>
    </w:p>
    <w:p>
      <w:pPr>
        <w:spacing w:after="0" w:line="2"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13">
        <w:r>
          <w:rPr>
            <w:rFonts w:ascii="Arial" w:cs="Arial" w:eastAsia="Arial" w:hAnsi="Arial"/>
            <w:sz w:val="18"/>
            <w:szCs w:val="18"/>
            <w:u w:val="single" w:color="auto"/>
            <w:color w:val="0000EE"/>
          </w:rPr>
          <w:t>Agreement for a Supply of Water, dated April 1, 2006, between the Company and the City of</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Rahway, filed as Exhibit No. 10.2 of the Company’s Quarterly Report on Form 10-Q for the quarter</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ended March 31, 2006.</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5"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14">
        <w:r>
          <w:rPr>
            <w:rFonts w:ascii="Arial" w:cs="Arial" w:eastAsia="Arial" w:hAnsi="Arial"/>
            <w:sz w:val="18"/>
            <w:szCs w:val="18"/>
            <w:u w:val="single" w:color="auto"/>
            <w:color w:val="0000EE"/>
          </w:rPr>
          <w:t>Loan Agreement, dated November 1, 2006, between the State of New Jersey and the Company</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(Series GG), filed as Exhibit No. 10.30 of the Company’s Annual Report on Form 10-K for the year</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ended December 31, 2006.</w:t>
        </w:r>
      </w:hyperlink>
    </w:p>
    <w:p>
      <w:pPr>
        <w:spacing w:after="0" w:line="298" w:lineRule="exact"/>
        <w:rPr>
          <w:rFonts w:ascii="Arial" w:cs="Arial" w:eastAsia="Arial" w:hAnsi="Arial"/>
          <w:sz w:val="18"/>
          <w:szCs w:val="18"/>
          <w:u w:val="single" w:color="auto"/>
          <w:color w:val="0000EE"/>
        </w:rPr>
      </w:pPr>
    </w:p>
    <w:p>
      <w:pPr>
        <w:jc w:val="center"/>
        <w:ind w:right="-299"/>
        <w:spacing w:after="0"/>
        <w:rPr>
          <w:sz w:val="20"/>
          <w:szCs w:val="20"/>
          <w:color w:val="auto"/>
        </w:rPr>
      </w:pPr>
      <w:r>
        <w:rPr>
          <w:rFonts w:ascii="Arial" w:cs="Arial" w:eastAsia="Arial" w:hAnsi="Arial"/>
          <w:sz w:val="18"/>
          <w:szCs w:val="18"/>
          <w:color w:val="auto"/>
        </w:rPr>
        <w:t>75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233" w:right="6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4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180" w:type="dxa"/>
            <w:vAlign w:val="bottom"/>
            <w:gridSpan w:val="7"/>
          </w:tcPr>
          <w:p>
            <w:pPr>
              <w:ind w:left="340"/>
              <w:spacing w:after="0"/>
              <w:rPr>
                <w:sz w:val="20"/>
                <w:szCs w:val="20"/>
                <w:color w:val="auto"/>
              </w:rPr>
            </w:pPr>
            <w:r>
              <w:rPr>
                <w:rFonts w:ascii="Arial" w:cs="Arial" w:eastAsia="Arial" w:hAnsi="Arial"/>
                <w:sz w:val="18"/>
                <w:szCs w:val="18"/>
                <w:b w:val="1"/>
                <w:bCs w:val="1"/>
                <w:color w:val="auto"/>
              </w:rPr>
              <w:t>EXHIBIT INDEX</w:t>
            </w:r>
          </w:p>
        </w:tc>
        <w:tc>
          <w:tcPr>
            <w:tcW w:w="13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6"/>
              </w:rPr>
              <w:t>Previous</w:t>
            </w: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Filing’s</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Registration</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0" w:type="dxa"/>
            <w:vAlign w:val="bottom"/>
          </w:tcPr>
          <w:p>
            <w:pPr>
              <w:spacing w:after="0"/>
              <w:rPr>
                <w:sz w:val="1"/>
                <w:szCs w:val="1"/>
                <w:color w:val="auto"/>
              </w:rPr>
            </w:pPr>
          </w:p>
        </w:tc>
      </w:tr>
      <w:tr>
        <w:trPr>
          <w:trHeight w:val="241"/>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460" w:type="dxa"/>
            <w:vAlign w:val="bottom"/>
            <w:tcBorders>
              <w:bottom w:val="single" w:sz="8" w:color="auto"/>
            </w:tcBorders>
            <w:gridSpan w:val="8"/>
          </w:tcPr>
          <w:p>
            <w:pPr>
              <w:ind w:left="840"/>
              <w:spacing w:after="0"/>
              <w:rPr>
                <w:sz w:val="20"/>
                <w:szCs w:val="20"/>
                <w:color w:val="auto"/>
              </w:rPr>
            </w:pPr>
            <w:r>
              <w:rPr>
                <w:rFonts w:ascii="Arial" w:cs="Arial" w:eastAsia="Arial" w:hAnsi="Arial"/>
                <w:sz w:val="18"/>
                <w:szCs w:val="18"/>
                <w:b w:val="1"/>
                <w:bCs w:val="1"/>
                <w:color w:val="auto"/>
              </w:rPr>
              <w:t>Document Description</w:t>
            </w: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No.</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0" w:type="dxa"/>
            <w:vAlign w:val="bottom"/>
          </w:tcPr>
          <w:p>
            <w:pPr>
              <w:spacing w:after="0"/>
              <w:rPr>
                <w:sz w:val="1"/>
                <w:szCs w:val="1"/>
                <w:color w:val="auto"/>
              </w:rPr>
            </w:pPr>
          </w:p>
        </w:tc>
      </w:tr>
      <w:tr>
        <w:trPr>
          <w:trHeight w:val="176"/>
        </w:trPr>
        <w:tc>
          <w:tcPr>
            <w:tcW w:w="13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10.20</w:t>
            </w:r>
          </w:p>
        </w:tc>
        <w:tc>
          <w:tcPr>
            <w:tcW w:w="7300" w:type="dxa"/>
            <w:vAlign w:val="bottom"/>
            <w:tcBorders>
              <w:bottom w:val="single" w:sz="8" w:color="0000EE"/>
            </w:tcBorders>
            <w:gridSpan w:val="10"/>
          </w:tcPr>
          <w:p>
            <w:pPr>
              <w:spacing w:after="0" w:line="176" w:lineRule="exact"/>
              <w:rPr>
                <w:rFonts w:ascii="Arial" w:cs="Arial" w:eastAsia="Arial" w:hAnsi="Arial"/>
                <w:sz w:val="18"/>
                <w:szCs w:val="18"/>
                <w:color w:val="0000EE"/>
                <w:w w:val="93"/>
              </w:rPr>
            </w:pPr>
            <w:hyperlink r:id="rId116">
              <w:r>
                <w:rPr>
                  <w:rFonts w:ascii="Arial" w:cs="Arial" w:eastAsia="Arial" w:hAnsi="Arial"/>
                  <w:sz w:val="18"/>
                  <w:szCs w:val="18"/>
                  <w:color w:val="0000EE"/>
                  <w:w w:val="93"/>
                </w:rPr>
                <w:t>Loan Agreement, dated November 1, 2006, between the New Jersey Environmental Infrastructure</w:t>
              </w:r>
            </w:hyperlink>
          </w:p>
        </w:tc>
        <w:tc>
          <w:tcPr>
            <w:tcW w:w="10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Trust and the Company (Series HH), filed as Exhibit No. 10.31 of the Company’s Annual Report on</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Form 10-K for the year ended December 31, 2006.</w:t>
              </w:r>
            </w:hyperlink>
          </w:p>
        </w:tc>
        <w:tc>
          <w:tcPr>
            <w:tcW w:w="3740" w:type="dxa"/>
            <w:vAlign w:val="bottom"/>
            <w:gridSpan w:val="6"/>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10.21</w:t>
            </w:r>
          </w:p>
        </w:tc>
        <w:tc>
          <w:tcPr>
            <w:tcW w:w="73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Loan Agreement, dated November 1, 2007, between New Jersey Environmental Infrastructure Trust</w:t>
              </w:r>
            </w:hyperlink>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and the Company (Series II), filed as Exhibit No. 10.32 of the Company’s Annual Report on Form</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2"/>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10-K for the year ended December 31, 2007.</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10.22</w:t>
            </w:r>
          </w:p>
        </w:tc>
        <w:tc>
          <w:tcPr>
            <w:tcW w:w="73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118">
              <w:r>
                <w:rPr>
                  <w:rFonts w:ascii="Arial" w:cs="Arial" w:eastAsia="Arial" w:hAnsi="Arial"/>
                  <w:sz w:val="18"/>
                  <w:szCs w:val="18"/>
                  <w:color w:val="0000EE"/>
                  <w:w w:val="95"/>
                </w:rPr>
                <w:t>Loan Agreement, dated November 1, 2007, between the State of New Jersey and the Company</w:t>
              </w:r>
            </w:hyperlink>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(Series JJ), filed as Exhibit 10.33 of the Company’s Annual Report on Form 10-K for the year ended</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December 31, 2007.</w:t>
              </w:r>
            </w:hyperlink>
          </w:p>
        </w:tc>
        <w:tc>
          <w:tcPr>
            <w:tcW w:w="5940" w:type="dxa"/>
            <w:vAlign w:val="bottom"/>
            <w:gridSpan w:val="9"/>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10.23</w:t>
            </w:r>
          </w:p>
        </w:tc>
        <w:tc>
          <w:tcPr>
            <w:tcW w:w="73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Loan Agreement, dated November 1, 2008, between New Jersey Environmental Infrastructure Trust</w:t>
              </w:r>
            </w:hyperlink>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and the Company dated as of (Series KK), filed as Exhibit 10.34 of the Company’s Annual Report</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2"/>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on Form 10-K for the year ended December 31, 2008.</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10.24</w:t>
            </w:r>
          </w:p>
        </w:tc>
        <w:tc>
          <w:tcPr>
            <w:tcW w:w="73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120">
              <w:r>
                <w:rPr>
                  <w:rFonts w:ascii="Arial" w:cs="Arial" w:eastAsia="Arial" w:hAnsi="Arial"/>
                  <w:sz w:val="18"/>
                  <w:szCs w:val="18"/>
                  <w:color w:val="0000EE"/>
                  <w:w w:val="95"/>
                </w:rPr>
                <w:t>Loan Agreement, dated November 1, 2008, between the State of New Jersey and the Company</w:t>
              </w:r>
            </w:hyperlink>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r:id="rId120">
              <w:r>
                <w:rPr>
                  <w:rFonts w:ascii="Arial" w:cs="Arial" w:eastAsia="Arial" w:hAnsi="Arial"/>
                  <w:sz w:val="18"/>
                  <w:szCs w:val="18"/>
                  <w:color w:val="0000EE"/>
                  <w:w w:val="97"/>
                </w:rPr>
                <w:t>(Series LL),  filed as Exhibit 10.35 of the Company’s Annual Report on Form 10-K for the year</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20">
              <w:r>
                <w:rPr>
                  <w:rFonts w:ascii="Arial" w:cs="Arial" w:eastAsia="Arial" w:hAnsi="Arial"/>
                  <w:sz w:val="18"/>
                  <w:szCs w:val="18"/>
                  <w:color w:val="0000EE"/>
                  <w:w w:val="87"/>
                </w:rPr>
                <w:t>ended December 31, 2008.</w:t>
              </w:r>
            </w:hyperlink>
          </w:p>
        </w:tc>
        <w:tc>
          <w:tcPr>
            <w:tcW w:w="5460" w:type="dxa"/>
            <w:vAlign w:val="bottom"/>
            <w:gridSpan w:val="8"/>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10.25</w:t>
            </w: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Prospectus Supplement, filed August 3, 2022, relating to the Middlesex Water Company Investment</w:t>
              </w:r>
            </w:hyperlink>
          </w:p>
        </w:tc>
        <w:tc>
          <w:tcPr>
            <w:tcW w:w="100" w:type="dxa"/>
            <w:vAlign w:val="bottom"/>
            <w:gridSpan w:val="2"/>
          </w:tcPr>
          <w:p>
            <w:pPr>
              <w:spacing w:after="0"/>
              <w:rPr>
                <w:sz w:val="17"/>
                <w:szCs w:val="17"/>
                <w:color w:val="auto"/>
              </w:rPr>
            </w:pPr>
          </w:p>
        </w:tc>
        <w:tc>
          <w:tcPr>
            <w:tcW w:w="132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1"/>
              </w:rPr>
              <w:t>333-266482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2"/>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Plan.</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9"/>
              </w:rPr>
              <w:t>10.26(a)</w:t>
            </w: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8"/>
              </w:rPr>
            </w:pPr>
            <w:hyperlink r:id="rId122">
              <w:r>
                <w:rPr>
                  <w:rFonts w:ascii="Arial" w:cs="Arial" w:eastAsia="Arial" w:hAnsi="Arial"/>
                  <w:sz w:val="18"/>
                  <w:szCs w:val="18"/>
                  <w:color w:val="0000EE"/>
                  <w:w w:val="98"/>
                </w:rPr>
                <w:t xml:space="preserve">Amended and Restated </w:t>
              </w:r>
              <w:r>
                <w:rPr>
                  <w:rFonts w:ascii="Arial" w:cs="Arial" w:eastAsia="Arial" w:hAnsi="Arial"/>
                  <w:sz w:val="18"/>
                  <w:szCs w:val="18"/>
                  <w:u w:val="single" w:color="auto"/>
                  <w:color w:val="0000EE"/>
                  <w:w w:val="98"/>
                </w:rPr>
                <w:t>$</w:t>
              </w:r>
              <w:r>
                <w:rPr>
                  <w:rFonts w:ascii="Arial" w:cs="Arial" w:eastAsia="Arial" w:hAnsi="Arial"/>
                  <w:sz w:val="18"/>
                  <w:szCs w:val="18"/>
                  <w:color w:val="0000EE"/>
                  <w:w w:val="98"/>
                </w:rPr>
                <w:t>68,000,000 Revolving Line of Credit Note, dated February 9, 2022,</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22">
              <w:r>
                <w:rPr>
                  <w:rFonts w:ascii="Arial" w:cs="Arial" w:eastAsia="Arial" w:hAnsi="Arial"/>
                  <w:sz w:val="18"/>
                  <w:szCs w:val="18"/>
                  <w:color w:val="0000EE"/>
                  <w:w w:val="95"/>
                </w:rPr>
                <w:t>between the Company, Pinelands Wastewater Company, Pinelands Water Company, Tidewater</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r:id="rId122">
              <w:r>
                <w:rPr>
                  <w:rFonts w:ascii="Arial" w:cs="Arial" w:eastAsia="Arial" w:hAnsi="Arial"/>
                  <w:sz w:val="18"/>
                  <w:szCs w:val="18"/>
                  <w:color w:val="0000EE"/>
                  <w:w w:val="96"/>
                </w:rPr>
                <w:t>Utilities, Inc., Utility Service Affiliates (Perth Amboy) Inc., Utility Service Affiliates Inc. and While</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Marsh Environmental Systems, Inc., and PNC Bank, N.A., filed as Exhibit 10.26(a) of the</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Company’s Annual Report on Form 10-K for the year ended December 31, 2021.</w:t>
              </w:r>
            </w:hyperlink>
          </w:p>
        </w:tc>
        <w:tc>
          <w:tcPr>
            <w:tcW w:w="154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2"/>
              </w:rPr>
              <w:t>10.26(b)</w:t>
            </w:r>
          </w:p>
        </w:tc>
        <w:tc>
          <w:tcPr>
            <w:tcW w:w="7400" w:type="dxa"/>
            <w:vAlign w:val="bottom"/>
            <w:gridSpan w:val="12"/>
          </w:tcPr>
          <w:p>
            <w:pPr>
              <w:spacing w:after="0" w:line="196" w:lineRule="exact"/>
              <w:rPr>
                <w:rFonts w:ascii="Arial" w:cs="Arial" w:eastAsia="Arial" w:hAnsi="Arial"/>
                <w:sz w:val="18"/>
                <w:szCs w:val="18"/>
                <w:color w:val="auto"/>
                <w:w w:val="98"/>
              </w:rPr>
            </w:pPr>
            <w:hyperlink r:id="rId123">
              <w:r>
                <w:rPr>
                  <w:rFonts w:ascii="Arial" w:cs="Arial" w:eastAsia="Arial" w:hAnsi="Arial"/>
                  <w:sz w:val="18"/>
                  <w:szCs w:val="18"/>
                  <w:color w:val="auto"/>
                  <w:w w:val="98"/>
                </w:rPr>
                <w:t>W</w:t>
              </w:r>
              <w:r>
                <w:rPr>
                  <w:rFonts w:ascii="Arial" w:cs="Arial" w:eastAsia="Arial" w:hAnsi="Arial"/>
                  <w:sz w:val="18"/>
                  <w:szCs w:val="18"/>
                  <w:color w:val="0000EE"/>
                  <w:w w:val="98"/>
                </w:rPr>
                <w:t>aiver and Amendment to Loan Documents, dated February 9, 2022, between the Company,</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2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Pinelands Wastewater Company, Pinelands Water Company, Tidewater Utilities, Inc., Utility Service</w:t>
              </w:r>
            </w:hyperlink>
          </w:p>
        </w:tc>
        <w:tc>
          <w:tcPr>
            <w:tcW w:w="10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60"/>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Affiliates (Perth Amboy) Inc., Utility Service Affiliates Inc. and While Marsh Environmental</w:t>
        </w:r>
      </w:hyperlink>
    </w:p>
    <w:p>
      <w:pPr>
        <w:spacing w:after="0" w:line="23" w:lineRule="exact"/>
        <w:rPr>
          <w:sz w:val="20"/>
          <w:szCs w:val="20"/>
          <w:color w:val="auto"/>
        </w:rPr>
      </w:pPr>
    </w:p>
    <w:p>
      <w:pPr>
        <w:ind w:left="1360"/>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Systems, Inc., and PNC Bank, N.A., filed as Exhibit 10.26(b) of the Company’s Annual Report on</w:t>
        </w:r>
      </w:hyperlink>
    </w:p>
    <w:p>
      <w:pPr>
        <w:spacing w:after="0" w:line="9" w:lineRule="exact"/>
        <w:rPr>
          <w:sz w:val="20"/>
          <w:szCs w:val="20"/>
          <w:color w:val="auto"/>
        </w:rPr>
      </w:pPr>
    </w:p>
    <w:p>
      <w:pPr>
        <w:ind w:left="1360"/>
        <w:spacing w:after="0"/>
        <w:rPr>
          <w:rFonts w:ascii="Arial" w:cs="Arial" w:eastAsia="Arial" w:hAnsi="Arial"/>
          <w:sz w:val="18"/>
          <w:szCs w:val="18"/>
          <w:color w:val="0000EE"/>
        </w:rPr>
      </w:pPr>
      <w:hyperlink r:id="rId123">
        <w:r>
          <w:rPr>
            <w:rFonts w:ascii="Arial" w:cs="Arial" w:eastAsia="Arial" w:hAnsi="Arial"/>
            <w:sz w:val="18"/>
            <w:szCs w:val="18"/>
            <w:u w:val="single" w:color="auto"/>
            <w:color w:val="0000EE"/>
          </w:rPr>
          <w:t>Form 10-K for the year ended December 31, 2021</w:t>
        </w:r>
        <w:r>
          <w:rPr>
            <w:rFonts w:ascii="Arial" w:cs="Arial" w:eastAsia="Arial" w:hAnsi="Arial"/>
            <w:sz w:val="18"/>
            <w:szCs w:val="18"/>
            <w:color w:val="000000"/>
          </w:rPr>
          <w:t>.</w:t>
        </w:r>
      </w:hyperlink>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jc w:val="both"/>
        <w:ind w:left="9000"/>
        <w:spacing w:after="0"/>
        <w:tabs>
          <w:tab w:leader="none" w:pos="10320" w:val="left"/>
        </w:tabs>
        <w:rPr>
          <w:sz w:val="20"/>
          <w:szCs w:val="20"/>
          <w:color w:val="auto"/>
        </w:rPr>
      </w:pPr>
      <w:r>
        <w:rPr>
          <w:rFonts w:ascii="Arial" w:cs="Arial" w:eastAsia="Arial" w:hAnsi="Arial"/>
          <w:sz w:val="18"/>
          <w:szCs w:val="18"/>
          <w:b w:val="1"/>
          <w:bCs w:val="1"/>
          <w:color w:val="auto"/>
        </w:rPr>
        <w:t>Previous</w:t>
      </w:r>
      <w:r>
        <w:rPr>
          <w:sz w:val="20"/>
          <w:szCs w:val="20"/>
          <w:color w:val="auto"/>
        </w:rPr>
        <w:tab/>
      </w:r>
      <w:r>
        <w:rPr>
          <w:rFonts w:ascii="Arial" w:cs="Arial" w:eastAsia="Arial" w:hAnsi="Arial"/>
          <w:sz w:val="18"/>
          <w:szCs w:val="18"/>
          <w:b w:val="1"/>
          <w:bCs w:val="1"/>
          <w:color w:val="auto"/>
        </w:rPr>
        <w:t>Filing’s</w:t>
      </w:r>
    </w:p>
    <w:p>
      <w:pPr>
        <w:spacing w:after="0" w:line="9" w:lineRule="exact"/>
        <w:rPr>
          <w:sz w:val="20"/>
          <w:szCs w:val="20"/>
          <w:color w:val="auto"/>
        </w:rPr>
      </w:pPr>
    </w:p>
    <w:p>
      <w:pPr>
        <w:jc w:val="both"/>
        <w:ind w:left="8860"/>
        <w:spacing w:after="0"/>
        <w:tabs>
          <w:tab w:leader="none" w:pos="10320" w:val="left"/>
        </w:tabs>
        <w:rPr>
          <w:sz w:val="20"/>
          <w:szCs w:val="20"/>
          <w:color w:val="auto"/>
        </w:rPr>
      </w:pP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8"/>
          <w:szCs w:val="18"/>
          <w:b w:val="1"/>
          <w:bCs w:val="1"/>
          <w:color w:val="auto"/>
        </w:rPr>
        <w:t>Exhibit</w:t>
      </w:r>
    </w:p>
    <w:p>
      <w:pPr>
        <w:spacing w:after="0" w:line="9" w:lineRule="exact"/>
        <w:rPr>
          <w:sz w:val="20"/>
          <w:szCs w:val="20"/>
          <w:color w:val="auto"/>
        </w:rPr>
      </w:pPr>
    </w:p>
    <w:p>
      <w:pPr>
        <w:spacing w:after="0"/>
        <w:tabs>
          <w:tab w:leader="none" w:pos="4120" w:val="left"/>
          <w:tab w:leader="none" w:pos="9180" w:val="left"/>
          <w:tab w:leader="none" w:pos="104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Document Description</w:t>
      </w:r>
      <w:r>
        <w:rPr>
          <w:sz w:val="20"/>
          <w:szCs w:val="20"/>
          <w:color w:val="auto"/>
        </w:rPr>
        <w:tab/>
      </w:r>
      <w:r>
        <w:rPr>
          <w:rFonts w:ascii="Arial" w:cs="Arial" w:eastAsia="Arial" w:hAnsi="Arial"/>
          <w:sz w:val="18"/>
          <w:szCs w:val="18"/>
          <w:b w:val="1"/>
          <w:bCs w:val="1"/>
          <w:color w:val="auto"/>
        </w:rPr>
        <w:t>No.</w:t>
      </w:r>
      <w:r>
        <w:rPr>
          <w:sz w:val="20"/>
          <w:szCs w:val="20"/>
          <w:color w:val="auto"/>
        </w:rPr>
        <w:tab/>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jc w:val="both"/>
        <w:ind w:left="1360" w:right="2260" w:hanging="976"/>
        <w:spacing w:after="0" w:line="268" w:lineRule="auto"/>
        <w:tabs>
          <w:tab w:leader="none" w:pos="1340" w:val="left"/>
        </w:tabs>
        <w:rPr>
          <w:rFonts w:ascii="Arial" w:cs="Arial" w:eastAsia="Arial" w:hAnsi="Arial"/>
          <w:sz w:val="17"/>
          <w:szCs w:val="17"/>
          <w:u w:val="single" w:color="auto"/>
          <w:color w:val="0000EE"/>
        </w:rPr>
      </w:pPr>
      <w:r>
        <w:rPr>
          <w:rFonts w:ascii="Arial" w:cs="Arial" w:eastAsia="Arial" w:hAnsi="Arial"/>
          <w:sz w:val="18"/>
          <w:szCs w:val="18"/>
          <w:color w:val="auto"/>
        </w:rPr>
        <w:t>10.27(a)</w:t>
      </w:r>
      <w:r>
        <w:rPr>
          <w:sz w:val="20"/>
          <w:szCs w:val="20"/>
          <w:color w:val="auto"/>
        </w:rPr>
        <w:tab/>
      </w:r>
      <w:hyperlink r:id="rId126">
        <w:r>
          <w:rPr>
            <w:rFonts w:ascii="Arial" w:cs="Arial" w:eastAsia="Arial" w:hAnsi="Arial"/>
            <w:sz w:val="17"/>
            <w:szCs w:val="17"/>
            <w:u w:val="single" w:color="auto"/>
            <w:color w:val="0000EE"/>
          </w:rPr>
          <w:t>Uncommitted ($30,000,000) Loan Agreement, dated January 28, 2021, between the Company,</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Tidewater Utilities, Inc., White Marsh Environmental Systems, Inc., Pinelands Water Company,</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Pinelands Wastewater Company, Utility Service Affiliates, Inc., Utility Service Affiliates (Perth</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Amboy) Inc., Tidewater Environmental Services, Inc., and Bank of America, N.A. filed as Exhibit</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10.30 of the Company’s Annual Report on Form 10-K for the year ended December 31, 2020.</w:t>
        </w:r>
      </w:hyperlink>
    </w:p>
    <w:p>
      <w:pPr>
        <w:spacing w:after="0" w:line="3" w:lineRule="exact"/>
        <w:rPr>
          <w:rFonts w:ascii="Arial" w:cs="Arial" w:eastAsia="Arial" w:hAnsi="Arial"/>
          <w:sz w:val="17"/>
          <w:szCs w:val="17"/>
          <w:u w:val="single" w:color="auto"/>
          <w:color w:val="0000EE"/>
        </w:rPr>
      </w:pPr>
    </w:p>
    <w:p>
      <w:pPr>
        <w:jc w:val="both"/>
        <w:ind w:left="1360" w:right="2260" w:hanging="981"/>
        <w:spacing w:after="0" w:line="265" w:lineRule="auto"/>
        <w:tabs>
          <w:tab w:leader="none" w:pos="1340" w:val="left"/>
        </w:tabs>
        <w:rPr>
          <w:rFonts w:ascii="Arial" w:cs="Arial" w:eastAsia="Arial" w:hAnsi="Arial"/>
          <w:sz w:val="17"/>
          <w:szCs w:val="17"/>
          <w:u w:val="single" w:color="auto"/>
          <w:color w:val="0000EE"/>
        </w:rPr>
      </w:pPr>
      <w:r>
        <w:rPr>
          <w:rFonts w:ascii="Arial" w:cs="Arial" w:eastAsia="Arial" w:hAnsi="Arial"/>
          <w:sz w:val="18"/>
          <w:szCs w:val="18"/>
          <w:color w:val="auto"/>
        </w:rPr>
        <w:t>10.27(b)</w:t>
      </w:r>
      <w:r>
        <w:rPr>
          <w:sz w:val="20"/>
          <w:szCs w:val="20"/>
          <w:color w:val="auto"/>
        </w:rPr>
        <w:tab/>
      </w:r>
      <w:hyperlink r:id="rId127">
        <w:r>
          <w:rPr>
            <w:rFonts w:ascii="Arial" w:cs="Arial" w:eastAsia="Arial" w:hAnsi="Arial"/>
            <w:sz w:val="17"/>
            <w:szCs w:val="17"/>
            <w:u w:val="single" w:color="auto"/>
            <w:color w:val="0000EE"/>
          </w:rPr>
          <w:t>Amendment No. 1 ($60,000,000) to Uncommitted Loan Agreement, dated January 27, 2022,</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between the Company, Tidewater Utilities, Inc., White Marsh Environmental Systems, Inc.,</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Pinelands Water Company, Pinelands Wastewater Company, Utility Service Affiliates, Inc., Utility</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Service Affiliates (Perth Amboy) Inc., and Bank of America, N.A., filed as Exhibit 10.27(b) of the</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Company’s Annual Report on Form 10-K for the year ended December 31, 2021.</w:t>
        </w:r>
      </w:hyperlink>
    </w:p>
    <w:p>
      <w:pPr>
        <w:spacing w:after="0" w:line="1" w:lineRule="exact"/>
        <w:rPr>
          <w:rFonts w:ascii="Arial" w:cs="Arial" w:eastAsia="Arial" w:hAnsi="Arial"/>
          <w:sz w:val="17"/>
          <w:szCs w:val="17"/>
          <w:u w:val="single" w:color="auto"/>
          <w:color w:val="0000EE"/>
        </w:rPr>
      </w:pPr>
    </w:p>
    <w:p>
      <w:pPr>
        <w:jc w:val="both"/>
        <w:ind w:left="1360" w:right="2260" w:hanging="1021"/>
        <w:spacing w:after="0" w:line="250" w:lineRule="auto"/>
        <w:tabs>
          <w:tab w:leader="none" w:pos="1340" w:val="left"/>
        </w:tabs>
        <w:rPr>
          <w:sz w:val="20"/>
          <w:szCs w:val="20"/>
          <w:color w:val="auto"/>
        </w:rPr>
      </w:pPr>
      <w:r>
        <w:rPr>
          <w:rFonts w:ascii="Arial" w:cs="Arial" w:eastAsia="Arial" w:hAnsi="Arial"/>
          <w:sz w:val="18"/>
          <w:szCs w:val="18"/>
          <w:color w:val="auto"/>
        </w:rPr>
        <w:t>10.27(c)*</w:t>
      </w:r>
      <w:r>
        <w:rPr>
          <w:sz w:val="20"/>
          <w:szCs w:val="20"/>
          <w:color w:val="auto"/>
        </w:rPr>
        <w:tab/>
      </w:r>
      <w:r>
        <w:rPr>
          <w:rFonts w:ascii="Arial" w:cs="Arial" w:eastAsia="Arial" w:hAnsi="Arial"/>
          <w:sz w:val="18"/>
          <w:szCs w:val="18"/>
          <w:u w:val="single" w:color="auto"/>
          <w:color w:val="0000EE"/>
        </w:rPr>
        <w:t>Amendment No. 2 ($60,000,000) to Uncommitted Loan Agreement, dated January 26, 2023, between the Company, Tidewater Utilities, Inc., White Marsh Environmental Systems, Inc., Pinelands Water Company, Pinelands Wastewater Company, Utility Service Affiliates, Inc., Utility Service Affiliates (Perth Amboy) Inc., and Bank of America, N.A.</w:t>
      </w:r>
    </w:p>
    <w:p>
      <w:pPr>
        <w:spacing w:after="0" w:line="2" w:lineRule="exact"/>
        <w:rPr>
          <w:rFonts w:ascii="Arial" w:cs="Arial" w:eastAsia="Arial" w:hAnsi="Arial"/>
          <w:sz w:val="17"/>
          <w:szCs w:val="17"/>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28">
        <w:r>
          <w:rPr>
            <w:rFonts w:ascii="Arial" w:cs="Arial" w:eastAsia="Arial" w:hAnsi="Arial"/>
            <w:sz w:val="18"/>
            <w:szCs w:val="18"/>
            <w:u w:val="single" w:color="auto"/>
            <w:color w:val="0000EE"/>
          </w:rPr>
          <w:t>Fourth Amendment to Promissory Note and Supplement, dated as of August 19, 2020, between</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Tidewater Utilities, Inc. and CoBank, ACB, filed as Exhibit 10.34 of the Company’s Quarterly</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Report on Form 10-Q for the quarter ended September 30, 2020.</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29">
        <w:r>
          <w:rPr>
            <w:rFonts w:ascii="Arial" w:cs="Arial" w:eastAsia="Arial" w:hAnsi="Arial"/>
            <w:sz w:val="18"/>
            <w:szCs w:val="18"/>
            <w:u w:val="single" w:color="auto"/>
            <w:color w:val="0000EE"/>
          </w:rPr>
          <w:t>Loan Agreement, dated December 1, 2010, between the State of New Jersey and the Company</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(Series MM), filed as Exhibit 10.41 of the Company’s Annual Report on Form 10-K for the year</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ended December 31, 2010.</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30">
        <w:r>
          <w:rPr>
            <w:rFonts w:ascii="Arial" w:cs="Arial" w:eastAsia="Arial" w:hAnsi="Arial"/>
            <w:sz w:val="18"/>
            <w:szCs w:val="18"/>
            <w:u w:val="single" w:color="auto"/>
            <w:color w:val="0000EE"/>
          </w:rPr>
          <w:t>Loan Agreement, dated December 1, 2010, between New Jersey Environmental Infrastructure Trust</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and the Company (Series NN), filed as Exhibit 10.42 of the Company’s Annual Report on Form 10-</w:t>
        </w:r>
      </w:hyperlink>
      <w:hyperlink r:id="rId130">
        <w:r>
          <w:rPr>
            <w:rFonts w:ascii="Arial" w:cs="Arial" w:eastAsia="Arial" w:hAnsi="Arial"/>
            <w:sz w:val="18"/>
            <w:szCs w:val="18"/>
            <w:u w:val="single" w:color="auto"/>
            <w:color w:val="0000EE"/>
          </w:rPr>
          <w:t>K for the year ended December 31, 2010.</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31">
        <w:r>
          <w:rPr>
            <w:rFonts w:ascii="Arial" w:cs="Arial" w:eastAsia="Arial" w:hAnsi="Arial"/>
            <w:sz w:val="18"/>
            <w:szCs w:val="18"/>
            <w:u w:val="single" w:color="auto"/>
            <w:color w:val="0000EE"/>
          </w:rPr>
          <w:t>Loan Agreement, dated May 1, 2012, between the State of New Jersey and the Company, (Series</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OO), filed as Exhibit 10.43 of the Company’s Quarterly Report on Form 10-Q for the quarter ended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June 30, 2012.</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5"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10.32</w:t>
      </w:r>
      <w:r>
        <w:rPr>
          <w:sz w:val="20"/>
          <w:szCs w:val="20"/>
          <w:color w:val="auto"/>
        </w:rPr>
        <w:tab/>
      </w:r>
      <w:hyperlink r:id="rId132">
        <w:r>
          <w:rPr>
            <w:rFonts w:ascii="Arial" w:cs="Arial" w:eastAsia="Arial" w:hAnsi="Arial"/>
            <w:sz w:val="18"/>
            <w:szCs w:val="18"/>
            <w:u w:val="single" w:color="auto"/>
            <w:color w:val="0000EE"/>
          </w:rPr>
          <w:t>Loan Agreement, dated May 1, 2012, between New Jersey Environmental Infrastructure Trust and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the Company (Series PP), filed as Exhibit 10.44 of the Company’s Quarterly Report on Form 10-Q</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for the quarter ended June 30, 2012.</w:t>
        </w:r>
      </w:hyperlink>
    </w:p>
    <w:p>
      <w:pPr>
        <w:spacing w:after="0" w:line="82" w:lineRule="exact"/>
        <w:rPr>
          <w:rFonts w:ascii="Arial" w:cs="Arial" w:eastAsia="Arial" w:hAnsi="Arial"/>
          <w:sz w:val="18"/>
          <w:szCs w:val="18"/>
          <w:u w:val="single" w:color="auto"/>
          <w:color w:val="0000EE"/>
        </w:rPr>
      </w:pPr>
    </w:p>
    <w:p>
      <w:pPr>
        <w:jc w:val="center"/>
        <w:ind w:right="-299"/>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233" w:right="65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0000EE"/>
        </w:rPr>
        <w:t>Index</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p>
      <w:pPr>
        <w:jc w:val="both"/>
        <w:ind w:left="9000"/>
        <w:spacing w:after="0"/>
        <w:tabs>
          <w:tab w:leader="none" w:pos="10320" w:val="left"/>
        </w:tabs>
        <w:rPr>
          <w:sz w:val="20"/>
          <w:szCs w:val="20"/>
          <w:color w:val="auto"/>
        </w:rPr>
      </w:pPr>
      <w:r>
        <w:rPr>
          <w:rFonts w:ascii="Arial" w:cs="Arial" w:eastAsia="Arial" w:hAnsi="Arial"/>
          <w:sz w:val="18"/>
          <w:szCs w:val="18"/>
          <w:b w:val="1"/>
          <w:bCs w:val="1"/>
          <w:color w:val="auto"/>
        </w:rPr>
        <w:t>Previous</w:t>
      </w:r>
      <w:r>
        <w:rPr>
          <w:sz w:val="20"/>
          <w:szCs w:val="20"/>
          <w:color w:val="auto"/>
        </w:rPr>
        <w:tab/>
      </w:r>
      <w:r>
        <w:rPr>
          <w:rFonts w:ascii="Arial" w:cs="Arial" w:eastAsia="Arial" w:hAnsi="Arial"/>
          <w:sz w:val="18"/>
          <w:szCs w:val="18"/>
          <w:b w:val="1"/>
          <w:bCs w:val="1"/>
          <w:color w:val="auto"/>
        </w:rPr>
        <w:t>Filing’s</w:t>
      </w:r>
    </w:p>
    <w:p>
      <w:pPr>
        <w:spacing w:after="0" w:line="9" w:lineRule="exact"/>
        <w:rPr>
          <w:sz w:val="20"/>
          <w:szCs w:val="20"/>
          <w:color w:val="auto"/>
        </w:rPr>
      </w:pPr>
    </w:p>
    <w:p>
      <w:pPr>
        <w:jc w:val="both"/>
        <w:ind w:left="8860"/>
        <w:spacing w:after="0"/>
        <w:tabs>
          <w:tab w:leader="none" w:pos="10320" w:val="left"/>
        </w:tabs>
        <w:rPr>
          <w:sz w:val="20"/>
          <w:szCs w:val="20"/>
          <w:color w:val="auto"/>
        </w:rPr>
      </w:pP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8"/>
          <w:szCs w:val="18"/>
          <w:b w:val="1"/>
          <w:bCs w:val="1"/>
          <w:color w:val="auto"/>
        </w:rPr>
        <w:t>Exhibit</w:t>
      </w:r>
    </w:p>
    <w:p>
      <w:pPr>
        <w:spacing w:after="0" w:line="9" w:lineRule="exact"/>
        <w:rPr>
          <w:sz w:val="20"/>
          <w:szCs w:val="20"/>
          <w:color w:val="auto"/>
        </w:rPr>
      </w:pPr>
    </w:p>
    <w:p>
      <w:pPr>
        <w:spacing w:after="0"/>
        <w:tabs>
          <w:tab w:leader="none" w:pos="4120" w:val="left"/>
          <w:tab w:leader="none" w:pos="9180" w:val="left"/>
          <w:tab w:leader="none" w:pos="104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Document Description</w:t>
      </w:r>
      <w:r>
        <w:rPr>
          <w:sz w:val="20"/>
          <w:szCs w:val="20"/>
          <w:color w:val="auto"/>
        </w:rPr>
        <w:tab/>
      </w:r>
      <w:r>
        <w:rPr>
          <w:rFonts w:ascii="Arial" w:cs="Arial" w:eastAsia="Arial" w:hAnsi="Arial"/>
          <w:sz w:val="18"/>
          <w:szCs w:val="18"/>
          <w:b w:val="1"/>
          <w:bCs w:val="1"/>
          <w:color w:val="auto"/>
        </w:rPr>
        <w:t>No.</w:t>
      </w:r>
      <w:r>
        <w:rPr>
          <w:sz w:val="20"/>
          <w:szCs w:val="20"/>
          <w:color w:val="auto"/>
        </w:rPr>
        <w:tab/>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jc w:val="both"/>
        <w:ind w:left="1360" w:right="2260" w:hanging="877"/>
        <w:spacing w:after="0" w:line="255"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35">
        <w:r>
          <w:rPr>
            <w:rFonts w:ascii="Arial" w:cs="Arial" w:eastAsia="Arial" w:hAnsi="Arial"/>
            <w:sz w:val="18"/>
            <w:szCs w:val="18"/>
            <w:u w:val="single" w:color="auto"/>
            <w:color w:val="0000EE"/>
          </w:rPr>
          <w:t>Loan Agreement, dated November 1, 2012, between the New Jersey Economic Development</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Authority and the Company (Series QQ, RR &amp; SS), filed as Exhibit 10.41 of the Company’s Annual</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Report on Form 10-K for the year ended December 31, 2012.</w:t>
        </w:r>
      </w:hyperlink>
    </w:p>
    <w:p>
      <w:pPr>
        <w:spacing w:after="0" w:line="3"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36">
        <w:r>
          <w:rPr>
            <w:rFonts w:ascii="Arial" w:cs="Arial" w:eastAsia="Arial" w:hAnsi="Arial"/>
            <w:sz w:val="18"/>
            <w:szCs w:val="18"/>
            <w:u w:val="single" w:color="auto"/>
            <w:color w:val="0000EE"/>
          </w:rPr>
          <w:t>Loan Agreement, dated May 1, 2013, between the State of New Jersey and the Company (Series</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TT), filed as Exhibit 10.42 of the Company’s Quarterly Report on Form 10-Q for the quarter ended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June 30, 2013.</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37">
        <w:r>
          <w:rPr>
            <w:rFonts w:ascii="Arial" w:cs="Arial" w:eastAsia="Arial" w:hAnsi="Arial"/>
            <w:sz w:val="18"/>
            <w:szCs w:val="18"/>
            <w:u w:val="single" w:color="auto"/>
            <w:color w:val="0000EE"/>
          </w:rPr>
          <w:t>Loan Agreement, dated May 1, 2013, between New Jersey Environmental Infrastructure Trust and</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the Company (Series UU), filed as Exhibit 10.43 of the Company’s Quarterly Report on Form 10-Q</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for the quarter ended June 30, 2013.</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color w:val="0000EE"/>
        </w:rPr>
      </w:pPr>
      <w:r>
        <w:rPr>
          <w:rFonts w:ascii="Arial" w:cs="Arial" w:eastAsia="Arial" w:hAnsi="Arial"/>
          <w:sz w:val="18"/>
          <w:szCs w:val="18"/>
          <w:color w:val="auto"/>
        </w:rPr>
        <w:t>10.36</w:t>
      </w:r>
      <w:r>
        <w:rPr>
          <w:sz w:val="20"/>
          <w:szCs w:val="20"/>
          <w:color w:val="auto"/>
        </w:rPr>
        <w:tab/>
      </w:r>
      <w:hyperlink r:id="rId138">
        <w:r>
          <w:rPr>
            <w:rFonts w:ascii="Arial" w:cs="Arial" w:eastAsia="Arial" w:hAnsi="Arial"/>
            <w:sz w:val="18"/>
            <w:szCs w:val="18"/>
            <w:u w:val="single" w:color="auto"/>
            <w:color w:val="0000EE"/>
          </w:rPr>
          <w:t>Loan Agreement, dated May 1, 2014, between New Jersey Environmental Infrastructure Trust and</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the Company (Series VV), filed as Exhibit 10.43 of the Company’s Quarterly Report on Form 10-Q</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for the quarter ended June 30, 2014</w:t>
        </w:r>
        <w:r>
          <w:rPr>
            <w:rFonts w:ascii="Arial" w:cs="Arial" w:eastAsia="Arial" w:hAnsi="Arial"/>
            <w:sz w:val="18"/>
            <w:szCs w:val="18"/>
            <w:color w:val="000000"/>
          </w:rPr>
          <w:t>.</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39">
        <w:r>
          <w:rPr>
            <w:rFonts w:ascii="Arial" w:cs="Arial" w:eastAsia="Arial" w:hAnsi="Arial"/>
            <w:sz w:val="18"/>
            <w:szCs w:val="18"/>
            <w:u w:val="single" w:color="auto"/>
            <w:color w:val="0000EE"/>
          </w:rPr>
          <w:t>Loan Agreement, dated May 1, 2014, between New Jersey Environmental Infrastructure Trust and</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the Company (Series WW), filed as Exhibit 10.44 of the Company’s Quarterly Report on Form 10-Q</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for the quarter ended June 30, 2014.</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140">
        <w:r>
          <w:rPr>
            <w:rFonts w:ascii="Arial" w:cs="Arial" w:eastAsia="Arial" w:hAnsi="Arial"/>
            <w:sz w:val="18"/>
            <w:szCs w:val="18"/>
            <w:u w:val="single" w:color="auto"/>
            <w:color w:val="0000EE"/>
          </w:rPr>
          <w:t>Loan Agreement, dated November 1, 2017, between New Jersey Environmental Infrastructure Trust</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and the Company (Series XX), filed as Exhibit 10.44 of the Company’s Annual Report on Form 10-</w:t>
        </w:r>
      </w:hyperlink>
      <w:hyperlink r:id="rId140">
        <w:r>
          <w:rPr>
            <w:rFonts w:ascii="Arial" w:cs="Arial" w:eastAsia="Arial" w:hAnsi="Arial"/>
            <w:sz w:val="18"/>
            <w:szCs w:val="18"/>
            <w:u w:val="single" w:color="auto"/>
            <w:color w:val="0000EE"/>
          </w:rPr>
          <w:t>K for the year ended December 31, 2017.</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41">
        <w:r>
          <w:rPr>
            <w:rFonts w:ascii="Arial" w:cs="Arial" w:eastAsia="Arial" w:hAnsi="Arial"/>
            <w:sz w:val="18"/>
            <w:szCs w:val="18"/>
            <w:u w:val="single" w:color="auto"/>
            <w:color w:val="0000EE"/>
          </w:rPr>
          <w:t>Loan Agreement, dated November 1, 2017, between New Jersey Environmental Infrastructure Trust</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and the Company (Series YY), filed as Exhibit 10.45 of the Company’s Annual Report on Form 10-</w:t>
        </w:r>
      </w:hyperlink>
      <w:hyperlink r:id="rId141">
        <w:r>
          <w:rPr>
            <w:rFonts w:ascii="Arial" w:cs="Arial" w:eastAsia="Arial" w:hAnsi="Arial"/>
            <w:sz w:val="18"/>
            <w:szCs w:val="18"/>
            <w:u w:val="single" w:color="auto"/>
            <w:color w:val="0000EE"/>
          </w:rPr>
          <w:t>K for the year ended December 31, 2017.</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142">
        <w:r>
          <w:rPr>
            <w:rFonts w:ascii="Arial" w:cs="Arial" w:eastAsia="Arial" w:hAnsi="Arial"/>
            <w:sz w:val="18"/>
            <w:szCs w:val="18"/>
            <w:u w:val="single" w:color="auto"/>
            <w:color w:val="0000EE"/>
          </w:rPr>
          <w:t>Loan Agreement, dated May 1, 2018, between New Jersey Environmental Infrastructure Trust and</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the Company (Series 2018A), filed as Exhibit 10.46 of the Company’s Quarterly Report on Form 10-</w:t>
        </w:r>
      </w:hyperlink>
      <w:hyperlink r:id="rId142">
        <w:r>
          <w:rPr>
            <w:rFonts w:ascii="Arial" w:cs="Arial" w:eastAsia="Arial" w:hAnsi="Arial"/>
            <w:sz w:val="18"/>
            <w:szCs w:val="18"/>
            <w:u w:val="single" w:color="auto"/>
            <w:color w:val="0000EE"/>
          </w:rPr>
          <w:t>Q for the quarter ended June 30, 2018.</w:t>
        </w:r>
      </w:hyperlink>
    </w:p>
    <w:p>
      <w:pPr>
        <w:spacing w:after="0" w:line="1" w:lineRule="exact"/>
        <w:rPr>
          <w:rFonts w:ascii="Arial" w:cs="Arial" w:eastAsia="Arial" w:hAnsi="Arial"/>
          <w:sz w:val="18"/>
          <w:szCs w:val="18"/>
          <w:u w:val="single" w:color="auto"/>
          <w:color w:val="0000EE"/>
        </w:rPr>
      </w:pPr>
    </w:p>
    <w:p>
      <w:pPr>
        <w:jc w:val="both"/>
        <w:ind w:left="1360" w:right="2260" w:hanging="877"/>
        <w:spacing w:after="0" w:line="250"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143">
        <w:r>
          <w:rPr>
            <w:rFonts w:ascii="Arial" w:cs="Arial" w:eastAsia="Arial" w:hAnsi="Arial"/>
            <w:sz w:val="18"/>
            <w:szCs w:val="18"/>
            <w:u w:val="single" w:color="auto"/>
            <w:color w:val="0000EE"/>
          </w:rPr>
          <w:t>Loan Agreement, dated May 1, 2018, between New Jersey Environmental Infrastructure Trust and</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the Company (Series 2018B), filed as Exhibit 10.47 of the Company’s Quarterly Report on Form 10-</w:t>
        </w:r>
      </w:hyperlink>
      <w:hyperlink r:id="rId143">
        <w:r>
          <w:rPr>
            <w:rFonts w:ascii="Arial" w:cs="Arial" w:eastAsia="Arial" w:hAnsi="Arial"/>
            <w:sz w:val="18"/>
            <w:szCs w:val="18"/>
            <w:u w:val="single" w:color="auto"/>
            <w:color w:val="0000EE"/>
          </w:rPr>
          <w:t>Q for the quarter ended June 30, 2018.</w:t>
        </w:r>
      </w:hyperlink>
    </w:p>
    <w:p>
      <w:pPr>
        <w:spacing w:after="0" w:line="1" w:lineRule="exact"/>
        <w:rPr>
          <w:rFonts w:ascii="Arial" w:cs="Arial" w:eastAsia="Arial" w:hAnsi="Arial"/>
          <w:sz w:val="18"/>
          <w:szCs w:val="18"/>
          <w:u w:val="single" w:color="auto"/>
          <w:color w:val="0000EE"/>
        </w:rPr>
      </w:pPr>
    </w:p>
    <w:p>
      <w:pPr>
        <w:jc w:val="both"/>
        <w:ind w:left="1360" w:right="2280" w:hanging="877"/>
        <w:spacing w:after="0" w:line="255" w:lineRule="auto"/>
        <w:tabs>
          <w:tab w:leader="none" w:pos="134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r:id="rId144">
        <w:r>
          <w:rPr>
            <w:rFonts w:ascii="Arial" w:cs="Arial" w:eastAsia="Arial" w:hAnsi="Arial"/>
            <w:sz w:val="18"/>
            <w:szCs w:val="18"/>
            <w:u w:val="single" w:color="auto"/>
            <w:color w:val="0000EE"/>
          </w:rPr>
          <w:t>Loan Agreement, dated August 1, 2019, between New Jersey Economic Development Authority and</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the Company (Series 2019A and Series 2019B), filed as Exhibit 10.50 to the Company’s Current</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Report on Form 8-K filed September 6, 2019.</w:t>
        </w:r>
      </w:hyperlink>
    </w:p>
    <w:p>
      <w:pPr>
        <w:spacing w:after="0" w:line="298" w:lineRule="exact"/>
        <w:rPr>
          <w:rFonts w:ascii="Arial" w:cs="Arial" w:eastAsia="Arial" w:hAnsi="Arial"/>
          <w:sz w:val="18"/>
          <w:szCs w:val="18"/>
          <w:u w:val="single" w:color="auto"/>
          <w:color w:val="0000EE"/>
        </w:rPr>
      </w:pPr>
    </w:p>
    <w:p>
      <w:pPr>
        <w:jc w:val="center"/>
        <w:ind w:right="-299"/>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233" w:right="6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Arial" w:cs="Arial" w:eastAsia="Arial" w:hAnsi="Arial"/>
                <w:sz w:val="18"/>
                <w:szCs w:val="18"/>
                <w:i w:val="1"/>
                <w:iCs w:val="1"/>
                <w:color w:val="0000EE"/>
              </w:rPr>
              <w:t>Index</w:t>
            </w: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0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11"/>
          </w:tcPr>
          <w:p>
            <w:pPr>
              <w:ind w:left="620"/>
              <w:spacing w:after="0"/>
              <w:rPr>
                <w:sz w:val="20"/>
                <w:szCs w:val="20"/>
                <w:color w:val="auto"/>
              </w:rPr>
            </w:pPr>
            <w:r>
              <w:rPr>
                <w:rFonts w:ascii="Arial" w:cs="Arial" w:eastAsia="Arial" w:hAnsi="Arial"/>
                <w:sz w:val="18"/>
                <w:szCs w:val="18"/>
                <w:b w:val="1"/>
                <w:bCs w:val="1"/>
                <w:color w:val="auto"/>
              </w:rPr>
              <w:t>EXHIBIT INDEX</w:t>
            </w:r>
          </w:p>
        </w:tc>
        <w:tc>
          <w:tcPr>
            <w:tcW w:w="13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6"/>
              </w:rPr>
              <w:t>Previous</w:t>
            </w: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Filing’s</w:t>
            </w:r>
          </w:p>
        </w:tc>
        <w:tc>
          <w:tcPr>
            <w:tcW w:w="0" w:type="dxa"/>
            <w:vAlign w:val="bottom"/>
          </w:tcPr>
          <w:p>
            <w:pPr>
              <w:spacing w:after="0"/>
              <w:rPr>
                <w:sz w:val="1"/>
                <w:szCs w:val="1"/>
                <w:color w:val="auto"/>
              </w:rPr>
            </w:pPr>
          </w:p>
        </w:tc>
      </w:tr>
      <w:tr>
        <w:trPr>
          <w:trHeight w:val="198"/>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Registration</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0" w:type="dxa"/>
            <w:vAlign w:val="bottom"/>
          </w:tcPr>
          <w:p>
            <w:pPr>
              <w:spacing w:after="0"/>
              <w:rPr>
                <w:sz w:val="1"/>
                <w:szCs w:val="1"/>
                <w:color w:val="auto"/>
              </w:rPr>
            </w:pPr>
          </w:p>
        </w:tc>
      </w:tr>
      <w:tr>
        <w:trPr>
          <w:trHeight w:val="241"/>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12"/>
          </w:tcPr>
          <w:p>
            <w:pPr>
              <w:ind w:left="60"/>
              <w:spacing w:after="0"/>
              <w:rPr>
                <w:sz w:val="20"/>
                <w:szCs w:val="20"/>
                <w:color w:val="auto"/>
              </w:rPr>
            </w:pPr>
            <w:r>
              <w:rPr>
                <w:rFonts w:ascii="Arial" w:cs="Arial" w:eastAsia="Arial" w:hAnsi="Arial"/>
                <w:sz w:val="18"/>
                <w:szCs w:val="18"/>
                <w:b w:val="1"/>
                <w:bCs w:val="1"/>
                <w:color w:val="auto"/>
              </w:rPr>
              <w:t>Document Description</w:t>
            </w:r>
          </w:p>
        </w:tc>
        <w:tc>
          <w:tcPr>
            <w:tcW w:w="1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No.</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0" w:type="dxa"/>
            <w:vAlign w:val="bottom"/>
          </w:tcPr>
          <w:p>
            <w:pPr>
              <w:spacing w:after="0"/>
              <w:rPr>
                <w:sz w:val="1"/>
                <w:szCs w:val="1"/>
                <w:color w:val="auto"/>
              </w:rPr>
            </w:pPr>
          </w:p>
        </w:tc>
      </w:tr>
      <w:tr>
        <w:trPr>
          <w:trHeight w:val="176"/>
        </w:trPr>
        <w:tc>
          <w:tcPr>
            <w:tcW w:w="13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10.43</w:t>
            </w:r>
          </w:p>
        </w:tc>
        <w:tc>
          <w:tcPr>
            <w:tcW w:w="7340" w:type="dxa"/>
            <w:vAlign w:val="bottom"/>
            <w:tcBorders>
              <w:bottom w:val="single" w:sz="8" w:color="0000EE"/>
            </w:tcBorders>
            <w:gridSpan w:val="15"/>
          </w:tcPr>
          <w:p>
            <w:pPr>
              <w:spacing w:after="0" w:line="17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Bond Purchase Agreement, dated November 16, 2020, between New York Life Insurance Company</w:t>
              </w:r>
            </w:hyperlink>
          </w:p>
        </w:tc>
        <w:tc>
          <w:tcPr>
            <w:tcW w:w="6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2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146">
              <w:r>
                <w:rPr>
                  <w:rFonts w:ascii="Arial" w:cs="Arial" w:eastAsia="Arial" w:hAnsi="Arial"/>
                  <w:sz w:val="18"/>
                  <w:szCs w:val="18"/>
                  <w:color w:val="0000EE"/>
                  <w:w w:val="96"/>
                </w:rPr>
                <w:t>and Affiliates and the Company (Series 2020A), filed as Exhibit 10.48 of the Company’s Annual</w:t>
              </w:r>
            </w:hyperlink>
          </w:p>
        </w:tc>
        <w:tc>
          <w:tcPr>
            <w:tcW w:w="8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Report on Form 10-K for the year ended December 31, 2020.</w:t>
              </w:r>
            </w:hyperlink>
          </w:p>
        </w:tc>
        <w:tc>
          <w:tcPr>
            <w:tcW w:w="298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10.44</w:t>
            </w:r>
          </w:p>
        </w:tc>
        <w:tc>
          <w:tcPr>
            <w:tcW w:w="7400" w:type="dxa"/>
            <w:vAlign w:val="bottom"/>
            <w:gridSpan w:val="17"/>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Bond Purchase Agreement, dated November 5, 2021, between New York Life Insurance Company</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0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r:id="rId147">
              <w:r>
                <w:rPr>
                  <w:rFonts w:ascii="Arial" w:cs="Arial" w:eastAsia="Arial" w:hAnsi="Arial"/>
                  <w:sz w:val="18"/>
                  <w:szCs w:val="18"/>
                  <w:color w:val="0000EE"/>
                  <w:w w:val="97"/>
                </w:rPr>
                <w:t>and Affiliates and the Company (Series 2021A and Series 2021B), filed as Exhibit 10.46 of the</w:t>
              </w:r>
            </w:hyperlink>
          </w:p>
        </w:tc>
        <w:tc>
          <w:tcPr>
            <w:tcW w:w="10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Company’s Annual Report on Form 10-K for the year ended December 31, 2021.</w:t>
              </w:r>
            </w:hyperlink>
          </w:p>
        </w:tc>
        <w:tc>
          <w:tcPr>
            <w:tcW w:w="154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10.45</w:t>
            </w:r>
          </w:p>
        </w:tc>
        <w:tc>
          <w:tcPr>
            <w:tcW w:w="736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r:id="rId148">
              <w:r>
                <w:rPr>
                  <w:rFonts w:ascii="Arial" w:cs="Arial" w:eastAsia="Arial" w:hAnsi="Arial"/>
                  <w:sz w:val="18"/>
                  <w:szCs w:val="18"/>
                  <w:color w:val="0000EE"/>
                  <w:w w:val="97"/>
                </w:rPr>
                <w:t>Financing Agreement, dated December 16, 2021, between the Delaware Drinking Water State</w:t>
              </w:r>
            </w:hyperlink>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r:id="rId148">
              <w:r>
                <w:rPr>
                  <w:rFonts w:ascii="Arial" w:cs="Arial" w:eastAsia="Arial" w:hAnsi="Arial"/>
                  <w:sz w:val="18"/>
                  <w:szCs w:val="18"/>
                  <w:color w:val="0000EE"/>
                  <w:w w:val="94"/>
                </w:rPr>
                <w:t>Revolving Fund, acting by and through the Delaware Department of Health &amp; Social Services, and</w:t>
              </w:r>
            </w:hyperlink>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4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r:id="rId148">
              <w:r>
                <w:rPr>
                  <w:rFonts w:ascii="Arial" w:cs="Arial" w:eastAsia="Arial" w:hAnsi="Arial"/>
                  <w:sz w:val="18"/>
                  <w:szCs w:val="18"/>
                  <w:color w:val="0000EE"/>
                  <w:w w:val="96"/>
                </w:rPr>
                <w:t>Tidewater Utilities, Inc, filed as Exhibit 10.46 of the Company’s Annual Report on Form 10-K for</w:t>
              </w:r>
            </w:hyperlink>
          </w:p>
        </w:tc>
        <w:tc>
          <w:tcPr>
            <w:tcW w:w="6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the year ended December 31, 2021.</w:t>
              </w:r>
            </w:hyperlink>
          </w:p>
        </w:tc>
        <w:tc>
          <w:tcPr>
            <w:tcW w:w="4840" w:type="dxa"/>
            <w:vAlign w:val="bottom"/>
            <w:gridSpan w:val="1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10.46</w:t>
            </w:r>
          </w:p>
        </w:tc>
        <w:tc>
          <w:tcPr>
            <w:tcW w:w="73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49">
              <w:r>
                <w:rPr>
                  <w:rFonts w:ascii="Arial" w:cs="Arial" w:eastAsia="Arial" w:hAnsi="Arial"/>
                  <w:sz w:val="18"/>
                  <w:szCs w:val="18"/>
                  <w:color w:val="0000EE"/>
                  <w:w w:val="94"/>
                </w:rPr>
                <w:t>Loan Agreement, dated May 1, 2022, between New Jersey Infrastructure Bank and the Company</w:t>
              </w:r>
            </w:hyperlink>
          </w:p>
        </w:tc>
        <w:tc>
          <w:tcPr>
            <w:tcW w:w="8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2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r:id="rId149">
              <w:r>
                <w:rPr>
                  <w:rFonts w:ascii="Arial" w:cs="Arial" w:eastAsia="Arial" w:hAnsi="Arial"/>
                  <w:sz w:val="18"/>
                  <w:szCs w:val="18"/>
                  <w:color w:val="0000EE"/>
                  <w:w w:val="97"/>
                </w:rPr>
                <w:t>(Series 2022A), filed as Exhibit 10.40 of the Company’s Quarterly Report on Form 10-Q for the</w:t>
              </w:r>
            </w:hyperlink>
          </w:p>
        </w:tc>
        <w:tc>
          <w:tcPr>
            <w:tcW w:w="8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quarterly period ended June 30, 2022.</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88"/>
              </w:rPr>
              <w:t>10.47</w:t>
            </w:r>
          </w:p>
        </w:tc>
        <w:tc>
          <w:tcPr>
            <w:tcW w:w="73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Loan Agreement, dated May 1, 2022, between the State of New Jersey, acting by and through the</w:t>
              </w:r>
            </w:hyperlink>
          </w:p>
        </w:tc>
        <w:tc>
          <w:tcPr>
            <w:tcW w:w="6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2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150">
              <w:r>
                <w:rPr>
                  <w:rFonts w:ascii="Arial" w:cs="Arial" w:eastAsia="Arial" w:hAnsi="Arial"/>
                  <w:sz w:val="18"/>
                  <w:szCs w:val="18"/>
                  <w:color w:val="0000EE"/>
                  <w:w w:val="96"/>
                </w:rPr>
                <w:t>New Jersey Department of Environmental Protection, and the Company (Series 2022B) filed as</w:t>
              </w:r>
            </w:hyperlink>
          </w:p>
        </w:tc>
        <w:tc>
          <w:tcPr>
            <w:tcW w:w="80" w:type="dxa"/>
            <w:vAlign w:val="bottom"/>
            <w:gridSpan w:val="3"/>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0" w:type="dxa"/>
            <w:vAlign w:val="bottom"/>
            <w:gridSpan w:val="17"/>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Exhibit 10.41 of the Company’s Quarterly Report on Form 10-Q for the quarterly period ended June</w:t>
              </w:r>
            </w:hyperlink>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50">
              <w:r>
                <w:rPr>
                  <w:rFonts w:ascii="Arial" w:cs="Arial" w:eastAsia="Arial" w:hAnsi="Arial"/>
                  <w:sz w:val="18"/>
                  <w:szCs w:val="18"/>
                  <w:color w:val="0000EE"/>
                  <w:w w:val="87"/>
                </w:rPr>
                <w:t>30, 2022.</w:t>
              </w:r>
            </w:hyperlink>
          </w:p>
        </w:tc>
        <w:tc>
          <w:tcPr>
            <w:tcW w:w="9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*21</w:t>
            </w:r>
          </w:p>
        </w:tc>
        <w:tc>
          <w:tcPr>
            <w:tcW w:w="7400" w:type="dxa"/>
            <w:vAlign w:val="bottom"/>
            <w:gridSpan w:val="17"/>
          </w:tcPr>
          <w:p>
            <w:pPr>
              <w:spacing w:after="0" w:line="196" w:lineRule="exact"/>
              <w:rPr>
                <w:sz w:val="20"/>
                <w:szCs w:val="20"/>
                <w:color w:val="auto"/>
              </w:rPr>
            </w:pPr>
            <w:r>
              <w:rPr>
                <w:rFonts w:ascii="Arial" w:cs="Arial" w:eastAsia="Arial" w:hAnsi="Arial"/>
                <w:sz w:val="18"/>
                <w:szCs w:val="18"/>
                <w:color w:val="0000EE"/>
              </w:rPr>
              <w:t>Middlesex Water Company Subsidiaries.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5"/>
              </w:rPr>
              <w:t>*23.1</w:t>
            </w:r>
          </w:p>
        </w:tc>
        <w:tc>
          <w:tcPr>
            <w:tcW w:w="59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Consent of Independent Registered Public Accounting Firm, Baker Tilly US, LLP.</w:t>
            </w:r>
          </w:p>
        </w:tc>
        <w:tc>
          <w:tcPr>
            <w:tcW w:w="1460" w:type="dxa"/>
            <w:vAlign w:val="bottom"/>
            <w:gridSpan w:val="6"/>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*31</w:t>
            </w:r>
          </w:p>
        </w:tc>
        <w:tc>
          <w:tcPr>
            <w:tcW w:w="73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3"/>
              </w:rPr>
              <w:t>Section 302 Certification by Dennis W. Doll pursuant to Rules 13a-14 and 15d-14 of the Securities</w:t>
            </w:r>
          </w:p>
        </w:tc>
        <w:tc>
          <w:tcPr>
            <w:tcW w:w="100" w:type="dxa"/>
            <w:vAlign w:val="bottom"/>
            <w:gridSpan w:val="4"/>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Exchange Act of 1934.</w:t>
            </w:r>
          </w:p>
        </w:tc>
        <w:tc>
          <w:tcPr>
            <w:tcW w:w="5740" w:type="dxa"/>
            <w:vAlign w:val="bottom"/>
            <w:gridSpan w:val="15"/>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5"/>
              </w:rPr>
              <w:t>*31.1</w:t>
            </w:r>
          </w:p>
        </w:tc>
        <w:tc>
          <w:tcPr>
            <w:tcW w:w="7400" w:type="dxa"/>
            <w:vAlign w:val="bottom"/>
            <w:gridSpan w:val="17"/>
          </w:tcPr>
          <w:p>
            <w:pPr>
              <w:spacing w:after="0" w:line="196" w:lineRule="exact"/>
              <w:rPr>
                <w:sz w:val="20"/>
                <w:szCs w:val="20"/>
                <w:color w:val="auto"/>
              </w:rPr>
            </w:pPr>
            <w:r>
              <w:rPr>
                <w:rFonts w:ascii="Arial" w:cs="Arial" w:eastAsia="Arial" w:hAnsi="Arial"/>
                <w:sz w:val="18"/>
                <w:szCs w:val="18"/>
                <w:color w:val="0000EE"/>
              </w:rPr>
              <w:t>Section 302 Certification by A. Bruce O’Connor pursuant to Rules 13a-14 and 15d-14 of the</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Securities Exchange Act of 1934.</w:t>
            </w:r>
          </w:p>
        </w:tc>
        <w:tc>
          <w:tcPr>
            <w:tcW w:w="4860" w:type="dxa"/>
            <w:vAlign w:val="bottom"/>
            <w:tcBorders>
              <w:top w:val="single" w:sz="8" w:color="0000EE"/>
            </w:tcBorders>
            <w:gridSpan w:val="9"/>
          </w:tcPr>
          <w:p>
            <w:pPr>
              <w:spacing w:after="0"/>
              <w:rPr>
                <w:sz w:val="17"/>
                <w:szCs w:val="17"/>
                <w:color w:val="auto"/>
              </w:rPr>
            </w:pPr>
          </w:p>
        </w:tc>
        <w:tc>
          <w:tcPr>
            <w:tcW w:w="120" w:type="dxa"/>
            <w:vAlign w:val="bottom"/>
            <w:gridSpan w:val="5"/>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rPr>
              <w:t>*32</w:t>
            </w:r>
          </w:p>
        </w:tc>
        <w:tc>
          <w:tcPr>
            <w:tcW w:w="53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Section 906 Certification by Dennis W. Doll pursuant to 18 U.S.C.§1350.</w:t>
            </w:r>
          </w:p>
        </w:tc>
        <w:tc>
          <w:tcPr>
            <w:tcW w:w="2100" w:type="dxa"/>
            <w:vAlign w:val="bottom"/>
            <w:gridSpan w:val="9"/>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5"/>
              </w:rPr>
              <w:t>*32.1</w:t>
            </w:r>
          </w:p>
        </w:tc>
        <w:tc>
          <w:tcPr>
            <w:tcW w:w="7400" w:type="dxa"/>
            <w:vAlign w:val="bottom"/>
            <w:gridSpan w:val="17"/>
          </w:tcPr>
          <w:p>
            <w:pPr>
              <w:spacing w:after="0" w:line="196" w:lineRule="exact"/>
              <w:rPr>
                <w:sz w:val="20"/>
                <w:szCs w:val="20"/>
                <w:color w:val="auto"/>
              </w:rPr>
            </w:pPr>
            <w:r>
              <w:rPr>
                <w:rFonts w:ascii="Arial" w:cs="Arial" w:eastAsia="Arial" w:hAnsi="Arial"/>
                <w:sz w:val="18"/>
                <w:szCs w:val="18"/>
                <w:color w:val="0000EE"/>
              </w:rPr>
              <w:t>Section 906 Certification by A. Bruce O’Connor pursuant to 18 U.S.C.§1350.</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5600" w:type="dxa"/>
            <w:vAlign w:val="bottom"/>
            <w:gridSpan w:val="9"/>
            <w:shd w:val="clear" w:color="auto" w:fill="0000EE"/>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101.INS</w:t>
            </w:r>
          </w:p>
        </w:tc>
        <w:tc>
          <w:tcPr>
            <w:tcW w:w="7400" w:type="dxa"/>
            <w:vAlign w:val="bottom"/>
            <w:gridSpan w:val="17"/>
          </w:tcPr>
          <w:p>
            <w:pPr>
              <w:spacing w:after="0"/>
              <w:rPr>
                <w:sz w:val="20"/>
                <w:szCs w:val="20"/>
                <w:color w:val="auto"/>
              </w:rPr>
            </w:pPr>
            <w:r>
              <w:rPr>
                <w:rFonts w:ascii="Arial" w:cs="Arial" w:eastAsia="Arial" w:hAnsi="Arial"/>
                <w:sz w:val="18"/>
                <w:szCs w:val="18"/>
                <w:color w:val="auto"/>
                <w:w w:val="98"/>
              </w:rPr>
              <w:t>XBRL Instance Document– the instance document does not appear in the Interactive Data File</w:t>
            </w:r>
          </w:p>
        </w:tc>
        <w:tc>
          <w:tcPr>
            <w:tcW w:w="1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0" w:type="dxa"/>
            <w:vAlign w:val="bottom"/>
            <w:gridSpan w:val="17"/>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740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740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7"/>
          </w:tcPr>
          <w:p>
            <w:pPr>
              <w:ind w:left="4160"/>
              <w:spacing w:after="0"/>
              <w:rPr>
                <w:sz w:val="20"/>
                <w:szCs w:val="20"/>
                <w:color w:val="auto"/>
              </w:rPr>
            </w:pPr>
            <w:r>
              <w:rPr>
                <w:rFonts w:ascii="Arial" w:cs="Arial" w:eastAsia="Arial" w:hAnsi="Arial"/>
                <w:sz w:val="18"/>
                <w:szCs w:val="18"/>
                <w:color w:val="auto"/>
              </w:rPr>
              <w:t>79</w:t>
            </w: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10.27(c)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468880" cy="2489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1">
                      <a:extLst>
                        <a:ext uri="{28A0092B-C50C-407E-A947-70E740481C1C}"/>
                      </a:extLst>
                    </a:blip>
                    <a:srcRect/>
                    <a:stretch>
                      <a:fillRect/>
                    </a:stretch>
                  </pic:blipFill>
                  <pic:spPr bwMode="auto">
                    <a:xfrm>
                      <a:off x="0" y="0"/>
                      <a:ext cx="246888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 UNCOMMITTED LOAN AGREEMENT</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This Amendment No. 2 (the “Amendment”) dated as of January 26, 2023, is between Bank of America, N.A. (the “Bank”) and Middlesex Water Company, a New Jersey corporation, Tidewater Utilities, Inc., a Delaware corporation, White Marsh Environmental Systems, Inc., a Delaware corporation, Pinelands Water Company, a New Jersey corporation, Pinelands Wastewater Company, a New Jersey corporation, Utility Service Affiliates, Inc., a New Jersey corporation and Utility Service Affiliates (Perth Amboy) Inc., a New Jersey corporation (individually and collectively, the “</w:t>
      </w:r>
      <w:r>
        <w:rPr>
          <w:rFonts w:ascii="Arial" w:cs="Arial" w:eastAsia="Arial" w:hAnsi="Arial"/>
          <w:sz w:val="16"/>
          <w:szCs w:val="16"/>
          <w:u w:val="single" w:color="auto"/>
          <w:color w:val="auto"/>
        </w:rPr>
        <w:t>Borrower</w:t>
      </w:r>
      <w:r>
        <w:rPr>
          <w:rFonts w:ascii="Arial" w:cs="Arial" w:eastAsia="Arial" w:hAnsi="Arial"/>
          <w:sz w:val="16"/>
          <w:szCs w:val="16"/>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The Bank, the Borrower and Tidewater Environmental Services, Inc., a Delaware corporation, entered into a certain Uncommitted Loan Agreement dated as of January 28, 2021 (together with any previous amendments, the “Agreement”).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 On January 14, 2022 Middlesex Water Company sold all the shares of stock of Tidewater Environmental Services, Inc., to Artesian Wastewater Management,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 The Bank and the Borrower desire to amend the Agreement. This Amendment shall be effective on January 26, 2023, subject to any conditions stated in this Amendment.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840" w:hanging="184"/>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but not defined in this Amendment shall have the meaning given to them in the Agreement.</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Agreement is hereby amended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1.1    In Paragraph 2.2 the date “January 26, 2023” is changed to “January 25, 2024”.</w:t>
      </w:r>
    </w:p>
    <w:p>
      <w:pPr>
        <w:spacing w:after="0" w:line="225" w:lineRule="exact"/>
        <w:rPr>
          <w:rFonts w:ascii="Arial" w:cs="Arial" w:eastAsia="Arial" w:hAnsi="Arial"/>
          <w:sz w:val="18"/>
          <w:szCs w:val="18"/>
          <w:color w:val="auto"/>
        </w:rPr>
      </w:pPr>
    </w:p>
    <w:p>
      <w:pPr>
        <w:ind w:firstLine="656"/>
        <w:spacing w:after="0" w:line="269" w:lineRule="auto"/>
        <w:tabs>
          <w:tab w:leader="none" w:pos="82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does not conflict with any law, agreement, or obligation by which the Borrower is bound, (d) if the Borrower is a business entity or a trust, this Amendment is within the Borrower’s powers, has been duly authorized, and does not conflict with any of the Borrower’s organizational papers, (e) the information included in the Beneficial Ownership Certification most recently provided to the Bank, if applicable, is true and correct in all respects, and (f) as of the date of this Amendment and throughout the term of the Agreement, no Borrower or Guarantor, if any, is (1) an employee benefit plan subject to Title I of the Employee Retirement Income Security Act of 1974, as amended (“ERISA”), (2) a plan or account subject to Section 4975 of the Internal Revenue Code of 1986 (the “Code”); (3) an entity deemed to hold “plan assets” of any such plans or accounts for purposes of ERISA or the Code; or (4) a “governmental plan” within the meaning of ERISA.</w:t>
      </w:r>
    </w:p>
    <w:p>
      <w:pPr>
        <w:spacing w:after="0" w:line="185" w:lineRule="exact"/>
        <w:rPr>
          <w:rFonts w:ascii="Arial" w:cs="Arial" w:eastAsia="Arial" w:hAnsi="Arial"/>
          <w:sz w:val="17"/>
          <w:szCs w:val="17"/>
          <w:color w:val="auto"/>
        </w:rPr>
      </w:pPr>
    </w:p>
    <w:p>
      <w:pPr>
        <w:ind w:right="80" w:firstLine="656"/>
        <w:spacing w:after="0" w:line="277" w:lineRule="auto"/>
        <w:tabs>
          <w:tab w:leader="none" w:pos="82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The effectiveness of this Amendment is conditioned upon the Bank’s receipt of the following items, in form and content acceptable to the Bank:</w:t>
      </w:r>
    </w:p>
    <w:p>
      <w:pPr>
        <w:spacing w:after="0" w:line="17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 fully executed counterpart of this Amendment from the Borrower in form satisfactory to the Bank.</w:t>
      </w:r>
    </w:p>
    <w:p>
      <w:pPr>
        <w:spacing w:after="0" w:line="22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KYC Information</w:t>
      </w:r>
      <w:r>
        <w:rPr>
          <w:rFonts w:ascii="Arial" w:cs="Arial" w:eastAsia="Arial" w:hAnsi="Arial"/>
          <w:sz w:val="17"/>
          <w:szCs w:val="17"/>
          <w:color w:val="auto"/>
        </w:rPr>
        <w:t>.</w:t>
      </w:r>
    </w:p>
    <w:p>
      <w:pPr>
        <w:spacing w:after="0" w:line="225" w:lineRule="exact"/>
        <w:rPr>
          <w:sz w:val="20"/>
          <w:szCs w:val="20"/>
          <w:color w:val="auto"/>
        </w:rPr>
      </w:pPr>
    </w:p>
    <w:p>
      <w:pPr>
        <w:ind w:left="660" w:right="160" w:firstLine="644"/>
        <w:spacing w:after="0" w:line="277" w:lineRule="auto"/>
        <w:tabs>
          <w:tab w:leader="none" w:pos="1823"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the request of the Bank, the Borrower shall have provided to the Bank, and the Bank shall be reasonably satisfied with, the documentation and other information so</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ind w:left="10060"/>
        <w:spacing w:after="0"/>
        <w:rPr>
          <w:sz w:val="20"/>
          <w:szCs w:val="20"/>
          <w:color w:val="auto"/>
        </w:rPr>
      </w:pPr>
      <w:r>
        <w:rPr>
          <w:rFonts w:ascii="Arial" w:cs="Arial" w:eastAsia="Arial" w:hAnsi="Arial"/>
          <w:sz w:val="16"/>
          <w:szCs w:val="16"/>
          <w:color w:val="auto"/>
        </w:rPr>
        <w:t>Exhibit 10.27(c)</w:t>
      </w:r>
    </w:p>
    <w:p>
      <w:pPr>
        <w:spacing w:after="0" w:line="140"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requested in connection with applicable “know your customer” and anti-money-laundering rules and regulations, including, without limitation, the PATRIOT Act.</w:t>
      </w:r>
    </w:p>
    <w:p>
      <w:pPr>
        <w:spacing w:after="0" w:line="170" w:lineRule="exact"/>
        <w:rPr>
          <w:sz w:val="20"/>
          <w:szCs w:val="20"/>
          <w:color w:val="auto"/>
        </w:rPr>
      </w:pPr>
    </w:p>
    <w:p>
      <w:pPr>
        <w:ind w:left="660" w:right="660" w:firstLine="644"/>
        <w:spacing w:after="0" w:line="277" w:lineRule="auto"/>
        <w:tabs>
          <w:tab w:leader="none" w:pos="18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Borrower qualifies as a “legal entity customer” under the Beneficial Ownership Regulation, it shall have provided a Beneficial Ownership Certification to the Bank if so requested.</w:t>
      </w:r>
    </w:p>
    <w:p>
      <w:pPr>
        <w:spacing w:after="0" w:line="170" w:lineRule="exact"/>
        <w:rPr>
          <w:sz w:val="20"/>
          <w:szCs w:val="20"/>
          <w:color w:val="auto"/>
        </w:rPr>
      </w:pPr>
    </w:p>
    <w:p>
      <w:pPr>
        <w:ind w:left="660" w:right="400" w:firstLine="648"/>
        <w:spacing w:after="0" w:line="277" w:lineRule="auto"/>
        <w:rPr>
          <w:sz w:val="20"/>
          <w:szCs w:val="20"/>
          <w:color w:val="auto"/>
        </w:rPr>
      </w:pPr>
      <w:r>
        <w:rPr>
          <w:rFonts w:ascii="Arial" w:cs="Arial" w:eastAsia="Arial" w:hAnsi="Arial"/>
          <w:sz w:val="18"/>
          <w:szCs w:val="18"/>
          <w:color w:val="auto"/>
        </w:rPr>
        <w:t>3.3 Evidence that the execution, delivery and performance by the Borrower of this Amendment and any instrument or agreement required under this Amendment have been duly authorized.</w:t>
      </w:r>
    </w:p>
    <w:p>
      <w:pPr>
        <w:spacing w:after="0" w:line="170"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3.4 Payment by the Borrower of all costs, expenses and attorneys’ fees (including allocated costs for in-house legal services) incurred by the Bank in connection with this Amendment.</w:t>
      </w:r>
    </w:p>
    <w:p>
      <w:pPr>
        <w:spacing w:after="0" w:line="170" w:lineRule="exact"/>
        <w:rPr>
          <w:sz w:val="20"/>
          <w:szCs w:val="20"/>
          <w:color w:val="auto"/>
        </w:rPr>
      </w:pPr>
    </w:p>
    <w:p>
      <w:pPr>
        <w:ind w:firstLine="656"/>
        <w:spacing w:after="0" w:line="277" w:lineRule="auto"/>
        <w:tabs>
          <w:tab w:leader="none" w:pos="828"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provided in this Amendment, all of the terms and conditions of the Agreement, including but not limited to any Waiver of Jury Trial or Dispute Resolution Provision contained therein, shall remain in full force and effect.</w:t>
      </w:r>
    </w:p>
    <w:p>
      <w:pPr>
        <w:spacing w:after="0" w:line="170" w:lineRule="exact"/>
        <w:rPr>
          <w:rFonts w:ascii="Arial" w:cs="Arial" w:eastAsia="Arial" w:hAnsi="Arial"/>
          <w:sz w:val="18"/>
          <w:szCs w:val="18"/>
          <w:color w:val="auto"/>
        </w:rPr>
      </w:pPr>
    </w:p>
    <w:p>
      <w:pPr>
        <w:ind w:right="20" w:firstLine="656"/>
        <w:spacing w:after="0" w:line="285" w:lineRule="auto"/>
        <w:tabs>
          <w:tab w:leader="none" w:pos="828"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Electronic Records and Signatures</w:t>
      </w:r>
      <w:r>
        <w:rPr>
          <w:rFonts w:ascii="Arial" w:cs="Arial" w:eastAsia="Arial" w:hAnsi="Arial"/>
          <w:sz w:val="16"/>
          <w:szCs w:val="16"/>
          <w:color w:val="auto"/>
        </w:rPr>
        <w:t>. This Amendment and any document, amendment, approval, consent, information, notice, certificate, request, statement, disclosure or authorization related to this Amendment (each a “</w:t>
      </w:r>
      <w:r>
        <w:rPr>
          <w:rFonts w:ascii="Arial" w:cs="Arial" w:eastAsia="Arial" w:hAnsi="Arial"/>
          <w:sz w:val="16"/>
          <w:szCs w:val="16"/>
          <w:u w:val="single" w:color="auto"/>
          <w:color w:val="auto"/>
        </w:rPr>
        <w:t>Communication</w:t>
      </w:r>
      <w:r>
        <w:rPr>
          <w:rFonts w:ascii="Arial" w:cs="Arial" w:eastAsia="Arial" w:hAnsi="Arial"/>
          <w:sz w:val="16"/>
          <w:szCs w:val="16"/>
          <w:color w:val="auto"/>
        </w:rPr>
        <w:t>”), including Communications required to be in writing, may, if agreed by the Bank, be in the form of an Electronic Record and may be executed using Electronic Signatures, including, without limitation, facsimile and/or .pdf. The Borrower agrees that any Electronic Signature (including, without limitation, facsimile or .pdf)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the Borrower in accordance with the terms thereof to the same extent as if a manually executed original signature was delivered to the Bank.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Bank of a manually signed paper Communication which has been converted into electronic form (such as scanned into PDF format), or an electronically signed Communication converted into another format, for transmission, delivery and/or retention. The Bank may, at its option, create one or more copies of any Communication in the form of an imaged Electronic Record (“</w:t>
      </w:r>
      <w:r>
        <w:rPr>
          <w:rFonts w:ascii="Arial" w:cs="Arial" w:eastAsia="Arial" w:hAnsi="Arial"/>
          <w:sz w:val="16"/>
          <w:szCs w:val="16"/>
          <w:u w:val="single" w:color="auto"/>
          <w:color w:val="auto"/>
        </w:rPr>
        <w:t>Electronic Copy</w:t>
      </w:r>
      <w:r>
        <w:rPr>
          <w:rFonts w:ascii="Arial" w:cs="Arial" w:eastAsia="Arial" w:hAnsi="Arial"/>
          <w:sz w:val="16"/>
          <w:szCs w:val="16"/>
          <w:color w:val="auto"/>
        </w:rPr>
        <w:t>”), which shall be deemed created in the ordinary course of the Bank’s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Bank is under no obligation to accept an Electronic Signature in any form or in any format unless expressly agreed to by the Bank pursuant to procedures approved by it; provided, further, without limiting the foregoing, (a) to the extent the Bank has agreed to accept such Electronic Signature, the Bank shall be entitled to rely on any such Electronic Signature purportedly given by or on behalf of any Obligor without further verification and (b) upon the request of the Bank any Electronic Signature shall be promptly followed by a manually executed, original counterpart. For purposes hereof, “</w:t>
      </w:r>
      <w:r>
        <w:rPr>
          <w:rFonts w:ascii="Arial" w:cs="Arial" w:eastAsia="Arial" w:hAnsi="Arial"/>
          <w:sz w:val="16"/>
          <w:szCs w:val="16"/>
          <w:u w:val="single" w:color="auto"/>
          <w:color w:val="auto"/>
        </w:rPr>
        <w:t>Electronic Record</w:t>
      </w:r>
      <w:r>
        <w:rPr>
          <w:rFonts w:ascii="Arial" w:cs="Arial" w:eastAsia="Arial" w:hAnsi="Arial"/>
          <w:sz w:val="16"/>
          <w:szCs w:val="16"/>
          <w:color w:val="auto"/>
        </w:rPr>
        <w:t>” and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shall have the meanings assigned to them, respectively, by 15 USC §7006, as it may be amended from time to time.</w:t>
      </w:r>
    </w:p>
    <w:p>
      <w:pPr>
        <w:spacing w:after="0" w:line="164" w:lineRule="exact"/>
        <w:rPr>
          <w:rFonts w:ascii="Arial" w:cs="Arial" w:eastAsia="Arial" w:hAnsi="Arial"/>
          <w:sz w:val="16"/>
          <w:szCs w:val="16"/>
          <w:color w:val="auto"/>
        </w:rPr>
      </w:pPr>
    </w:p>
    <w:p>
      <w:pPr>
        <w:ind w:right="260" w:firstLine="656"/>
        <w:spacing w:after="0" w:line="261" w:lineRule="auto"/>
        <w:tabs>
          <w:tab w:leader="none" w:pos="828"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FINAL AGREEMENT</w:t>
      </w:r>
      <w:r>
        <w:rPr>
          <w:rFonts w:ascii="Arial" w:cs="Arial" w:eastAsia="Arial" w:hAnsi="Arial"/>
          <w:sz w:val="18"/>
          <w:szCs w:val="18"/>
          <w:b w:val="1"/>
          <w:bCs w:val="1"/>
          <w:color w:val="auto"/>
        </w:rPr>
        <w:t>. BY SIGNING THIS DOCUMENT EACH PARTY REPRESENTS AND AGREES THAT: (A) THIS DOCUMENT REPRESENTS THE FINAL AGREEMENT BETWEEN PARTIES WITH RESPECT TO THE SUBJECT MATTER HEREOF,</w:t>
      </w:r>
    </w:p>
    <w:p>
      <w:pPr>
        <w:jc w:val="both"/>
        <w:ind w:right="100" w:firstLine="8"/>
        <w:spacing w:after="0" w:line="253" w:lineRule="auto"/>
        <w:tabs>
          <w:tab w:leader="none" w:pos="285"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THIS DOCUMENT SUPERSEDES ANY COMMITMENT LETTER, TERM SHEET OR OTHER WRITTEN OUTLINE OF TERMS AND CONDITIONS RELATING TO THE SUBJECT MATTER HEREOF, UNLESS SUCH COMMITMENT LETTER, TERM SHEET OR OTHER WRITTEN OUTLINE OF TERMS AND CONDITIONS EXPRESSLY PROVIDES TO THE CONTRARY, (C) THERE ARE NO UNWRITTEN ORAL AGREEMENTS BETWEEN THE PARTIES, AND (D) THIS DOCUMENT MAY NOT BE CONTRADICTED BY EVIDENCE OF ANY PRIOR, CONTEMPORANEOUS, OR SUBSEQUENT ORAL AGREEMENTS OR UNDERSTANDINGS OF THE PARTIES.</w:t>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ind w:left="10060"/>
        <w:spacing w:after="0"/>
        <w:rPr>
          <w:sz w:val="20"/>
          <w:szCs w:val="20"/>
          <w:color w:val="auto"/>
        </w:rPr>
      </w:pPr>
      <w:r>
        <w:rPr>
          <w:rFonts w:ascii="Arial" w:cs="Arial" w:eastAsia="Arial" w:hAnsi="Arial"/>
          <w:sz w:val="16"/>
          <w:szCs w:val="16"/>
          <w:color w:val="auto"/>
        </w:rPr>
        <w:t>Exhibit 10.27(c)</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parties executed this Amendment as of the date stated at the beginning of this Amendment, intending to create an instrument executed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ind w:left="40"/>
              <w:spacing w:after="0"/>
              <w:rPr>
                <w:sz w:val="20"/>
                <w:szCs w:val="20"/>
                <w:color w:val="auto"/>
              </w:rPr>
            </w:pPr>
            <w:r>
              <w:rPr>
                <w:rFonts w:ascii="Arial" w:cs="Arial" w:eastAsia="Arial" w:hAnsi="Arial"/>
                <w:sz w:val="18"/>
                <w:szCs w:val="18"/>
                <w:color w:val="auto"/>
              </w:rPr>
              <w:t>/s/ Dilcia P. Hill</w:t>
            </w:r>
          </w:p>
        </w:tc>
        <w:tc>
          <w:tcPr>
            <w:tcW w:w="10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w w:val="96"/>
              </w:rPr>
              <w:t>Dilcia P.</w:t>
            </w:r>
          </w:p>
        </w:tc>
        <w:tc>
          <w:tcPr>
            <w:tcW w:w="4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Hill, Senior Vice President</w:t>
            </w:r>
          </w:p>
        </w:tc>
        <w:tc>
          <w:tcPr>
            <w:tcW w:w="1000" w:type="dxa"/>
            <w:vAlign w:val="bottom"/>
            <w:tcBorders>
              <w:top w:val="single" w:sz="8" w:color="auto"/>
            </w:tcBorders>
          </w:tcPr>
          <w:p>
            <w:pPr>
              <w:spacing w:after="0"/>
              <w:rPr>
                <w:sz w:val="19"/>
                <w:szCs w:val="19"/>
                <w:color w:val="auto"/>
              </w:rPr>
            </w:pPr>
          </w:p>
        </w:tc>
        <w:tc>
          <w:tcPr>
            <w:tcW w:w="4140" w:type="dxa"/>
            <w:vAlign w:val="bottom"/>
          </w:tcPr>
          <w:p>
            <w:pPr>
              <w:spacing w:after="0"/>
              <w:rPr>
                <w:sz w:val="19"/>
                <w:szCs w:val="19"/>
                <w:color w:val="auto"/>
              </w:rPr>
            </w:pPr>
          </w:p>
        </w:tc>
      </w:tr>
      <w:tr>
        <w:trPr>
          <w:trHeight w:val="404"/>
        </w:trPr>
        <w:tc>
          <w:tcPr>
            <w:tcW w:w="760" w:type="dxa"/>
            <w:vAlign w:val="bottom"/>
            <w:gridSpan w:val="2"/>
          </w:tcPr>
          <w:p>
            <w:pPr>
              <w:spacing w:after="0"/>
              <w:rPr>
                <w:sz w:val="20"/>
                <w:szCs w:val="20"/>
                <w:color w:val="auto"/>
              </w:rPr>
            </w:pPr>
            <w:r>
              <w:rPr>
                <w:rFonts w:ascii="Arial" w:cs="Arial" w:eastAsia="Arial" w:hAnsi="Arial"/>
                <w:sz w:val="18"/>
                <w:szCs w:val="18"/>
                <w:color w:val="auto"/>
                <w:w w:val="94"/>
              </w:rPr>
              <w:t>Borrower:</w:t>
            </w:r>
          </w:p>
        </w:tc>
        <w:tc>
          <w:tcPr>
            <w:tcW w:w="4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4840" w:type="dxa"/>
            <w:vAlign w:val="bottom"/>
            <w:gridSpan w:val="3"/>
          </w:tcPr>
          <w:p>
            <w:pPr>
              <w:spacing w:after="0"/>
              <w:rPr>
                <w:sz w:val="20"/>
                <w:szCs w:val="20"/>
                <w:color w:val="auto"/>
              </w:rPr>
            </w:pPr>
            <w:r>
              <w:rPr>
                <w:rFonts w:ascii="Arial" w:cs="Arial" w:eastAsia="Arial" w:hAnsi="Arial"/>
                <w:sz w:val="18"/>
                <w:szCs w:val="18"/>
                <w:color w:val="auto"/>
              </w:rPr>
              <w:t>Middlesex Water Company</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ind w:left="40"/>
              <w:spacing w:after="0"/>
              <w:rPr>
                <w:sz w:val="20"/>
                <w:szCs w:val="20"/>
                <w:color w:val="auto"/>
              </w:rPr>
            </w:pPr>
            <w:r>
              <w:rPr>
                <w:rFonts w:ascii="Arial" w:cs="Arial" w:eastAsia="Arial" w:hAnsi="Arial"/>
                <w:sz w:val="18"/>
                <w:szCs w:val="18"/>
                <w:color w:val="auto"/>
              </w:rPr>
              <w:t>/s/ A. Bruce O’Connor</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w w:val="92"/>
              </w:rPr>
              <w:t>A. Bruce</w:t>
            </w:r>
          </w:p>
        </w:tc>
        <w:tc>
          <w:tcPr>
            <w:tcW w:w="41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O’Connor, Sr. VP, Treasurer &amp; CFO</w:t>
            </w:r>
          </w:p>
        </w:tc>
        <w:tc>
          <w:tcPr>
            <w:tcW w:w="1000" w:type="dxa"/>
            <w:vAlign w:val="bottom"/>
            <w:tcBorders>
              <w:top w:val="single" w:sz="8" w:color="auto"/>
            </w:tcBorders>
          </w:tcPr>
          <w:p>
            <w:pPr>
              <w:spacing w:after="0"/>
              <w:rPr>
                <w:sz w:val="19"/>
                <w:szCs w:val="19"/>
                <w:color w:val="auto"/>
              </w:rPr>
            </w:pPr>
          </w:p>
        </w:tc>
        <w:tc>
          <w:tcPr>
            <w:tcW w:w="4140" w:type="dxa"/>
            <w:vAlign w:val="bottom"/>
          </w:tcPr>
          <w:p>
            <w:pPr>
              <w:spacing w:after="0"/>
              <w:rPr>
                <w:sz w:val="19"/>
                <w:szCs w:val="19"/>
                <w:color w:val="auto"/>
              </w:rPr>
            </w:pPr>
          </w:p>
        </w:tc>
      </w:tr>
      <w:tr>
        <w:trPr>
          <w:trHeight w:val="404"/>
        </w:trPr>
        <w:tc>
          <w:tcPr>
            <w:tcW w:w="4840" w:type="dxa"/>
            <w:vAlign w:val="bottom"/>
            <w:gridSpan w:val="3"/>
          </w:tcPr>
          <w:p>
            <w:pPr>
              <w:spacing w:after="0"/>
              <w:rPr>
                <w:sz w:val="20"/>
                <w:szCs w:val="20"/>
                <w:color w:val="auto"/>
              </w:rPr>
            </w:pPr>
            <w:r>
              <w:rPr>
                <w:rFonts w:ascii="Arial" w:cs="Arial" w:eastAsia="Arial" w:hAnsi="Arial"/>
                <w:sz w:val="18"/>
                <w:szCs w:val="18"/>
                <w:color w:val="auto"/>
              </w:rPr>
              <w:t>Tidewater Utilities, Inc.</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ind w:left="40"/>
              <w:spacing w:after="0"/>
              <w:rPr>
                <w:sz w:val="20"/>
                <w:szCs w:val="20"/>
                <w:color w:val="auto"/>
              </w:rPr>
            </w:pPr>
            <w:r>
              <w:rPr>
                <w:rFonts w:ascii="Arial" w:cs="Arial" w:eastAsia="Arial" w:hAnsi="Arial"/>
                <w:sz w:val="18"/>
                <w:szCs w:val="18"/>
                <w:color w:val="auto"/>
              </w:rPr>
              <w:t>/s/ A. Bruce O’Connor</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w w:val="92"/>
              </w:rPr>
              <w:t>A. Bruce</w:t>
            </w:r>
          </w:p>
        </w:tc>
        <w:tc>
          <w:tcPr>
            <w:tcW w:w="41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O’Connor, President</w:t>
            </w:r>
          </w:p>
        </w:tc>
        <w:tc>
          <w:tcPr>
            <w:tcW w:w="1000" w:type="dxa"/>
            <w:vAlign w:val="bottom"/>
            <w:tcBorders>
              <w:top w:val="single" w:sz="8" w:color="auto"/>
            </w:tcBorders>
          </w:tcPr>
          <w:p>
            <w:pPr>
              <w:spacing w:after="0"/>
              <w:rPr>
                <w:sz w:val="19"/>
                <w:szCs w:val="19"/>
                <w:color w:val="auto"/>
              </w:rPr>
            </w:pPr>
          </w:p>
        </w:tc>
        <w:tc>
          <w:tcPr>
            <w:tcW w:w="4140" w:type="dxa"/>
            <w:vAlign w:val="bottom"/>
          </w:tcPr>
          <w:p>
            <w:pPr>
              <w:spacing w:after="0"/>
              <w:rPr>
                <w:sz w:val="19"/>
                <w:szCs w:val="19"/>
                <w:color w:val="auto"/>
              </w:rPr>
            </w:pPr>
          </w:p>
        </w:tc>
      </w:tr>
      <w:tr>
        <w:trPr>
          <w:trHeight w:val="404"/>
        </w:trPr>
        <w:tc>
          <w:tcPr>
            <w:tcW w:w="4840" w:type="dxa"/>
            <w:vAlign w:val="bottom"/>
            <w:gridSpan w:val="3"/>
          </w:tcPr>
          <w:p>
            <w:pPr>
              <w:spacing w:after="0"/>
              <w:rPr>
                <w:sz w:val="20"/>
                <w:szCs w:val="20"/>
                <w:color w:val="auto"/>
              </w:rPr>
            </w:pPr>
            <w:r>
              <w:rPr>
                <w:rFonts w:ascii="Arial" w:cs="Arial" w:eastAsia="Arial" w:hAnsi="Arial"/>
                <w:sz w:val="18"/>
                <w:szCs w:val="18"/>
                <w:color w:val="auto"/>
              </w:rPr>
              <w:t>White Marsh Environmental Systems, Inc.</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ind w:left="40"/>
              <w:spacing w:after="0"/>
              <w:rPr>
                <w:sz w:val="20"/>
                <w:szCs w:val="20"/>
                <w:color w:val="auto"/>
              </w:rPr>
            </w:pPr>
            <w:r>
              <w:rPr>
                <w:rFonts w:ascii="Arial" w:cs="Arial" w:eastAsia="Arial" w:hAnsi="Arial"/>
                <w:sz w:val="18"/>
                <w:szCs w:val="18"/>
                <w:color w:val="auto"/>
              </w:rPr>
              <w:t>/s/ A. Bruce O’Connor</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w w:val="92"/>
              </w:rPr>
              <w:t>A. Bruce</w:t>
            </w:r>
          </w:p>
        </w:tc>
        <w:tc>
          <w:tcPr>
            <w:tcW w:w="41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O’Connor, President</w:t>
            </w:r>
          </w:p>
        </w:tc>
        <w:tc>
          <w:tcPr>
            <w:tcW w:w="1000" w:type="dxa"/>
            <w:vAlign w:val="bottom"/>
            <w:tcBorders>
              <w:top w:val="single" w:sz="8" w:color="auto"/>
            </w:tcBorders>
          </w:tcPr>
          <w:p>
            <w:pPr>
              <w:spacing w:after="0"/>
              <w:rPr>
                <w:sz w:val="19"/>
                <w:szCs w:val="19"/>
                <w:color w:val="auto"/>
              </w:rPr>
            </w:pPr>
          </w:p>
        </w:tc>
        <w:tc>
          <w:tcPr>
            <w:tcW w:w="4140" w:type="dxa"/>
            <w:vAlign w:val="bottom"/>
          </w:tcPr>
          <w:p>
            <w:pPr>
              <w:spacing w:after="0"/>
              <w:rPr>
                <w:sz w:val="19"/>
                <w:szCs w:val="19"/>
                <w:color w:val="auto"/>
              </w:rPr>
            </w:pPr>
          </w:p>
        </w:tc>
      </w:tr>
      <w:tr>
        <w:trPr>
          <w:trHeight w:val="404"/>
        </w:trPr>
        <w:tc>
          <w:tcPr>
            <w:tcW w:w="4840" w:type="dxa"/>
            <w:vAlign w:val="bottom"/>
            <w:gridSpan w:val="3"/>
          </w:tcPr>
          <w:p>
            <w:pPr>
              <w:spacing w:after="0"/>
              <w:rPr>
                <w:sz w:val="20"/>
                <w:szCs w:val="20"/>
                <w:color w:val="auto"/>
              </w:rPr>
            </w:pPr>
            <w:r>
              <w:rPr>
                <w:rFonts w:ascii="Arial" w:cs="Arial" w:eastAsia="Arial" w:hAnsi="Arial"/>
                <w:sz w:val="18"/>
                <w:szCs w:val="18"/>
                <w:color w:val="auto"/>
              </w:rPr>
              <w:t>Pinelands Water Company</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ind w:left="40"/>
              <w:spacing w:after="0"/>
              <w:rPr>
                <w:sz w:val="20"/>
                <w:szCs w:val="20"/>
                <w:color w:val="auto"/>
              </w:rPr>
            </w:pPr>
            <w:r>
              <w:rPr>
                <w:rFonts w:ascii="Arial" w:cs="Arial" w:eastAsia="Arial" w:hAnsi="Arial"/>
                <w:sz w:val="18"/>
                <w:szCs w:val="18"/>
                <w:color w:val="auto"/>
              </w:rPr>
              <w:t>/s/ A. Bruce O’Connor</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w w:val="92"/>
              </w:rPr>
              <w:t>A. Bruce</w:t>
            </w:r>
          </w:p>
        </w:tc>
        <w:tc>
          <w:tcPr>
            <w:tcW w:w="41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O’Connor, VP &amp; Treasurer</w:t>
            </w:r>
          </w:p>
        </w:tc>
        <w:tc>
          <w:tcPr>
            <w:tcW w:w="1000" w:type="dxa"/>
            <w:vAlign w:val="bottom"/>
            <w:tcBorders>
              <w:top w:val="single" w:sz="8" w:color="auto"/>
            </w:tcBorders>
          </w:tcPr>
          <w:p>
            <w:pPr>
              <w:spacing w:after="0"/>
              <w:rPr>
                <w:sz w:val="19"/>
                <w:szCs w:val="19"/>
                <w:color w:val="auto"/>
              </w:rPr>
            </w:pPr>
          </w:p>
        </w:tc>
        <w:tc>
          <w:tcPr>
            <w:tcW w:w="4140" w:type="dxa"/>
            <w:vAlign w:val="bottom"/>
          </w:tcPr>
          <w:p>
            <w:pPr>
              <w:spacing w:after="0"/>
              <w:rPr>
                <w:sz w:val="19"/>
                <w:szCs w:val="19"/>
                <w:color w:val="auto"/>
              </w:rPr>
            </w:pPr>
          </w:p>
        </w:tc>
      </w:tr>
      <w:tr>
        <w:trPr>
          <w:trHeight w:val="404"/>
        </w:trPr>
        <w:tc>
          <w:tcPr>
            <w:tcW w:w="4840" w:type="dxa"/>
            <w:vAlign w:val="bottom"/>
            <w:gridSpan w:val="3"/>
          </w:tcPr>
          <w:p>
            <w:pPr>
              <w:spacing w:after="0"/>
              <w:rPr>
                <w:sz w:val="20"/>
                <w:szCs w:val="20"/>
                <w:color w:val="auto"/>
              </w:rPr>
            </w:pPr>
            <w:r>
              <w:rPr>
                <w:rFonts w:ascii="Arial" w:cs="Arial" w:eastAsia="Arial" w:hAnsi="Arial"/>
                <w:sz w:val="18"/>
                <w:szCs w:val="18"/>
                <w:color w:val="auto"/>
              </w:rPr>
              <w:t>Pinelands Wastewater Company</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ind w:left="40"/>
              <w:spacing w:after="0"/>
              <w:rPr>
                <w:sz w:val="20"/>
                <w:szCs w:val="20"/>
                <w:color w:val="auto"/>
              </w:rPr>
            </w:pPr>
            <w:r>
              <w:rPr>
                <w:rFonts w:ascii="Arial" w:cs="Arial" w:eastAsia="Arial" w:hAnsi="Arial"/>
                <w:sz w:val="18"/>
                <w:szCs w:val="18"/>
                <w:color w:val="auto"/>
              </w:rPr>
              <w:t>/s/ A. Bruce O’Connor</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w w:val="92"/>
              </w:rPr>
              <w:t>A. Bruce</w:t>
            </w:r>
          </w:p>
        </w:tc>
        <w:tc>
          <w:tcPr>
            <w:tcW w:w="41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O’Connor, VP &amp; Treasurer</w:t>
            </w:r>
          </w:p>
        </w:tc>
        <w:tc>
          <w:tcPr>
            <w:tcW w:w="1000" w:type="dxa"/>
            <w:vAlign w:val="bottom"/>
            <w:tcBorders>
              <w:top w:val="single" w:sz="8" w:color="auto"/>
            </w:tcBorders>
          </w:tcPr>
          <w:p>
            <w:pPr>
              <w:spacing w:after="0"/>
              <w:rPr>
                <w:sz w:val="19"/>
                <w:szCs w:val="19"/>
                <w:color w:val="auto"/>
              </w:rPr>
            </w:pPr>
          </w:p>
        </w:tc>
        <w:tc>
          <w:tcPr>
            <w:tcW w:w="4140" w:type="dxa"/>
            <w:vAlign w:val="bottom"/>
          </w:tcPr>
          <w:p>
            <w:pPr>
              <w:spacing w:after="0"/>
              <w:rPr>
                <w:sz w:val="19"/>
                <w:szCs w:val="19"/>
                <w:color w:val="auto"/>
              </w:rPr>
            </w:pPr>
          </w:p>
        </w:tc>
      </w:tr>
      <w:tr>
        <w:trPr>
          <w:trHeight w:val="404"/>
        </w:trPr>
        <w:tc>
          <w:tcPr>
            <w:tcW w:w="4840" w:type="dxa"/>
            <w:vAlign w:val="bottom"/>
            <w:gridSpan w:val="3"/>
          </w:tcPr>
          <w:p>
            <w:pPr>
              <w:spacing w:after="0"/>
              <w:rPr>
                <w:sz w:val="20"/>
                <w:szCs w:val="20"/>
                <w:color w:val="auto"/>
              </w:rPr>
            </w:pPr>
            <w:r>
              <w:rPr>
                <w:rFonts w:ascii="Arial" w:cs="Arial" w:eastAsia="Arial" w:hAnsi="Arial"/>
                <w:sz w:val="18"/>
                <w:szCs w:val="18"/>
                <w:color w:val="auto"/>
              </w:rPr>
              <w:t>Utility Service Affiliates, Inc.</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ind w:left="40"/>
              <w:spacing w:after="0"/>
              <w:rPr>
                <w:sz w:val="20"/>
                <w:szCs w:val="20"/>
                <w:color w:val="auto"/>
              </w:rPr>
            </w:pPr>
            <w:r>
              <w:rPr>
                <w:rFonts w:ascii="Arial" w:cs="Arial" w:eastAsia="Arial" w:hAnsi="Arial"/>
                <w:sz w:val="18"/>
                <w:szCs w:val="18"/>
                <w:color w:val="auto"/>
              </w:rPr>
              <w:t>/s/ A. Bruce O’Connor</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w w:val="92"/>
              </w:rPr>
              <w:t>A. Bruce</w:t>
            </w:r>
          </w:p>
        </w:tc>
        <w:tc>
          <w:tcPr>
            <w:tcW w:w="41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O’Connor, Treasurer</w:t>
            </w:r>
          </w:p>
        </w:tc>
        <w:tc>
          <w:tcPr>
            <w:tcW w:w="1000" w:type="dxa"/>
            <w:vAlign w:val="bottom"/>
            <w:tcBorders>
              <w:top w:val="single" w:sz="8" w:color="auto"/>
            </w:tcBorders>
          </w:tcPr>
          <w:p>
            <w:pPr>
              <w:spacing w:after="0"/>
              <w:rPr>
                <w:sz w:val="19"/>
                <w:szCs w:val="19"/>
                <w:color w:val="auto"/>
              </w:rPr>
            </w:pPr>
          </w:p>
        </w:tc>
        <w:tc>
          <w:tcPr>
            <w:tcW w:w="4140" w:type="dxa"/>
            <w:vAlign w:val="bottom"/>
          </w:tcPr>
          <w:p>
            <w:pPr>
              <w:spacing w:after="0"/>
              <w:rPr>
                <w:sz w:val="19"/>
                <w:szCs w:val="19"/>
                <w:color w:val="auto"/>
              </w:rPr>
            </w:pPr>
          </w:p>
        </w:tc>
      </w:tr>
      <w:tr>
        <w:trPr>
          <w:trHeight w:val="404"/>
        </w:trPr>
        <w:tc>
          <w:tcPr>
            <w:tcW w:w="4840" w:type="dxa"/>
            <w:vAlign w:val="bottom"/>
            <w:gridSpan w:val="3"/>
          </w:tcPr>
          <w:p>
            <w:pPr>
              <w:spacing w:after="0"/>
              <w:rPr>
                <w:sz w:val="20"/>
                <w:szCs w:val="20"/>
                <w:color w:val="auto"/>
              </w:rPr>
            </w:pPr>
            <w:r>
              <w:rPr>
                <w:rFonts w:ascii="Arial" w:cs="Arial" w:eastAsia="Arial" w:hAnsi="Arial"/>
                <w:sz w:val="18"/>
                <w:szCs w:val="18"/>
                <w:color w:val="auto"/>
              </w:rPr>
              <w:t>Utility Service Affiliates (Perth Amboy) Inc.</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2"/>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080" w:type="dxa"/>
            <w:vAlign w:val="bottom"/>
          </w:tcPr>
          <w:p>
            <w:pPr>
              <w:ind w:left="40"/>
              <w:spacing w:after="0"/>
              <w:rPr>
                <w:sz w:val="20"/>
                <w:szCs w:val="20"/>
                <w:color w:val="auto"/>
              </w:rPr>
            </w:pPr>
            <w:r>
              <w:rPr>
                <w:rFonts w:ascii="Arial" w:cs="Arial" w:eastAsia="Arial" w:hAnsi="Arial"/>
                <w:sz w:val="18"/>
                <w:szCs w:val="18"/>
                <w:color w:val="auto"/>
              </w:rPr>
              <w:t>/s/ A. Bruce O’Connor</w:t>
            </w: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4"/>
        </w:trPr>
        <w:tc>
          <w:tcPr>
            <w:tcW w:w="660" w:type="dxa"/>
            <w:vAlign w:val="bottom"/>
          </w:tcPr>
          <w:p>
            <w:pPr>
              <w:spacing w:after="0"/>
              <w:rPr>
                <w:sz w:val="20"/>
                <w:szCs w:val="20"/>
                <w:color w:val="auto"/>
              </w:rPr>
            </w:pPr>
            <w:r>
              <w:rPr>
                <w:rFonts w:ascii="Arial" w:cs="Arial" w:eastAsia="Arial" w:hAnsi="Arial"/>
                <w:sz w:val="18"/>
                <w:szCs w:val="18"/>
                <w:color w:val="auto"/>
                <w:w w:val="92"/>
              </w:rPr>
              <w:t>A. Bruce</w:t>
            </w:r>
          </w:p>
        </w:tc>
        <w:tc>
          <w:tcPr>
            <w:tcW w:w="41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O’Connor, Treasurer</w:t>
            </w:r>
          </w:p>
        </w:tc>
        <w:tc>
          <w:tcPr>
            <w:tcW w:w="1000" w:type="dxa"/>
            <w:vAlign w:val="bottom"/>
            <w:tcBorders>
              <w:top w:val="single" w:sz="8" w:color="auto"/>
            </w:tcBorders>
          </w:tcPr>
          <w:p>
            <w:pPr>
              <w:spacing w:after="0"/>
              <w:rPr>
                <w:sz w:val="19"/>
                <w:szCs w:val="19"/>
                <w:color w:val="auto"/>
              </w:rPr>
            </w:pPr>
          </w:p>
        </w:tc>
        <w:tc>
          <w:tcPr>
            <w:tcW w:w="4140" w:type="dxa"/>
            <w:vAlign w:val="bottom"/>
          </w:tcPr>
          <w:p>
            <w:pPr>
              <w:spacing w:after="0"/>
              <w:rPr>
                <w:sz w:val="19"/>
                <w:szCs w:val="19"/>
                <w:color w:val="auto"/>
              </w:rPr>
            </w:pPr>
          </w:p>
        </w:tc>
      </w:tr>
      <w:tr>
        <w:trPr>
          <w:trHeight w:val="390"/>
        </w:trPr>
        <w:tc>
          <w:tcPr>
            <w:tcW w:w="4840" w:type="dxa"/>
            <w:vAlign w:val="bottom"/>
            <w:gridSpan w:val="3"/>
          </w:tcPr>
          <w:p>
            <w:pPr>
              <w:spacing w:after="0"/>
              <w:rPr>
                <w:sz w:val="20"/>
                <w:szCs w:val="20"/>
                <w:color w:val="auto"/>
              </w:rPr>
            </w:pPr>
            <w:r>
              <w:rPr>
                <w:rFonts w:ascii="Arial" w:cs="Arial" w:eastAsia="Arial" w:hAnsi="Arial"/>
                <w:sz w:val="18"/>
                <w:szCs w:val="18"/>
                <w:color w:val="auto"/>
              </w:rPr>
              <w:t>Address where notices to</w:t>
            </w:r>
          </w:p>
        </w:tc>
        <w:tc>
          <w:tcPr>
            <w:tcW w:w="5140" w:type="dxa"/>
            <w:vAlign w:val="bottom"/>
            <w:gridSpan w:val="2"/>
          </w:tcPr>
          <w:p>
            <w:pPr>
              <w:ind w:left="780"/>
              <w:spacing w:after="0"/>
              <w:rPr>
                <w:sz w:val="20"/>
                <w:szCs w:val="20"/>
                <w:color w:val="auto"/>
              </w:rPr>
            </w:pPr>
            <w:r>
              <w:rPr>
                <w:rFonts w:ascii="Arial" w:cs="Arial" w:eastAsia="Arial" w:hAnsi="Arial"/>
                <w:sz w:val="18"/>
                <w:szCs w:val="18"/>
                <w:color w:val="auto"/>
              </w:rPr>
              <w:t>Address where notices to</w:t>
            </w: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the Bank are to be sent:</w:t>
            </w:r>
          </w:p>
        </w:tc>
        <w:tc>
          <w:tcPr>
            <w:tcW w:w="5140" w:type="dxa"/>
            <w:vAlign w:val="bottom"/>
            <w:gridSpan w:val="2"/>
          </w:tcPr>
          <w:p>
            <w:pPr>
              <w:ind w:left="780"/>
              <w:spacing w:after="0"/>
              <w:rPr>
                <w:sz w:val="20"/>
                <w:szCs w:val="20"/>
                <w:color w:val="auto"/>
              </w:rPr>
            </w:pPr>
            <w:r>
              <w:rPr>
                <w:rFonts w:ascii="Arial" w:cs="Arial" w:eastAsia="Arial" w:hAnsi="Arial"/>
                <w:sz w:val="18"/>
                <w:szCs w:val="18"/>
                <w:color w:val="auto"/>
              </w:rPr>
              <w:t>the Borrower are to be sent:</w:t>
            </w: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Dilcia P. Hill</w:t>
            </w:r>
          </w:p>
        </w:tc>
        <w:tc>
          <w:tcPr>
            <w:tcW w:w="5140" w:type="dxa"/>
            <w:vAlign w:val="bottom"/>
            <w:gridSpan w:val="2"/>
          </w:tcPr>
          <w:p>
            <w:pPr>
              <w:ind w:left="780"/>
              <w:spacing w:after="0"/>
              <w:rPr>
                <w:sz w:val="20"/>
                <w:szCs w:val="20"/>
                <w:color w:val="auto"/>
              </w:rPr>
            </w:pPr>
            <w:r>
              <w:rPr>
                <w:rFonts w:ascii="Arial" w:cs="Arial" w:eastAsia="Arial" w:hAnsi="Arial"/>
                <w:sz w:val="18"/>
                <w:szCs w:val="18"/>
                <w:color w:val="auto"/>
              </w:rPr>
              <w:t>Middlesex Water Company</w:t>
            </w: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Senior Vice President</w:t>
            </w:r>
          </w:p>
        </w:tc>
        <w:tc>
          <w:tcPr>
            <w:tcW w:w="5140" w:type="dxa"/>
            <w:vAlign w:val="bottom"/>
            <w:gridSpan w:val="2"/>
          </w:tcPr>
          <w:p>
            <w:pPr>
              <w:ind w:left="780"/>
              <w:spacing w:after="0"/>
              <w:rPr>
                <w:sz w:val="20"/>
                <w:szCs w:val="20"/>
                <w:color w:val="auto"/>
              </w:rPr>
            </w:pPr>
            <w:r>
              <w:rPr>
                <w:rFonts w:ascii="Arial" w:cs="Arial" w:eastAsia="Arial" w:hAnsi="Arial"/>
                <w:sz w:val="18"/>
                <w:szCs w:val="18"/>
                <w:color w:val="auto"/>
                <w:w w:val="99"/>
              </w:rPr>
              <w:t>485 C Route 1 South, Suite 400, Iselin NJ 08830-3020</w:t>
            </w: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Commercial Credit Officer</w:t>
            </w:r>
          </w:p>
        </w:tc>
        <w:tc>
          <w:tcPr>
            <w:tcW w:w="5140" w:type="dxa"/>
            <w:vAlign w:val="bottom"/>
            <w:gridSpan w:val="2"/>
          </w:tcPr>
          <w:p>
            <w:pPr>
              <w:ind w:left="780"/>
              <w:spacing w:after="0"/>
              <w:rPr>
                <w:sz w:val="20"/>
                <w:szCs w:val="20"/>
                <w:color w:val="auto"/>
              </w:rPr>
            </w:pPr>
            <w:r>
              <w:rPr>
                <w:rFonts w:ascii="Arial" w:cs="Arial" w:eastAsia="Arial" w:hAnsi="Arial"/>
                <w:sz w:val="18"/>
                <w:szCs w:val="18"/>
                <w:color w:val="auto"/>
              </w:rPr>
              <w:t>Attention: A. Bruce O’Connor</w:t>
            </w: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Global Commercial Banking</w:t>
            </w:r>
          </w:p>
        </w:tc>
        <w:tc>
          <w:tcPr>
            <w:tcW w:w="5140" w:type="dxa"/>
            <w:vAlign w:val="bottom"/>
            <w:gridSpan w:val="2"/>
          </w:tcPr>
          <w:p>
            <w:pPr>
              <w:ind w:left="780"/>
              <w:spacing w:after="0"/>
              <w:rPr>
                <w:sz w:val="20"/>
                <w:szCs w:val="20"/>
                <w:color w:val="auto"/>
              </w:rPr>
            </w:pPr>
            <w:r>
              <w:rPr>
                <w:rFonts w:ascii="Arial" w:cs="Arial" w:eastAsia="Arial" w:hAnsi="Arial"/>
                <w:sz w:val="18"/>
                <w:szCs w:val="18"/>
                <w:color w:val="auto"/>
                <w:w w:val="90"/>
              </w:rPr>
              <w:t>Senior Vice President, Treasurer and Chief Financial Officer</w:t>
            </w: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Bank of America</w:t>
            </w: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NJ7-550-04-02, 194 Wood Ave. South, Iselin, NJ 08830</w:t>
            </w: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16"/>
        </w:trPr>
        <w:tc>
          <w:tcPr>
            <w:tcW w:w="4840" w:type="dxa"/>
            <w:vAlign w:val="bottom"/>
            <w:gridSpan w:val="3"/>
          </w:tcPr>
          <w:p>
            <w:pPr>
              <w:spacing w:after="0"/>
              <w:rPr>
                <w:sz w:val="20"/>
                <w:szCs w:val="20"/>
                <w:color w:val="auto"/>
              </w:rPr>
            </w:pPr>
            <w:r>
              <w:rPr>
                <w:rFonts w:ascii="Arial" w:cs="Arial" w:eastAsia="Arial" w:hAnsi="Arial"/>
                <w:sz w:val="18"/>
                <w:szCs w:val="18"/>
                <w:color w:val="auto"/>
              </w:rPr>
              <w:t>T 732 321 5925   F 212 230 8577</w:t>
            </w: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dilcia.p.hill@bofa.com</w:t>
            </w:r>
          </w:p>
        </w:tc>
        <w:tc>
          <w:tcPr>
            <w:tcW w:w="1000" w:type="dxa"/>
            <w:vAlign w:val="bottom"/>
          </w:tcPr>
          <w:p>
            <w:pPr>
              <w:spacing w:after="0"/>
              <w:rPr>
                <w:sz w:val="20"/>
                <w:szCs w:val="20"/>
                <w:color w:val="auto"/>
              </w:rPr>
            </w:pPr>
          </w:p>
        </w:tc>
        <w:tc>
          <w:tcPr>
            <w:tcW w:w="4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10.27(c)</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OMNIBUS ORGANIZATIONAL CERTIFICATE</w:t>
      </w:r>
    </w:p>
    <w:p>
      <w:pPr>
        <w:spacing w:after="0" w:line="13" w:lineRule="exact"/>
        <w:rPr>
          <w:sz w:val="20"/>
          <w:szCs w:val="20"/>
          <w:color w:val="auto"/>
        </w:rPr>
      </w:pPr>
    </w:p>
    <w:p>
      <w:pPr>
        <w:ind w:right="380" w:firstLine="648"/>
        <w:spacing w:after="0" w:line="249" w:lineRule="auto"/>
        <w:rPr>
          <w:sz w:val="20"/>
          <w:szCs w:val="20"/>
          <w:color w:val="auto"/>
        </w:rPr>
      </w:pPr>
      <w:r>
        <w:rPr>
          <w:rFonts w:ascii="Arial" w:cs="Arial" w:eastAsia="Arial" w:hAnsi="Arial"/>
          <w:sz w:val="18"/>
          <w:szCs w:val="18"/>
          <w:color w:val="auto"/>
        </w:rPr>
        <w:t>The undersigned, Secretary of Middlesex Water Company, a New Jersey corporation, Tidewater Utilities, Inc., a Delaware corporation, White Marsh Environmental Systems, Inc., a Delaware corporation, Pinelands Water Company, a New Jersey corporation, Pinelands Wastewater Company, a New Jersey corporation, Utility Service Affiliates, Inc., a New Jersey corporation and Utility Service Affiliates (Perth Amboy) Inc., a New Jersey corporation (each a "</w:t>
      </w:r>
      <w:r>
        <w:rPr>
          <w:rFonts w:ascii="Arial" w:cs="Arial" w:eastAsia="Arial" w:hAnsi="Arial"/>
          <w:sz w:val="18"/>
          <w:szCs w:val="18"/>
          <w:u w:val="single" w:color="auto"/>
          <w:color w:val="auto"/>
        </w:rPr>
        <w:t>Company</w:t>
      </w:r>
      <w:r>
        <w:rPr>
          <w:rFonts w:ascii="Arial" w:cs="Arial" w:eastAsia="Arial" w:hAnsi="Arial"/>
          <w:sz w:val="18"/>
          <w:szCs w:val="18"/>
          <w:color w:val="auto"/>
        </w:rPr>
        <w:t>", collectively the “Companies”), certifies as follows:</w:t>
      </w:r>
    </w:p>
    <w:p>
      <w:pPr>
        <w:spacing w:after="0" w:line="3" w:lineRule="exact"/>
        <w:rPr>
          <w:sz w:val="20"/>
          <w:szCs w:val="20"/>
          <w:color w:val="auto"/>
        </w:rPr>
      </w:pPr>
    </w:p>
    <w:p>
      <w:pPr>
        <w:ind w:right="40" w:firstLine="656"/>
        <w:spacing w:after="0" w:line="302" w:lineRule="auto"/>
        <w:tabs>
          <w:tab w:leader="none" w:pos="109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There have been no amendments to the Certificate of Incorporation of any of the Companies on file in the jurisdiction of its formation as attached to the Omnibus Organizational Certificate dated January 28, 2021 certified by me as Secretary of the Companies. There are no proceedings for the merger, consolidation, liquidation, sale of all or substantially all of the assets or dissolution of any Company pending or contemplated.</w:t>
      </w:r>
    </w:p>
    <w:p>
      <w:pPr>
        <w:spacing w:after="0" w:line="155" w:lineRule="exact"/>
        <w:rPr>
          <w:rFonts w:ascii="Arial" w:cs="Arial" w:eastAsia="Arial" w:hAnsi="Arial"/>
          <w:sz w:val="16"/>
          <w:szCs w:val="16"/>
          <w:color w:val="auto"/>
        </w:rPr>
      </w:pPr>
    </w:p>
    <w:p>
      <w:pPr>
        <w:ind w:right="80" w:firstLine="656"/>
        <w:spacing w:after="0" w:line="277" w:lineRule="auto"/>
        <w:tabs>
          <w:tab w:leader="none" w:pos="109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There has been no amendment to the By-laws of any of the Companies as attached to the Omnibus Organizational Certificate dated January 28, 2021 certified by me as Secretary of the Companies.</w:t>
      </w:r>
    </w:p>
    <w:p>
      <w:pPr>
        <w:spacing w:after="0" w:line="170" w:lineRule="exact"/>
        <w:rPr>
          <w:rFonts w:ascii="Arial" w:cs="Arial" w:eastAsia="Arial" w:hAnsi="Arial"/>
          <w:sz w:val="18"/>
          <w:szCs w:val="18"/>
          <w:color w:val="auto"/>
        </w:rPr>
      </w:pPr>
    </w:p>
    <w:p>
      <w:pPr>
        <w:ind w:right="60" w:firstLine="656"/>
        <w:spacing w:after="0" w:line="263" w:lineRule="auto"/>
        <w:tabs>
          <w:tab w:leader="none" w:pos="109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The resolutions of the Board of Directors of each of the Companies as attached to the Omnibus Organizational Certificate dated January 28, 2021 certified by me as Secretary of the Companies is now in full force and effect and has not been modified, amended or revoked and is the only resolution of the Companies relating to the matters set forth in such resolution.</w:t>
      </w:r>
    </w:p>
    <w:p>
      <w:pPr>
        <w:spacing w:after="0" w:line="183" w:lineRule="exact"/>
        <w:rPr>
          <w:rFonts w:ascii="Arial" w:cs="Arial" w:eastAsia="Arial" w:hAnsi="Arial"/>
          <w:sz w:val="18"/>
          <w:szCs w:val="18"/>
          <w:color w:val="auto"/>
        </w:rPr>
      </w:pPr>
    </w:p>
    <w:p>
      <w:pPr>
        <w:ind w:right="480" w:firstLine="656"/>
        <w:spacing w:after="0" w:line="277" w:lineRule="auto"/>
        <w:tabs>
          <w:tab w:leader="none" w:pos="109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Each of the persons listed on such resolutions are presently the duly elected, qualified and acting officer of the applicable Company as specified therein.</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As evidenced by the Good Standing Certificates attached as Exhibit A, each of the Companies is in good standing in the jurisdiction of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formation.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executed this certificate as of January 26,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Jay L. Kooper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Jay L. Kooper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10.27(c)</w:t>
      </w:r>
    </w:p>
    <w:p>
      <w:pPr>
        <w:spacing w:after="0" w:line="11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Good Standing Certificates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33"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Jurisdiction of</w:t>
            </w:r>
          </w:p>
        </w:tc>
      </w:tr>
      <w:tr>
        <w:trPr>
          <w:trHeight w:val="230"/>
        </w:trPr>
        <w:tc>
          <w:tcPr>
            <w:tcW w:w="8220" w:type="dxa"/>
            <w:vAlign w:val="bottom"/>
            <w:tcBorders>
              <w:bottom w:val="single" w:sz="8" w:color="CCEEFF"/>
            </w:tcBorders>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Organization</w:t>
            </w:r>
          </w:p>
        </w:tc>
      </w:tr>
      <w:tr>
        <w:trPr>
          <w:trHeight w:val="20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Tidewater Utilities, Inc.</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Pinelands Water Company</w:t>
            </w:r>
          </w:p>
        </w:tc>
        <w:tc>
          <w:tcPr>
            <w:tcW w:w="3020" w:type="dxa"/>
            <w:vAlign w:val="bottom"/>
          </w:tcPr>
          <w:p>
            <w:pPr>
              <w:jc w:val="center"/>
              <w:spacing w:after="0"/>
              <w:rPr>
                <w:sz w:val="20"/>
                <w:szCs w:val="20"/>
                <w:color w:val="auto"/>
              </w:rPr>
            </w:pPr>
            <w:r>
              <w:rPr>
                <w:rFonts w:ascii="Arial" w:cs="Arial" w:eastAsia="Arial" w:hAnsi="Arial"/>
                <w:sz w:val="18"/>
                <w:szCs w:val="18"/>
                <w:color w:val="auto"/>
                <w:w w:val="87"/>
              </w:rPr>
              <w:t>New Jersey</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Pinelands Wastewater Company</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New Jersey</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Utility Service Affiliates (Perth Amboy) Inc.</w:t>
            </w:r>
          </w:p>
        </w:tc>
        <w:tc>
          <w:tcPr>
            <w:tcW w:w="3020" w:type="dxa"/>
            <w:vAlign w:val="bottom"/>
          </w:tcPr>
          <w:p>
            <w:pPr>
              <w:jc w:val="center"/>
              <w:spacing w:after="0"/>
              <w:rPr>
                <w:sz w:val="20"/>
                <w:szCs w:val="20"/>
                <w:color w:val="auto"/>
              </w:rPr>
            </w:pPr>
            <w:r>
              <w:rPr>
                <w:rFonts w:ascii="Arial" w:cs="Arial" w:eastAsia="Arial" w:hAnsi="Arial"/>
                <w:sz w:val="18"/>
                <w:szCs w:val="18"/>
                <w:color w:val="auto"/>
                <w:w w:val="87"/>
              </w:rPr>
              <w:t>New Jersey</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Utility Service Affiliates, Inc.</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New Jersey</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Twin Lakes Utilities, Inc.</w:t>
            </w:r>
          </w:p>
        </w:tc>
        <w:tc>
          <w:tcPr>
            <w:tcW w:w="3020" w:type="dxa"/>
            <w:vAlign w:val="bottom"/>
          </w:tcPr>
          <w:p>
            <w:pPr>
              <w:jc w:val="center"/>
              <w:spacing w:after="0"/>
              <w:rPr>
                <w:sz w:val="20"/>
                <w:szCs w:val="20"/>
                <w:color w:val="auto"/>
              </w:rPr>
            </w:pPr>
            <w:r>
              <w:rPr>
                <w:rFonts w:ascii="Arial" w:cs="Arial" w:eastAsia="Arial" w:hAnsi="Arial"/>
                <w:sz w:val="18"/>
                <w:szCs w:val="18"/>
                <w:color w:val="auto"/>
                <w:w w:val="89"/>
              </w:rPr>
              <w:t>Pennsylvania</w:t>
            </w:r>
          </w:p>
        </w:tc>
      </w:tr>
      <w:tr>
        <w:trPr>
          <w:trHeight w:val="1437"/>
        </w:trPr>
        <w:tc>
          <w:tcPr>
            <w:tcW w:w="8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on Form S-3 (File No. 333-266482) and Form S-8 (File No. 333-156269) of Middlesex Water Company of our report dated February 24, 2023,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US, LLP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Baker Tilly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W. Doll,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140" w:hanging="320"/>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Dennis W. Doll</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 Bruce O’Connor,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14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Dennis W. Doll</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200" w:lineRule="exact"/>
        <w:rPr>
          <w:sz w:val="20"/>
          <w:szCs w:val="20"/>
          <w:color w:val="auto"/>
        </w:rPr>
      </w:pPr>
    </w:p>
    <w:p>
      <w:pPr>
        <w:spacing w:after="0" w:line="2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5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 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 Bruce O’Connor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2"/>
    </w:lvl>
  </w:abstractNum>
  <w:abstractNum w:abstractNumId="24">
    <w:nsid w:val="3804823E"/>
    <w:multiLevelType w:val="hybridMultilevel"/>
    <w:lvl w:ilvl="0">
      <w:lvlJc w:val="left"/>
      <w:lvlText w:val="(%1)"/>
      <w:numFmt w:val="lowerLetter"/>
      <w:start w:val="5"/>
    </w:lvl>
  </w:abstractNum>
  <w:abstractNum w:abstractNumId="25">
    <w:nsid w:val="77465F01"/>
    <w:multiLevelType w:val="hybridMultilevel"/>
    <w:lvl w:ilvl="0">
      <w:lvlJc w:val="left"/>
      <w:lvlText w:val="(%1)"/>
      <w:numFmt w:val="lowerLetter"/>
      <w:start w:val="6"/>
    </w:lvl>
  </w:abstractNum>
  <w:abstractNum w:abstractNumId="26">
    <w:nsid w:val="7724C67E"/>
    <w:multiLevelType w:val="hybridMultilevel"/>
    <w:lvl w:ilvl="0">
      <w:lvlJc w:val="left"/>
      <w:lvlText w:val="(%1)"/>
      <w:numFmt w:val="lowerLetter"/>
      <w:start w:val="8"/>
    </w:lvl>
  </w:abstractNum>
  <w:abstractNum w:abstractNumId="27">
    <w:nsid w:val="5C482A97"/>
    <w:multiLevelType w:val="hybridMultilevel"/>
    <w:lvl w:ilvl="0">
      <w:lvlJc w:val="left"/>
      <w:lvlText w:val="(%1)"/>
      <w:numFmt w:val="lowerLetter"/>
      <w:start w:val="10"/>
    </w:lvl>
  </w:abstractNum>
  <w:abstractNum w:abstractNumId="28">
    <w:nsid w:val="2463B9EA"/>
    <w:multiLevelType w:val="hybridMultilevel"/>
    <w:lvl w:ilvl="0">
      <w:lvlJc w:val="left"/>
      <w:lvlText w:val="(%1)"/>
      <w:numFmt w:val="lowerLetter"/>
      <w:start w:val="11"/>
    </w:lvl>
  </w:abstractNum>
  <w:abstractNum w:abstractNumId="29">
    <w:nsid w:val="5E884ADC"/>
    <w:multiLevelType w:val="hybridMultilevel"/>
    <w:lvl w:ilvl="0">
      <w:lvlJc w:val="left"/>
      <w:lvlText w:val="(%1)"/>
      <w:numFmt w:val="lowerLetter"/>
      <w:start w:val="13"/>
    </w:lvl>
  </w:abstractNum>
  <w:abstractNum w:abstractNumId="30">
    <w:nsid w:val="51EAD36B"/>
    <w:multiLevelType w:val="hybridMultilevel"/>
    <w:lvl w:ilvl="0">
      <w:lvlJc w:val="left"/>
      <w:lvlText w:val="(%1)"/>
      <w:numFmt w:val="lowerLetter"/>
      <w:start w:val="20"/>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lowerLetter"/>
      <w:start w:val="2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2"/>
    </w:lvl>
  </w:abstractNum>
  <w:abstractNum w:abstractNumId="43">
    <w:nsid w:val="4B588F54"/>
    <w:multiLevelType w:val="hybridMultilevel"/>
    <w:lvl w:ilvl="0">
      <w:lvlJc w:val="left"/>
      <w:lvlText w:val="%1"/>
      <w:numFmt w:val="upperLetter"/>
      <w:start w:val="1"/>
    </w:lvl>
    <w:lvl w:ilvl="1">
      <w:lvlJc w:val="left"/>
      <w:lvlText w:val="%2."/>
      <w:numFmt w:val="decimal"/>
      <w:start w:val="4"/>
    </w:lvl>
  </w:abstractNum>
  <w:abstractNum w:abstractNumId="44">
    <w:nsid w:val="542289EC"/>
    <w:multiLevelType w:val="hybridMultilevel"/>
    <w:lvl w:ilvl="0">
      <w:lvlJc w:val="left"/>
      <w:lvlText w:val="(%1)"/>
      <w:numFmt w:val="upperLetter"/>
      <w:start w:val="2"/>
    </w:lvl>
    <w:lvl w:ilvl="1">
      <w:lvlJc w:val="left"/>
      <w:lvlText w:val="%2"/>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6" Type="http://schemas.openxmlformats.org/officeDocument/2006/relationships/image" Target="media/image71.png"/><Relationship Id="rId106" Type="http://schemas.openxmlformats.org/officeDocument/2006/relationships/image" Target="media/image72.png"/><Relationship Id="rId115"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33" Type="http://schemas.openxmlformats.org/officeDocument/2006/relationships/image" Target="media/image76.png"/><Relationship Id="rId134" Type="http://schemas.openxmlformats.org/officeDocument/2006/relationships/image" Target="media/image77.png"/><Relationship Id="rId145" Type="http://schemas.openxmlformats.org/officeDocument/2006/relationships/image" Target="media/image78.png"/><Relationship Id="rId151" Type="http://schemas.openxmlformats.org/officeDocument/2006/relationships/image" Target="media/image79.jpeg"/><Relationship Id="rId152" Type="http://schemas.openxmlformats.org/officeDocument/2006/relationships/image" Target="media/image80.png"/><Relationship Id="rId153" Type="http://schemas.openxmlformats.org/officeDocument/2006/relationships/image" Target="media/image81.png"/><Relationship Id="rId154" Type="http://schemas.openxmlformats.org/officeDocument/2006/relationships/image" Target="media/image82.png"/><Relationship Id="rId155" Type="http://schemas.openxmlformats.org/officeDocument/2006/relationships/image" Target="media/image83.png"/><Relationship Id="rId156" Type="http://schemas.openxmlformats.org/officeDocument/2006/relationships/image" Target="media/image84.png"/><Relationship Id="rId157" Type="http://schemas.openxmlformats.org/officeDocument/2006/relationships/image" Target="media/image85.png"/><Relationship Id="rId158" Type="http://schemas.openxmlformats.org/officeDocument/2006/relationships/image" Target="media/image86.png"/><Relationship Id="rId159" Type="http://schemas.openxmlformats.org/officeDocument/2006/relationships/image" Target="media/image87.png"/><Relationship Id="rId160" Type="http://schemas.openxmlformats.org/officeDocument/2006/relationships/image" Target="media/image88.png"/><Relationship Id="rId161" Type="http://schemas.openxmlformats.org/officeDocument/2006/relationships/image" Target="media/image89.png"/><Relationship Id="rId162" Type="http://schemas.openxmlformats.org/officeDocument/2006/relationships/image" Target="media/image90.png"/><Relationship Id="rId163" Type="http://schemas.openxmlformats.org/officeDocument/2006/relationships/image" Target="media/image91.png"/><Relationship Id="rId164" Type="http://schemas.openxmlformats.org/officeDocument/2006/relationships/image" Target="media/image92.png"/><Relationship Id="rId165" Type="http://schemas.openxmlformats.org/officeDocument/2006/relationships/image" Target="media/image93.png"/><Relationship Id="rId166" Type="http://schemas.openxmlformats.org/officeDocument/2006/relationships/image" Target="media/image94.png"/><Relationship Id="rId78" Type="http://schemas.openxmlformats.org/officeDocument/2006/relationships/hyperlink" Target="http://www.sec.gov/Archives/edgar/data/66004/000091431799000176/0000914317-99-000176.txt" TargetMode="External"/><Relationship Id="rId79" Type="http://schemas.openxmlformats.org/officeDocument/2006/relationships/hyperlink" Target="http://www.sec.gov/Archives/edgar/data/66004/000093041398000415/0000930413-98-000415.txt" TargetMode="External"/><Relationship Id="rId80" Type="http://schemas.openxmlformats.org/officeDocument/2006/relationships/hyperlink" Target="http://www.sec.gov/Archives/edgar/data/66004/000091431704001833/ex3-3.txt" TargetMode="External"/><Relationship Id="rId81" Type="http://schemas.openxmlformats.org/officeDocument/2006/relationships/hyperlink" Target="http://www.sec.gov/Archives/edgar/data/66004/000091431704001833/ex3-4.txt" TargetMode="External"/><Relationship Id="rId82" Type="http://schemas.openxmlformats.org/officeDocument/2006/relationships/hyperlink" Target="http://www.sec.gov/Archives/edgar/data/66004/000091431704001833/ex3-5.txt" TargetMode="External"/><Relationship Id="rId83" Type="http://schemas.openxmlformats.org/officeDocument/2006/relationships/hyperlink" Target="http://www.sec.gov/Archives/edgar/data/66004/000091431710000726/ex3-1.htm" TargetMode="External"/><Relationship Id="rId84" Type="http://schemas.openxmlformats.org/officeDocument/2006/relationships/hyperlink" Target="http://www.sec.gov/Archives/edgar/data/66004/000117494719001035/ex3-1.htm" TargetMode="External"/><Relationship Id="rId85" Type="http://schemas.openxmlformats.org/officeDocument/2006/relationships/hyperlink" Target="http://www.sec.gov/Archives/edgar/data/66004/000117494719001073/ex3-1.htm" TargetMode="External"/><Relationship Id="rId87" Type="http://schemas.openxmlformats.org/officeDocument/2006/relationships/hyperlink" Target="http://www.sec.gov/Archives/edgar/data/66004/000091431710001211/ex4-10.htm" TargetMode="External"/><Relationship Id="rId88" Type="http://schemas.openxmlformats.org/officeDocument/2006/relationships/hyperlink" Target="http://www.sec.gov/Archives/edgar/data/66004/000117494717001686/ex3ii.htm" TargetMode="External"/><Relationship Id="rId89" Type="http://schemas.openxmlformats.org/officeDocument/2006/relationships/hyperlink" Target="http://www.sec.gov/Archives/edgar/data/66004/000091431706001322/ex10.txt" TargetMode="External"/><Relationship Id="rId90" Type="http://schemas.openxmlformats.org/officeDocument/2006/relationships/hyperlink" Target="http://www.sec.gov/Archives/edgar/data/66004/000091431711001422/ex10-4.htm" TargetMode="External"/><Relationship Id="rId91" Type="http://schemas.openxmlformats.org/officeDocument/2006/relationships/hyperlink" Target="http://www.sec.gov/Archives/edgar/data/66004/000091431704001197/ex10-7.txt" TargetMode="External"/><Relationship Id="rId92" Type="http://schemas.openxmlformats.org/officeDocument/2006/relationships/hyperlink" Target="http://www.sec.gov/Archives/edgar/data/66004/000117494717000294/ex10-7.htm" TargetMode="External"/><Relationship Id="rId93" Type="http://schemas.openxmlformats.org/officeDocument/2006/relationships/hyperlink" Target="http://www.sec.gov/Archives/edgar/data/66004/000091431706001322/ex10-1.txt" TargetMode="External"/><Relationship Id="rId94" Type="http://schemas.openxmlformats.org/officeDocument/2006/relationships/hyperlink" Target="http://www.sec.gov/Archives/edgar/data/66004/000117494716002165/ex10-9a.htm" TargetMode="External"/><Relationship Id="rId95" Type="http://schemas.openxmlformats.org/officeDocument/2006/relationships/hyperlink" Target="http://www.sec.gov/Archives/edgar/data/66004/000091431799000652/0000914317-99-000652.txt" TargetMode="External"/><Relationship Id="rId96" Type="http://schemas.openxmlformats.org/officeDocument/2006/relationships/hyperlink" Target="http://www.sec.gov/Archives/edgar/data/66004/000117494718000595/def14a-19332_msx.htm" TargetMode="External"/><Relationship Id="rId97" Type="http://schemas.openxmlformats.org/officeDocument/2006/relationships/hyperlink" Target="http://www.sec.gov/Archives/edgar/data/66004/000091431708003008/s8-96451_msex.htm" TargetMode="External"/><Relationship Id="rId98" Type="http://schemas.openxmlformats.org/officeDocument/2006/relationships/hyperlink" Target="http://www.sec.gov/Archives/edgar/data/66004/000091431709000646/ex10-13a.htm" TargetMode="External"/><Relationship Id="rId99" Type="http://schemas.openxmlformats.org/officeDocument/2006/relationships/hyperlink" Target="http://www.sec.gov/Archives/edgar/data/66004/000091431709000646/ex10-13b.htm" TargetMode="External"/><Relationship Id="rId100" Type="http://schemas.openxmlformats.org/officeDocument/2006/relationships/hyperlink" Target="http://www.sec.gov/Archives/edgar/data/66004/000091431712000299/ex10-13e.htm" TargetMode="External"/><Relationship Id="rId101" Type="http://schemas.openxmlformats.org/officeDocument/2006/relationships/hyperlink" Target="http://www.sec.gov/Archives/edgar/data/66004/000091431709000646/ex10-13h.htm" TargetMode="External"/><Relationship Id="rId102" Type="http://schemas.openxmlformats.org/officeDocument/2006/relationships/hyperlink" Target="http://www.sec.gov/Archives/edgar/data/66004/000091431714001038/ex10-12g.htm" TargetMode="External"/><Relationship Id="rId103" Type="http://schemas.openxmlformats.org/officeDocument/2006/relationships/hyperlink" Target="http://www.sec.gov/Archives/edgar/data/66004/000117494720000248/msex10kex10-12f.htm" TargetMode="External"/><Relationship Id="rId104" Type="http://schemas.openxmlformats.org/officeDocument/2006/relationships/hyperlink" Target="http://www.sec.gov/Archives/edgar/data/66004/000117494720000248/msex10kex10-12g.htm" TargetMode="External"/><Relationship Id="rId105" Type="http://schemas.openxmlformats.org/officeDocument/2006/relationships/hyperlink" Target="http://www.sec.gov/Archives/edgar/data/66004/000117494720000248/msex10kex10-12h.htm" TargetMode="External"/><Relationship Id="rId107" Type="http://schemas.openxmlformats.org/officeDocument/2006/relationships/hyperlink" Target="http://www.sec.gov/Archives/edgar/data/66004/000117494717000294/ex10-13a.htm" TargetMode="External"/><Relationship Id="rId108" Type="http://schemas.openxmlformats.org/officeDocument/2006/relationships/hyperlink" Target="http://www.sec.gov/Archives/edgar/data/66004/000117494718001309/ex10-16.htm" TargetMode="External"/><Relationship Id="rId109" Type="http://schemas.openxmlformats.org/officeDocument/2006/relationships/hyperlink" Target="http://www.sec.gov/Archives/edgar/data/66004/000091431705000934/ex10-26.txt" TargetMode="External"/><Relationship Id="rId110" Type="http://schemas.openxmlformats.org/officeDocument/2006/relationships/hyperlink" Target="http://www.sec.gov/Archives/edgar/data/66004/000091431705000934/ex10-27.txt" TargetMode="External"/><Relationship Id="rId111" Type="http://schemas.openxmlformats.org/officeDocument/2006/relationships/hyperlink" Target="http://www.sec.gov/Archives/edgar/data/66004/000117494715000337/ex10-23.htm" TargetMode="External"/><Relationship Id="rId112" Type="http://schemas.openxmlformats.org/officeDocument/2006/relationships/hyperlink" Target="http://www.sec.gov/Archives/edgar/data/66004/000117494721000499/msex10qex10-19b.htm" TargetMode="External"/><Relationship Id="rId113" Type="http://schemas.openxmlformats.org/officeDocument/2006/relationships/hyperlink" Target="http://www.sec.gov/Archives/edgar/data/66004/000091431706001322/ex10-2.txt" TargetMode="External"/><Relationship Id="rId114" Type="http://schemas.openxmlformats.org/officeDocument/2006/relationships/hyperlink" Target="http://www.sec.gov/Archives/edgar/data/66004/000091431707000647/ex10-30.htm" TargetMode="External"/><Relationship Id="rId116" Type="http://schemas.openxmlformats.org/officeDocument/2006/relationships/hyperlink" Target="http://www.sec.gov/Archives/edgar/data/66004/000091431707000647/ex10-31.htm" TargetMode="External"/><Relationship Id="rId117" Type="http://schemas.openxmlformats.org/officeDocument/2006/relationships/hyperlink" Target="http://www.sec.gov/Archives/edgar/data/66004/000091431708000733/ex10_32.htm" TargetMode="External"/><Relationship Id="rId118" Type="http://schemas.openxmlformats.org/officeDocument/2006/relationships/hyperlink" Target="http://www.sec.gov/Archives/edgar/data/66004/000091431708000733/ex10_33.htm" TargetMode="External"/><Relationship Id="rId119" Type="http://schemas.openxmlformats.org/officeDocument/2006/relationships/hyperlink" Target="http://www.sec.gov/Archives/edgar/data/66004/000091431709000646/ex10-34.htm" TargetMode="External"/><Relationship Id="rId120" Type="http://schemas.openxmlformats.org/officeDocument/2006/relationships/hyperlink" Target="http://www.sec.gov/Archives/edgar/data/66004/000091431709000646/ex10-35.htm" TargetMode="External"/><Relationship Id="rId121" Type="http://schemas.openxmlformats.org/officeDocument/2006/relationships/hyperlink" Target="http://www.sec.gov/Archives/edgar/data/66004/000110465922085546/tm2222254d2_424b5.htm" TargetMode="External"/><Relationship Id="rId122" Type="http://schemas.openxmlformats.org/officeDocument/2006/relationships/hyperlink" Target="http://www.sec.gov/Archives/edgar/data/66004/000117494722000283/msex10kex10-26a.htm" TargetMode="External"/><Relationship Id="rId123" Type="http://schemas.openxmlformats.org/officeDocument/2006/relationships/hyperlink" Target="http://www.sec.gov/Archives/edgar/data/66004/000117494722000283/msex10kex10-26b.htm" TargetMode="External"/><Relationship Id="rId126" Type="http://schemas.openxmlformats.org/officeDocument/2006/relationships/hyperlink" Target="http://www.sec.gov/Archives/edgar/data/66004/000117494721000198/msex10kex10-30.htm" TargetMode="External"/><Relationship Id="rId127" Type="http://schemas.openxmlformats.org/officeDocument/2006/relationships/hyperlink" Target="http://www.sec.gov/Archives/edgar/data/66004/000117494722000283/msex10kex10-27b.htm" TargetMode="External"/><Relationship Id="rId128" Type="http://schemas.openxmlformats.org/officeDocument/2006/relationships/hyperlink" Target="http://www.sec.gov/Archives/edgar/data/66004/000117494720001063/msex10qex10-34.htm" TargetMode="External"/><Relationship Id="rId129" Type="http://schemas.openxmlformats.org/officeDocument/2006/relationships/hyperlink" Target="http://www.sec.gov/Archives/edgar/data/66004/000091431711000359/ex10_41.htm" TargetMode="External"/><Relationship Id="rId130" Type="http://schemas.openxmlformats.org/officeDocument/2006/relationships/hyperlink" Target="http://www.sec.gov/Archives/edgar/data/66004/000091431711000359/ex10_42.htm" TargetMode="External"/><Relationship Id="rId131" Type="http://schemas.openxmlformats.org/officeDocument/2006/relationships/hyperlink" Target="http://www.sec.gov/Archives/edgar/data/66004/000091431712001169/ex10-43.htm" TargetMode="External"/><Relationship Id="rId132" Type="http://schemas.openxmlformats.org/officeDocument/2006/relationships/hyperlink" Target="http://www.sec.gov/Archives/edgar/data/66004/000091431712001169/ex10-44.htm" TargetMode="External"/><Relationship Id="rId135" Type="http://schemas.openxmlformats.org/officeDocument/2006/relationships/hyperlink" Target="http://www.sec.gov/Archives/edgar/data/66004/000091431713000279/ex10-41.htm" TargetMode="External"/><Relationship Id="rId136" Type="http://schemas.openxmlformats.org/officeDocument/2006/relationships/hyperlink" Target="http://www.sec.gov/Archives/edgar/data/66004/000091431713001000/ex10-42.htm" TargetMode="External"/><Relationship Id="rId137" Type="http://schemas.openxmlformats.org/officeDocument/2006/relationships/hyperlink" Target="http://www.sec.gov/Archives/edgar/data/66004/000091431713001000/ex10-43.htm" TargetMode="External"/><Relationship Id="rId138" Type="http://schemas.openxmlformats.org/officeDocument/2006/relationships/hyperlink" Target="http://www.sec.gov/Archives/edgar/data/66004/000091431714001038/ex10-43.htm" TargetMode="External"/><Relationship Id="rId139" Type="http://schemas.openxmlformats.org/officeDocument/2006/relationships/hyperlink" Target="http://www.sec.gov/Archives/edgar/data/66004/000091431714001038/ex10-44.htm" TargetMode="External"/><Relationship Id="rId140" Type="http://schemas.openxmlformats.org/officeDocument/2006/relationships/hyperlink" Target="http://www.sec.gov/Archives/edgar/data/66004/000117494718000337/ex10-44.htm" TargetMode="External"/><Relationship Id="rId141" Type="http://schemas.openxmlformats.org/officeDocument/2006/relationships/hyperlink" Target="http://www.sec.gov/Archives/edgar/data/66004/000117494718000337/ex10-45.htm" TargetMode="External"/><Relationship Id="rId142" Type="http://schemas.openxmlformats.org/officeDocument/2006/relationships/hyperlink" Target="http://www.sec.gov/Archives/edgar/data/66004/000117494718001063/ex10-46.htm" TargetMode="External"/><Relationship Id="rId143" Type="http://schemas.openxmlformats.org/officeDocument/2006/relationships/hyperlink" Target="http://www.sec.gov/Archives/edgar/data/66004/000117494718001063/ex10-47.htm" TargetMode="External"/><Relationship Id="rId144" Type="http://schemas.openxmlformats.org/officeDocument/2006/relationships/hyperlink" Target="http://www.sec.gov/Archives/edgar/data/66004/000117494719001035/ex10-50.htm" TargetMode="External"/><Relationship Id="rId146" Type="http://schemas.openxmlformats.org/officeDocument/2006/relationships/hyperlink" Target="http://www.sec.gov/Archives/edgar/data/66004/000117494721000198/msex10kex10-48.htm" TargetMode="External"/><Relationship Id="rId147" Type="http://schemas.openxmlformats.org/officeDocument/2006/relationships/hyperlink" Target="http://www.sec.gov/Archives/edgar/data/66004/000117494722000283/msex10kex10-46.htm" TargetMode="External"/><Relationship Id="rId148" Type="http://schemas.openxmlformats.org/officeDocument/2006/relationships/hyperlink" Target="http://www.sec.gov/Archives/edgar/data/66004/000117494722000283/msex10kex10-47.htm" TargetMode="External"/><Relationship Id="rId149" Type="http://schemas.openxmlformats.org/officeDocument/2006/relationships/hyperlink" Target="http://www.sec.gov/Archives/edgar/data/66004/000117494722000866/ex10-40.htm" TargetMode="External"/><Relationship Id="rId150" Type="http://schemas.openxmlformats.org/officeDocument/2006/relationships/hyperlink" Target="http://www.sec.gov/Archives/edgar/data/66004/000117494722000866/ex10-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2023-02-24T15:55:08Z</dcterms:created>
  <dcterms:modified xsi:type="dcterms:W3CDTF">2023-02-24T15:55:08Z</dcterms:modified>
</cp:coreProperties>
</file>