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486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6858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255905</wp:posOffset>
            </wp:positionV>
            <wp:extent cx="71748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25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366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quarterly period ended September 30, 2021</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7"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For the transition period from ___________to 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0-422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MIDDLESEX WATER COMPANY</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61" w:right="339" w:bottom="1440" w:gutter="0" w:footer="0" w:header="0"/>
        </w:sectPr>
      </w:pPr>
    </w:p>
    <w:p>
      <w:pPr>
        <w:spacing w:after="0" w:line="9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661" w:right="339" w:bottom="1440" w:gutter="0" w:footer="0" w:header="0"/>
          <w:type w:val="continuous"/>
        </w:sectPr>
      </w:pP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485C Route One South, Iselin, New Jersey 08830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(732) 634-1500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54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56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70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54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7"/>
              </w:rPr>
              <w:t>MSEX</w:t>
            </w:r>
          </w:p>
        </w:tc>
        <w:tc>
          <w:tcPr>
            <w:tcW w:w="56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7"/>
              </w:rPr>
              <w:t>NASDAQ</w:t>
            </w:r>
          </w:p>
        </w:tc>
      </w:tr>
    </w:tbl>
    <w:p>
      <w:pPr>
        <w:spacing w:after="0" w:line="32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jc w:val="center"/>
        <w:spacing w:after="0" w:line="207" w:lineRule="exact"/>
        <w:tabs>
          <w:tab w:leader="none" w:pos="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43" w:lineRule="exact"/>
        <w:rPr>
          <w:sz w:val="24"/>
          <w:szCs w:val="24"/>
          <w:color w:val="auto"/>
        </w:rPr>
      </w:pPr>
    </w:p>
    <w:p>
      <w:pPr>
        <w:jc w:val="center"/>
        <w:spacing w:after="0" w:line="207" w:lineRule="exact"/>
        <w:tabs>
          <w:tab w:leader="none" w:pos="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661" w:right="339" w:bottom="1440" w:gutter="0" w:footer="0" w:header="0"/>
          <w:type w:val="continuous"/>
        </w:sectPr>
      </w:pPr>
    </w:p>
    <w:p>
      <w:pPr>
        <w:spacing w:after="0" w:line="151" w:lineRule="exact"/>
        <w:rPr>
          <w:sz w:val="24"/>
          <w:szCs w:val="24"/>
          <w:color w:val="auto"/>
        </w:rPr>
      </w:pPr>
    </w:p>
    <w:p>
      <w:pPr>
        <w:ind w:left="1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3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6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3">
            <w:col w:w="4200" w:space="720"/>
            <w:col w:w="2080" w:space="720"/>
            <w:col w:w="3520"/>
          </w:cols>
          <w:pgMar w:left="320" w:top="661"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5100"/>
        <w:spacing w:after="0" w:line="207" w:lineRule="exact"/>
        <w:tabs>
          <w:tab w:leader="none" w:pos="57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outstanding of each of the registrant's classes of common stock, as of October 29, 2021: Common Stock, No Par Value: 17,497,015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20" w:type="dxa"/>
            <w:vAlign w:val="bottom"/>
            <w:gridSpan w:val="6"/>
          </w:tcPr>
          <w:p>
            <w:pPr>
              <w:ind w:left="120"/>
              <w:spacing w:after="0"/>
              <w:rPr>
                <w:sz w:val="20"/>
                <w:szCs w:val="20"/>
                <w:color w:val="auto"/>
              </w:rPr>
            </w:pPr>
            <w:r>
              <w:rPr>
                <w:rFonts w:ascii="Arial" w:cs="Arial" w:eastAsia="Arial" w:hAnsi="Arial"/>
                <w:sz w:val="18"/>
                <w:szCs w:val="18"/>
                <w:color w:val="auto"/>
              </w:rPr>
              <w:t>INDEX</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51"/>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680" w:type="dxa"/>
            <w:vAlign w:val="bottom"/>
            <w:gridSpan w:val="11"/>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24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600" w:type="dxa"/>
            <w:vAlign w:val="bottom"/>
            <w:gridSpan w:val="10"/>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4640" w:type="dxa"/>
            <w:vAlign w:val="bottom"/>
            <w:gridSpan w:val="8"/>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Capital Stock and Long-Term Debt</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top w:val="single" w:sz="8" w:color="0000EE"/>
            </w:tcBorders>
            <w:gridSpan w:val="19"/>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Condensed Consolidated Statements of Common Stockholders’ Equity</w:t>
              </w:r>
            </w:hyperlink>
          </w:p>
        </w:tc>
        <w:tc>
          <w:tcPr>
            <w:tcW w:w="2640" w:type="dxa"/>
            <w:vAlign w:val="bottom"/>
            <w:gridSpan w:val="2"/>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Borders>
              <w:top w:val="single" w:sz="8" w:color="0000EE"/>
            </w:tcBorders>
            <w:gridSpan w:val="18"/>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Notes to Unaudited Condensed Consolidated Financial Statements</w:t>
              </w:r>
            </w:hyperlink>
          </w:p>
        </w:tc>
        <w:tc>
          <w:tcPr>
            <w:tcW w:w="2940" w:type="dxa"/>
            <w:vAlign w:val="bottom"/>
            <w:gridSpan w:val="3"/>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6420" w:type="dxa"/>
            <w:vAlign w:val="bottom"/>
            <w:tcBorders>
              <w:top w:val="single" w:sz="8" w:color="0000EE"/>
            </w:tcBorders>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of Market Risk</w:t>
              </w:r>
            </w:hyperlink>
          </w:p>
        </w:tc>
        <w:tc>
          <w:tcPr>
            <w:tcW w:w="16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2260" w:type="dxa"/>
            <w:vAlign w:val="bottom"/>
            <w:tcBorders>
              <w:top w:val="single" w:sz="8" w:color="0000EE"/>
            </w:tcBorders>
            <w:gridSpan w:val="8"/>
          </w:tcPr>
          <w:p>
            <w:pPr>
              <w:spacing w:after="0"/>
              <w:rPr>
                <w:sz w:val="24"/>
                <w:szCs w:val="24"/>
                <w:color w:val="auto"/>
              </w:rPr>
            </w:pPr>
          </w:p>
        </w:tc>
        <w:tc>
          <w:tcPr>
            <w:tcW w:w="4020" w:type="dxa"/>
            <w:vAlign w:val="bottom"/>
            <w:gridSpan w:val="6"/>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tcPr>
          <w:p>
            <w:pPr>
              <w:spacing w:after="0"/>
              <w:rPr>
                <w:sz w:val="24"/>
                <w:szCs w:val="24"/>
                <w:color w:val="auto"/>
              </w:rPr>
            </w:pPr>
          </w:p>
        </w:tc>
        <w:tc>
          <w:tcPr>
            <w:tcW w:w="202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6040" w:type="dxa"/>
            <w:vAlign w:val="bottom"/>
            <w:gridSpan w:val="13"/>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1320" w:type="dxa"/>
            <w:vAlign w:val="bottom"/>
            <w:tcBorders>
              <w:top w:val="single" w:sz="8" w:color="0000EE"/>
            </w:tcBorders>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6740" w:type="dxa"/>
            <w:vAlign w:val="bottom"/>
            <w:gridSpan w:val="16"/>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43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3720" w:type="dxa"/>
            <w:vAlign w:val="bottom"/>
            <w:gridSpan w:val="5"/>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22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Defaults upon Senior Securities</w:t>
              </w:r>
            </w:hyperlink>
          </w:p>
        </w:tc>
        <w:tc>
          <w:tcPr>
            <w:tcW w:w="5780" w:type="dxa"/>
            <w:vAlign w:val="bottom"/>
            <w:gridSpan w:val="12"/>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17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Mine Safety Disclosures</w:t>
              </w:r>
            </w:hyperlink>
          </w:p>
        </w:tc>
        <w:tc>
          <w:tcPr>
            <w:tcW w:w="6300" w:type="dxa"/>
            <w:vAlign w:val="bottom"/>
            <w:gridSpan w:val="15"/>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8060" w:type="dxa"/>
            <w:vAlign w:val="bottom"/>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6760" w:type="dxa"/>
            <w:vAlign w:val="bottom"/>
            <w:gridSpan w:val="17"/>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80" w:type="dxa"/>
            <w:vAlign w:val="bottom"/>
            <w:gridSpan w:val="19"/>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9060" w:type="dxa"/>
            <w:vAlign w:val="bottom"/>
            <w:gridSpan w:val="24"/>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180" w:type="dxa"/>
            <w:vAlign w:val="bottom"/>
            <w:tcBorders>
              <w:bottom w:val="single" w:sz="8" w:color="EEEEEE"/>
            </w:tcBorders>
          </w:tcPr>
          <w:p>
            <w:pPr>
              <w:spacing w:after="0"/>
              <w:rPr>
                <w:sz w:val="22"/>
                <w:szCs w:val="22"/>
                <w:color w:val="auto"/>
              </w:rPr>
            </w:pPr>
          </w:p>
        </w:tc>
        <w:tc>
          <w:tcPr>
            <w:tcW w:w="980" w:type="dxa"/>
            <w:vAlign w:val="bottom"/>
            <w:tcBorders>
              <w:top w:val="single" w:sz="8" w:color="0000EE"/>
              <w:bottom w:val="single" w:sz="8" w:color="EEEEEE"/>
            </w:tcBorders>
          </w:tcPr>
          <w:p>
            <w:pPr>
              <w:spacing w:after="0"/>
              <w:rPr>
                <w:sz w:val="22"/>
                <w:szCs w:val="22"/>
                <w:color w:val="auto"/>
              </w:rPr>
            </w:pPr>
          </w:p>
        </w:tc>
        <w:tc>
          <w:tcPr>
            <w:tcW w:w="20" w:type="dxa"/>
            <w:vAlign w:val="bottom"/>
            <w:tcBorders>
              <w:top w:val="single" w:sz="8" w:color="0000EE"/>
              <w:bottom w:val="single" w:sz="8" w:color="EEEEEE"/>
            </w:tcBorders>
          </w:tcPr>
          <w:p>
            <w:pPr>
              <w:spacing w:after="0"/>
              <w:rPr>
                <w:sz w:val="22"/>
                <w:szCs w:val="22"/>
                <w:color w:val="auto"/>
              </w:rPr>
            </w:pPr>
          </w:p>
        </w:tc>
        <w:tc>
          <w:tcPr>
            <w:tcW w:w="20" w:type="dxa"/>
            <w:vAlign w:val="bottom"/>
            <w:tcBorders>
              <w:top w:val="single" w:sz="8" w:color="0000EE"/>
              <w:bottom w:val="single" w:sz="8" w:color="EEEEEE"/>
            </w:tcBorders>
          </w:tcPr>
          <w:p>
            <w:pPr>
              <w:spacing w:after="0"/>
              <w:rPr>
                <w:sz w:val="22"/>
                <w:szCs w:val="22"/>
                <w:color w:val="auto"/>
              </w:rPr>
            </w:pPr>
          </w:p>
        </w:tc>
        <w:tc>
          <w:tcPr>
            <w:tcW w:w="140" w:type="dxa"/>
            <w:vAlign w:val="bottom"/>
            <w:tcBorders>
              <w:top w:val="single" w:sz="8" w:color="0000EE"/>
              <w:bottom w:val="single" w:sz="8" w:color="EEEEEE"/>
            </w:tcBorders>
          </w:tcPr>
          <w:p>
            <w:pPr>
              <w:spacing w:after="0"/>
              <w:rPr>
                <w:sz w:val="22"/>
                <w:szCs w:val="22"/>
                <w:color w:val="auto"/>
              </w:rPr>
            </w:pPr>
          </w:p>
        </w:tc>
        <w:tc>
          <w:tcPr>
            <w:tcW w:w="42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40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44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24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480" w:type="dxa"/>
            <w:vAlign w:val="bottom"/>
            <w:tcBorders>
              <w:bottom w:val="single" w:sz="8" w:color="EEEEEE"/>
            </w:tcBorders>
          </w:tcPr>
          <w:p>
            <w:pPr>
              <w:spacing w:after="0"/>
              <w:rPr>
                <w:sz w:val="22"/>
                <w:szCs w:val="22"/>
                <w:color w:val="auto"/>
              </w:rPr>
            </w:pPr>
          </w:p>
        </w:tc>
        <w:tc>
          <w:tcPr>
            <w:tcW w:w="480" w:type="dxa"/>
            <w:vAlign w:val="bottom"/>
            <w:tcBorders>
              <w:bottom w:val="single" w:sz="8" w:color="EEEEEE"/>
            </w:tcBorders>
          </w:tcPr>
          <w:p>
            <w:pPr>
              <w:spacing w:after="0"/>
              <w:rPr>
                <w:sz w:val="22"/>
                <w:szCs w:val="22"/>
                <w:color w:val="auto"/>
              </w:rPr>
            </w:pPr>
          </w:p>
        </w:tc>
        <w:tc>
          <w:tcPr>
            <w:tcW w:w="30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300" w:type="dxa"/>
            <w:vAlign w:val="bottom"/>
            <w:tcBorders>
              <w:bottom w:val="single" w:sz="8" w:color="EEEEEE"/>
            </w:tcBorders>
          </w:tcPr>
          <w:p>
            <w:pPr>
              <w:spacing w:after="0"/>
              <w:rPr>
                <w:sz w:val="22"/>
                <w:szCs w:val="22"/>
                <w:color w:val="auto"/>
              </w:rPr>
            </w:pPr>
          </w:p>
        </w:tc>
        <w:tc>
          <w:tcPr>
            <w:tcW w:w="46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30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1640" w:type="dxa"/>
            <w:vAlign w:val="bottom"/>
            <w:tcBorders>
              <w:bottom w:val="single" w:sz="8" w:color="EEEEEE"/>
            </w:tcBorders>
          </w:tcPr>
          <w:p>
            <w:pPr>
              <w:spacing w:after="0"/>
              <w:rPr>
                <w:sz w:val="22"/>
                <w:szCs w:val="22"/>
                <w:color w:val="auto"/>
              </w:rPr>
            </w:pPr>
          </w:p>
        </w:tc>
        <w:tc>
          <w:tcPr>
            <w:tcW w:w="1620" w:type="dxa"/>
            <w:vAlign w:val="bottom"/>
            <w:tcBorders>
              <w:bottom w:val="single" w:sz="8" w:color="EEEEEE"/>
            </w:tcBorders>
          </w:tcPr>
          <w:p>
            <w:pPr>
              <w:spacing w:after="0"/>
              <w:rPr>
                <w:sz w:val="22"/>
                <w:szCs w:val="22"/>
                <w:color w:val="auto"/>
              </w:rPr>
            </w:pPr>
          </w:p>
        </w:tc>
        <w:tc>
          <w:tcPr>
            <w:tcW w:w="380" w:type="dxa"/>
            <w:vAlign w:val="bottom"/>
            <w:tcBorders>
              <w:bottom w:val="single" w:sz="8" w:color="EEEEEE"/>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45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502"/>
        </w:trPr>
        <w:tc>
          <w:tcPr>
            <w:tcW w:w="320" w:type="dxa"/>
            <w:vAlign w:val="bottom"/>
            <w:tcBorders>
              <w:top w:val="single" w:sz="8" w:color="0000EE"/>
            </w:tcBorders>
          </w:tcPr>
          <w:p>
            <w:pPr>
              <w:spacing w:after="0"/>
              <w:rPr>
                <w:sz w:val="24"/>
                <w:szCs w:val="24"/>
                <w:color w:val="auto"/>
              </w:rPr>
            </w:pPr>
          </w:p>
        </w:tc>
        <w:tc>
          <w:tcPr>
            <w:tcW w:w="7620" w:type="dxa"/>
            <w:vAlign w:val="bottom"/>
            <w:gridSpan w:val="5"/>
          </w:tcPr>
          <w:p>
            <w:pPr>
              <w:jc w:val="center"/>
              <w:ind w:left="2890"/>
              <w:spacing w:after="0"/>
              <w:rPr>
                <w:sz w:val="20"/>
                <w:szCs w:val="20"/>
                <w:color w:val="auto"/>
              </w:rPr>
            </w:pPr>
            <w:r>
              <w:rPr>
                <w:rFonts w:ascii="Arial" w:cs="Arial" w:eastAsia="Arial" w:hAnsi="Arial"/>
                <w:sz w:val="18"/>
                <w:szCs w:val="18"/>
                <w:b w:val="1"/>
                <w:bCs w:val="1"/>
                <w:color w:val="auto"/>
              </w:rPr>
              <w:t>MIDDLESEX WATER COMPANY</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78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CONDENSED CONSOLIDATED STATEMENTS OF INCOME</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(Unaudited)</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7620" w:type="dxa"/>
            <w:vAlign w:val="bottom"/>
            <w:gridSpan w:val="5"/>
          </w:tcPr>
          <w:p>
            <w:pPr>
              <w:jc w:val="center"/>
              <w:ind w:left="289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3"/>
        </w:trPr>
        <w:tc>
          <w:tcPr>
            <w:tcW w:w="3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2"/>
              </w:rPr>
              <w:t>Three Months Ended September 30,</w:t>
            </w:r>
          </w:p>
        </w:tc>
        <w:tc>
          <w:tcPr>
            <w:tcW w:w="260" w:type="dxa"/>
            <w:vAlign w:val="bottom"/>
          </w:tcPr>
          <w:p>
            <w:pPr>
              <w:spacing w:after="0"/>
              <w:rPr>
                <w:sz w:val="24"/>
                <w:szCs w:val="24"/>
                <w:color w:val="auto"/>
              </w:rPr>
            </w:pPr>
          </w:p>
        </w:tc>
        <w:tc>
          <w:tcPr>
            <w:tcW w:w="304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34"/>
        </w:trPr>
        <w:tc>
          <w:tcPr>
            <w:tcW w:w="3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09"/>
        </w:trPr>
        <w:tc>
          <w:tcPr>
            <w:tcW w:w="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39,874</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39,920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109,117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106,965</w:t>
            </w:r>
          </w:p>
        </w:tc>
      </w:tr>
      <w:tr>
        <w:trPr>
          <w:trHeight w:val="210"/>
        </w:trPr>
        <w:tc>
          <w:tcPr>
            <w:tcW w:w="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Operations and Maintenance</w:t>
            </w:r>
          </w:p>
        </w:tc>
        <w:tc>
          <w:tcPr>
            <w:tcW w:w="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18,950</w:t>
            </w:r>
          </w:p>
        </w:tc>
        <w:tc>
          <w:tcPr>
            <w:tcW w:w="4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17,949</w:t>
            </w:r>
          </w:p>
        </w:tc>
        <w:tc>
          <w:tcPr>
            <w:tcW w:w="26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55,265</w:t>
            </w:r>
          </w:p>
        </w:tc>
        <w:tc>
          <w:tcPr>
            <w:tcW w:w="4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52,761</w:t>
            </w:r>
          </w:p>
        </w:tc>
      </w:tr>
      <w:tr>
        <w:trPr>
          <w:trHeight w:val="216"/>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5,504</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4,721</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15,523</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13,798</w:t>
            </w:r>
          </w:p>
        </w:tc>
      </w:tr>
      <w:tr>
        <w:trPr>
          <w:trHeight w:val="216"/>
        </w:trPr>
        <w:tc>
          <w:tcPr>
            <w:tcW w:w="45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Other Taxes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3,996</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4,073</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11,456</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11,318</w:t>
            </w:r>
          </w:p>
        </w:tc>
      </w:tr>
      <w:tr>
        <w:trPr>
          <w:trHeight w:val="209"/>
        </w:trPr>
        <w:tc>
          <w:tcPr>
            <w:tcW w:w="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28,450</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26,743</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82,244</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77,877</w:t>
            </w:r>
          </w:p>
        </w:tc>
      </w:tr>
      <w:tr>
        <w:trPr>
          <w:trHeight w:val="209"/>
        </w:trPr>
        <w:tc>
          <w:tcPr>
            <w:tcW w:w="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11,424</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13,177</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26,873</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29,088</w:t>
            </w:r>
          </w:p>
        </w:tc>
      </w:tr>
      <w:tr>
        <w:trPr>
          <w:trHeight w:val="209"/>
        </w:trPr>
        <w:tc>
          <w:tcPr>
            <w:tcW w:w="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Allowance for Funds Used During Construction (AFUDC)</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344</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953</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2,376</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2,871</w:t>
            </w:r>
          </w:p>
        </w:tc>
      </w:tr>
      <w:tr>
        <w:trPr>
          <w:trHeight w:val="216"/>
        </w:trPr>
        <w:tc>
          <w:tcPr>
            <w:tcW w:w="45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744</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444</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2,308</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1,164</w:t>
            </w:r>
          </w:p>
        </w:tc>
      </w:tr>
      <w:tr>
        <w:trPr>
          <w:trHeight w:val="209"/>
        </w:trPr>
        <w:tc>
          <w:tcPr>
            <w:tcW w:w="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Other Income, net</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1,088</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1,397</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4,684</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4,035</w:t>
            </w:r>
          </w:p>
        </w:tc>
      </w:tr>
      <w:tr>
        <w:trPr>
          <w:trHeight w:val="209"/>
        </w:trPr>
        <w:tc>
          <w:tcPr>
            <w:tcW w:w="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Charges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2,101</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1,906</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5,910</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5,521</w:t>
            </w:r>
          </w:p>
        </w:tc>
      </w:tr>
      <w:tr>
        <w:trPr>
          <w:trHeight w:val="209"/>
        </w:trPr>
        <w:tc>
          <w:tcPr>
            <w:tcW w:w="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10,411</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12,668</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25,647</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27,602</w:t>
            </w:r>
          </w:p>
        </w:tc>
      </w:tr>
      <w:tr>
        <w:trPr>
          <w:trHeight w:val="210"/>
        </w:trPr>
        <w:tc>
          <w:tcPr>
            <w:tcW w:w="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(3,658)</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(2,516 )</w:t>
            </w:r>
          </w:p>
        </w:tc>
      </w:tr>
      <w:tr>
        <w:trPr>
          <w:trHeight w:val="209"/>
        </w:trPr>
        <w:tc>
          <w:tcPr>
            <w:tcW w:w="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11,476</w:t>
            </w:r>
          </w:p>
        </w:tc>
        <w:tc>
          <w:tcPr>
            <w:tcW w:w="4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12,737</w:t>
            </w:r>
          </w:p>
        </w:tc>
        <w:tc>
          <w:tcPr>
            <w:tcW w:w="26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29,305</w:t>
            </w:r>
          </w:p>
        </w:tc>
        <w:tc>
          <w:tcPr>
            <w:tcW w:w="4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30,118</w:t>
            </w:r>
          </w:p>
        </w:tc>
      </w:tr>
      <w:tr>
        <w:trPr>
          <w:trHeight w:val="216"/>
        </w:trPr>
        <w:tc>
          <w:tcPr>
            <w:tcW w:w="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Preferred Stock Dividend Requirements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90</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r>
      <w:tr>
        <w:trPr>
          <w:trHeight w:val="210"/>
        </w:trPr>
        <w:tc>
          <w:tcPr>
            <w:tcW w:w="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Earnings Applicable to Common Stock</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11,446</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12,707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29,215</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30,028</w:t>
            </w:r>
          </w:p>
        </w:tc>
      </w:tr>
      <w:tr>
        <w:trPr>
          <w:trHeight w:val="209"/>
        </w:trPr>
        <w:tc>
          <w:tcPr>
            <w:tcW w:w="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Earnings per share of Common Stock:</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0.65</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1.67</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r>
      <w:tr>
        <w:trPr>
          <w:trHeight w:val="216"/>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0.65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0.72</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1.66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1.71</w:t>
            </w:r>
          </w:p>
        </w:tc>
      </w:tr>
      <w:tr>
        <w:trPr>
          <w:trHeight w:val="216"/>
        </w:trPr>
        <w:tc>
          <w:tcPr>
            <w:tcW w:w="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Average Number of Common Shares Outstanding:</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17,491</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17,466</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17,485</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17,455</w:t>
            </w:r>
          </w:p>
        </w:tc>
      </w:tr>
      <w:tr>
        <w:trPr>
          <w:trHeight w:val="234"/>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17,606</w:t>
            </w:r>
          </w:p>
        </w:tc>
        <w:tc>
          <w:tcPr>
            <w:tcW w:w="4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17,581</w:t>
            </w:r>
          </w:p>
        </w:tc>
        <w:tc>
          <w:tcPr>
            <w:tcW w:w="26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17,600</w:t>
            </w:r>
          </w:p>
        </w:tc>
        <w:tc>
          <w:tcPr>
            <w:tcW w:w="4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17,570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3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5400" w:type="dxa"/>
            <w:vAlign w:val="bottom"/>
          </w:tcPr>
          <w:p>
            <w:pPr>
              <w:jc w:val="center"/>
              <w:ind w:left="110"/>
              <w:spacing w:after="0"/>
              <w:rPr>
                <w:sz w:val="20"/>
                <w:szCs w:val="20"/>
                <w:color w:val="auto"/>
              </w:rPr>
            </w:pPr>
            <w:r>
              <w:rPr>
                <w:rFonts w:ascii="Arial" w:cs="Arial" w:eastAsia="Arial" w:hAnsi="Arial"/>
                <w:sz w:val="18"/>
                <w:szCs w:val="18"/>
                <w:b w:val="1"/>
                <w:bCs w:val="1"/>
                <w:color w:val="auto"/>
              </w:rPr>
              <w:t>MIDDLESEX WATER COMPANY</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jc w:val="center"/>
              <w:ind w:left="1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0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5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Production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243,145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168,080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Transmission and Distribution</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688,271</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648,763</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94,425</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85,056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Construction Work in Progress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19,277</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80,055</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1,045,118</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981,954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195,206</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185,356</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PLANT - NET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849,912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796,598</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5,282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400" w:type="dxa"/>
            <w:vAlign w:val="bottom"/>
          </w:tcPr>
          <w:p>
            <w:pPr>
              <w:ind w:left="140"/>
              <w:spacing w:after="0" w:line="201" w:lineRule="exact"/>
              <w:rPr>
                <w:sz w:val="20"/>
                <w:szCs w:val="20"/>
                <w:color w:val="auto"/>
              </w:rPr>
            </w:pPr>
            <w:r>
              <w:rPr>
                <w:rFonts w:ascii="Arial" w:cs="Arial" w:eastAsia="Arial" w:hAnsi="Arial"/>
                <w:sz w:val="18"/>
                <w:szCs w:val="18"/>
                <w:color w:val="auto"/>
                <w:w w:val="97"/>
              </w:rPr>
              <w:t>Accounts Receivable, net of allowance for uncollectible accounts of</w:t>
            </w:r>
          </w:p>
        </w:tc>
        <w:tc>
          <w:tcPr>
            <w:tcW w:w="220" w:type="dxa"/>
            <w:vAlign w:val="bottom"/>
          </w:tcPr>
          <w:p>
            <w:pPr>
              <w:spacing w:after="0"/>
              <w:rPr>
                <w:sz w:val="17"/>
                <w:szCs w:val="17"/>
                <w:color w:val="auto"/>
              </w:rPr>
            </w:pPr>
          </w:p>
        </w:tc>
        <w:tc>
          <w:tcPr>
            <w:tcW w:w="1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17,028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$2,473 and $2,053, respectively</w:t>
            </w:r>
          </w:p>
        </w:tc>
        <w:tc>
          <w:tcPr>
            <w:tcW w:w="2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14,569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Unbilled Revenues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9,074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Materials and Supplies (at average cost)</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5,156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Prepayments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4,027</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40,567</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34,123</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5400" w:type="dxa"/>
            <w:vAlign w:val="bottom"/>
          </w:tcPr>
          <w:p>
            <w:pPr>
              <w:ind w:left="140"/>
              <w:spacing w:after="0"/>
              <w:rPr>
                <w:sz w:val="20"/>
                <w:szCs w:val="20"/>
                <w:color w:val="auto"/>
              </w:rPr>
            </w:pPr>
            <w:r>
              <w:rPr>
                <w:rFonts w:ascii="Arial" w:cs="Arial" w:eastAsia="Arial" w:hAnsi="Arial"/>
                <w:sz w:val="18"/>
                <w:szCs w:val="18"/>
                <w:color w:val="auto"/>
              </w:rPr>
              <w:t>Operating Lease Right of Use Asset</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4,676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Preliminary Survey and Investigation Charges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3,939</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Regulatory Assets</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118,969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118,144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Non-utility Assets - Net</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11,359</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11,207</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139,113</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145,749</w:t>
            </w:r>
          </w:p>
        </w:tc>
        <w:tc>
          <w:tcPr>
            <w:tcW w:w="0" w:type="dxa"/>
            <w:vAlign w:val="bottom"/>
          </w:tcPr>
          <w:p>
            <w:pPr>
              <w:spacing w:after="0"/>
              <w:rPr>
                <w:sz w:val="1"/>
                <w:szCs w:val="1"/>
                <w:color w:val="auto"/>
              </w:rPr>
            </w:pPr>
          </w:p>
        </w:tc>
      </w:tr>
      <w:tr>
        <w:trPr>
          <w:trHeight w:val="210"/>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1,029,592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976,470</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9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CAPITALIZATION AND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CAPITALIZATION:</w:t>
            </w:r>
          </w:p>
        </w:tc>
        <w:tc>
          <w:tcPr>
            <w:tcW w:w="5400" w:type="dxa"/>
            <w:vAlign w:val="bottom"/>
          </w:tcPr>
          <w:p>
            <w:pPr>
              <w:ind w:left="140"/>
              <w:spacing w:after="0"/>
              <w:rPr>
                <w:sz w:val="20"/>
                <w:szCs w:val="20"/>
                <w:color w:val="auto"/>
              </w:rPr>
            </w:pPr>
            <w:r>
              <w:rPr>
                <w:rFonts w:ascii="Arial" w:cs="Arial" w:eastAsia="Arial" w:hAnsi="Arial"/>
                <w:sz w:val="18"/>
                <w:szCs w:val="18"/>
                <w:color w:val="auto"/>
              </w:rPr>
              <w:t>Common Stock, No Par Value</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218,662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217,451</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143,678</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128,757</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COMMON EQUITY</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362,340</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346,208</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266,483</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273,244</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CAPITALIZATION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630,907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621,536</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6,806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40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50,000</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17,340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30,443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Accrued Taxes</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12,688</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Unearned Revenues and Advanced Service Fees</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1,394</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3,072</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92,494</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56,848</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7900" w:type="dxa"/>
            <w:vAlign w:val="bottom"/>
            <w:tcBorders>
              <w:bottom w:val="single" w:sz="8" w:color="auto"/>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CONTINGENT LIABILITIES (Note 7)</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5400" w:type="dxa"/>
            <w:vAlign w:val="bottom"/>
          </w:tcPr>
          <w:p>
            <w:pPr>
              <w:ind w:left="140"/>
              <w:spacing w:after="0"/>
              <w:rPr>
                <w:sz w:val="20"/>
                <w:szCs w:val="20"/>
                <w:color w:val="auto"/>
              </w:rPr>
            </w:pPr>
            <w:r>
              <w:rPr>
                <w:rFonts w:ascii="Arial" w:cs="Arial" w:eastAsia="Arial" w:hAnsi="Arial"/>
                <w:sz w:val="18"/>
                <w:szCs w:val="18"/>
                <w:color w:val="auto"/>
              </w:rPr>
              <w:t>Customer Advances for Construction</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23,546</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23,404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Obligations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4,535</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Accumulated Deferred Income Taxes</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63,347</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61,297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 Plans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32,140</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34,426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54,043</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60,792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1,181</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TOTAL OTHER LIABILITIES</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178,792</w:t>
            </w:r>
          </w:p>
        </w:tc>
        <w:tc>
          <w:tcPr>
            <w:tcW w:w="2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186,096</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7900" w:type="dxa"/>
            <w:vAlign w:val="bottom"/>
            <w:tcBorders>
              <w:bottom w:val="single" w:sz="8" w:color="auto"/>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127,399</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111,990</w:t>
            </w:r>
          </w:p>
        </w:tc>
        <w:tc>
          <w:tcPr>
            <w:tcW w:w="0" w:type="dxa"/>
            <w:vAlign w:val="bottom"/>
          </w:tcPr>
          <w:p>
            <w:pPr>
              <w:spacing w:after="0"/>
              <w:rPr>
                <w:sz w:val="1"/>
                <w:szCs w:val="1"/>
                <w:color w:val="auto"/>
              </w:rPr>
            </w:pPr>
          </w:p>
        </w:tc>
      </w:tr>
      <w:tr>
        <w:trPr>
          <w:trHeight w:val="209"/>
        </w:trPr>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CAPITALIZATION AND LIABILITIES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1,029,592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976,470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14"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34"/>
        </w:trPr>
        <w:tc>
          <w:tcPr>
            <w:tcW w:w="8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29,305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30,118</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17,253</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15,595</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Provision for Deferred Income Taxes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(11,801)</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(10,991)</w:t>
            </w: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Portion of Allowance for Funds Used During Construction (AFUDC)</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(1,356)</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Expense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1,033</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(2,459)</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Unbilled Revenues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(1,640)</w:t>
            </w: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Materials and Supplies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Prepayments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(1,141)</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(13,103)</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1,554</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Accrued Taxes</w:t>
            </w:r>
          </w:p>
        </w:tc>
        <w:tc>
          <w:tcPr>
            <w:tcW w:w="2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2,550</w:t>
            </w:r>
          </w:p>
        </w:tc>
        <w:tc>
          <w:tcPr>
            <w:tcW w:w="4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3,007</w:t>
            </w: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Employee Benefit Plans</w:t>
            </w:r>
          </w:p>
        </w:tc>
        <w:tc>
          <w:tcPr>
            <w:tcW w:w="2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1,187</w:t>
            </w:r>
          </w:p>
        </w:tc>
        <w:tc>
          <w:tcPr>
            <w:tcW w:w="4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1,234</w:t>
            </w: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Unearned Revenue &amp; Advanced Service Fees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139</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2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124</w:t>
            </w:r>
          </w:p>
        </w:tc>
        <w:tc>
          <w:tcPr>
            <w:tcW w:w="4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3,520</w:t>
            </w:r>
          </w:p>
        </w:tc>
      </w:tr>
      <w:tr>
        <w:trPr>
          <w:trHeight w:val="216"/>
        </w:trPr>
        <w:tc>
          <w:tcPr>
            <w:tcW w:w="8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r>
      <w:tr>
        <w:trPr>
          <w:trHeight w:val="210"/>
        </w:trPr>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18,638</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37,290</w:t>
            </w: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Utility Plant Expenditures, Including AFUDC of $1,020 in 2020 and $1,082 in 2020</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(61,245)</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(70,785)</w:t>
            </w:r>
          </w:p>
        </w:tc>
      </w:tr>
      <w:tr>
        <w:trPr>
          <w:trHeight w:val="216"/>
        </w:trPr>
        <w:tc>
          <w:tcPr>
            <w:tcW w:w="8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r>
      <w:tr>
        <w:trPr>
          <w:trHeight w:val="210"/>
        </w:trPr>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(61,245)</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(70,785)</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Redemption of Long-term Debt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(28,655)</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(6,391)</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21,595</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10,319</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Net Short-term Bank Borrowings</w:t>
            </w:r>
          </w:p>
        </w:tc>
        <w:tc>
          <w:tcPr>
            <w:tcW w:w="2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48,000</w:t>
            </w:r>
          </w:p>
        </w:tc>
        <w:tc>
          <w:tcPr>
            <w:tcW w:w="4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16,500</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Debt Issuance Expense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Common Stock Issuance Expense</w:t>
            </w:r>
          </w:p>
        </w:tc>
        <w:tc>
          <w:tcPr>
            <w:tcW w:w="2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885</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921</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Payment of Common Dividends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(14,294)</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(13,418)</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Preferred Dividends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Construction Advances and Contributions-Net</w:t>
            </w:r>
          </w:p>
        </w:tc>
        <w:tc>
          <w:tcPr>
            <w:tcW w:w="2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10,079</w:t>
            </w:r>
          </w:p>
        </w:tc>
        <w:tc>
          <w:tcPr>
            <w:tcW w:w="4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7,420</w:t>
            </w:r>
          </w:p>
        </w:tc>
      </w:tr>
      <w:tr>
        <w:trPr>
          <w:trHeight w:val="216"/>
        </w:trPr>
        <w:tc>
          <w:tcPr>
            <w:tcW w:w="8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r>
      <w:tr>
        <w:trPr>
          <w:trHeight w:val="210"/>
        </w:trPr>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37,485</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15,183</w:t>
            </w:r>
          </w:p>
        </w:tc>
      </w:tr>
      <w:tr>
        <w:trPr>
          <w:trHeight w:val="210"/>
        </w:trPr>
        <w:tc>
          <w:tcPr>
            <w:tcW w:w="8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CHANGES IN CASH, CASH EQUIVALENTS AND 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(5,122)</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(18,312)</w:t>
            </w:r>
          </w:p>
        </w:tc>
      </w:tr>
      <w:tr>
        <w:trPr>
          <w:trHeight w:val="209"/>
        </w:trPr>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10,404</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46,499</w:t>
            </w:r>
          </w:p>
        </w:tc>
      </w:tr>
      <w:tr>
        <w:trPr>
          <w:trHeight w:val="210"/>
        </w:trPr>
        <w:tc>
          <w:tcPr>
            <w:tcW w:w="8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5,282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28,187</w:t>
            </w:r>
          </w:p>
        </w:tc>
      </w:tr>
      <w:tr>
        <w:trPr>
          <w:trHeight w:val="210"/>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SUPPLEMENTAL DISCLOSURE OF NON-CASH ACTIVITY:</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4,279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3,747</w:t>
            </w:r>
          </w:p>
        </w:tc>
      </w:tr>
      <w:tr>
        <w:trPr>
          <w:trHeight w:val="216"/>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FLOWS INFORMATION:</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Cash Paid During the Year for:</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7,091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5,834</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Interest Capitalized</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1,020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1,082</w:t>
            </w: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3,235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1,783</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5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Shares Authorized - 40,000</w:t>
            </w: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 - 2021 - 17,493; 2020 - 17,473</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218,662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217,451</w:t>
            </w:r>
          </w:p>
        </w:tc>
      </w:tr>
      <w:tr>
        <w:trPr>
          <w:trHeight w:val="216"/>
        </w:trPr>
        <w:tc>
          <w:tcPr>
            <w:tcW w:w="6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9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143,678</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128,757</w:t>
            </w:r>
          </w:p>
        </w:tc>
      </w:tr>
      <w:tr>
        <w:trPr>
          <w:trHeight w:val="209"/>
        </w:trPr>
        <w:tc>
          <w:tcPr>
            <w:tcW w:w="65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COMMON EQUITY</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362,340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346,208</w:t>
            </w:r>
          </w:p>
        </w:tc>
      </w:tr>
      <w:tr>
        <w:trPr>
          <w:trHeight w:val="209"/>
        </w:trPr>
        <w:tc>
          <w:tcPr>
            <w:tcW w:w="6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Cumulative Preferred Stock, No Par Value:</w:t>
            </w: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Authorized - 120</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Shares Outstanding - 2021 - 20; 2020 - 20</w:t>
            </w: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Shares Outstanding, $7.00 Series - 10</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1,005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1,005</w:t>
            </w: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Shares Outstanding, $7.00 Series - 1</w:t>
            </w:r>
          </w:p>
        </w:tc>
        <w:tc>
          <w:tcPr>
            <w:tcW w:w="19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79</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79</w:t>
            </w:r>
          </w:p>
        </w:tc>
      </w:tr>
      <w:tr>
        <w:trPr>
          <w:trHeight w:val="216"/>
        </w:trPr>
        <w:tc>
          <w:tcPr>
            <w:tcW w:w="6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Shares Outstanding, $4.75 Series - 10</w:t>
            </w:r>
          </w:p>
        </w:tc>
        <w:tc>
          <w:tcPr>
            <w:tcW w:w="19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r>
      <w:tr>
        <w:trPr>
          <w:trHeight w:val="209"/>
        </w:trPr>
        <w:tc>
          <w:tcPr>
            <w:tcW w:w="65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PREFERRED STOCK</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2,084</w:t>
            </w:r>
          </w:p>
        </w:tc>
      </w:tr>
      <w:tr>
        <w:trPr>
          <w:trHeight w:val="210"/>
        </w:trPr>
        <w:tc>
          <w:tcPr>
            <w:tcW w:w="6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Long-term Debt:</w:t>
            </w: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Mortgage Bonds, 0.00%-5.50%, due 2021-2059</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161,828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187,667</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Amortizing Secured Notes, 4.45%-8.05%, due 2021-2040</w:t>
            </w:r>
          </w:p>
        </w:tc>
        <w:tc>
          <w:tcPr>
            <w:tcW w:w="19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48,374</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30,643</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Revolving Trust Notes, 2.00%-4.22%, due 2022-2038</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7,849</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8,384</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State Revolving Fund Bond, 0.00%, due 2021</w:t>
            </w:r>
          </w:p>
        </w:tc>
        <w:tc>
          <w:tcPr>
            <w:tcW w:w="19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16"/>
        </w:trPr>
        <w:tc>
          <w:tcPr>
            <w:tcW w:w="6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Construction Loans, 0.00%</w:t>
            </w:r>
          </w:p>
        </w:tc>
        <w:tc>
          <w:tcPr>
            <w:tcW w:w="19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52,131</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50,536</w:t>
            </w:r>
          </w:p>
        </w:tc>
      </w:tr>
      <w:tr>
        <w:trPr>
          <w:trHeight w:val="210"/>
        </w:trPr>
        <w:tc>
          <w:tcPr>
            <w:tcW w:w="6500" w:type="dxa"/>
            <w:vAlign w:val="bottom"/>
          </w:tcPr>
          <w:p>
            <w:pPr>
              <w:ind w:left="540"/>
              <w:spacing w:after="0"/>
              <w:rPr>
                <w:sz w:val="20"/>
                <w:szCs w:val="20"/>
                <w:color w:val="auto"/>
              </w:rPr>
            </w:pPr>
            <w:r>
              <w:rPr>
                <w:rFonts w:ascii="Arial" w:cs="Arial" w:eastAsia="Arial" w:hAnsi="Arial"/>
                <w:sz w:val="18"/>
                <w:szCs w:val="18"/>
                <w:color w:val="auto"/>
              </w:rPr>
              <w:t>SUBTOTAL LONG-TERM DEBT</w:t>
            </w:r>
          </w:p>
        </w:tc>
        <w:tc>
          <w:tcPr>
            <w:tcW w:w="19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270,182</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277,241</w:t>
            </w:r>
          </w:p>
        </w:tc>
      </w:tr>
      <w:tr>
        <w:trPr>
          <w:trHeight w:val="216"/>
        </w:trPr>
        <w:tc>
          <w:tcPr>
            <w:tcW w:w="6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Add: Premium on Issuance of Long-term Debt</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7,371</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7,669</w:t>
            </w:r>
          </w:p>
        </w:tc>
      </w:tr>
      <w:tr>
        <w:trPr>
          <w:trHeight w:val="216"/>
        </w:trPr>
        <w:tc>
          <w:tcPr>
            <w:tcW w:w="6500" w:type="dxa"/>
            <w:vAlign w:val="bottom"/>
          </w:tcPr>
          <w:p>
            <w:pPr>
              <w:ind w:left="720"/>
              <w:spacing w:after="0"/>
              <w:rPr>
                <w:sz w:val="20"/>
                <w:szCs w:val="20"/>
                <w:color w:val="auto"/>
              </w:rPr>
            </w:pPr>
            <w:r>
              <w:rPr>
                <w:rFonts w:ascii="Arial" w:cs="Arial" w:eastAsia="Arial" w:hAnsi="Arial"/>
                <w:sz w:val="18"/>
                <w:szCs w:val="18"/>
                <w:color w:val="auto"/>
              </w:rPr>
              <w:t>Less: Unamortized Debt Expense</w:t>
            </w:r>
          </w:p>
        </w:tc>
        <w:tc>
          <w:tcPr>
            <w:tcW w:w="1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(4,264)</w:t>
            </w:r>
          </w:p>
        </w:tc>
        <w:tc>
          <w:tcPr>
            <w:tcW w:w="20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(4,411)</w:t>
            </w:r>
          </w:p>
        </w:tc>
      </w:tr>
      <w:tr>
        <w:trPr>
          <w:trHeight w:val="216"/>
        </w:trPr>
        <w:tc>
          <w:tcPr>
            <w:tcW w:w="65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Less: Current Portion of Long-term Debt</w:t>
            </w:r>
          </w:p>
        </w:tc>
        <w:tc>
          <w:tcPr>
            <w:tcW w:w="19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(6,806)</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(7,255)</w:t>
            </w:r>
          </w:p>
        </w:tc>
      </w:tr>
      <w:tr>
        <w:trPr>
          <w:trHeight w:val="210"/>
        </w:trPr>
        <w:tc>
          <w:tcPr>
            <w:tcW w:w="65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TOTAL LONG-TERM DEBT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266,483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273,244</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15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09"/>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September 30, 2020</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July 1, 2020</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17,464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216,365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117,008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333,373</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12,737</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313</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($0.2563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(4,475)</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17,469</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216,866</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125,240</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342,106</w:t>
            </w:r>
          </w:p>
        </w:tc>
      </w:tr>
      <w:tr>
        <w:trPr>
          <w:trHeight w:val="209"/>
        </w:trPr>
        <w:tc>
          <w:tcPr>
            <w:tcW w:w="5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For the Nine Months Ended September 30, 2020</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17,434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215,125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108,667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323,792</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30,118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30,118</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921</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575</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($0.7688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(13,418)</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Common Stock Expenses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17,469</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216,866</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125,240</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342,106</w:t>
            </w:r>
          </w:p>
        </w:tc>
      </w:tr>
      <w:tr>
        <w:trPr>
          <w:trHeight w:val="210"/>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September 30, 2021</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July 1, 2021</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17,490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218,100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136,998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355,098</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11,476</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289</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($0.2725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(4,766)</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17,493</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218,662</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143,678</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362,340</w:t>
            </w:r>
          </w:p>
        </w:tc>
      </w:tr>
      <w:tr>
        <w:trPr>
          <w:trHeight w:val="210"/>
        </w:trPr>
        <w:tc>
          <w:tcPr>
            <w:tcW w:w="5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For the Nine Months Ended September 30, 2021</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17,473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217,451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128,757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346,208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29,305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29,305</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Reinvestment &amp; Common Stock Purchase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($0.8175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(14,294)</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17,493</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218,662</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143,678</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362,340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Recent Developments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Middlesex Water Company (Middlesex or the Company) is the parent company and sole shareholder of Tidewater Utilities, Inc. (Tidewater), Tidewater Environmental Services, Inc. (TESI),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notes within the 2020 Annual Report on Form 10-K (the 2020 Form 10-K) are applicable to these financial statements and, in the opinion of the Company, the accompanying unaudited condensed consolidated financial statements contain all adjustments necessary (including normal recurring accruals) to present fairly the financial position as of September 30, 2021, the results of operations for the three month and nine month periods ended September 30, 2021 and 2020 and cash flows for the nine month periods ended September 30, 2021 and 2020. Information included in the Condensed Consolidated Balance Sheet as of December 31, 2020, has been derived from the Company’s December 31, 2020 audited financial statements included in the 2020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Sale of Subsidiary </w:t>
      </w:r>
      <w:r>
        <w:rPr>
          <w:rFonts w:ascii="Arial" w:cs="Arial" w:eastAsia="Arial" w:hAnsi="Arial"/>
          <w:sz w:val="18"/>
          <w:szCs w:val="18"/>
          <w:color w:val="auto"/>
        </w:rPr>
        <w:t>– On October 27, 2021, the Delaware Public Service Commission (DEPSC) approved a request by Middlesex to sell its entire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 TESI, which is its regulated Delaware wastewater utility business. In August 2021, Middlesex entered into a definitive agreement with Artesian Wastewater Management, Inc. to sell 100% of the common stock of TESI for $6.4 million. The transaction is expected to be finalized prior to December 31, 2021. The Company will continue to own and operate its regulated water utilities in Delaware as well as its non-regulated operations and maintenance contract business.</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Regulatory Notice of Non Compliance - </w:t>
      </w:r>
      <w:r>
        <w:rPr>
          <w:rFonts w:ascii="Arial" w:cs="Arial" w:eastAsia="Arial" w:hAnsi="Arial"/>
          <w:sz w:val="16"/>
          <w:szCs w:val="16"/>
          <w:color w:val="auto"/>
        </w:rPr>
        <w:t>In October 2021, Middlesex issued a notice (Notice) to customers in New Jersey that in September 2021, the</w:t>
      </w:r>
      <w:r>
        <w:rPr>
          <w:rFonts w:ascii="Arial" w:cs="Arial" w:eastAsia="Arial" w:hAnsi="Arial"/>
          <w:sz w:val="16"/>
          <w:szCs w:val="16"/>
          <w:b w:val="1"/>
          <w:bCs w:val="1"/>
          <w:color w:val="auto"/>
        </w:rPr>
        <w:t xml:space="preserve"> </w:t>
      </w:r>
      <w:r>
        <w:rPr>
          <w:rFonts w:ascii="Arial" w:cs="Arial" w:eastAsia="Arial" w:hAnsi="Arial"/>
          <w:sz w:val="16"/>
          <w:szCs w:val="16"/>
          <w:color w:val="auto"/>
        </w:rPr>
        <w:t>level of Perfluorooctanoic Acid (PFOA) in water from its Park Avenue Treatment Plant exceeded a new standard that went into effect in 2021 (New Jersey Standards) promulgated by the New Jersey Department of Environmental Protection (NJDEP). Neither the NJDEP nor Middlesex has characterized this exceedance as an acute health emergency. The New Jersey Standard for PFOA was developed based on a Health-based Maximum Contaminant Level (MCL) of 14 parts per trillion (ppt). Although the United States Environmental Protection Agency (USEPA) has not yet implemented an enforceable regulation relative to PFOA, the water distributed from the Park Avenue Treatment Plant does meet the USEPA’s current health advisory level of 70 parts per trillion (ppt) and would meet the NJDEP’s prior guidance level of 40 ppt. Construction of a facility to provide an enhanced treatment process at the Park Avenue Treatment Plant to comply with the New Jersey Standards related to poly- and perfluoro-alkyl substances, collectively referred to as PFAS, and which include PFOA, is expected to be completed in mid-2023. The Notice requires the Company to take any action necessary to bring the water into compliance with the MCL of 14 ppt for PFOA by September 7, 2022. The Company is performing hydraulic and other analyses to assess the operational feasibility of complying with the new standard before September 2022, the costs of which may be significant and may or may not be recoverable through the rate making process. While the Company believes it to be unlikely, the issuance of this Notice does not preclude the State of New Jersey or any of its agencies from initiating formal administrative and/or judicial enforcement action, including assessment of penalties of up to $25,000 per day per offense.</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Novel Coronavirus (COVID-19) </w:t>
      </w:r>
      <w:r>
        <w:rPr>
          <w:rFonts w:ascii="Arial" w:cs="Arial" w:eastAsia="Arial" w:hAnsi="Arial"/>
          <w:sz w:val="18"/>
          <w:szCs w:val="18"/>
          <w:color w:val="auto"/>
        </w:rPr>
        <w:t>- In March 2020, the United States declared the COVID-19 pandemic a national emergency, which was extended on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24, 2021, and remains in effect. While the Company’s operations and capital construction program have not been materially disrupted to date from the pandemic, the COVID-19 impact on economic conditions nationally continues to be uncertain and could affect the Company’s results of operations, financial condition and liquidity in the future. In New Jersey and Delaware, where our operations are located, the declared COVID-19 State of Emergency Orders ended in June 2021 and July 2021,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New Jersey Board of Public Utilities (NJBPU) and the DEPSC have approved the tracking of COVID-19 related incremental costs for potential recovery in customer rates in future rate proceedings. Neither jurisdiction has established a timetable or definitive formal procedures for seeking cost recovery. Since March 2020, the Company has increased its allowance for doubtful accounts for expected increases in accounts receivable write-offs due to the financial impact of COVID-19 on customers. We will continue to monitor the effects of COVID-19 and evaluate its impact on the Company’s business, results of operations, financial condition and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Guidance</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new adopted or proposed accounting guidance that the Company is aware of that could have a material impact on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Rate and Regulatory Matters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Middlesex - </w:t>
      </w:r>
      <w:r>
        <w:rPr>
          <w:rFonts w:ascii="Arial" w:cs="Arial" w:eastAsia="Arial" w:hAnsi="Arial"/>
          <w:sz w:val="18"/>
          <w:szCs w:val="18"/>
          <w:color w:val="auto"/>
        </w:rPr>
        <w:t>In May 2021, Middlesex filed a petition with the NJBPU seeking permission to increase annual base water revenues by approximately $31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The request was necessitated predominantly by capital infrastructure investments Middlesex has made, or has committed to make, to address aging drinking water infrastructure and a variety of other improvements to help ensure continued resiliency, reliability and overall quality of service since Middlesex’s last base rate increase filing in New Jersey in 2017. We cannot predict with certainty when and whether the NJBPU will ultimately approve, deny, or reduce the amount of the request. Under New Jersey statute, the NJPBU must render a decision within nine months of filing a base rate change petition.</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2021, the NJBPU approved Middlesex’s petition to reset its Purchased Water Adjustment Clause (PWAC) tariff rate to recover additional costs of $1.1 million for the purchase of treated water from a non-affiliated regulated water utility. The new PWAC rate became effective April 4, 2021. A PWAC is a rate mechanism that allows for recovery of increased purchased water costs between base rate case filings. It is reset to zero once those increased costs are included in base rates.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Tidewater - </w:t>
      </w:r>
      <w:r>
        <w:rPr>
          <w:rFonts w:ascii="Arial" w:cs="Arial" w:eastAsia="Arial" w:hAnsi="Arial"/>
          <w:sz w:val="18"/>
          <w:szCs w:val="18"/>
          <w:color w:val="auto"/>
        </w:rPr>
        <w:t>Effective January 1, 2021, Tidewater increased its DEPSC-approved Distribution System Improvement Charge (DSIC) rate,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generate revenues of approximately $0.6 million annually. A DSIC is a rate-mechanism that allows water utilities to recover investments in, and generate a return on, qualifying capital improvements made between base rate proceedings.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2021, Tidewater was notified by the DEPSC that it had determined Tidewater’s earned rate of return exceeded the rate of return authorized by the DEPSC. Consequently, Tidewater reset its DSIC rate to zero effective April 1, 2021 and has refunded customers, with interest, in the form of an account credit for DSIC revenue billed between April 1, 2020 and March 31, 2021. Accordingly, in March 2021, Tidewater recorded a $0.8 million reserve, net of tax, for such refunds. Tidewater applied the refund credits to individual customer accounts during the second quarter of 2021.</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Twin Lakes Utilities, Inc. (Twin Lakes) - </w:t>
      </w:r>
      <w:r>
        <w:rPr>
          <w:rFonts w:ascii="Arial" w:cs="Arial" w:eastAsia="Arial" w:hAnsi="Arial"/>
          <w:sz w:val="17"/>
          <w:szCs w:val="17"/>
          <w:color w:val="auto"/>
        </w:rPr>
        <w:t>Twin Lakes provides water services to approximately 115 residential customers in Shohola, Pennsylvania. In</w:t>
      </w:r>
      <w:r>
        <w:rPr>
          <w:rFonts w:ascii="Arial" w:cs="Arial" w:eastAsia="Arial" w:hAnsi="Arial"/>
          <w:sz w:val="17"/>
          <w:szCs w:val="17"/>
          <w:b w:val="1"/>
          <w:bCs w:val="1"/>
          <w:color w:val="auto"/>
        </w:rPr>
        <w:t xml:space="preserve"> </w:t>
      </w:r>
      <w:r>
        <w:rPr>
          <w:rFonts w:ascii="Arial" w:cs="Arial" w:eastAsia="Arial" w:hAnsi="Arial"/>
          <w:sz w:val="17"/>
          <w:szCs w:val="17"/>
          <w:color w:val="auto"/>
        </w:rPr>
        <w:t>2020, Twin Lakes filed a petition requesting the Pennsylvania Public Utilities Commission (PAPUC) to order the acquisition of Twin Lakes by a public utility pursuant to Section 529 of the Pennsylvania Public Utility Code. The PAPUC assigned an Administrative Law Judge (ALJ) to adjudicate the matter and submit a recommended decision (Recommended Decision) to the PAPUC. In April 2021, the ALJ issued a Recommended Decision concluding Twin Lakes has fully met the criteria for the PAPUC to order the acquisition of Twin Lakes by a public utility pursuant to Section 529. The ALJ, however, recommended that the PAPUC condition the acquisition of Twin Lakes pursuant to Section 529 upon Twin Lakes’ parent, Middlesex, contributing $1.7 million to an escrow account for the purpose of offsetting future capital expenditures assumed by the ALJ to be incurred by the ultimate purchaser of the Twin Lakes water system. The sale price and final agreement to sell Twin Lakes would be subsequently negotiated. In May 2021, Twin Lakes filed a brief with the PAPUC detailing its objections to certain of the ALJ’s conclusions.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Twin Lakes remains under the operation of a large PAPUC regulated investor-owned water utility as the receiver, which had been appointed by the PAPUC under an Order effective January 15, 2021. The receivership is to remain in place until the final outcome of the Section 529 proceeding.</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unknown at this time if the PAPUC will affirm or deny the Recommended Decision in whole, or in part. Separate from the disposition of this matter by the PAPUC, or any further litigation which may proceed beyond the PAPUC’s final decision, the financial results, total assets and financial obligations of Twin Lakes are not material to Middlesex.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Capitalization</w:t>
      </w:r>
    </w:p>
    <w:p>
      <w:pPr>
        <w:spacing w:after="0" w:line="2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Common Stock - </w:t>
      </w:r>
      <w:r>
        <w:rPr>
          <w:rFonts w:ascii="Arial" w:cs="Arial" w:eastAsia="Arial" w:hAnsi="Arial"/>
          <w:sz w:val="16"/>
          <w:szCs w:val="16"/>
          <w:color w:val="auto"/>
        </w:rPr>
        <w:t>During the nine months ended September 30, 2021 and 2020, there were 10,641 common shares (approximately $0.9 million) and</w:t>
      </w:r>
      <w:r>
        <w:rPr>
          <w:rFonts w:ascii="Arial" w:cs="Arial" w:eastAsia="Arial" w:hAnsi="Arial"/>
          <w:sz w:val="16"/>
          <w:szCs w:val="16"/>
          <w:b w:val="1"/>
          <w:bCs w:val="1"/>
          <w:color w:val="auto"/>
        </w:rPr>
        <w:t xml:space="preserve"> </w:t>
      </w:r>
      <w:r>
        <w:rPr>
          <w:rFonts w:ascii="Arial" w:cs="Arial" w:eastAsia="Arial" w:hAnsi="Arial"/>
          <w:sz w:val="16"/>
          <w:szCs w:val="16"/>
          <w:color w:val="auto"/>
        </w:rPr>
        <w:t>14,223 common shares (approximately $0.9 million), respectively, issued under the Middlesex Water Company Investment Plan (the Investment Plan). On September 1, 2021, the Company began offering shares of its common stock for purchase at a 3% discount to participants in the Investment Plan. The discount offering will continue until 200,000 shares are purchased at the discounted price or August 1, 2022, whichever event occurs first. The discount applies to all common stock purchases made under the Investment Plan, whether by optional cash payment or by dividend reinvestment.</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Long-term Debt - </w:t>
      </w:r>
      <w:r>
        <w:rPr>
          <w:rFonts w:ascii="Arial" w:cs="Arial" w:eastAsia="Arial" w:hAnsi="Arial"/>
          <w:sz w:val="18"/>
          <w:szCs w:val="18"/>
          <w:color w:val="auto"/>
        </w:rPr>
        <w:t>Subject to regulatory approval, the Company periodically issues long-term debt to fund its investments in utility plant.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 the Company finances qualifying capital projects under State Revolving Fund (SRF) loan programs in New Jersey and Delaware. These government programs provide financing at interest rates that are typically below rates available in the broader financial markets. A portion of the borrowings under the New Jersey SRF is interest-free. Under the New Jersey SRF program, borrowers first enter into a construction loan agreement with the New Jersey Infrastructure Bank (NJIB) and submit requisitions for cost reimbursements over the life of the construction period. The interest rate on the Company’s current construction loan borrowings is near zero percent.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term of the long-term loans currently offered through the NJIB is up to thirty years. Under the Delaware SRF program, borrowers typically enter into a long-term note agreement for a term not to exceed twenty years and submit requisitions for cost reimbursements for up to two years after the agreement is executed.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Middlesex currently has two projects that are in the construction loan phase of the New Jersey SRF program:</w:t>
      </w:r>
    </w:p>
    <w:p>
      <w:pPr>
        <w:spacing w:after="0" w:line="171" w:lineRule="exact"/>
        <w:rPr>
          <w:sz w:val="20"/>
          <w:szCs w:val="20"/>
          <w:color w:val="auto"/>
        </w:rPr>
      </w:pPr>
    </w:p>
    <w:p>
      <w:pPr>
        <w:jc w:val="both"/>
        <w:ind w:left="840" w:right="20" w:hanging="508"/>
        <w:spacing w:after="0" w:line="259"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2018, the NJBPU approved Middlesex’s request to participate in the NJIB loan program to fund the construction of a 4.5 mile large-diameter transmission pipeline from the Carl J. Olsen water treatment plant in Edison, New Jersey and interconnect with our distribution system. Middlesex closed on a $43.5 million NJIB interest-free construction loan in August 2018 and completed withdrawal of the proceeds in June 2021.</w:t>
      </w:r>
    </w:p>
    <w:p>
      <w:pPr>
        <w:spacing w:after="0" w:line="132" w:lineRule="exact"/>
        <w:rPr>
          <w:rFonts w:ascii="Arial" w:cs="Arial" w:eastAsia="Arial" w:hAnsi="Arial"/>
          <w:sz w:val="18"/>
          <w:szCs w:val="18"/>
          <w:color w:val="auto"/>
        </w:rPr>
      </w:pPr>
    </w:p>
    <w:p>
      <w:pPr>
        <w:jc w:val="both"/>
        <w:ind w:left="840" w:hanging="508"/>
        <w:spacing w:after="0" w:line="263"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March 2018, the NJBPU approved Middlesex’s request to participate in the NJIB loan program to fund the 2018 RENEW Program, which is an ongoing initiative to eliminate unlined water distribution mains in the Middlesex system. Middlesex closed on an $8.7 million NJIB construction loan in September 2018 and completed withdrawal of the proceeds in October 2019.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anticipates that these two construction loans will be converted into long-term securitized loans by the NJIB by December 31, 2021.</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2021, Tidewater filed an application with the DEPSC seeking approval to borrow up to $5.0 million under the Delaware SRF Program for construction of a one million gallon elevated storage tank. If approved by the DEPSC, Tidewater expects to close on the loan in 2021 and complete the project in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2021, Middlesex received approval from the NJBPU to redeem up to $45.5 million of outstanding first mortgage bonds, and issue replacement first mortgage bonds (FMBs) at an overall lower cost of debt. Middlesex expects to complete the redemption and replacement in November 2021 through a private placement loan of $45.5 million with a payment maturity date of November 2051 and an interest rate of 2.90%. Proceeds from the loan will be used to complete the redemption of the Series RR ($22.5 million) and the Series SS ($23.0 million) FMBs.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2021, Tidewater entered into a loan agreement with CoBank, ACB pursuant to which Tidewater borrowed $20.0 million in September 2021 at an interest rate of 3.94% with a payment maturity date of September 2046. Proceeds from the loan were used to reduce the Company’s existing short-term borrowing balances under its lines of credit.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Middlesex received approval from the NJBPU to borrow up to $100 million, in one or more private placement transactions through December 31, 2023 to help fund Middlesex’s multi-year capital construction program. Completed or pending transactions totaling $59.5 million are detailed as follows:</w:t>
      </w:r>
    </w:p>
    <w:p>
      <w:pPr>
        <w:spacing w:after="0" w:line="130" w:lineRule="exact"/>
        <w:rPr>
          <w:sz w:val="20"/>
          <w:szCs w:val="20"/>
          <w:color w:val="auto"/>
        </w:rPr>
      </w:pPr>
    </w:p>
    <w:p>
      <w:pPr>
        <w:jc w:val="both"/>
        <w:ind w:left="840" w:hanging="508"/>
        <w:spacing w:after="0" w:line="263"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November 2020, Middlesex closed on a $40 million private placement loan with a payment maturity date of November 2050 and an interest rate of 2.90% by issuing FMBs designated as Series 2020A. Proceeds from this loan were used to reduce the Company’s existing short-term borrowings under its lines of credit and to fund the 2020 capital program.</w:t>
      </w:r>
    </w:p>
    <w:p>
      <w:pPr>
        <w:spacing w:after="0" w:line="129" w:lineRule="exact"/>
        <w:rPr>
          <w:rFonts w:ascii="Arial" w:cs="Arial" w:eastAsia="Arial" w:hAnsi="Arial"/>
          <w:sz w:val="18"/>
          <w:szCs w:val="18"/>
          <w:color w:val="auto"/>
        </w:rPr>
      </w:pPr>
    </w:p>
    <w:p>
      <w:pPr>
        <w:jc w:val="both"/>
        <w:ind w:left="840" w:hanging="508"/>
        <w:spacing w:after="0" w:line="263"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November 2021, Middlesex expects to close on a $19.5 million private placement loan with a payment maturity date of November 2041 and an interest rate of 2.79%. Proceeds from this loan will be used to reduce the Company’s existing short-term borrowings under its bank lines of credit.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August 2019, Middlesex closed on a NJEDA debt financing transaction of $53.7 million by issuing FMBs designated as Series 2019A ($32.5 million at coupon interest rate of 4.0%) and Series 2019B ($21.2 million at coupon interest rate of 5.0%). The proceeds, including an issuance premium of $7.1 million, were used to finance several projects under the Water For Tomorrow capital program initiated by the Company to upgrade and replace aging water utility infrastructure. The proceeds were initially recorded as Restricted Cash on the balance sheet and held in escrow by a bond trustee. Funds were drawn down by requisition for the qualifying projects as costs were incurred with the final requisition made in February 2021.</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Fair Value of Financial Instruments - </w:t>
      </w:r>
      <w:r>
        <w:rPr>
          <w:rFonts w:ascii="Arial" w:cs="Arial" w:eastAsia="Arial" w:hAnsi="Arial"/>
          <w:sz w:val="18"/>
          <w:szCs w:val="18"/>
          <w:color w:val="auto"/>
        </w:rPr>
        <w:t>The following methods and assumptions were used by the Company in estimating its fair value disclosure for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for which it is practicable to estimate that value. The carrying amounts reflected in the condensed consolidated balance sheets for cash and cash equivalents, trade receivables, accounts payable and notes payable approximate their respective fair values due to the short-term maturities of these instruments. The fair value of FMBs and SRF Bonds (collectively, the Bonds) issued by Middlesex is based on quoted market prices for similar publicly traded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80" w:type="dxa"/>
            <w:vAlign w:val="bottom"/>
            <w:gridSpan w:val="2"/>
          </w:tcPr>
          <w:p>
            <w:pPr>
              <w:ind w:left="2020"/>
              <w:spacing w:after="0"/>
              <w:rPr>
                <w:sz w:val="20"/>
                <w:szCs w:val="20"/>
                <w:color w:val="auto"/>
              </w:rPr>
            </w:pPr>
            <w:r>
              <w:rPr>
                <w:rFonts w:ascii="Arial" w:cs="Arial" w:eastAsia="Arial" w:hAnsi="Arial"/>
                <w:sz w:val="18"/>
                <w:szCs w:val="18"/>
                <w:color w:val="auto"/>
              </w:rPr>
              <w:t>September 30, 2021</w:t>
            </w:r>
          </w:p>
        </w:tc>
        <w:tc>
          <w:tcPr>
            <w:tcW w:w="2680" w:type="dxa"/>
            <w:vAlign w:val="bottom"/>
            <w:gridSpan w:val="2"/>
          </w:tcPr>
          <w:p>
            <w:pPr>
              <w:ind w:left="640"/>
              <w:spacing w:after="0"/>
              <w:rPr>
                <w:sz w:val="20"/>
                <w:szCs w:val="20"/>
                <w:color w:val="auto"/>
              </w:rPr>
            </w:pPr>
            <w:r>
              <w:rPr>
                <w:rFonts w:ascii="Arial" w:cs="Arial" w:eastAsia="Arial" w:hAnsi="Arial"/>
                <w:sz w:val="18"/>
                <w:szCs w:val="18"/>
                <w:color w:val="auto"/>
              </w:rPr>
              <w:t>December 31, 2020</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w w:val="94"/>
              </w:rPr>
              <w:t>Carrying</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Fair</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Fair</w:t>
            </w:r>
          </w:p>
        </w:tc>
      </w:tr>
      <w:tr>
        <w:trPr>
          <w:trHeight w:val="230"/>
        </w:trPr>
        <w:tc>
          <w:tcPr>
            <w:tcW w:w="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color w:val="auto"/>
                <w:w w:val="93"/>
              </w:rPr>
              <w:t>Amount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Value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Value</w:t>
            </w: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27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0"/>
              </w:rPr>
              <w:t>$121,828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$130,665</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$147,667</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$159,195</w:t>
            </w:r>
          </w:p>
        </w:tc>
      </w:tr>
    </w:tbl>
    <w:p>
      <w:pPr>
        <w:spacing w:after="0" w:line="2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other long-term debt for which there was no quoted market price and there is not an active trading market, it was not practicable to estimate their fair value (for details, including carrying value, interest rates and due dates on these series of long-term debt, please refer to those series noted as “Amortizing Secured Notes”, “State Revolving Trust Notes”, “State Revolving Fund Bond” and “Construction Loans” on the Condensed Consolidated Statements of Capital Stock and Long-Term Debt). The carrying amount of these instruments was $148.4 million and $129.6 million at September 30, 2021 and December 31, 2020,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Customer advances for construction have carrying amounts of $23.5 million and $23.4 million at September 30, 2021 and 2020, respectively. Their relative fair values cannot be accurately estimated since future refund payments depend on several variables, including new customer connections, customer consumption levels and future rate increases.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(EPS) are computed on the basis of the weighted average number of shares outstanding during the period presented. Diluted EPS assumes the conversion of the Convertible Preferred Stock $7.00 Series.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gridSpan w:val="4"/>
          </w:tcPr>
          <w:p>
            <w:pPr>
              <w:jc w:val="center"/>
              <w:ind w:left="710"/>
              <w:spacing w:after="0"/>
              <w:rPr>
                <w:sz w:val="20"/>
                <w:szCs w:val="20"/>
                <w:color w:val="auto"/>
              </w:rPr>
            </w:pPr>
            <w:r>
              <w:rPr>
                <w:rFonts w:ascii="Arial" w:cs="Arial" w:eastAsia="Arial" w:hAnsi="Arial"/>
                <w:sz w:val="18"/>
                <w:szCs w:val="18"/>
                <w:color w:val="auto"/>
                <w:w w:val="90"/>
              </w:rPr>
              <w:t>(In Thousands Except per Share Amounts)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gridSpan w:val="4"/>
          </w:tcPr>
          <w:p>
            <w:pPr>
              <w:jc w:val="center"/>
              <w:ind w:left="710"/>
              <w:spacing w:after="0"/>
              <w:rPr>
                <w:sz w:val="20"/>
                <w:szCs w:val="20"/>
                <w:color w:val="auto"/>
              </w:rPr>
            </w:pPr>
            <w:r>
              <w:rPr>
                <w:rFonts w:ascii="Arial" w:cs="Arial" w:eastAsia="Arial" w:hAnsi="Arial"/>
                <w:sz w:val="18"/>
                <w:szCs w:val="18"/>
                <w:color w:val="auto"/>
                <w:w w:val="89"/>
              </w:rPr>
              <w:t>Three Months Ended September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Basic:</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2021</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Income</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11,476</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17,491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12,737</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17,466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(30)</w:t>
            </w:r>
          </w:p>
        </w:tc>
        <w:tc>
          <w:tcPr>
            <w:tcW w:w="1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11,446</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17,491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12,707</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17,466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0.65</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0.73</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11,446</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17,491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12,707</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17,466</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Adjusted 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11,463</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17,606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12,724</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17,581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0.65</w:t>
            </w:r>
          </w:p>
        </w:tc>
        <w:tc>
          <w:tcPr>
            <w:tcW w:w="122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0.72</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gridSpan w:val="4"/>
          </w:tcPr>
          <w:p>
            <w:pPr>
              <w:jc w:val="center"/>
              <w:ind w:left="710"/>
              <w:spacing w:after="0"/>
              <w:rPr>
                <w:sz w:val="20"/>
                <w:szCs w:val="20"/>
                <w:color w:val="auto"/>
              </w:rPr>
            </w:pPr>
            <w:r>
              <w:rPr>
                <w:rFonts w:ascii="Arial" w:cs="Arial" w:eastAsia="Arial" w:hAnsi="Arial"/>
                <w:sz w:val="18"/>
                <w:szCs w:val="18"/>
                <w:color w:val="auto"/>
                <w:w w:val="90"/>
              </w:rPr>
              <w:t>(In Thousands Except per Share Amounts)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60" w:type="dxa"/>
            <w:vAlign w:val="bottom"/>
            <w:gridSpan w:val="3"/>
          </w:tcPr>
          <w:p>
            <w:pPr>
              <w:jc w:val="center"/>
              <w:ind w:right="430"/>
              <w:spacing w:after="0"/>
              <w:rPr>
                <w:sz w:val="20"/>
                <w:szCs w:val="20"/>
                <w:color w:val="auto"/>
              </w:rPr>
            </w:pPr>
            <w:r>
              <w:rPr>
                <w:rFonts w:ascii="Arial" w:cs="Arial" w:eastAsia="Arial" w:hAnsi="Arial"/>
                <w:sz w:val="18"/>
                <w:szCs w:val="18"/>
                <w:color w:val="auto"/>
                <w:w w:val="90"/>
              </w:rPr>
              <w:t>Nine Months Ended September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Basic:</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2021</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Income</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29,305</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17,485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30,118</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17,455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(90)</w:t>
            </w:r>
          </w:p>
        </w:tc>
        <w:tc>
          <w:tcPr>
            <w:tcW w:w="1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29,215</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17,485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30,028</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17,455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1.67</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1.72</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29,215</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17,485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30,028</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17,455</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50</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50</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Adjusted 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29,265</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17,600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30,078</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17,570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1.66</w:t>
            </w:r>
          </w:p>
        </w:tc>
        <w:tc>
          <w:tcPr>
            <w:tcW w:w="122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1.71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400" w:type="dxa"/>
            <w:vAlign w:val="bottom"/>
          </w:tcPr>
          <w:p>
            <w:pPr>
              <w:spacing w:after="0"/>
              <w:rPr>
                <w:sz w:val="20"/>
                <w:szCs w:val="20"/>
                <w:color w:val="auto"/>
              </w:rPr>
            </w:pPr>
            <w:r>
              <w:rPr>
                <w:rFonts w:ascii="Arial" w:cs="Arial" w:eastAsia="Arial" w:hAnsi="Arial"/>
                <w:sz w:val="18"/>
                <w:szCs w:val="18"/>
                <w:b w:val="1"/>
                <w:bCs w:val="1"/>
                <w:color w:val="auto"/>
              </w:rPr>
              <w:t>Note 5 – Business Segment Data</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New Jersey and Delaware with respect to utility services within these states. The other segment is primarily comprised of non-regulated contract services for the operation and maintenance of municipal and private water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wastewater systems 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gridSpan w:val="4"/>
          </w:tcPr>
          <w:p>
            <w:pPr>
              <w:jc w:val="right"/>
              <w:ind w:right="730"/>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40" w:type="dxa"/>
            <w:vAlign w:val="bottom"/>
            <w:gridSpan w:val="4"/>
          </w:tcPr>
          <w:p>
            <w:pPr>
              <w:jc w:val="right"/>
              <w:ind w:right="57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66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54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30,</w:t>
            </w:r>
          </w:p>
        </w:tc>
        <w:tc>
          <w:tcPr>
            <w:tcW w:w="4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color w:val="auto"/>
                <w:w w:val="88"/>
              </w:rPr>
              <w:t>September 30,</w:t>
            </w:r>
          </w:p>
        </w:tc>
      </w:tr>
      <w:tr>
        <w:trPr>
          <w:trHeight w:val="209"/>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Operations by Segments: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2020</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37,396</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37,041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100,426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98,267</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2,995</w:t>
            </w:r>
          </w:p>
        </w:tc>
        <w:tc>
          <w:tcPr>
            <w:tcW w:w="56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3,204</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9,657</w:t>
            </w: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9,345</w:t>
            </w:r>
          </w:p>
        </w:tc>
      </w:tr>
      <w:tr>
        <w:trPr>
          <w:trHeight w:val="216"/>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Consolidated Revenues</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39,874</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39,920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109,117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106,965</w:t>
            </w:r>
          </w:p>
        </w:tc>
      </w:tr>
      <w:tr>
        <w:trPr>
          <w:trHeight w:val="209"/>
        </w:trPr>
        <w:tc>
          <w:tcPr>
            <w:tcW w:w="5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10,654</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12,119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26,598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770</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1,058</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2,490</w:t>
            </w: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11,424</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13,177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29,088</w:t>
            </w:r>
          </w:p>
        </w:tc>
      </w:tr>
      <w:tr>
        <w:trPr>
          <w:trHeight w:val="209"/>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10,924</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11,993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27,271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28,364</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552</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744</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1,754</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11,476</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12,737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29,305</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30,118</w:t>
            </w:r>
          </w:p>
        </w:tc>
      </w:tr>
      <w:tr>
        <w:trPr>
          <w:trHeight w:val="210"/>
        </w:trPr>
        <w:tc>
          <w:tcPr>
            <w:tcW w:w="5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14,743</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25,266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70,398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w:t>
            </w: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14,745</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25,367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61,245</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70,785</w:t>
            </w:r>
          </w:p>
        </w:tc>
      </w:tr>
      <w:tr>
        <w:trPr>
          <w:trHeight w:val="371"/>
        </w:trPr>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gridSpan w:val="2"/>
          </w:tcPr>
          <w:p>
            <w:pPr>
              <w:jc w:val="right"/>
              <w:ind w:right="750"/>
              <w:spacing w:after="0"/>
              <w:rPr>
                <w:sz w:val="20"/>
                <w:szCs w:val="20"/>
                <w:color w:val="auto"/>
              </w:rPr>
            </w:pPr>
            <w:r>
              <w:rPr>
                <w:rFonts w:ascii="Arial" w:cs="Arial" w:eastAsia="Arial" w:hAnsi="Arial"/>
                <w:sz w:val="18"/>
                <w:szCs w:val="18"/>
                <w:color w:val="auto"/>
              </w:rPr>
              <w:t>As of</w:t>
            </w:r>
          </w:p>
        </w:tc>
        <w:tc>
          <w:tcPr>
            <w:tcW w:w="38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As of</w:t>
            </w:r>
          </w:p>
        </w:tc>
      </w:tr>
      <w:tr>
        <w:trPr>
          <w:trHeight w:val="230"/>
        </w:trPr>
        <w:tc>
          <w:tcPr>
            <w:tcW w:w="5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w w:val="95"/>
              </w:rPr>
              <w:t>September 30, 2021</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December 31, 2020</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w w:val="94"/>
              </w:rPr>
              <w:t>1,037,503</w:t>
            </w:r>
          </w:p>
        </w:tc>
        <w:tc>
          <w:tcPr>
            <w:tcW w:w="38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998,932</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7,592</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8,289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Inter-segment Elimination</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(15,503)</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(30,751)</w:t>
            </w: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4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4"/>
              </w:rPr>
              <w:t>1,029,592</w:t>
            </w:r>
          </w:p>
        </w:tc>
        <w:tc>
          <w:tcPr>
            <w:tcW w:w="380" w:type="dxa"/>
            <w:vAlign w:val="bottom"/>
            <w:tcBorders>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976,470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Short-term Borrowings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lines of credit aggregating $110.0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3"/>
          </w:tcPr>
          <w:p>
            <w:pPr>
              <w:jc w:val="right"/>
              <w:ind w:right="850"/>
              <w:spacing w:after="0"/>
              <w:rPr>
                <w:sz w:val="20"/>
                <w:szCs w:val="20"/>
                <w:color w:val="auto"/>
              </w:rPr>
            </w:pPr>
            <w:r>
              <w:rPr>
                <w:rFonts w:ascii="Arial" w:cs="Arial" w:eastAsia="Arial" w:hAnsi="Arial"/>
                <w:sz w:val="18"/>
                <w:szCs w:val="18"/>
                <w:color w:val="auto"/>
              </w:rPr>
              <w:t>(Millions)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3"/>
          </w:tcPr>
          <w:p>
            <w:pPr>
              <w:jc w:val="right"/>
              <w:ind w:right="270"/>
              <w:spacing w:after="0"/>
              <w:rPr>
                <w:sz w:val="20"/>
                <w:szCs w:val="20"/>
                <w:color w:val="auto"/>
              </w:rPr>
            </w:pPr>
            <w:r>
              <w:rPr>
                <w:rFonts w:ascii="Arial" w:cs="Arial" w:eastAsia="Arial" w:hAnsi="Arial"/>
                <w:sz w:val="18"/>
                <w:szCs w:val="18"/>
                <w:color w:val="auto"/>
              </w:rPr>
              <w:t>As of September 30, 2021</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Outstanding</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Available</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Maximum</w:t>
            </w: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Credit Type</w:t>
            </w:r>
          </w:p>
        </w:tc>
        <w:tc>
          <w:tcPr>
            <w:tcW w:w="18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Renewal Date</w:t>
            </w: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Uncommitted</w:t>
            </w: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January 27, 2022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PNC Bank</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68.0</w:t>
            </w:r>
          </w:p>
        </w:tc>
        <w:tc>
          <w:tcPr>
            <w:tcW w:w="1220" w:type="dxa"/>
            <w:vAlign w:val="bottom"/>
          </w:tcPr>
          <w:p>
            <w:pPr>
              <w:ind w:left="100"/>
              <w:spacing w:after="0"/>
              <w:rPr>
                <w:sz w:val="20"/>
                <w:szCs w:val="20"/>
                <w:color w:val="auto"/>
              </w:rPr>
            </w:pPr>
            <w:r>
              <w:rPr>
                <w:rFonts w:ascii="Arial" w:cs="Arial" w:eastAsia="Arial" w:hAnsi="Arial"/>
                <w:sz w:val="18"/>
                <w:szCs w:val="18"/>
                <w:color w:val="auto"/>
              </w:rPr>
              <w:t>Committed</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January 31, 2023</w:t>
            </w:r>
          </w:p>
        </w:tc>
      </w:tr>
      <w:tr>
        <w:trPr>
          <w:trHeight w:val="216"/>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CoBank</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Committed</w:t>
            </w:r>
          </w:p>
        </w:tc>
        <w:tc>
          <w:tcPr>
            <w:tcW w:w="1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November 30, 2023</w:t>
            </w:r>
          </w:p>
        </w:tc>
      </w:tr>
      <w:tr>
        <w:trPr>
          <w:trHeight w:val="209"/>
        </w:trPr>
        <w:tc>
          <w:tcPr>
            <w:tcW w:w="416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110.0</w:t>
            </w: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416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1220" w:type="dxa"/>
            <w:vAlign w:val="bottom"/>
            <w:tcBorders>
              <w:bottom w:val="single" w:sz="8" w:color="EEEEEE"/>
            </w:tcBorders>
          </w:tcPr>
          <w:p>
            <w:pPr>
              <w:spacing w:after="0"/>
              <w:rPr>
                <w:sz w:val="17"/>
                <w:szCs w:val="17"/>
                <w:color w:val="auto"/>
              </w:rPr>
            </w:pPr>
          </w:p>
        </w:tc>
        <w:tc>
          <w:tcPr>
            <w:tcW w:w="17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for borrowings under the lines of credit is set using the London InterBank Offered Rate (LIBOR) and adding a credit spread, which varies by financial institution. There is no requirement for a compensating balance under any of the established lines of credit. Each of the lines of credit includes a provision for a replacement benchmark for when LIBOR is fully phased-out and no longer available to set the interest rate on borrowings under these lines of credit.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the outstanding borrowings at September 30, 2021 under these credit lines is 1.01%.</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borrowings outstanding under the Company’s lines of credit and the weighted average interest rates on those amounts were as follows:</w:t>
      </w:r>
    </w:p>
    <w:p>
      <w:pPr>
        <w:spacing w:after="0" w:line="13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3"/>
          </w:tcPr>
          <w:p>
            <w:pPr>
              <w:jc w:val="right"/>
              <w:ind w:right="250"/>
              <w:spacing w:after="0"/>
              <w:rPr>
                <w:sz w:val="20"/>
                <w:szCs w:val="20"/>
                <w:color w:val="auto"/>
              </w:rPr>
            </w:pPr>
            <w:r>
              <w:rPr>
                <w:rFonts w:ascii="Arial" w:cs="Arial" w:eastAsia="Arial" w:hAnsi="Arial"/>
                <w:sz w:val="18"/>
                <w:szCs w:val="18"/>
                <w:color w:val="auto"/>
                <w:w w:val="95"/>
              </w:rPr>
              <w:t>Three Months Ended</w:t>
            </w:r>
          </w:p>
        </w:tc>
        <w:tc>
          <w:tcPr>
            <w:tcW w:w="200" w:type="dxa"/>
            <w:vAlign w:val="bottom"/>
          </w:tcPr>
          <w:p>
            <w:pPr>
              <w:spacing w:after="0"/>
              <w:rPr>
                <w:sz w:val="18"/>
                <w:szCs w:val="18"/>
                <w:color w:val="auto"/>
              </w:rPr>
            </w:pPr>
          </w:p>
        </w:tc>
        <w:tc>
          <w:tcPr>
            <w:tcW w:w="1980" w:type="dxa"/>
            <w:vAlign w:val="bottom"/>
            <w:gridSpan w:val="3"/>
          </w:tcPr>
          <w:p>
            <w:pPr>
              <w:jc w:val="right"/>
              <w:ind w:right="310"/>
              <w:spacing w:after="0"/>
              <w:rPr>
                <w:sz w:val="20"/>
                <w:szCs w:val="20"/>
                <w:color w:val="auto"/>
              </w:rPr>
            </w:pPr>
            <w:r>
              <w:rPr>
                <w:rFonts w:ascii="Arial" w:cs="Arial" w:eastAsia="Arial" w:hAnsi="Arial"/>
                <w:sz w:val="18"/>
                <w:szCs w:val="18"/>
                <w:color w:val="auto"/>
                <w:w w:val="98"/>
              </w:rPr>
              <w:t>Nine Months Ended</w:t>
            </w: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3"/>
          </w:tcPr>
          <w:p>
            <w:pPr>
              <w:jc w:val="right"/>
              <w:ind w:right="49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8"/>
                <w:szCs w:val="18"/>
                <w:color w:val="auto"/>
              </w:rPr>
            </w:pPr>
          </w:p>
        </w:tc>
        <w:tc>
          <w:tcPr>
            <w:tcW w:w="198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r>
      <w:tr>
        <w:trPr>
          <w:trHeight w:val="230"/>
        </w:trPr>
        <w:tc>
          <w:tcPr>
            <w:tcW w:w="3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0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Amounts Outstanding</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40,543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35,576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22,841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31,372</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Weighted Average Interest Rates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r>
    </w:tbl>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$50.0 million of loans under the lines of credit outstanding as of September 30, 2021 mature in October 2021 and November 2021, and, if needed, were or will be renewed and rolled over by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Contingent Liabilities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Water Supply - </w:t>
      </w:r>
      <w:r>
        <w:rPr>
          <w:rFonts w:ascii="Arial" w:cs="Arial" w:eastAsia="Arial" w:hAnsi="Arial"/>
          <w:sz w:val="18"/>
          <w:szCs w:val="18"/>
          <w:color w:val="auto"/>
        </w:rPr>
        <w:t>Middlesex has an agreement with the New Jersey Water Supply Authority (NJWSA) for the purchase of untreated water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Middlesex has an agreement with a non-affiliated water utility for the purchase of treated water. This agreement, which expires February 27, 2026, provides for the minimum purchase of 3.0 mgd of treated water with provisions for additional purchases.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15.0 million gallons of treated water annually.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Purchased water costs are shown below:</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1"/>
        </w:trPr>
        <w:tc>
          <w:tcPr>
            <w:tcW w:w="1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3"/>
          </w:tcPr>
          <w:p>
            <w:pPr>
              <w:jc w:val="right"/>
              <w:ind w:right="43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3"/>
          </w:tcPr>
          <w:p>
            <w:pPr>
              <w:jc w:val="right"/>
              <w:ind w:right="250"/>
              <w:spacing w:after="0"/>
              <w:rPr>
                <w:sz w:val="20"/>
                <w:szCs w:val="20"/>
                <w:color w:val="auto"/>
              </w:rPr>
            </w:pPr>
            <w:r>
              <w:rPr>
                <w:rFonts w:ascii="Arial" w:cs="Arial" w:eastAsia="Arial" w:hAnsi="Arial"/>
                <w:sz w:val="18"/>
                <w:szCs w:val="18"/>
                <w:color w:val="auto"/>
                <w:w w:val="91"/>
              </w:rPr>
              <w:t>Three Months Ended</w:t>
            </w:r>
          </w:p>
        </w:tc>
        <w:tc>
          <w:tcPr>
            <w:tcW w:w="240" w:type="dxa"/>
            <w:vAlign w:val="bottom"/>
          </w:tcPr>
          <w:p>
            <w:pPr>
              <w:spacing w:after="0"/>
              <w:rPr>
                <w:sz w:val="18"/>
                <w:szCs w:val="18"/>
                <w:color w:val="auto"/>
              </w:rPr>
            </w:pPr>
          </w:p>
        </w:tc>
        <w:tc>
          <w:tcPr>
            <w:tcW w:w="1940" w:type="dxa"/>
            <w:vAlign w:val="bottom"/>
            <w:gridSpan w:val="3"/>
          </w:tcPr>
          <w:p>
            <w:pPr>
              <w:jc w:val="right"/>
              <w:ind w:right="310"/>
              <w:spacing w:after="0"/>
              <w:rPr>
                <w:sz w:val="20"/>
                <w:szCs w:val="20"/>
                <w:color w:val="auto"/>
              </w:rPr>
            </w:pPr>
            <w:r>
              <w:rPr>
                <w:rFonts w:ascii="Arial" w:cs="Arial" w:eastAsia="Arial" w:hAnsi="Arial"/>
                <w:sz w:val="18"/>
                <w:szCs w:val="18"/>
                <w:color w:val="auto"/>
                <w:w w:val="96"/>
              </w:rPr>
              <w:t>Nine Months Ended</w:t>
            </w:r>
          </w:p>
        </w:tc>
      </w:tr>
      <w:tr>
        <w:trPr>
          <w:trHeight w:val="216"/>
        </w:trPr>
        <w:tc>
          <w:tcPr>
            <w:tcW w:w="17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3"/>
          </w:tcPr>
          <w:p>
            <w:pPr>
              <w:jc w:val="right"/>
              <w:ind w:right="49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8"/>
                <w:szCs w:val="18"/>
                <w:color w:val="auto"/>
              </w:rPr>
            </w:pPr>
          </w:p>
        </w:tc>
        <w:tc>
          <w:tcPr>
            <w:tcW w:w="194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r>
      <w:tr>
        <w:trPr>
          <w:trHeight w:val="230"/>
        </w:trPr>
        <w:tc>
          <w:tcPr>
            <w:tcW w:w="17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10"/>
        </w:trPr>
        <w:tc>
          <w:tcPr>
            <w:tcW w:w="17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Treated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r>
      <w:tr>
        <w:trPr>
          <w:trHeight w:val="216"/>
        </w:trPr>
        <w:tc>
          <w:tcPr>
            <w:tcW w:w="17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Untreated</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r>
      <w:tr>
        <w:trPr>
          <w:trHeight w:val="210"/>
        </w:trPr>
        <w:tc>
          <w:tcPr>
            <w:tcW w:w="1700" w:type="dxa"/>
            <w:vAlign w:val="bottom"/>
          </w:tcPr>
          <w:p>
            <w:pPr>
              <w:spacing w:after="0"/>
              <w:rPr>
                <w:sz w:val="18"/>
                <w:szCs w:val="18"/>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r>
    </w:tbl>
    <w:p>
      <w:pPr>
        <w:spacing w:after="0" w:line="26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Guarantees - </w:t>
      </w:r>
      <w:r>
        <w:rPr>
          <w:rFonts w:ascii="Arial" w:cs="Arial" w:eastAsia="Arial" w:hAnsi="Arial"/>
          <w:sz w:val="17"/>
          <w:szCs w:val="17"/>
          <w:color w:val="auto"/>
        </w:rPr>
        <w:t>As part of an agreement with the County of Monmouth, New Jersey (County), prior to 2020 Middlesex had served as guarantor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an unaffiliated wastewater treatment contractor and partner (Contractor), to operate a County-owned leachate pretreatment facility.</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2019, Middlesex was notified that the County terminated its Agreement with the Contractor. The Contractor had initiated legal action against the County that, in part, contests the County’s exercise of this termination. The County filed a counter-claim against the Contractor’s parent company and has brought Middlesex into the suit as a third-party defendant. We continue to monitor this litigation. However, given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cancellation of the underlying operating contract by the County, the fact that the Company had not been requested by the County to perform under the guarantee and the continuation of the litigation, we do not anticipate the ultimate outcome will have a material impact on the Company’s results of operations or financial condition.</w:t>
      </w:r>
    </w:p>
    <w:p>
      <w:pPr>
        <w:spacing w:after="0" w:line="15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Leases - </w:t>
      </w:r>
      <w:r>
        <w:rPr>
          <w:rFonts w:ascii="Arial" w:cs="Arial" w:eastAsia="Arial" w:hAnsi="Arial"/>
          <w:sz w:val="17"/>
          <w:szCs w:val="17"/>
          <w:color w:val="auto"/>
        </w:rPr>
        <w:t>The Company determines if an arrangement is a lease at inception. Generally, a lease agreement exists if the Company determines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 gives the Company control over the use of an identified asset and obtains substantially all of the benefits from the identified asset.</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impacts of accounting for regulated operations, and the resulting recognition of expense at the amounts recovered in customer rates, expenditures for operating leases are consistent with lease expense and were $0.2 million for each of the three months ended September 30, 2021 and 2020, respectively and $0.6 million for each of the nine months ended September 30, 2021 and 2020,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w w:val="92"/>
              </w:rPr>
              <w:t>Information related to operating lease ROU assets and lease liabilities is as follows:</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77"/>
        </w:trPr>
        <w:tc>
          <w:tcPr>
            <w:tcW w:w="11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3"/>
          </w:tcPr>
          <w:p>
            <w:pPr>
              <w:jc w:val="right"/>
              <w:ind w:right="1450"/>
              <w:spacing w:after="0"/>
              <w:rPr>
                <w:sz w:val="20"/>
                <w:szCs w:val="20"/>
                <w:color w:val="auto"/>
              </w:rPr>
            </w:pPr>
            <w:r>
              <w:rPr>
                <w:rFonts w:ascii="Arial" w:cs="Arial" w:eastAsia="Arial" w:hAnsi="Arial"/>
                <w:sz w:val="18"/>
                <w:szCs w:val="18"/>
                <w:color w:val="auto"/>
              </w:rPr>
              <w:t>(In Millions)</w:t>
            </w:r>
          </w:p>
        </w:tc>
      </w:tr>
      <w:tr>
        <w:trPr>
          <w:trHeight w:val="216"/>
        </w:trPr>
        <w:tc>
          <w:tcPr>
            <w:tcW w:w="11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80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9"/>
              </w:rPr>
              <w:t>September 30, 2021</w:t>
            </w: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December 31, 2020</w:t>
            </w:r>
          </w:p>
        </w:tc>
      </w:tr>
      <w:tr>
        <w:trPr>
          <w:trHeight w:val="210"/>
        </w:trPr>
        <w:tc>
          <w:tcPr>
            <w:tcW w:w="116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ROU Asset at Lease Inception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7.3</w:t>
            </w:r>
          </w:p>
        </w:tc>
      </w:tr>
      <w:tr>
        <w:trPr>
          <w:trHeight w:val="216"/>
        </w:trPr>
        <w:tc>
          <w:tcPr>
            <w:tcW w:w="11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w:t>
            </w:r>
          </w:p>
        </w:tc>
      </w:tr>
      <w:tr>
        <w:trPr>
          <w:trHeight w:val="209"/>
        </w:trPr>
        <w:tc>
          <w:tcPr>
            <w:tcW w:w="116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ROU Asset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5.2</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future minimum operating lease commitments as of September 30, 2021 are as follows: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(In Millions)</w:t>
            </w:r>
          </w:p>
        </w:tc>
      </w:tr>
      <w:tr>
        <w:trPr>
          <w:trHeight w:val="230"/>
        </w:trPr>
        <w:tc>
          <w:tcPr>
            <w:tcW w:w="4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w w:val="88"/>
              </w:rPr>
              <w:t>September 30, 2021</w:t>
            </w:r>
          </w:p>
        </w:tc>
      </w:tr>
      <w:tr>
        <w:trPr>
          <w:trHeight w:val="216"/>
        </w:trPr>
        <w:tc>
          <w:tcPr>
            <w:tcW w:w="40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4080" w:type="dxa"/>
            <w:vAlign w:val="bottom"/>
          </w:tcPr>
          <w:p>
            <w:pPr>
              <w:jc w:val="right"/>
              <w:ind w:right="810"/>
              <w:spacing w:after="0"/>
              <w:rPr>
                <w:sz w:val="20"/>
                <w:szCs w:val="20"/>
                <w:color w:val="auto"/>
              </w:rPr>
            </w:pPr>
            <w:r>
              <w:rPr>
                <w:rFonts w:ascii="Arial" w:cs="Arial" w:eastAsia="Arial" w:hAnsi="Arial"/>
                <w:sz w:val="18"/>
                <w:szCs w:val="18"/>
                <w:color w:val="auto"/>
              </w:rPr>
              <w:t>2022</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0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2023</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080" w:type="dxa"/>
            <w:vAlign w:val="bottom"/>
          </w:tcPr>
          <w:p>
            <w:pPr>
              <w:jc w:val="right"/>
              <w:ind w:right="810"/>
              <w:spacing w:after="0"/>
              <w:rPr>
                <w:sz w:val="20"/>
                <w:szCs w:val="20"/>
                <w:color w:val="auto"/>
              </w:rPr>
            </w:pPr>
            <w:r>
              <w:rPr>
                <w:rFonts w:ascii="Arial" w:cs="Arial" w:eastAsia="Arial" w:hAnsi="Arial"/>
                <w:sz w:val="18"/>
                <w:szCs w:val="18"/>
                <w:color w:val="auto"/>
              </w:rPr>
              <w:t>2024</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0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2025</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080" w:type="dxa"/>
            <w:vAlign w:val="bottom"/>
          </w:tcPr>
          <w:p>
            <w:pPr>
              <w:jc w:val="right"/>
              <w:ind w:right="810"/>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40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Total Lease Payments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080" w:type="dxa"/>
            <w:vAlign w:val="bottom"/>
          </w:tcPr>
          <w:p>
            <w:pPr>
              <w:jc w:val="right"/>
              <w:ind w:right="810"/>
              <w:spacing w:after="0"/>
              <w:rPr>
                <w:sz w:val="20"/>
                <w:szCs w:val="20"/>
                <w:color w:val="auto"/>
              </w:rPr>
            </w:pPr>
            <w:r>
              <w:rPr>
                <w:rFonts w:ascii="Arial" w:cs="Arial" w:eastAsia="Arial" w:hAnsi="Arial"/>
                <w:sz w:val="18"/>
                <w:szCs w:val="18"/>
                <w:color w:val="auto"/>
              </w:rPr>
              <w:t>Imputed Interest</w:t>
            </w:r>
          </w:p>
        </w:tc>
        <w:tc>
          <w:tcPr>
            <w:tcW w:w="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40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Present Value of Lease Payments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080" w:type="dxa"/>
            <w:vAlign w:val="bottom"/>
          </w:tcPr>
          <w:p>
            <w:pPr>
              <w:jc w:val="right"/>
              <w:ind w:right="810"/>
              <w:spacing w:after="0"/>
              <w:rPr>
                <w:sz w:val="20"/>
                <w:szCs w:val="20"/>
                <w:color w:val="auto"/>
              </w:rPr>
            </w:pPr>
            <w:r>
              <w:rPr>
                <w:rFonts w:ascii="Arial" w:cs="Arial" w:eastAsia="Arial" w:hAnsi="Arial"/>
                <w:sz w:val="18"/>
                <w:szCs w:val="18"/>
                <w:color w:val="auto"/>
              </w:rPr>
              <w:t>Less Current Portion*</w:t>
            </w:r>
          </w:p>
        </w:tc>
        <w:tc>
          <w:tcPr>
            <w:tcW w:w="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10"/>
        </w:trPr>
        <w:tc>
          <w:tcPr>
            <w:tcW w:w="40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Non-Current Lease Liability</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40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6910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69105" cy="13716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Construction - </w:t>
      </w:r>
      <w:r>
        <w:rPr>
          <w:rFonts w:ascii="Arial" w:cs="Arial" w:eastAsia="Arial" w:hAnsi="Arial"/>
          <w:sz w:val="16"/>
          <w:szCs w:val="16"/>
          <w:color w:val="auto"/>
        </w:rPr>
        <w:t>Forecasted spending for our construction program in 2021 has been reduced to $77 million due to schedule coordination with contractors</w:t>
      </w:r>
      <w:r>
        <w:rPr>
          <w:rFonts w:ascii="Arial" w:cs="Arial" w:eastAsia="Arial" w:hAnsi="Arial"/>
          <w:sz w:val="16"/>
          <w:szCs w:val="16"/>
          <w:b w:val="1"/>
          <w:bCs w:val="1"/>
          <w:color w:val="auto"/>
        </w:rPr>
        <w:t xml:space="preserve"> </w:t>
      </w:r>
      <w:r>
        <w:rPr>
          <w:rFonts w:ascii="Arial" w:cs="Arial" w:eastAsia="Arial" w:hAnsi="Arial"/>
          <w:sz w:val="16"/>
          <w:szCs w:val="16"/>
          <w:color w:val="auto"/>
        </w:rPr>
        <w:t>and municipalities. The Company has entered into several construction contracts that, in the aggregate, obligate expenditure of an estimated $38 million in the future. The timing and amount of capital expenditures is dependent on project scheduling and refinement of engineering estimates for certain projects.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Contingencies - </w:t>
      </w:r>
      <w:r>
        <w:rPr>
          <w:rFonts w:ascii="Arial" w:cs="Arial" w:eastAsia="Arial" w:hAnsi="Arial"/>
          <w:sz w:val="18"/>
          <w:szCs w:val="18"/>
          <w:color w:val="auto"/>
        </w:rPr>
        <w:t>Based on our operations in the regulated water and wastewater industries, in the normal course of business, the Company is involved in</w:t>
      </w:r>
      <w:r>
        <w:rPr>
          <w:rFonts w:ascii="Arial" w:cs="Arial" w:eastAsia="Arial" w:hAnsi="Arial"/>
          <w:sz w:val="18"/>
          <w:szCs w:val="18"/>
          <w:b w:val="1"/>
          <w:bCs w:val="1"/>
          <w:color w:val="auto"/>
        </w:rPr>
        <w:t xml:space="preserve"> </w:t>
      </w:r>
      <w:r>
        <w:rPr>
          <w:rFonts w:ascii="Arial" w:cs="Arial" w:eastAsia="Arial" w:hAnsi="Arial"/>
          <w:sz w:val="18"/>
          <w:szCs w:val="18"/>
          <w:color w:val="auto"/>
        </w:rPr>
        <w:t>disputes, claims, 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Change in Control Agreements - </w:t>
      </w:r>
      <w:r>
        <w:rPr>
          <w:rFonts w:ascii="Arial" w:cs="Arial" w:eastAsia="Arial" w:hAnsi="Arial"/>
          <w:sz w:val="18"/>
          <w:szCs w:val="18"/>
          <w:color w:val="auto"/>
        </w:rPr>
        <w:t>The Company has Change in Control Agreements with certain of its officers that provide compensation and benefits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of termination of employment in connection with a change in control of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21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Pension Benefits </w:t>
      </w:r>
      <w:r>
        <w:rPr>
          <w:rFonts w:ascii="Arial" w:cs="Arial" w:eastAsia="Arial" w:hAnsi="Arial"/>
          <w:sz w:val="16"/>
          <w:szCs w:val="16"/>
          <w:color w:val="auto"/>
        </w:rPr>
        <w:t>- The Company’s defined benefit pension plan (Pension Plan) participants include all active employees hired prior to April 1, 2007.</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hired after March 31, 2007 are not eligible to participate in this plan, but do participate in a defined contribution plan that provides for a potential annual contribution to the participants’ accounts in an amount at the discretion of the Company. In order to be eligible for a contribution, the participant must be employed by the Company on December 31st of the year to which the contribution relates. For each of the three- and nine-month periods ended September 30, 2021 and 2020, the Company did not make cash contributions to the Pension Plan. The Company expects to make cash contributions of approximately $3.4 million over the remainder of the current calendar year. The Company also maintains an unfunded supplemental retirement benefit plan for certain active and retired Company officers and currently pays $0.4 million in annual benefits to the retired participants.</w:t>
      </w:r>
    </w:p>
    <w:p>
      <w:pPr>
        <w:spacing w:after="0" w:line="1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Other Postretirement Benefits </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retirement plan other than pensions (Other Benefits Plan) covers substantially all currently retired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Employees hired after March 31, 2007 are not eligible to participate in this plan. Coverage includes supplemental healthcare benefits above amounts paid by Medicare and, life insurance. For the three-month and nine-month periods ended September 30, 2021, the Company did not make Other Benefits Plan cash contributions. For the three month period ended September 30, 2020, the Company did not make Other Benefits Plan cash contributions. For nine month period ended September 30, 2020, the Company made Other Benefits Plan cash contributions of $0.3 million. The Company expects to make additional Other Benefits Plan cash contributions of $0.8 million over the remainder of the current calendar year.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relating to the Company’s periodic costs for its employee retirement benefit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3"/>
          </w:tcPr>
          <w:p>
            <w:pPr>
              <w:jc w:val="right"/>
              <w:ind w:right="36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Pension Benefits</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Other Benefits</w:t>
            </w: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900" w:type="dxa"/>
            <w:vAlign w:val="bottom"/>
            <w:gridSpan w:val="5"/>
          </w:tcPr>
          <w:p>
            <w:pPr>
              <w:jc w:val="right"/>
              <w:ind w:right="50"/>
              <w:spacing w:after="0" w:line="195" w:lineRule="exact"/>
              <w:rPr>
                <w:sz w:val="20"/>
                <w:szCs w:val="20"/>
                <w:color w:val="auto"/>
              </w:rPr>
            </w:pPr>
            <w:r>
              <w:rPr>
                <w:rFonts w:ascii="Arial" w:cs="Arial" w:eastAsia="Arial" w:hAnsi="Arial"/>
                <w:sz w:val="18"/>
                <w:szCs w:val="18"/>
                <w:color w:val="auto"/>
                <w:w w:val="94"/>
              </w:rPr>
              <w:t>Three Months Ended September 30,</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5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4"/>
              </w:rPr>
              <w:t>2020</w:t>
            </w:r>
          </w:p>
        </w:tc>
        <w:tc>
          <w:tcPr>
            <w:tcW w:w="20" w:type="dxa"/>
            <w:vAlign w:val="bottom"/>
            <w:tcBorders>
              <w:bottom w:val="single" w:sz="8" w:color="auto"/>
            </w:tcBorders>
          </w:tcPr>
          <w:p>
            <w:pPr>
              <w:spacing w:after="0"/>
              <w:rPr>
                <w:sz w:val="20"/>
                <w:szCs w:val="20"/>
                <w:color w:val="auto"/>
              </w:rPr>
            </w:pPr>
          </w:p>
        </w:tc>
      </w:tr>
      <w:tr>
        <w:trPr>
          <w:trHeight w:val="210"/>
        </w:trPr>
        <w:tc>
          <w:tcPr>
            <w:tcW w:w="5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229</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4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677</w:t>
            </w:r>
          </w:p>
        </w:tc>
        <w:tc>
          <w:tcPr>
            <w:tcW w:w="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309</w:t>
            </w:r>
          </w:p>
        </w:tc>
        <w:tc>
          <w:tcPr>
            <w:tcW w:w="5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(786)</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Amortization of Unrecognized Losses</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717</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c>
          <w:tcPr>
            <w:tcW w:w="20" w:type="dxa"/>
            <w:vAlign w:val="bottom"/>
            <w:tcBorders>
              <w:bottom w:val="single" w:sz="8" w:color="auto"/>
            </w:tcBorders>
          </w:tcPr>
          <w:p>
            <w:pPr>
              <w:spacing w:after="0"/>
              <w:rPr>
                <w:sz w:val="18"/>
                <w:szCs w:val="18"/>
                <w:color w:val="auto"/>
              </w:rPr>
            </w:pP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960" w:type="dxa"/>
            <w:vAlign w:val="bottom"/>
            <w:tcBorders>
              <w:bottom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(116)</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20" w:type="dxa"/>
            <w:vAlign w:val="bottom"/>
            <w:tcBorders>
              <w:bottom w:val="single" w:sz="8" w:color="auto"/>
            </w:tcBorders>
            <w:shd w:val="clear" w:color="auto" w:fill="CCEEFF"/>
          </w:tcPr>
          <w:p>
            <w:pPr>
              <w:spacing w:after="0"/>
              <w:rPr>
                <w:sz w:val="18"/>
                <w:szCs w:val="18"/>
                <w:color w:val="auto"/>
              </w:rPr>
            </w:pPr>
          </w:p>
        </w:tc>
      </w:tr>
      <w:tr>
        <w:trPr>
          <w:trHeight w:val="426"/>
        </w:trPr>
        <w:tc>
          <w:tcPr>
            <w:tcW w:w="54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14</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400" w:type="dxa"/>
            <w:vAlign w:val="bottom"/>
            <w:tcBorders>
              <w:bottom w:val="single" w:sz="8" w:color="EEEEEE"/>
            </w:tcBorders>
          </w:tcPr>
          <w:p>
            <w:pPr>
              <w:spacing w:after="0"/>
              <w:rPr>
                <w:sz w:val="18"/>
                <w:szCs w:val="18"/>
                <w:color w:val="auto"/>
              </w:rPr>
            </w:pPr>
          </w:p>
        </w:tc>
        <w:tc>
          <w:tcPr>
            <w:tcW w:w="480" w:type="dxa"/>
            <w:vAlign w:val="bottom"/>
            <w:tcBorders>
              <w:bottom w:val="single" w:sz="8" w:color="EEEEEE"/>
            </w:tcBorders>
          </w:tcPr>
          <w:p>
            <w:pPr>
              <w:spacing w:after="0"/>
              <w:rPr>
                <w:sz w:val="18"/>
                <w:szCs w:val="18"/>
                <w:color w:val="auto"/>
              </w:rPr>
            </w:pPr>
          </w:p>
        </w:tc>
        <w:tc>
          <w:tcPr>
            <w:tcW w:w="1040" w:type="dxa"/>
            <w:vAlign w:val="bottom"/>
            <w:tcBorders>
              <w:bottom w:val="single" w:sz="8" w:color="EEEEEE"/>
            </w:tcBorders>
          </w:tcPr>
          <w:p>
            <w:pPr>
              <w:spacing w:after="0"/>
              <w:rPr>
                <w:sz w:val="18"/>
                <w:szCs w:val="18"/>
                <w:color w:val="auto"/>
              </w:rPr>
            </w:pPr>
          </w:p>
        </w:tc>
        <w:tc>
          <w:tcPr>
            <w:tcW w:w="380" w:type="dxa"/>
            <w:vAlign w:val="bottom"/>
            <w:tcBorders>
              <w:bottom w:val="single" w:sz="8" w:color="EEEEEE"/>
            </w:tcBorders>
          </w:tcPr>
          <w:p>
            <w:pPr>
              <w:spacing w:after="0"/>
              <w:rPr>
                <w:sz w:val="18"/>
                <w:szCs w:val="18"/>
                <w:color w:val="auto"/>
              </w:rPr>
            </w:pPr>
          </w:p>
        </w:tc>
        <w:tc>
          <w:tcPr>
            <w:tcW w:w="10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860" w:type="dxa"/>
            <w:vAlign w:val="bottom"/>
            <w:tcBorders>
              <w:bottom w:val="single" w:sz="8" w:color="EEEEEE"/>
            </w:tcBorders>
          </w:tcPr>
          <w:p>
            <w:pPr>
              <w:spacing w:after="0"/>
              <w:rPr>
                <w:sz w:val="18"/>
                <w:szCs w:val="18"/>
                <w:color w:val="auto"/>
              </w:rPr>
            </w:pPr>
          </w:p>
        </w:tc>
        <w:tc>
          <w:tcPr>
            <w:tcW w:w="52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c>
          <w:tcPr>
            <w:tcW w:w="84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71"/>
        </w:trPr>
        <w:tc>
          <w:tcPr>
            <w:tcW w:w="320" w:type="dxa"/>
            <w:vAlign w:val="bottom"/>
            <w:tcBorders>
              <w:top w:val="single" w:sz="8" w:color="0000EE"/>
            </w:tcBorders>
          </w:tcPr>
          <w:p>
            <w:pPr>
              <w:spacing w:after="0"/>
              <w:rPr>
                <w:sz w:val="24"/>
                <w:szCs w:val="24"/>
                <w:color w:val="auto"/>
              </w:rPr>
            </w:pPr>
          </w:p>
        </w:tc>
        <w:tc>
          <w:tcPr>
            <w:tcW w:w="5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Pension Benefits</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Other Benefits</w:t>
            </w:r>
          </w:p>
        </w:tc>
        <w:tc>
          <w:tcPr>
            <w:tcW w:w="860" w:type="dxa"/>
            <w:vAlign w:val="bottom"/>
            <w:tcBorders>
              <w:bottom w:val="single" w:sz="8" w:color="auto"/>
            </w:tcBorders>
          </w:tcPr>
          <w:p>
            <w:pPr>
              <w:spacing w:after="0"/>
              <w:rPr>
                <w:sz w:val="20"/>
                <w:szCs w:val="20"/>
                <w:color w:val="auto"/>
              </w:rPr>
            </w:pPr>
          </w:p>
        </w:tc>
      </w:tr>
      <w:tr>
        <w:trPr>
          <w:trHeight w:val="195"/>
        </w:trPr>
        <w:tc>
          <w:tcPr>
            <w:tcW w:w="3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4"/>
          </w:tcPr>
          <w:p>
            <w:pPr>
              <w:jc w:val="right"/>
              <w:ind w:right="70"/>
              <w:spacing w:after="0" w:line="195" w:lineRule="exact"/>
              <w:rPr>
                <w:sz w:val="20"/>
                <w:szCs w:val="20"/>
                <w:color w:val="auto"/>
              </w:rPr>
            </w:pPr>
            <w:r>
              <w:rPr>
                <w:rFonts w:ascii="Arial" w:cs="Arial" w:eastAsia="Arial" w:hAnsi="Arial"/>
                <w:sz w:val="18"/>
                <w:szCs w:val="18"/>
                <w:color w:val="auto"/>
                <w:w w:val="90"/>
              </w:rPr>
              <w:t>Nine Months Ended September 30,</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2021</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4"/>
              </w:rPr>
              <w:t>2020</w:t>
            </w:r>
          </w:p>
        </w:tc>
      </w:tr>
      <w:tr>
        <w:trPr>
          <w:trHeight w:val="210"/>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1,826</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687</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2,030</w:t>
            </w:r>
          </w:p>
        </w:tc>
        <w:tc>
          <w:tcPr>
            <w:tcW w:w="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927</w:t>
            </w:r>
          </w:p>
        </w:tc>
        <w:tc>
          <w:tcPr>
            <w:tcW w:w="5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1,274</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Amortization of Unrecognized Losses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2,151</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396</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1,014</w:t>
            </w:r>
          </w:p>
        </w:tc>
      </w:tr>
      <w:tr>
        <w:trPr>
          <w:trHeight w:val="210"/>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1,468</w:t>
            </w:r>
          </w:p>
        </w:tc>
        <w:tc>
          <w:tcPr>
            <w:tcW w:w="60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870</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cost is included in Operations and Maintenance expense on the Condensed Consolidated Statements of Income; all other amounts are included in Other Income/Expense, 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Recognition from Contracts with Customers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regulated revenue from contracts with customers is derived from tariff-based sales that result from the obligation to provide water and wastewater services to residential, industrial, commercial, fire-protection and wholesale customers. The Company’s residential customers are billed quarterly while most of the Company’s industrial, commercial, fire-protection and wholesale customers are billed monthly. Payments by customers are due between 15 and 30 days after the invoice date. The Company recognizes revenue as the water and wastewater services are delivered to customers, as well as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of service provided to Tidewater customers and are recognized as service is provided.</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2030 and contain remaining performance obligations for which the Company expects to recognize revenue in the future. These contracts also contain termination provisions.</w:t>
      </w:r>
    </w:p>
    <w:p>
      <w:pPr>
        <w:spacing w:after="0" w:line="1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Almost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contracts do not contain any significant financing components.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revenues are comprised of the following: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45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71"/>
        </w:trPr>
        <w:tc>
          <w:tcPr>
            <w:tcW w:w="320" w:type="dxa"/>
            <w:vAlign w:val="bottom"/>
            <w:tcBorders>
              <w:top w:val="single" w:sz="8" w:color="0000EE"/>
            </w:tcBorders>
          </w:tcPr>
          <w:p>
            <w:pPr>
              <w:spacing w:after="0"/>
              <w:rPr>
                <w:sz w:val="24"/>
                <w:szCs w:val="24"/>
                <w:color w:val="auto"/>
              </w:rPr>
            </w:pPr>
          </w:p>
        </w:tc>
        <w:tc>
          <w:tcPr>
            <w:tcW w:w="4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20" w:type="dxa"/>
            <w:vAlign w:val="bottom"/>
            <w:gridSpan w:val="3"/>
          </w:tcPr>
          <w:p>
            <w:pPr>
              <w:jc w:val="right"/>
              <w:ind w:right="1030"/>
              <w:spacing w:after="0"/>
              <w:rPr>
                <w:sz w:val="20"/>
                <w:szCs w:val="20"/>
                <w:color w:val="auto"/>
              </w:rPr>
            </w:pPr>
            <w:r>
              <w:rPr>
                <w:rFonts w:ascii="Arial" w:cs="Arial" w:eastAsia="Arial" w:hAnsi="Arial"/>
                <w:sz w:val="18"/>
                <w:szCs w:val="18"/>
                <w:color w:val="auto"/>
              </w:rPr>
              <w:t>(In Thousands)</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40" w:type="dxa"/>
            <w:vAlign w:val="bottom"/>
            <w:gridSpan w:val="4"/>
          </w:tcPr>
          <w:p>
            <w:pPr>
              <w:jc w:val="right"/>
              <w:ind w:right="290"/>
              <w:spacing w:after="0"/>
              <w:rPr>
                <w:sz w:val="20"/>
                <w:szCs w:val="20"/>
                <w:color w:val="auto"/>
              </w:rPr>
            </w:pPr>
            <w:r>
              <w:rPr>
                <w:rFonts w:ascii="Arial" w:cs="Arial" w:eastAsia="Arial" w:hAnsi="Arial"/>
                <w:sz w:val="18"/>
                <w:szCs w:val="18"/>
                <w:color w:val="auto"/>
              </w:rPr>
              <w:t>Three Months Ended September 30,</w:t>
            </w:r>
          </w:p>
        </w:tc>
        <w:tc>
          <w:tcPr>
            <w:tcW w:w="300" w:type="dxa"/>
            <w:vAlign w:val="bottom"/>
          </w:tcPr>
          <w:p>
            <w:pPr>
              <w:spacing w:after="0"/>
              <w:rPr>
                <w:sz w:val="18"/>
                <w:szCs w:val="18"/>
                <w:color w:val="auto"/>
              </w:rPr>
            </w:pPr>
          </w:p>
        </w:tc>
        <w:tc>
          <w:tcPr>
            <w:tcW w:w="3000" w:type="dxa"/>
            <w:vAlign w:val="bottom"/>
            <w:gridSpan w:val="3"/>
          </w:tcPr>
          <w:p>
            <w:pPr>
              <w:jc w:val="right"/>
              <w:ind w:right="250"/>
              <w:spacing w:after="0"/>
              <w:rPr>
                <w:sz w:val="20"/>
                <w:szCs w:val="20"/>
                <w:color w:val="auto"/>
              </w:rPr>
            </w:pPr>
            <w:r>
              <w:rPr>
                <w:rFonts w:ascii="Arial" w:cs="Arial" w:eastAsia="Arial" w:hAnsi="Arial"/>
                <w:sz w:val="18"/>
                <w:szCs w:val="18"/>
                <w:color w:val="auto"/>
                <w:w w:val="93"/>
              </w:rPr>
              <w:t>Nine Months Ended September 30,</w:t>
            </w:r>
          </w:p>
        </w:tc>
      </w:tr>
      <w:tr>
        <w:trPr>
          <w:trHeight w:val="230"/>
        </w:trPr>
        <w:tc>
          <w:tcPr>
            <w:tcW w:w="3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09"/>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Regulated Tariff Sales</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110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22,517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22,340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59,711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58,475</w:t>
            </w: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4,903</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4,660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12,587</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11,678</w:t>
            </w:r>
          </w:p>
        </w:tc>
      </w:tr>
      <w:tr>
        <w:trPr>
          <w:trHeight w:val="21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Industrial</w:t>
            </w:r>
          </w:p>
        </w:tc>
        <w:tc>
          <w:tcPr>
            <w:tcW w:w="11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2,538</w:t>
            </w:r>
          </w:p>
        </w:tc>
        <w:tc>
          <w:tcPr>
            <w:tcW w:w="4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2,629</w:t>
            </w:r>
          </w:p>
        </w:tc>
        <w:tc>
          <w:tcPr>
            <w:tcW w:w="3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6,858</w:t>
            </w:r>
          </w:p>
        </w:tc>
        <w:tc>
          <w:tcPr>
            <w:tcW w:w="4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6,885</w:t>
            </w: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Fire Protection</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3,171</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3,129</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9,436</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9,235</w:t>
            </w:r>
          </w:p>
        </w:tc>
      </w:tr>
      <w:tr>
        <w:trPr>
          <w:trHeight w:val="21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Wholesale</w:t>
            </w:r>
          </w:p>
        </w:tc>
        <w:tc>
          <w:tcPr>
            <w:tcW w:w="11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3,822</w:t>
            </w:r>
          </w:p>
        </w:tc>
        <w:tc>
          <w:tcPr>
            <w:tcW w:w="4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4,028</w:t>
            </w:r>
          </w:p>
        </w:tc>
        <w:tc>
          <w:tcPr>
            <w:tcW w:w="3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11,079</w:t>
            </w:r>
          </w:p>
        </w:tc>
        <w:tc>
          <w:tcPr>
            <w:tcW w:w="4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11,553</w:t>
            </w:r>
          </w:p>
        </w:tc>
      </w:tr>
      <w:tr>
        <w:trPr>
          <w:trHeight w:val="216"/>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2,888</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3,100</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9,336</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9,034</w:t>
            </w:r>
          </w:p>
        </w:tc>
      </w:tr>
      <w:tr>
        <w:trPr>
          <w:trHeight w:val="21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110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39,839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39,886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109,007</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106,860</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445</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755</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Other Non-Regulated Revenues</w:t>
            </w:r>
          </w:p>
        </w:tc>
        <w:tc>
          <w:tcPr>
            <w:tcW w:w="11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311</w:t>
            </w:r>
          </w:p>
        </w:tc>
      </w:tr>
      <w:tr>
        <w:trPr>
          <w:trHeight w:val="216"/>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1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11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39,874</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39,920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109,117</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106,965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federal income tax returns for the tax years 2014 through 2017 were selected for examination by the Internal Revenue Service (IRS), which included the tax year in which the Company had adopted the final IRS tangible property regulations and changed its accounting method for the tax treatment of expenditures that qualified as deductible repairs. As a result of the audit examination, the Company agreed to certain modifications of its accounting method for expenditures that qualify as deductible repairs. In 2019, the Company paid $2.7 million in income taxes and $0.1 million in interest in connection with the conclusion of the 2014 through 2017 federal income tax return audits. As of September 30, 2021, the Company’s income tax reserve provision and interest expense liability are $0.5 million and $0.2 million,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1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financial condition, operational and financial performance, growth prospects and financial projections;</w:t>
      </w:r>
    </w:p>
    <w:p>
      <w:pPr>
        <w:spacing w:after="0" w:line="23"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strategic plans for growth;</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the amount and timing of rate increases and other regulatory matters, including the recovery of certain costs recorded as regulatory assets;</w:t>
      </w:r>
    </w:p>
    <w:p>
      <w:pPr>
        <w:spacing w:after="0" w:line="29" w:lineRule="exact"/>
        <w:rPr>
          <w:rFonts w:ascii="Arial" w:cs="Arial" w:eastAsia="Arial" w:hAnsi="Arial"/>
          <w:sz w:val="24"/>
          <w:szCs w:val="24"/>
          <w:color w:val="auto"/>
          <w:vertAlign w:val="superscript"/>
        </w:rPr>
      </w:pPr>
    </w:p>
    <w:p>
      <w:pPr>
        <w:ind w:left="660" w:hanging="328"/>
        <w:spacing w:after="0" w:line="24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expected liquidity needs during the upcoming fiscal year and beyond and the sources and availability of funds to meet its liquidity needs;</w:t>
      </w: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expected customer rates, consumption volumes, service fees, revenues, margins, expenses and operating results;</w:t>
      </w:r>
    </w:p>
    <w:p>
      <w:pPr>
        <w:spacing w:after="0" w:line="42" w:lineRule="exact"/>
        <w:rPr>
          <w:rFonts w:ascii="Arial" w:cs="Arial" w:eastAsia="Arial" w:hAnsi="Arial"/>
          <w:sz w:val="28"/>
          <w:szCs w:val="28"/>
          <w:color w:val="auto"/>
          <w:vertAlign w:val="superscript"/>
        </w:rPr>
      </w:pPr>
    </w:p>
    <w:p>
      <w:pPr>
        <w:ind w:left="660" w:right="20" w:hanging="328"/>
        <w:spacing w:after="0" w:line="187" w:lineRule="auto"/>
        <w:tabs>
          <w:tab w:leader="none" w:pos="660" w:val="left"/>
        </w:tabs>
        <w:numPr>
          <w:ilvl w:val="0"/>
          <w:numId w:val="5"/>
        </w:numPr>
        <w:rPr>
          <w:rFonts w:ascii="Arial" w:cs="Arial" w:eastAsia="Arial" w:hAnsi="Arial"/>
          <w:sz w:val="32"/>
          <w:szCs w:val="32"/>
          <w:color w:val="auto"/>
          <w:vertAlign w:val="superscript"/>
        </w:rPr>
      </w:pPr>
      <w:r>
        <w:rPr>
          <w:rFonts w:ascii="Arial" w:cs="Arial" w:eastAsia="Arial" w:hAnsi="Arial"/>
          <w:sz w:val="16"/>
          <w:szCs w:val="16"/>
          <w:color w:val="auto"/>
        </w:rPr>
        <w:t>the expected amount of cash contributions to fund the Company’s retirement benefit plans, anticipated discount rates and rates of return on plan assets;</w:t>
      </w:r>
    </w:p>
    <w:p>
      <w:pPr>
        <w:spacing w:after="0" w:line="12" w:lineRule="exact"/>
        <w:rPr>
          <w:rFonts w:ascii="Arial" w:cs="Arial" w:eastAsia="Arial" w:hAnsi="Arial"/>
          <w:sz w:val="32"/>
          <w:szCs w:val="32"/>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pay dividends;</w:t>
      </w:r>
    </w:p>
    <w:p>
      <w:pPr>
        <w:spacing w:after="0" w:line="23"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the Company’s compliance with environmental laws and regulations and estimations of the materiality of any related costs;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the safety and reliability of the Company’s equipment, facilities and operations;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plans to acquire and maintain municipal franchises and consents in the territories it serves; and</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the availability and quality of our water supply.</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effects of general economic conditions;</w:t>
      </w:r>
    </w:p>
    <w:p>
      <w:pPr>
        <w:spacing w:after="0" w:line="23"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6"/>
        </w:numPr>
        <w:rPr>
          <w:rFonts w:ascii="Arial" w:cs="Arial" w:eastAsia="Arial" w:hAnsi="Arial"/>
          <w:sz w:val="28"/>
          <w:szCs w:val="28"/>
          <w:color w:val="auto"/>
          <w:vertAlign w:val="superscript"/>
        </w:rPr>
      </w:pPr>
      <w:r>
        <w:rPr>
          <w:rFonts w:ascii="Arial" w:cs="Arial" w:eastAsia="Arial" w:hAnsi="Arial"/>
          <w:sz w:val="15"/>
          <w:szCs w:val="15"/>
          <w:color w:val="auto"/>
        </w:rPr>
        <w:t>increases in competition for growth in non-franchised markets to be potentially served by the Company;</w:t>
      </w:r>
    </w:p>
    <w:p>
      <w:pPr>
        <w:spacing w:after="0" w:line="42" w:lineRule="exact"/>
        <w:rPr>
          <w:rFonts w:ascii="Arial" w:cs="Arial" w:eastAsia="Arial" w:hAnsi="Arial"/>
          <w:sz w:val="28"/>
          <w:szCs w:val="28"/>
          <w:color w:val="auto"/>
          <w:vertAlign w:val="superscript"/>
        </w:rPr>
      </w:pPr>
    </w:p>
    <w:p>
      <w:pPr>
        <w:ind w:left="660" w:hanging="328"/>
        <w:spacing w:after="0" w:line="187" w:lineRule="auto"/>
        <w:tabs>
          <w:tab w:leader="none" w:pos="660" w:val="left"/>
        </w:tabs>
        <w:numPr>
          <w:ilvl w:val="0"/>
          <w:numId w:val="6"/>
        </w:numPr>
        <w:rPr>
          <w:rFonts w:ascii="Arial" w:cs="Arial" w:eastAsia="Arial" w:hAnsi="Arial"/>
          <w:sz w:val="32"/>
          <w:szCs w:val="32"/>
          <w:color w:val="auto"/>
          <w:vertAlign w:val="superscript"/>
        </w:rPr>
      </w:pPr>
      <w:r>
        <w:rPr>
          <w:rFonts w:ascii="Arial" w:cs="Arial" w:eastAsia="Arial" w:hAnsi="Arial"/>
          <w:sz w:val="16"/>
          <w:szCs w:val="16"/>
          <w:color w:val="auto"/>
        </w:rPr>
        <w:t>ability of the Company to adequately control selected operating expenses which are necessary to maintain safe and proper utility services, and which may be beyond the Company’s control;</w:t>
      </w:r>
    </w:p>
    <w:p>
      <w:pPr>
        <w:spacing w:after="0" w:line="12" w:lineRule="exact"/>
        <w:rPr>
          <w:rFonts w:ascii="Arial" w:cs="Arial" w:eastAsia="Arial" w:hAnsi="Arial"/>
          <w:sz w:val="32"/>
          <w:szCs w:val="32"/>
          <w:color w:val="auto"/>
          <w:vertAlign w:val="superscript"/>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adequate supplies of quality water;</w:t>
      </w:r>
    </w:p>
    <w:p>
      <w:pPr>
        <w:spacing w:after="0" w:line="23"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6"/>
        </w:numPr>
        <w:rPr>
          <w:rFonts w:ascii="Arial" w:cs="Arial" w:eastAsia="Arial" w:hAnsi="Arial"/>
          <w:sz w:val="28"/>
          <w:szCs w:val="28"/>
          <w:color w:val="auto"/>
          <w:vertAlign w:val="superscript"/>
        </w:rPr>
      </w:pPr>
      <w:r>
        <w:rPr>
          <w:rFonts w:ascii="Arial" w:cs="Arial" w:eastAsia="Arial" w:hAnsi="Arial"/>
          <w:sz w:val="15"/>
          <w:szCs w:val="15"/>
          <w:color w:val="auto"/>
        </w:rPr>
        <w:t>actions taken by government regulators, including decisions on rate increase requests;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new or modified water quality standards and compliance with related legal and regulatory requirements;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variations and other natural phenomena impacting utility operations;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6"/>
        </w:numPr>
        <w:rPr>
          <w:rFonts w:ascii="Arial" w:cs="Arial" w:eastAsia="Arial" w:hAnsi="Arial"/>
          <w:sz w:val="28"/>
          <w:szCs w:val="28"/>
          <w:color w:val="auto"/>
          <w:vertAlign w:val="superscript"/>
        </w:rPr>
      </w:pPr>
      <w:r>
        <w:rPr>
          <w:rFonts w:ascii="Arial" w:cs="Arial" w:eastAsia="Arial" w:hAnsi="Arial"/>
          <w:sz w:val="15"/>
          <w:szCs w:val="15"/>
          <w:color w:val="auto"/>
        </w:rPr>
        <w:t>financial and operating risks associated with acquisitions and/or privatizations;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acts of war or terrorism, including cyber threats;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pace of new housing development;</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6"/>
        </w:numPr>
        <w:rPr>
          <w:rFonts w:ascii="Arial" w:cs="Arial" w:eastAsia="Arial" w:hAnsi="Arial"/>
          <w:sz w:val="28"/>
          <w:szCs w:val="28"/>
          <w:color w:val="auto"/>
          <w:vertAlign w:val="superscript"/>
        </w:rPr>
      </w:pPr>
      <w:r>
        <w:rPr>
          <w:rFonts w:ascii="Arial" w:cs="Arial" w:eastAsia="Arial" w:hAnsi="Arial"/>
          <w:sz w:val="15"/>
          <w:szCs w:val="15"/>
          <w:color w:val="auto"/>
        </w:rPr>
        <w:t>availability and cost of capital resources;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impact of the Novel Coronavirus (COVID-19) pandemic; and</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discussed elsewhere in this report.</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revisions to these forward-looking statements to reflect events or circumstances after the date of this report or to reflect the occurrence of unanticipated events, except as may be required under applicable securities laws.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 in the Company’s Annual Report on Form 10-K for the fiscal year ended December 31,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Middlesex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also operate water and wastewater systems under contract for governmental entities and private entities primarily in New Jersey and Delaware and provide regulated wastewater services in New Jersey and Delaware through five subsidiaries. We are regulated as to rates charged to customers for water and wastewater services, as to the quality of water service we provide and as to certain other matters in New Jersey and Delaware. Only our Utility Service Affiliates, Inc. (USA), Utility Service Affiliates (Perth Amboy), Inc. (USA-PA) and White Marsh Environmental Services, Inc. (White Marsh) subsidiaries are not regulated utilities.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New Jersey water utility system (the Middlesex System) provides water services to approximately 61,000 retail customers, primarily in central New Jersey. The Middlesex System also provides water service under contract to municipalities in central New Jersey with a total population of over 0.2 million. Our Bayview subsidiary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Delaware subsidiaries, Tidewater and Southern Shores Water Company, LLC (Southern Shores), provide water services to approximately 55,000 retail customers in New Castle, Kent and Sussex Counties, Delaware. Tidewater’s subsidiary, White Marsh, services customers in Delaware and Maryland through various operations and maintenance contracts.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Tidewater Environmental Services, Inc. (TESI) subsidiary provides wastewater services to approximately 4,000 retail customers in Sussex County, Delaware.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USA-PA operates the water and wastewater systems for the City of Perth Amboy, New Jersey (Perth Amboy) under a 10-year operations and maintenance contract expiring in 2028. Although USA-PA manages Perth Amboy’s water and wastewater capital program, the funding of the capital program is the responsibility of Perth Amboy.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USA operates the Borough of Avalon, New Jersey’s (Avalon) water utility, sewer utility and storm water system under a ten-year operations and maintenance contract expiring in 2022. In addition to performing day-to-day operations, USA is responsible for billing, collections, customer service, emergency responses and management of capital projects funded by Avalon. Beginning July 1, 2020, USA began operating the Borough of Highland Park, New Jersey’s (Highland Park) water and wastewater systems under a 10-year operations and maintenance contract.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a marketing agreement with HomeServe USA (HomeServe), USA offers residential customers in New Jersey and Delaware a menu of water and wastewater related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Middlesex Base Water Rate Increase Request - </w:t>
      </w:r>
      <w:r>
        <w:rPr>
          <w:rFonts w:ascii="Arial" w:cs="Arial" w:eastAsia="Arial" w:hAnsi="Arial"/>
          <w:sz w:val="17"/>
          <w:szCs w:val="17"/>
          <w:color w:val="auto"/>
        </w:rPr>
        <w:t>In May 2021, Middlesex filed a petition with the New Jersey Board of Public Utilities (NJBPU) seeking</w:t>
      </w:r>
      <w:r>
        <w:rPr>
          <w:rFonts w:ascii="Arial" w:cs="Arial" w:eastAsia="Arial" w:hAnsi="Arial"/>
          <w:sz w:val="17"/>
          <w:szCs w:val="17"/>
          <w:b w:val="1"/>
          <w:bCs w:val="1"/>
          <w:color w:val="auto"/>
        </w:rPr>
        <w:t xml:space="preserve"> </w:t>
      </w:r>
      <w:r>
        <w:rPr>
          <w:rFonts w:ascii="Arial" w:cs="Arial" w:eastAsia="Arial" w:hAnsi="Arial"/>
          <w:sz w:val="17"/>
          <w:szCs w:val="17"/>
          <w:color w:val="auto"/>
        </w:rPr>
        <w:t>permission to increase annual base water revenues by approximately $31 million. The request was necessitated predominantly by capital infrastructure investments Middlesex has made, or has committed to make, to address aging drinking water infrastructure and a variety of other improvements to help ensure continued resiliency, reliability and overall quality of service since Middlesex’s last base rate increase filing in New Jersey in 2017. We cannot predict with certainty when and whether the NJBPU will ultimately approve, deny, or reduce the amount of the request. Under New Jersey statute, the NJPBU must render a decision within nine months of filing a base rate change petition.</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Sale of Subsidiary </w:t>
      </w:r>
      <w:r>
        <w:rPr>
          <w:rFonts w:ascii="Arial" w:cs="Arial" w:eastAsia="Arial" w:hAnsi="Arial"/>
          <w:sz w:val="18"/>
          <w:szCs w:val="18"/>
          <w:color w:val="auto"/>
        </w:rPr>
        <w:t>– On October 27, 2021, the Delaware Public Service Commission (DEPSC) approved a request by Middlesex to sell its entire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 TESI, which is its regulated Delaware wastewater utility business. In August 2021, Middlesex entered into a definitive agreement with Artesian Wastewater Management, Inc. to sell 100% of the common stock of TESI for $6.4 million. The transaction is expected to be finalized prior to December 31, 2021. The Company will continue to own and operate its regulated water utilities in Delaware as well as its non-regulated operations and maintenance contract business.</w:t>
      </w:r>
    </w:p>
    <w:p>
      <w:pPr>
        <w:spacing w:after="0" w:line="17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Middlesex Financing - </w:t>
      </w:r>
      <w:r>
        <w:rPr>
          <w:rFonts w:ascii="Arial" w:cs="Arial" w:eastAsia="Arial" w:hAnsi="Arial"/>
          <w:sz w:val="16"/>
          <w:szCs w:val="16"/>
          <w:color w:val="auto"/>
        </w:rPr>
        <w:t>In June 2021, Middlesex received approval from the NJBPU to redeem up to $45.5 million of outstanding first mortgage bonds</w:t>
      </w:r>
      <w:r>
        <w:rPr>
          <w:rFonts w:ascii="Arial" w:cs="Arial" w:eastAsia="Arial" w:hAnsi="Arial"/>
          <w:sz w:val="16"/>
          <w:szCs w:val="16"/>
          <w:b w:val="1"/>
          <w:bCs w:val="1"/>
          <w:color w:val="auto"/>
        </w:rPr>
        <w:t xml:space="preserve"> </w:t>
      </w:r>
      <w:r>
        <w:rPr>
          <w:rFonts w:ascii="Arial" w:cs="Arial" w:eastAsia="Arial" w:hAnsi="Arial"/>
          <w:sz w:val="16"/>
          <w:szCs w:val="16"/>
          <w:color w:val="auto"/>
        </w:rPr>
        <w:t>(FMBs), and issue replacement FMBs at an overall lower cost of debt. Middlesex expects to complete the redemption and replacement in November 2021 through a private placement loan of $45.5 million with a payment maturity date of November 2051 and an interest rate of 2.90%. Proceeds from the loan will be used to complete the redemption of the Series RR ($22.5 million) and Series SS ($23.0 million) FMBs redeem $23.0 million Series SS FMBs.</w:t>
      </w:r>
    </w:p>
    <w:p>
      <w:pPr>
        <w:spacing w:after="0" w:line="12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2021, Middlesex expects to close on a $19.5 million private placement loan with a payment maturity date of November 2041 and an interest rate of 2.79%. Proceeds from this loan will be used to reduce the Company’s existing short-term borrowings under its bank lines of credit.</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Tidewater Financing - </w:t>
      </w:r>
      <w:r>
        <w:rPr>
          <w:rFonts w:ascii="Arial" w:cs="Arial" w:eastAsia="Arial" w:hAnsi="Arial"/>
          <w:sz w:val="18"/>
          <w:szCs w:val="18"/>
          <w:color w:val="auto"/>
        </w:rPr>
        <w:t>In March 2021, Tidewater entered into a loan agreement with CoBank, ACB pursuant to which Tidewater borrowed $20.0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September 2021 at an interest rate of 3.94% with a payment maturity date of September 2046. Proceeds from the loan were used to reduce the Company’s existing short-term borrowings under its lines of credit.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2021, Tidewater filed an application with the DEPSC seeking approval to borrow up to $5.0 million under the Delaware State Revolving Fund Program for construction of a one million gallon elevated storage tank. If approved by the DEPSC, Tidewater expects to close on the loan in 2021 and complete the project in 2023.</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Regulatory Notice of Non Compliance - </w:t>
      </w:r>
      <w:r>
        <w:rPr>
          <w:rFonts w:ascii="Arial" w:cs="Arial" w:eastAsia="Arial" w:hAnsi="Arial"/>
          <w:sz w:val="16"/>
          <w:szCs w:val="16"/>
          <w:color w:val="auto"/>
        </w:rPr>
        <w:t>In October 2021, Middlesex issued a notice (Notice) to customers in New Jersey that in September 2021, the</w:t>
      </w:r>
      <w:r>
        <w:rPr>
          <w:rFonts w:ascii="Arial" w:cs="Arial" w:eastAsia="Arial" w:hAnsi="Arial"/>
          <w:sz w:val="16"/>
          <w:szCs w:val="16"/>
          <w:b w:val="1"/>
          <w:bCs w:val="1"/>
          <w:color w:val="auto"/>
        </w:rPr>
        <w:t xml:space="preserve"> </w:t>
      </w:r>
      <w:r>
        <w:rPr>
          <w:rFonts w:ascii="Arial" w:cs="Arial" w:eastAsia="Arial" w:hAnsi="Arial"/>
          <w:sz w:val="16"/>
          <w:szCs w:val="16"/>
          <w:color w:val="auto"/>
        </w:rPr>
        <w:t>level of Perfluorooctanoic Acid (PFOA) in water from its Park Avenue Treatment Plant exceeded a new standard that went into effect in 2021 (New Jersey Standards) promulgated by the New Jersey Department of Environmental Protection (NJDEP). Neither the NJDEP nor Middlesex has characterized this exceedance as an acute health emergency. The New Jersey Standard for PFOA was developed based on a Health-based Maximum Contaminant Level (MCL) of 14 parts per trillion (ppt). Although the United States Environmental Protection Agency (USEPA) has not yet implemented an enforceable regulation relative to PFOA, the water distributed from the Park Avenue Treatment Plant does meet the USEPA’s current health advisory level of 70 parts per trillion (ppt) and would meet the NJDEP’s prior guidance level of 40 ppt. Construction of a facility to provide an enhanced treatment process at the Park Avenue Treatment Plant to comply with the New Jersey Standards related to poly- and perfluoro-alkyl substances, collectively referred to as PFAS, and which include PFOA, is expected to be completed in mid-2023. The Notice requires the Company to take any action necessary to bring the water into compliance with the MCL of 14 ppt for PFOA by September 7, 2022. The Company is performing hydraulic and other analyses to assess the operational feasibility of complying with the new standard before September 2022, the costs of which may be significant and may or may not be recoverable through the rate making process. While the Company believes it to be unlikely, the issuance of this Notice does not preclude the State of New Jersey or any of its agencies from initiating formal administrative and/or judicial enforcement action, including assessment of penalties of up to $25,000 per day per offense.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Common Stock Purchase Discount - </w:t>
      </w:r>
      <w:r>
        <w:rPr>
          <w:rFonts w:ascii="Arial" w:cs="Arial" w:eastAsia="Arial" w:hAnsi="Arial"/>
          <w:sz w:val="18"/>
          <w:szCs w:val="18"/>
          <w:color w:val="auto"/>
        </w:rPr>
        <w:t>On September 1, 2021, the Company began offering shares of its common stock for purchase at a 3% discount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in the Investment Plan. The discount offering will continue until 200,000 shares are purchased at the discounted price or August 1, 2022, whichever event occurs first. The discount applies to all common stock purchases made under the Middlesex Water Company Investment Plan, whether by optional cash payment or by dividend reinvestment.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Capital Construction Program - </w:t>
      </w:r>
      <w:r>
        <w:rPr>
          <w:rFonts w:ascii="Arial" w:cs="Arial" w:eastAsia="Arial" w:hAnsi="Arial"/>
          <w:sz w:val="18"/>
          <w:szCs w:val="18"/>
          <w:color w:val="auto"/>
        </w:rPr>
        <w:t>The Company’s multi-year capital construction program encompasses numerous projects designed to upgrade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utility infrastructure, as well as enhance the integrity and reliability of assets to better serve the current and future generations of water and wastewater customers. Forecasted spending for our construction program in 2021 has been reduced to $77 million due to schedule coordination with contractors and municipalities for projects that include, but are not limited to:</w:t>
      </w:r>
    </w:p>
    <w:p>
      <w:pPr>
        <w:sectPr>
          <w:pgSz w:w="11900" w:h="16838" w:orient="portrait"/>
          <w:cols w:equalWidth="0" w:num="1">
            <w:col w:w="11240"/>
          </w:cols>
          <w:pgMar w:left="320" w:top="121" w:right="339" w:bottom="1440" w:gutter="0" w:footer="0" w:header="0"/>
        </w:sectPr>
      </w:pPr>
    </w:p>
    <w:p>
      <w:pPr>
        <w:spacing w:after="0" w:line="16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Completion of construction of a facility to provide an enhanced treatment process at the Company’s largest water treatment plant in Edison, New Jersey to mitigate the formation of disinfection by-products that can develop during the water treatment process, as well as other improvements;</w:t>
      </w:r>
    </w:p>
    <w:p>
      <w:pPr>
        <w:ind w:right="160"/>
        <w:spacing w:after="0" w:line="263" w:lineRule="auto"/>
        <w:rPr>
          <w:sz w:val="20"/>
          <w:szCs w:val="20"/>
          <w:color w:val="auto"/>
        </w:rPr>
      </w:pPr>
      <w:r>
        <w:rPr>
          <w:rFonts w:ascii="Arial" w:cs="Arial" w:eastAsia="Arial" w:hAnsi="Arial"/>
          <w:sz w:val="18"/>
          <w:szCs w:val="18"/>
          <w:color w:val="auto"/>
        </w:rPr>
        <w:t>Construction of a facility to provide an enhanced treatment process at the Company’s largest wellfield in South Plainfield, New Jersey to comply with new state water quality regulations relative to PFAS, and integrate surge protection to mitigate spikes in water pressures along with enhancements to corrosion control and chlorination processes;</w:t>
      </w:r>
    </w:p>
    <w:p>
      <w:pPr>
        <w:spacing w:after="0" w:line="2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Renovations and related construction at our 37-year old Middlesex Operations facility in New Jersey, including more efficient work space to meet the evolved needs of the business, enhancements to information technology infrastructure, improved energy efficiency and regulatory requirements; AND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Replacement of approximately four miles of water mains including service lines, valves, fire hydrants and meters in Metuchen, New Jersey.</w:t>
      </w:r>
    </w:p>
    <w:p>
      <w:pPr>
        <w:spacing w:after="0" w:line="20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line="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and timing of capital expenditures is dependent on project scheduling and refinement of engineering estimates for certain capital projects.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COVID-19 </w:t>
      </w:r>
      <w:r>
        <w:rPr>
          <w:rFonts w:ascii="Arial" w:cs="Arial" w:eastAsia="Arial" w:hAnsi="Arial"/>
          <w:sz w:val="18"/>
          <w:szCs w:val="18"/>
          <w:color w:val="auto"/>
        </w:rPr>
        <w:t>- In March 2020, the United States declared the COVID-19 pandemic a national emergency, which was extended on February 24, 2021, and</w:t>
      </w:r>
      <w:r>
        <w:rPr>
          <w:rFonts w:ascii="Arial" w:cs="Arial" w:eastAsia="Arial" w:hAnsi="Arial"/>
          <w:sz w:val="18"/>
          <w:szCs w:val="18"/>
          <w:b w:val="1"/>
          <w:bCs w:val="1"/>
          <w:color w:val="auto"/>
        </w:rPr>
        <w:t xml:space="preserve"> </w:t>
      </w:r>
      <w:r>
        <w:rPr>
          <w:rFonts w:ascii="Arial" w:cs="Arial" w:eastAsia="Arial" w:hAnsi="Arial"/>
          <w:sz w:val="18"/>
          <w:szCs w:val="18"/>
          <w:color w:val="auto"/>
        </w:rPr>
        <w:t>remains in effect. While the Company’s operations and capital construction program have not been disrupted to date from the pandemic, the COVID-19 impact on economic conditions nationally continues to be uncertain and could affect the Company’s results of operations, financial condition and liquidity in the future. In New Jersey and Delaware, where our operations are located, the declared COVID-19 State of Emergency Orders ended in June 2021 and July 2021, respectively.</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NJBPU and the Delaware Public Service Commission have approved the tracking of COVID-19 related incremental costs for potential recovery in customer rates in future rate proceedings. Neither jurisdiction has established a timetable or definitive formal procedures for seeking cost recovery. Since March 2020, the Company has increased its allowance for doubtful accounts for expected increases in accounts receivable write-offs due to the financial impact of COVID-19 on customers. We will continue to monitor the effects of COVID-19 and evaluate its impact on the Company’s business, results of operations, financial condition and liquidity.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increase operating income and net income is based significantly on four factors: weather, adequate and timely rate relief, effective cost management and customer growth. These factors are discussed in the Results of Operations section below. Weather pattern changes, which can result in lower customer demand for water, may occur in the future. Changes in customer water usage habits, as well as increases in capital expenditures and operating costs, are significant factors in determining the timing and extent of rate increase requests (see discussion of the 2021 Middlesex base water rate increase request above under “</w:t>
      </w:r>
      <w:r>
        <w:rPr>
          <w:rFonts w:ascii="Arial" w:cs="Arial" w:eastAsia="Arial" w:hAnsi="Arial"/>
          <w:sz w:val="18"/>
          <w:szCs w:val="18"/>
          <w:i w:val="1"/>
          <w:iCs w:val="1"/>
          <w:color w:val="auto"/>
        </w:rPr>
        <w:t>Recent Developments</w:t>
      </w:r>
      <w:r>
        <w:rPr>
          <w:rFonts w:ascii="Arial" w:cs="Arial" w:eastAsia="Arial" w:hAnsi="Arial"/>
          <w:sz w:val="18"/>
          <w:szCs w:val="18"/>
          <w:color w:val="auto"/>
        </w:rPr>
        <w:t>”).</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non-controllable factor that may affect our outlook in the future is the pace at which remediation of the COVID-19 pandemic continues to occur, and the related impact on the regional and national economic recoveries.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addition, a continued New Jersey moratorium on customer service terminations effectively ends December 31, 2021. For further discussion of the impact of COVID-19 on the Company, see </w:t>
      </w:r>
      <w:r>
        <w:rPr>
          <w:rFonts w:ascii="Arial" w:cs="Arial" w:eastAsia="Arial" w:hAnsi="Arial"/>
          <w:sz w:val="18"/>
          <w:szCs w:val="18"/>
          <w:i w:val="1"/>
          <w:iCs w:val="1"/>
          <w:color w:val="auto"/>
        </w:rPr>
        <w:t>Recent Developments, COVID-19</w:t>
      </w:r>
      <w:r>
        <w:rPr>
          <w:rFonts w:ascii="Arial" w:cs="Arial" w:eastAsia="Arial" w:hAnsi="Arial"/>
          <w:sz w:val="18"/>
          <w:szCs w:val="18"/>
          <w:color w:val="auto"/>
        </w:rPr>
        <w:t xml:space="preserve"> above.</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Organic residential customer growth for our Tidewater system is expected to continue at the 5% pace achieved in 2020, delaying any foreseeable need to seek an increase in customer base rates in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strategy for profitable growth is focused on the following key areas:</w:t>
      </w:r>
    </w:p>
    <w:p>
      <w:pPr>
        <w:sectPr>
          <w:pgSz w:w="11900" w:h="16838" w:orient="portrait"/>
          <w:cols w:equalWidth="0" w:num="1">
            <w:col w:w="11240"/>
          </w:cols>
          <w:pgMar w:left="320" w:top="121" w:right="339" w:bottom="1440" w:gutter="0" w:footer="0" w:header="0"/>
        </w:sect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3140"/>
        <w:spacing w:after="0" w:line="346" w:lineRule="auto"/>
        <w:rPr>
          <w:sz w:val="20"/>
          <w:szCs w:val="20"/>
          <w:color w:val="auto"/>
        </w:rPr>
      </w:pPr>
      <w:r>
        <w:rPr>
          <w:rFonts w:ascii="Arial" w:cs="Arial" w:eastAsia="Arial" w:hAnsi="Arial"/>
          <w:sz w:val="16"/>
          <w:szCs w:val="16"/>
          <w:color w:val="auto"/>
        </w:rPr>
        <w:t>Invest in projects, products and services that complement our core water and wastewater competencies; Timely and adequate recovery of infrastructure investments and other costs to maintain service quality; Prudent acquisitions of investor and municipally-owned water and wastewater utilities;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Operation of municipal and industrial water and wastewater systems on a contract basis which meet our risk profile.</w:t>
      </w:r>
    </w:p>
    <w:p>
      <w:pPr>
        <w:spacing w:after="0" w:line="19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segments in the tables included below consist of the following companies: Regulated-Middlesex, Tidewater, Pinelands, Southern Shores and TESI; Non-Regulated-USA, USA-PA, and White Marsh.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September 30,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right"/>
              <w:ind w:right="104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2021</w:t>
            </w:r>
          </w:p>
        </w:tc>
        <w:tc>
          <w:tcPr>
            <w:tcW w:w="60" w:type="dxa"/>
            <w:vAlign w:val="bottom"/>
          </w:tcPr>
          <w:p>
            <w:pPr>
              <w:spacing w:after="0"/>
              <w:rPr>
                <w:sz w:val="20"/>
                <w:szCs w:val="20"/>
                <w:color w:val="auto"/>
              </w:rPr>
            </w:pPr>
          </w:p>
        </w:tc>
        <w:tc>
          <w:tcPr>
            <w:tcW w:w="2960" w:type="dxa"/>
            <w:vAlign w:val="bottom"/>
            <w:gridSpan w:val="8"/>
          </w:tcPr>
          <w:p>
            <w:pPr>
              <w:jc w:val="right"/>
              <w:ind w:right="280"/>
              <w:spacing w:after="0"/>
              <w:rPr>
                <w:sz w:val="20"/>
                <w:szCs w:val="20"/>
                <w:color w:val="auto"/>
              </w:rPr>
            </w:pPr>
            <w:r>
              <w:rPr>
                <w:rFonts w:ascii="Arial" w:cs="Arial" w:eastAsia="Arial" w:hAnsi="Arial"/>
                <w:sz w:val="18"/>
                <w:szCs w:val="18"/>
                <w:color w:val="auto"/>
                <w:w w:val="91"/>
              </w:rPr>
              <w:t>Three Months Ended 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2"/>
              </w:rPr>
              <w:t>Non-</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Non-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18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Regulated</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2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39,874</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89"/>
              </w:rPr>
              <w:t>Operations and maintenance expenses</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16,952</w:t>
            </w: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1,998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18,950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16,027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1,922</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17,949</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Other taxes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3,935</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3,996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4,006</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10,654</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w:t>
            </w: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12,119</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13,177</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right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2,101</w:t>
            </w: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(1,328)</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282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10,924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552</w:t>
            </w:r>
          </w:p>
        </w:tc>
        <w:tc>
          <w:tcPr>
            <w:tcW w:w="4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11,476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11,993</w:t>
            </w:r>
          </w:p>
        </w:tc>
        <w:tc>
          <w:tcPr>
            <w:tcW w:w="2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744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12,737</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Operating revenues for the three months ended September 30, 2021 were down slightly compared to the same period in 2020 due to the following factors:</w:t>
      </w:r>
    </w:p>
    <w:p>
      <w:pPr>
        <w:spacing w:after="0" w:line="275" w:lineRule="exact"/>
        <w:rPr>
          <w:sz w:val="20"/>
          <w:szCs w:val="20"/>
          <w:color w:val="auto"/>
        </w:rPr>
      </w:pPr>
    </w:p>
    <w:p>
      <w:pPr>
        <w:ind w:left="660" w:right="500" w:hanging="328"/>
        <w:spacing w:after="0" w:line="207" w:lineRule="auto"/>
        <w:tabs>
          <w:tab w:leader="none" w:pos="660" w:val="left"/>
        </w:tabs>
        <w:numPr>
          <w:ilvl w:val="0"/>
          <w:numId w:val="7"/>
        </w:numPr>
        <w:rPr>
          <w:rFonts w:ascii="Arial" w:cs="Arial" w:eastAsia="Arial" w:hAnsi="Arial"/>
          <w:sz w:val="27"/>
          <w:szCs w:val="27"/>
          <w:color w:val="auto"/>
        </w:rPr>
      </w:pPr>
      <w:r>
        <w:rPr>
          <w:rFonts w:ascii="Arial" w:cs="Arial" w:eastAsia="Arial" w:hAnsi="Arial"/>
          <w:sz w:val="18"/>
          <w:szCs w:val="18"/>
          <w:color w:val="auto"/>
        </w:rPr>
        <w:t>Middlesex System revenues were lower by $0.5 million due to decreased weather-related demand from general meter service and wholesale customers;</w:t>
      </w:r>
    </w:p>
    <w:p>
      <w:pPr>
        <w:ind w:left="660" w:hanging="328"/>
        <w:spacing w:after="0" w:line="208" w:lineRule="auto"/>
        <w:tabs>
          <w:tab w:leader="none" w:pos="660" w:val="left"/>
        </w:tabs>
        <w:numPr>
          <w:ilvl w:val="0"/>
          <w:numId w:val="7"/>
        </w:numPr>
        <w:rPr>
          <w:rFonts w:ascii="Arial" w:cs="Arial" w:eastAsia="Arial" w:hAnsi="Arial"/>
          <w:sz w:val="27"/>
          <w:szCs w:val="27"/>
          <w:color w:val="auto"/>
        </w:rPr>
      </w:pPr>
      <w:r>
        <w:rPr>
          <w:rFonts w:ascii="Arial" w:cs="Arial" w:eastAsia="Arial" w:hAnsi="Arial"/>
          <w:sz w:val="18"/>
          <w:szCs w:val="18"/>
          <w:color w:val="auto"/>
        </w:rPr>
        <w:t>Tidewater System revenues increased $0.8 million due primarily to additional customers;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Index</w:t>
        </w:r>
      </w:hyperlink>
    </w:p>
    <w:p>
      <w:pPr>
        <w:sectPr>
          <w:pgSz w:w="11900" w:h="16838" w:orient="portrait"/>
          <w:cols w:equalWidth="0" w:num="1">
            <w:col w:w="11240"/>
          </w:cols>
          <w:pgMar w:left="320" w:top="121" w:right="339" w:bottom="1440" w:gutter="0" w:footer="0" w:header="0"/>
        </w:sectPr>
      </w:pPr>
    </w:p>
    <w:p>
      <w:pPr>
        <w:spacing w:after="0" w:line="14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1620"/>
        <w:spacing w:after="0" w:line="340" w:lineRule="auto"/>
        <w:rPr>
          <w:sz w:val="20"/>
          <w:szCs w:val="20"/>
          <w:color w:val="auto"/>
        </w:rPr>
      </w:pPr>
      <w:r>
        <w:rPr>
          <w:rFonts w:ascii="Arial" w:cs="Arial" w:eastAsia="Arial" w:hAnsi="Arial"/>
          <w:sz w:val="18"/>
          <w:szCs w:val="18"/>
          <w:color w:val="auto"/>
        </w:rPr>
        <w:t>Non-regulated revenues decreased $0.2 million primarily due to lower contract revenues at our White Marsh subsidiary; and All other revenue categories decreased $0.1 million.</w:t>
      </w:r>
    </w:p>
    <w:p>
      <w:pPr>
        <w:spacing w:after="0" w:line="102"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Operation and maintenance expenses for the three months ended September 30, 2021 increased $1.0 million from the same period in 2020 due to the following factors:</w:t>
      </w:r>
    </w:p>
    <w:p>
      <w:pPr>
        <w:sectPr>
          <w:pgSz w:w="11900" w:h="16838" w:orient="portrait"/>
          <w:cols w:equalWidth="0" w:num="1">
            <w:col w:w="11240"/>
          </w:cols>
          <w:pgMar w:left="320" w:top="121" w:right="339" w:bottom="1440" w:gutter="0" w:footer="0" w:header="0"/>
          <w:type w:val="continuous"/>
        </w:sectPr>
      </w:pPr>
    </w:p>
    <w:p>
      <w:pPr>
        <w:spacing w:after="0" w:line="1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Labor costs increased $0.4 million due to wage increases and decreased allocation of labor to capital work;</w:t>
      </w:r>
    </w:p>
    <w:p>
      <w:pPr>
        <w:spacing w:after="0" w:line="50" w:lineRule="exact"/>
        <w:rPr>
          <w:sz w:val="20"/>
          <w:szCs w:val="20"/>
          <w:color w:val="auto"/>
        </w:rPr>
      </w:pPr>
    </w:p>
    <w:p>
      <w:pPr>
        <w:ind w:right="1100"/>
        <w:spacing w:after="0" w:line="313" w:lineRule="auto"/>
        <w:rPr>
          <w:sz w:val="20"/>
          <w:szCs w:val="20"/>
          <w:color w:val="auto"/>
        </w:rPr>
      </w:pPr>
      <w:r>
        <w:rPr>
          <w:rFonts w:ascii="Arial" w:cs="Arial" w:eastAsia="Arial" w:hAnsi="Arial"/>
          <w:sz w:val="18"/>
          <w:szCs w:val="18"/>
          <w:color w:val="auto"/>
        </w:rPr>
        <w:t>Variable production costs increased $0.1 million due to higher treatment costs from weather-impacted changes in raw water quality; Increased business insurance premiums resulted in $0.1 million of additional costs;</w:t>
      </w:r>
    </w:p>
    <w:p>
      <w:pPr>
        <w:ind w:right="80"/>
        <w:spacing w:after="0" w:line="273" w:lineRule="auto"/>
        <w:rPr>
          <w:sz w:val="20"/>
          <w:szCs w:val="20"/>
          <w:color w:val="auto"/>
        </w:rPr>
      </w:pPr>
      <w:r>
        <w:rPr>
          <w:rFonts w:ascii="Arial" w:cs="Arial" w:eastAsia="Arial" w:hAnsi="Arial"/>
          <w:sz w:val="18"/>
          <w:szCs w:val="18"/>
          <w:color w:val="auto"/>
        </w:rPr>
        <w:t>Outside services and consultant costs increased $0.1 million due to higher regulatory and corporate activity, including compliance with America’s Water Infrastructure Act of 2018 (AWIA);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All other operation and maintenance expense categories increased $0.3 million.</w:t>
      </w:r>
    </w:p>
    <w:p>
      <w:pPr>
        <w:spacing w:after="0" w:line="20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the three months ended September 30, 2021 increased $0.8 million from the same period in 2020 due to a higher level of utility plant in service.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three months ended September 30, 2021 decreased $0.1 million from the same period in 2020 primarily due to lower revenue related taxes on decreased revenues in our Middlesex system.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three months ended September 30, 2021 decreased $0.3 million from the same period in 2020 due to lower Allowance for Funds Used During Construction (AFUDC) on a lower average level of capital construction projects in progress, offset by lower actuarially-determined retirement benefit plans non-service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charges for the three months ended September 30, 2021 increased $0.2 million from the same period in 2020 due to higher average short-term debt outstanding in 2021 as compared to 2020 partially offset by lower average interest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benefit from income taxes for the three months ended September 30, 2021 increased by $1.0 million from the same period in 2020, primarily due to lower pre-tax income</w:t>
      </w:r>
      <w:r>
        <w:rPr>
          <w:rFonts w:ascii="Arial" w:cs="Arial" w:eastAsia="Arial" w:hAnsi="Arial"/>
          <w:sz w:val="18"/>
          <w:szCs w:val="18"/>
          <w:i w:val="1"/>
          <w:iCs w:val="1"/>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three months ended September 30, 2021 decreased $1.3 million as compared with the same period in 2020. Basic earnings per share were $0.65 and $0.73 for the three months ended September 30, 2021 and 2020, respectively. Diluted earnings per share were $0.65 and $0.72 for the three months ended September 30, 2021 and 2020,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00" w:type="dxa"/>
            <w:vAlign w:val="bottom"/>
            <w:gridSpan w:val="8"/>
          </w:tcPr>
          <w:p>
            <w:pPr>
              <w:spacing w:after="0"/>
              <w:rPr>
                <w:sz w:val="20"/>
                <w:szCs w:val="20"/>
                <w:color w:val="auto"/>
              </w:rPr>
            </w:pPr>
            <w:r>
              <w:rPr>
                <w:rFonts w:ascii="Arial" w:cs="Arial" w:eastAsia="Arial" w:hAnsi="Arial"/>
                <w:sz w:val="18"/>
                <w:szCs w:val="18"/>
                <w:b w:val="1"/>
                <w:bCs w:val="1"/>
                <w:color w:val="auto"/>
              </w:rPr>
              <w:t>Results of Operations – Nine Months Ended September 30, 2021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6"/>
          </w:tcPr>
          <w:p>
            <w:pPr>
              <w:jc w:val="right"/>
              <w:ind w:right="104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20"/>
                <w:szCs w:val="20"/>
                <w:color w:val="auto"/>
              </w:rPr>
            </w:pPr>
          </w:p>
        </w:tc>
        <w:tc>
          <w:tcPr>
            <w:tcW w:w="2940" w:type="dxa"/>
            <w:vAlign w:val="bottom"/>
            <w:gridSpan w:val="8"/>
          </w:tcPr>
          <w:p>
            <w:pPr>
              <w:jc w:val="right"/>
              <w:ind w:right="320"/>
              <w:spacing w:after="0"/>
              <w:rPr>
                <w:sz w:val="20"/>
                <w:szCs w:val="20"/>
                <w:color w:val="auto"/>
              </w:rPr>
            </w:pPr>
            <w:r>
              <w:rPr>
                <w:rFonts w:ascii="Arial" w:cs="Arial" w:eastAsia="Arial" w:hAnsi="Arial"/>
                <w:sz w:val="18"/>
                <w:szCs w:val="18"/>
                <w:color w:val="auto"/>
                <w:w w:val="92"/>
              </w:rPr>
              <w:t>Nine Months Ended 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2"/>
              </w:rPr>
              <w:t>Non-</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Non-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18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Regulated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2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99,781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109,117</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w w:val="89"/>
              </w:rPr>
              <w:t>Operations and maintenance expenses</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49,077</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6,188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55,265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46,567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6,194</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52,761</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13,798</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Other taxes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11,268</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11,456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11,120</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198</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11,318</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24,082</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2,791</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26,598</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2,490</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29,088</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right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5,910</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5,510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(4,587)</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(3,335)</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10"/>
        </w:trPr>
        <w:tc>
          <w:tcPr>
            <w:tcW w:w="282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27,271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2,034</w:t>
            </w:r>
          </w:p>
        </w:tc>
        <w:tc>
          <w:tcPr>
            <w:tcW w:w="3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29,305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28,364</w:t>
            </w:r>
          </w:p>
        </w:tc>
        <w:tc>
          <w:tcPr>
            <w:tcW w:w="2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1,754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30,118</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Operating revenues for the nine months ended September 30, 2021 increased $2.2 million from the same period in 2020 due to the following factors:</w:t>
      </w:r>
    </w:p>
    <w:p>
      <w:pPr>
        <w:spacing w:after="0" w:line="277" w:lineRule="exact"/>
        <w:rPr>
          <w:sz w:val="20"/>
          <w:szCs w:val="20"/>
          <w:color w:val="auto"/>
        </w:rPr>
      </w:pPr>
    </w:p>
    <w:p>
      <w:pPr>
        <w:ind w:left="660" w:right="220" w:hanging="328"/>
        <w:spacing w:after="0" w:line="207"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 xml:space="preserve">Middlesex System revenues remained consistent due to an increase in the Purchased Water Adjustment Clause tariff rate effective April 4, 2021 (see </w:t>
      </w:r>
      <w:r>
        <w:rPr>
          <w:rFonts w:ascii="Arial" w:cs="Arial" w:eastAsia="Arial" w:hAnsi="Arial"/>
          <w:sz w:val="18"/>
          <w:szCs w:val="18"/>
          <w:i w:val="1"/>
          <w:iCs w:val="1"/>
          <w:color w:val="auto"/>
        </w:rPr>
        <w:t>Note 2, Rate and Regulatory Matters, Middlesex</w:t>
      </w:r>
      <w:r>
        <w:rPr>
          <w:rFonts w:ascii="Arial" w:cs="Arial" w:eastAsia="Arial" w:hAnsi="Arial"/>
          <w:sz w:val="18"/>
          <w:szCs w:val="18"/>
          <w:color w:val="auto"/>
        </w:rPr>
        <w:t>) offset by lower demand from wholesale customers;</w:t>
      </w:r>
    </w:p>
    <w:p>
      <w:pPr>
        <w:spacing w:after="0" w:line="26" w:lineRule="exact"/>
        <w:rPr>
          <w:rFonts w:ascii="Arial" w:cs="Arial" w:eastAsia="Arial" w:hAnsi="Arial"/>
          <w:sz w:val="27"/>
          <w:szCs w:val="27"/>
          <w:color w:val="auto"/>
        </w:rPr>
      </w:pPr>
    </w:p>
    <w:p>
      <w:pPr>
        <w:ind w:left="660" w:right="100" w:hanging="328"/>
        <w:spacing w:after="0" w:line="232" w:lineRule="auto"/>
        <w:tabs>
          <w:tab w:leader="none" w:pos="660" w:val="left"/>
        </w:tabs>
        <w:numPr>
          <w:ilvl w:val="0"/>
          <w:numId w:val="8"/>
        </w:numPr>
        <w:rPr>
          <w:rFonts w:ascii="Arial" w:cs="Arial" w:eastAsia="Arial" w:hAnsi="Arial"/>
          <w:sz w:val="24"/>
          <w:szCs w:val="24"/>
          <w:color w:val="auto"/>
        </w:rPr>
      </w:pPr>
      <w:r>
        <w:rPr>
          <w:rFonts w:ascii="Arial" w:cs="Arial" w:eastAsia="Arial" w:hAnsi="Arial"/>
          <w:sz w:val="16"/>
          <w:szCs w:val="16"/>
          <w:color w:val="auto"/>
        </w:rPr>
        <w:t xml:space="preserve">Tidewater System revenues increased $1.9 million due to additional customers and higher consumption, partially offset by $1.0 million due to the Distribution System Improvement Charge revenue refund (for further information, see </w:t>
      </w:r>
      <w:r>
        <w:rPr>
          <w:rFonts w:ascii="Arial" w:cs="Arial" w:eastAsia="Arial" w:hAnsi="Arial"/>
          <w:sz w:val="16"/>
          <w:szCs w:val="16"/>
          <w:i w:val="1"/>
          <w:iCs w:val="1"/>
          <w:color w:val="auto"/>
        </w:rPr>
        <w:t>Note 2, Rate and Regulatory Matters, Tidewater)</w:t>
      </w:r>
      <w:r>
        <w:rPr>
          <w:rFonts w:ascii="Arial" w:cs="Arial" w:eastAsia="Arial" w:hAnsi="Arial"/>
          <w:sz w:val="16"/>
          <w:szCs w:val="16"/>
          <w:color w:val="auto"/>
        </w:rPr>
        <w:t>; and</w:t>
      </w:r>
    </w:p>
    <w:p>
      <w:pPr>
        <w:spacing w:after="0" w:line="41" w:lineRule="exact"/>
        <w:rPr>
          <w:rFonts w:ascii="Arial" w:cs="Arial" w:eastAsia="Arial" w:hAnsi="Arial"/>
          <w:sz w:val="24"/>
          <w:szCs w:val="24"/>
          <w:color w:val="auto"/>
        </w:rPr>
      </w:pPr>
    </w:p>
    <w:p>
      <w:pPr>
        <w:ind w:left="660" w:right="380" w:hanging="328"/>
        <w:spacing w:after="0" w:line="207"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Non-regulated revenues increased $0.3 million due to USA’s contract to operate and maintain Highland Park’s water and wastewater systems, which commenced July 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nine months ended September 30, 2021 increased $2.5 million from the same period in 2020 due to the following factors:</w:t>
      </w:r>
    </w:p>
    <w:p>
      <w:pPr>
        <w:spacing w:after="0" w:line="211" w:lineRule="exact"/>
        <w:rPr>
          <w:sz w:val="20"/>
          <w:szCs w:val="20"/>
          <w:color w:val="auto"/>
        </w:rPr>
      </w:pPr>
    </w:p>
    <w:p>
      <w:pPr>
        <w:ind w:left="660" w:right="300" w:hanging="328"/>
        <w:spacing w:after="0" w:line="207"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Higher weather-related water main break activity in our Middlesex system during the winter months resulted in $0.6 million of additional non-labor costs;</w:t>
      </w:r>
    </w:p>
    <w:p>
      <w:pPr>
        <w:ind w:left="660" w:hanging="328"/>
        <w:spacing w:after="0" w:line="198"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Labor costs increased $0.8 million due to wage increases and lower allocation of labor to capital work;</w:t>
      </w:r>
    </w:p>
    <w:p>
      <w:pPr>
        <w:spacing w:after="0" w:line="56" w:lineRule="exact"/>
        <w:rPr>
          <w:rFonts w:ascii="Arial" w:cs="Arial" w:eastAsia="Arial" w:hAnsi="Arial"/>
          <w:sz w:val="27"/>
          <w:szCs w:val="27"/>
          <w:color w:val="auto"/>
        </w:rPr>
      </w:pPr>
    </w:p>
    <w:p>
      <w:pPr>
        <w:ind w:left="660" w:hanging="328"/>
        <w:spacing w:after="0" w:line="186" w:lineRule="auto"/>
        <w:tabs>
          <w:tab w:leader="none" w:pos="660" w:val="left"/>
        </w:tabs>
        <w:numPr>
          <w:ilvl w:val="0"/>
          <w:numId w:val="9"/>
        </w:numPr>
        <w:rPr>
          <w:rFonts w:ascii="Arial" w:cs="Arial" w:eastAsia="Arial" w:hAnsi="Arial"/>
          <w:sz w:val="24"/>
          <w:szCs w:val="24"/>
          <w:color w:val="auto"/>
        </w:rPr>
      </w:pPr>
      <w:r>
        <w:rPr>
          <w:rFonts w:ascii="Arial" w:cs="Arial" w:eastAsia="Arial" w:hAnsi="Arial"/>
          <w:sz w:val="16"/>
          <w:szCs w:val="16"/>
          <w:color w:val="auto"/>
        </w:rPr>
        <w:t>Increased business insurance premiums resulted in $0.2 million of additional costs;</w:t>
      </w:r>
    </w:p>
    <w:p>
      <w:pPr>
        <w:spacing w:after="0" w:line="53" w:lineRule="exact"/>
        <w:rPr>
          <w:rFonts w:ascii="Arial" w:cs="Arial" w:eastAsia="Arial" w:hAnsi="Arial"/>
          <w:sz w:val="24"/>
          <w:szCs w:val="24"/>
          <w:color w:val="auto"/>
        </w:rPr>
      </w:pPr>
    </w:p>
    <w:p>
      <w:pPr>
        <w:ind w:left="660" w:hanging="328"/>
        <w:spacing w:after="0" w:line="188" w:lineRule="auto"/>
        <w:tabs>
          <w:tab w:leader="none" w:pos="660" w:val="left"/>
        </w:tabs>
        <w:numPr>
          <w:ilvl w:val="0"/>
          <w:numId w:val="9"/>
        </w:numPr>
        <w:rPr>
          <w:rFonts w:ascii="Arial" w:cs="Arial" w:eastAsia="Arial" w:hAnsi="Arial"/>
          <w:sz w:val="24"/>
          <w:szCs w:val="24"/>
          <w:color w:val="auto"/>
        </w:rPr>
      </w:pPr>
      <w:r>
        <w:rPr>
          <w:rFonts w:ascii="Arial" w:cs="Arial" w:eastAsia="Arial" w:hAnsi="Arial"/>
          <w:sz w:val="16"/>
          <w:szCs w:val="16"/>
          <w:color w:val="auto"/>
        </w:rPr>
        <w:t>Outside services and consultant costs increased $0.2 million due to higher regulatory and corporate activity, including compliance with AWIA;</w:t>
      </w:r>
    </w:p>
    <w:p>
      <w:pPr>
        <w:spacing w:after="0" w:line="42" w:lineRule="exact"/>
        <w:rPr>
          <w:rFonts w:ascii="Arial" w:cs="Arial" w:eastAsia="Arial" w:hAnsi="Arial"/>
          <w:sz w:val="24"/>
          <w:szCs w:val="24"/>
          <w:color w:val="auto"/>
        </w:rPr>
      </w:pPr>
    </w:p>
    <w:p>
      <w:pPr>
        <w:ind w:left="660" w:hanging="328"/>
        <w:spacing w:after="0" w:line="186" w:lineRule="auto"/>
        <w:tabs>
          <w:tab w:leader="none" w:pos="660" w:val="left"/>
        </w:tabs>
        <w:numPr>
          <w:ilvl w:val="0"/>
          <w:numId w:val="9"/>
        </w:numPr>
        <w:rPr>
          <w:rFonts w:ascii="Arial" w:cs="Arial" w:eastAsia="Arial" w:hAnsi="Arial"/>
          <w:sz w:val="24"/>
          <w:szCs w:val="24"/>
          <w:color w:val="auto"/>
        </w:rPr>
      </w:pPr>
      <w:r>
        <w:rPr>
          <w:rFonts w:ascii="Arial" w:cs="Arial" w:eastAsia="Arial" w:hAnsi="Arial"/>
          <w:sz w:val="16"/>
          <w:szCs w:val="16"/>
          <w:color w:val="auto"/>
        </w:rPr>
        <w:t>Transportation expenses increased $0.1 million due to higher fuel prices;</w:t>
      </w:r>
    </w:p>
    <w:p>
      <w:pPr>
        <w:spacing w:after="0" w:line="56" w:lineRule="exact"/>
        <w:rPr>
          <w:rFonts w:ascii="Arial" w:cs="Arial" w:eastAsia="Arial" w:hAnsi="Arial"/>
          <w:sz w:val="24"/>
          <w:szCs w:val="24"/>
          <w:color w:val="auto"/>
        </w:rPr>
      </w:pPr>
    </w:p>
    <w:p>
      <w:pPr>
        <w:ind w:left="660" w:hanging="328"/>
        <w:spacing w:after="0" w:line="186" w:lineRule="auto"/>
        <w:tabs>
          <w:tab w:leader="none" w:pos="660" w:val="left"/>
        </w:tabs>
        <w:numPr>
          <w:ilvl w:val="0"/>
          <w:numId w:val="9"/>
        </w:numPr>
        <w:rPr>
          <w:rFonts w:ascii="Arial" w:cs="Arial" w:eastAsia="Arial" w:hAnsi="Arial"/>
          <w:sz w:val="24"/>
          <w:szCs w:val="24"/>
          <w:color w:val="auto"/>
        </w:rPr>
      </w:pPr>
      <w:r>
        <w:rPr>
          <w:rFonts w:ascii="Arial" w:cs="Arial" w:eastAsia="Arial" w:hAnsi="Arial"/>
          <w:sz w:val="16"/>
          <w:szCs w:val="16"/>
          <w:color w:val="auto"/>
        </w:rPr>
        <w:t>Grounds maintenance costs rose by $0.1 million due to increased pipeline easement and right-of-way clearing;</w:t>
      </w:r>
    </w:p>
    <w:p>
      <w:pPr>
        <w:spacing w:after="0" w:line="53" w:lineRule="exact"/>
        <w:rPr>
          <w:rFonts w:ascii="Arial" w:cs="Arial" w:eastAsia="Arial" w:hAnsi="Arial"/>
          <w:sz w:val="24"/>
          <w:szCs w:val="24"/>
          <w:color w:val="auto"/>
        </w:rPr>
      </w:pPr>
    </w:p>
    <w:p>
      <w:pPr>
        <w:ind w:left="660" w:hanging="328"/>
        <w:spacing w:after="0" w:line="181" w:lineRule="auto"/>
        <w:tabs>
          <w:tab w:leader="none" w:pos="660" w:val="left"/>
        </w:tabs>
        <w:numPr>
          <w:ilvl w:val="0"/>
          <w:numId w:val="9"/>
        </w:numPr>
        <w:rPr>
          <w:rFonts w:ascii="Arial" w:cs="Arial" w:eastAsia="Arial" w:hAnsi="Arial"/>
          <w:sz w:val="25"/>
          <w:szCs w:val="25"/>
          <w:color w:val="auto"/>
        </w:rPr>
      </w:pPr>
      <w:r>
        <w:rPr>
          <w:rFonts w:ascii="Arial" w:cs="Arial" w:eastAsia="Arial" w:hAnsi="Arial"/>
          <w:sz w:val="17"/>
          <w:szCs w:val="17"/>
          <w:color w:val="auto"/>
        </w:rPr>
        <w:t>Information technology costs increased $0.1 million due to greater software licensing fees; and</w:t>
      </w:r>
    </w:p>
    <w:p>
      <w:pPr>
        <w:spacing w:after="0" w:line="42" w:lineRule="exact"/>
        <w:rPr>
          <w:rFonts w:ascii="Arial" w:cs="Arial" w:eastAsia="Arial" w:hAnsi="Arial"/>
          <w:sz w:val="25"/>
          <w:szCs w:val="25"/>
          <w:color w:val="auto"/>
        </w:rPr>
      </w:pPr>
    </w:p>
    <w:p>
      <w:pPr>
        <w:ind w:left="660" w:hanging="328"/>
        <w:spacing w:after="0" w:line="186" w:lineRule="auto"/>
        <w:tabs>
          <w:tab w:leader="none" w:pos="660" w:val="left"/>
        </w:tabs>
        <w:numPr>
          <w:ilvl w:val="0"/>
          <w:numId w:val="9"/>
        </w:numPr>
        <w:rPr>
          <w:rFonts w:ascii="Arial" w:cs="Arial" w:eastAsia="Arial" w:hAnsi="Arial"/>
          <w:sz w:val="24"/>
          <w:szCs w:val="24"/>
          <w:color w:val="auto"/>
        </w:rPr>
      </w:pPr>
      <w:r>
        <w:rPr>
          <w:rFonts w:ascii="Arial" w:cs="Arial" w:eastAsia="Arial" w:hAnsi="Arial"/>
          <w:sz w:val="16"/>
          <w:szCs w:val="16"/>
          <w:color w:val="auto"/>
        </w:rPr>
        <w:t>All other operation and maintenance expense categories increased $0.4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for the nine months ended September 30, 2021 increased $1.7 million from the same period in 2020 due to a higher level of utility plant in service.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nine months ended September 30, 2021 increased $0.1 million from the same period in 2020 primarily due to higher payroll taxes on increased labor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Other Income, net for the nine months ended September 30, 2021 increased $0.6 million from the same period in 2020 primarily due to lower actuarially-determined retirement benefit plans non-service expense offset by lower AFUDC on a lower average level of capital construction projects in progress.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charges for the nine months ended September 30, 2021 increased $0.4 million from the same period in 2020 due to higher long-term debt outstanding in 2021 as compared to 2020 partially offset by lower average interest rates on short term borrowings year-over-year.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benefit from income taxes for the nine months ended September 30, 2021 increased by $1.1 million from the same period in 2020 primarily due to lower pre-tax income</w:t>
      </w:r>
      <w:r>
        <w:rPr>
          <w:rFonts w:ascii="Arial" w:cs="Arial" w:eastAsia="Arial" w:hAnsi="Arial"/>
          <w:sz w:val="18"/>
          <w:szCs w:val="18"/>
          <w:i w:val="1"/>
          <w:iCs w:val="1"/>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nine months ended September 30, 2021 decreased $0.8 million as compared with the same period in 2020. Basic earnings per share were $1.67 and $1.72 for the nine months ended September30, 2021 and 2020, respectively. Diluted earnings per share were $1.66 and $1.71 for the nine months ended September 30, 2021 and 2020,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operations are largely based on four factors: weather, adequate and timely rate increases, effective cost management and growth. The effect of those factors on net income is discussed in “Results of Operations.”</w:t>
      </w:r>
    </w:p>
    <w:p>
      <w:pPr>
        <w:spacing w:after="0" w:line="14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nine months ended September 30, 2021, cash flows from operating activities decreased $18.7 million to $18.6 million. The decrease in cash flows from operating activities primarily resulted from the timing of payments to vendors and increased income tax and interest payments.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2021, cash flows used in investing activities decreased $9.5 million to $61.2 million. The decrease in cash flows used in investing activities resulted from decreased utility plant expenditures.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on the Company’s future capital expenditures and expected funding sources, see “</w:t>
      </w: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below.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2021, cash flows from financing activities increased $22.3 million to $37.5 million. The increase in cash flows provided by financing activities is due to an increase in short-term and long-term borrowings and higher net construction advances and contributions offset by higher repayment of long-term debt.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and Commitments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Middlesex Water Company Investment Plan (Investment Plan) and proceeds from sales offerings to the public of our common stock. See below for a more detailed discussion regarding the funding of our capital program.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Forecasted spending for our construction program in 2021 has been reduced to $77 million due to schedule coordination with contractors and municipalities. Through September 30, 2021, we have expended $61 million and expect to incur approximately $16 million for capital projects for the remainder of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project that we may expend between $175 million to $200 million for capital projects in 2022 and 2023. The actual amount and timing of capital expenditures is dependent on final approval of the 2022 and 2023 Capital Budgets by the Company’s Board of Directors, project scheduling and refinement of engineering estimates for certain capital projects.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pay for our capital program for the remainder of 2021, we plan on utilizing some or all of the following:</w:t>
      </w:r>
    </w:p>
    <w:p>
      <w:pPr>
        <w:spacing w:after="0" w:line="18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7"/>
          <w:szCs w:val="27"/>
          <w:color w:val="auto"/>
        </w:rPr>
      </w:pPr>
      <w:r>
        <w:rPr>
          <w:rFonts w:ascii="Arial" w:cs="Arial" w:eastAsia="Arial" w:hAnsi="Arial"/>
          <w:sz w:val="18"/>
          <w:szCs w:val="18"/>
          <w:color w:val="auto"/>
        </w:rPr>
        <w:t>Internally generated funds;</w:t>
      </w:r>
    </w:p>
    <w:p>
      <w:pPr>
        <w:spacing w:after="0" w:line="42" w:lineRule="exact"/>
        <w:rPr>
          <w:rFonts w:ascii="Arial" w:cs="Arial" w:eastAsia="Arial" w:hAnsi="Arial"/>
          <w:sz w:val="27"/>
          <w:szCs w:val="27"/>
          <w:color w:val="auto"/>
        </w:rPr>
      </w:pPr>
    </w:p>
    <w:p>
      <w:pPr>
        <w:jc w:val="both"/>
        <w:ind w:left="660" w:hanging="328"/>
        <w:spacing w:after="0" w:line="214" w:lineRule="auto"/>
        <w:tabs>
          <w:tab w:leader="none" w:pos="660" w:val="left"/>
        </w:tabs>
        <w:numPr>
          <w:ilvl w:val="0"/>
          <w:numId w:val="10"/>
        </w:numPr>
        <w:rPr>
          <w:rFonts w:ascii="Arial" w:cs="Arial" w:eastAsia="Arial" w:hAnsi="Arial"/>
          <w:sz w:val="27"/>
          <w:szCs w:val="27"/>
          <w:color w:val="auto"/>
        </w:rPr>
      </w:pPr>
      <w:r>
        <w:rPr>
          <w:rFonts w:ascii="Arial" w:cs="Arial" w:eastAsia="Arial" w:hAnsi="Arial"/>
          <w:sz w:val="18"/>
          <w:szCs w:val="18"/>
          <w:color w:val="auto"/>
        </w:rPr>
        <w:t xml:space="preserve">Short-term borrowings, as needed, through $110 million of lines of credit established with three financial institutions. As of September 30, 2021, there was $60.0 million of available credit under these lines (for further discussion on Company lines of credit, 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 </w:t>
      </w:r>
      <w:r>
        <w:rPr>
          <w:rFonts w:ascii="Arial" w:cs="Arial" w:eastAsia="Arial" w:hAnsi="Arial"/>
          <w:sz w:val="18"/>
          <w:szCs w:val="18"/>
          <w:i w:val="1"/>
          <w:iCs w:val="1"/>
          <w:color w:val="auto"/>
        </w:rPr>
        <w:t>Short Term</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ind w:left="660" w:hanging="328"/>
        <w:spacing w:after="0" w:line="208" w:lineRule="auto"/>
        <w:tabs>
          <w:tab w:leader="none" w:pos="660" w:val="left"/>
        </w:tabs>
        <w:numPr>
          <w:ilvl w:val="0"/>
          <w:numId w:val="10"/>
        </w:numPr>
        <w:rPr>
          <w:rFonts w:ascii="Arial" w:cs="Arial" w:eastAsia="Arial" w:hAnsi="Arial"/>
          <w:sz w:val="27"/>
          <w:szCs w:val="27"/>
          <w:color w:val="auto"/>
        </w:rPr>
      </w:pPr>
      <w:r>
        <w:rPr>
          <w:rFonts w:ascii="Arial" w:cs="Arial" w:eastAsia="Arial" w:hAnsi="Arial"/>
          <w:sz w:val="18"/>
          <w:szCs w:val="18"/>
          <w:color w:val="auto"/>
        </w:rPr>
        <w:t>Proceeds from the sale and issuance of FMBs in a private placement offering; and</w:t>
      </w:r>
    </w:p>
    <w:p>
      <w:pPr>
        <w:spacing w:after="0" w:line="53" w:lineRule="exact"/>
        <w:rPr>
          <w:rFonts w:ascii="Arial" w:cs="Arial" w:eastAsia="Arial" w:hAnsi="Arial"/>
          <w:sz w:val="27"/>
          <w:szCs w:val="27"/>
          <w:color w:val="auto"/>
        </w:rPr>
      </w:pPr>
    </w:p>
    <w:p>
      <w:pPr>
        <w:ind w:left="660" w:hanging="328"/>
        <w:spacing w:after="0" w:line="181" w:lineRule="auto"/>
        <w:tabs>
          <w:tab w:leader="none" w:pos="660" w:val="left"/>
        </w:tabs>
        <w:numPr>
          <w:ilvl w:val="0"/>
          <w:numId w:val="10"/>
        </w:numPr>
        <w:rPr>
          <w:rFonts w:ascii="Arial" w:cs="Arial" w:eastAsia="Arial" w:hAnsi="Arial"/>
          <w:sz w:val="25"/>
          <w:szCs w:val="25"/>
          <w:color w:val="auto"/>
        </w:rPr>
      </w:pPr>
      <w:r>
        <w:rPr>
          <w:rFonts w:ascii="Arial" w:cs="Arial" w:eastAsia="Arial" w:hAnsi="Arial"/>
          <w:sz w:val="17"/>
          <w:szCs w:val="17"/>
          <w:color w:val="auto"/>
        </w:rPr>
        <w:t>Proceeds from the Investment Plan.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fully fund the ongoing large investment program in our utility plant infrastructure and maintain a balanced capital structure for a regulated water utility, Middlesex may offer for sale additional shares of its common stock. The amount, the timing and the sales method of issuing any common stock is dependent on the timing of the construction expenditures, the level of additional debt financing and financial market conditions. As previously approved by the NJBPU in 2019, the Company is authorized to issue and sell up to 0.7 million shares of its common stock in one or more transactions through December 31, 2022.</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See Note 1 of the Notes to Unaudited Condensed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 and guidance.</w:t>
      </w:r>
    </w:p>
    <w:p>
      <w:pPr>
        <w:spacing w:after="0" w:line="10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of Market Risk</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2021 to 2059. Over the next twelve months, approximately $6.8 million of the current portion of existing long-term debt instruments will mature. Applying a hypothetical change in the rate of interest charged by 10% on those borrowings, would not have a material effect on our earnings.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risks associated with price increases for chemicals, electricity and other commodities are reduced through contractual arrangements and the ability to recover price increases through rates charged to the Company’s regulated utility customers. Non-performance by these commodity suppliers could have a material adverse impact on our results of operations, financial position and cash flows.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in our non-regulated businesses and the loss that may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 incurred due to the non-payment of customer accounts receivable balances in our regulated utility businesses.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Risk is mitigated by our ability to recover retirement benefit plan costs through rates for regulated utility services charged to our customers.</w:t>
      </w:r>
    </w:p>
    <w:p>
      <w:pPr>
        <w:spacing w:after="0" w:line="9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about risk factors does not differ materially from those set forth in Part I, Item 1A. of the Company’s Annual Report on Form 10-K for the year ended December 31, 2020.</w:t>
      </w:r>
    </w:p>
    <w:p>
      <w:pPr>
        <w:spacing w:after="0" w:line="11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00" w:type="dxa"/>
            <w:vAlign w:val="bottom"/>
            <w:gridSpan w:val="7"/>
          </w:tcPr>
          <w:p>
            <w:pPr>
              <w:ind w:left="100"/>
              <w:spacing w:after="0"/>
              <w:rPr>
                <w:sz w:val="20"/>
                <w:szCs w:val="20"/>
                <w:color w:val="auto"/>
              </w:rPr>
            </w:pPr>
            <w:r>
              <w:rPr>
                <w:rFonts w:ascii="Arial" w:cs="Arial" w:eastAsia="Arial" w:hAnsi="Arial"/>
                <w:sz w:val="18"/>
                <w:szCs w:val="18"/>
                <w:b w:val="1"/>
                <w:bCs w:val="1"/>
                <w:color w:val="auto"/>
              </w:rPr>
              <w:t>Other Information</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Section 302 Certification by Dennis W. Doll pursuant to Rules 13a-14 and 15d-14 of the Securities Exchange Act of 1934.</w:t>
              </w:r>
            </w:hyperlink>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Section 302 Certification by A. Bruce O’Connor pursuant to Rules 13a-14 and 15d-14 of the Securities Exchange Act of 1934.</w:t>
              </w:r>
            </w:hyperlink>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5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0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Section 906 Certification by Dennis W. Doll pursuant to 18 U.S.C. §1350, as adopted pursuant to Section 302 of the Sarbanes-Oxley Act of</w:t>
              </w:r>
            </w:hyperlink>
          </w:p>
        </w:tc>
        <w:tc>
          <w:tcPr>
            <w:tcW w:w="10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2002.</w:t>
              </w:r>
            </w:hyperlink>
          </w:p>
        </w:tc>
        <w:tc>
          <w:tcPr>
            <w:tcW w:w="20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1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Section 906 Certification by A. Bruce O’Connor pursuant to 18 U.S.C. §1350, as adopted pursuant to Section 302 of the Sarbanes-Oxley Act</w:t>
              </w:r>
            </w:hyperlink>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60" w:type="dxa"/>
            <w:vAlign w:val="bottom"/>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of 2002.</w:t>
              </w:r>
            </w:hyperlink>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560" w:type="dxa"/>
            <w:vAlign w:val="bottom"/>
            <w:gridSpan w:val="4"/>
          </w:tcPr>
          <w:p>
            <w:pPr>
              <w:spacing w:after="0" w:line="20" w:lineRule="exact"/>
              <w:rPr>
                <w:sz w:val="1"/>
                <w:szCs w:val="1"/>
                <w:color w:val="auto"/>
              </w:rPr>
            </w:pPr>
          </w:p>
        </w:tc>
      </w:tr>
      <w:tr>
        <w:trPr>
          <w:trHeight w:val="453"/>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Schema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202" w:lineRule="exact"/>
        <w:rPr>
          <w:sz w:val="20"/>
          <w:szCs w:val="20"/>
          <w:color w:val="auto"/>
        </w:rPr>
      </w:pPr>
    </w:p>
    <w:p>
      <w:pPr>
        <w:ind w:left="1020" w:right="100" w:hanging="101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7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MIDDLESEX WATER COMPANY</w:t>
      </w:r>
    </w:p>
    <w:p>
      <w:pPr>
        <w:spacing w:after="0" w:line="208" w:lineRule="exact"/>
        <w:rPr>
          <w:sz w:val="20"/>
          <w:szCs w:val="20"/>
          <w:color w:val="auto"/>
        </w:rPr>
      </w:pPr>
    </w:p>
    <w:tbl>
      <w:tblPr>
        <w:tblLayout w:type="fixed"/>
        <w:tblInd w:w="73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Bruce O’Connor</w:t>
            </w:r>
          </w:p>
        </w:tc>
        <w:tc>
          <w:tcPr>
            <w:tcW w:w="820" w:type="dxa"/>
            <w:vAlign w:val="bottom"/>
          </w:tcPr>
          <w:p>
            <w:pPr>
              <w:spacing w:after="0"/>
              <w:rPr>
                <w:sz w:val="17"/>
                <w:szCs w:val="17"/>
                <w:color w:val="auto"/>
              </w:rPr>
            </w:pPr>
          </w:p>
        </w:tc>
      </w:tr>
      <w:tr>
        <w:trPr>
          <w:trHeight w:val="222"/>
        </w:trPr>
        <w:tc>
          <w:tcPr>
            <w:tcW w:w="56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A. Bruce O’Connor</w:t>
            </w:r>
          </w:p>
        </w:tc>
      </w:tr>
      <w:tr>
        <w:trPr>
          <w:trHeight w:val="216"/>
        </w:trPr>
        <w:tc>
          <w:tcPr>
            <w:tcW w:w="5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88"/>
              </w:rPr>
              <w:t>Senior Vice President, Treasurer and</w:t>
            </w:r>
          </w:p>
        </w:tc>
      </w:tr>
      <w:tr>
        <w:trPr>
          <w:trHeight w:val="216"/>
        </w:trPr>
        <w:tc>
          <w:tcPr>
            <w:tcW w:w="5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bl>
    <w:p>
      <w:pPr>
        <w:spacing w:after="0" w:line="1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Date: October 29,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Dennis W. Doll, certify that:</w:t>
      </w:r>
    </w:p>
    <w:p>
      <w:pPr>
        <w:spacing w:after="0" w:line="171" w:lineRule="exact"/>
        <w:rPr>
          <w:sz w:val="20"/>
          <w:szCs w:val="20"/>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868" w:hanging="364"/>
        <w:spacing w:after="0" w:line="263" w:lineRule="auto"/>
        <w:tabs>
          <w:tab w:leader="none" w:pos="8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868" w:hanging="364"/>
        <w:spacing w:after="0" w:line="263" w:lineRule="auto"/>
        <w:tabs>
          <w:tab w:leader="none" w:pos="8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868" w:hanging="364"/>
        <w:spacing w:after="0" w:line="342" w:lineRule="auto"/>
        <w:tabs>
          <w:tab w:leader="none" w:pos="868"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868" w:hanging="364"/>
        <w:spacing w:after="0" w:line="263" w:lineRule="auto"/>
        <w:tabs>
          <w:tab w:leader="none" w:pos="8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868" w:hanging="364"/>
        <w:spacing w:after="0" w:line="308" w:lineRule="auto"/>
        <w:tabs>
          <w:tab w:leader="none" w:pos="868"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868" w:hanging="364"/>
        <w:spacing w:after="0" w:line="277" w:lineRule="auto"/>
        <w:tabs>
          <w:tab w:leader="none" w:pos="8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2823210</wp:posOffset>
            </wp:positionH>
            <wp:positionV relativeFrom="paragraph">
              <wp:posOffset>-10160</wp:posOffset>
            </wp:positionV>
            <wp:extent cx="10750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spacing w:after="0" w:line="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Chief Executive Officer</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October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139065</wp:posOffset>
            </wp:positionV>
            <wp:extent cx="7157720"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31" w:name="page32"/>
    <w:bookmarkEnd w:id="31"/>
    <w:p>
      <w:pPr>
        <w:ind w:left="9988"/>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A. Bruce O’Connor, certify that:</w:t>
      </w:r>
    </w:p>
    <w:p>
      <w:pPr>
        <w:spacing w:after="0" w:line="171" w:lineRule="exact"/>
        <w:rPr>
          <w:sz w:val="20"/>
          <w:szCs w:val="20"/>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9" w:lineRule="exact"/>
        <w:rPr>
          <w:rFonts w:ascii="Arial" w:cs="Arial" w:eastAsia="Arial" w:hAnsi="Arial"/>
          <w:sz w:val="18"/>
          <w:szCs w:val="18"/>
          <w:color w:val="auto"/>
        </w:rPr>
      </w:pPr>
    </w:p>
    <w:p>
      <w:pPr>
        <w:jc w:val="both"/>
        <w:ind w:left="1008" w:hanging="504"/>
        <w:spacing w:after="0" w:line="263" w:lineRule="auto"/>
        <w:tabs>
          <w:tab w:leader="none" w:pos="10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008" w:hanging="504"/>
        <w:spacing w:after="0" w:line="263" w:lineRule="auto"/>
        <w:tabs>
          <w:tab w:leader="none" w:pos="10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008" w:right="20" w:hanging="504"/>
        <w:spacing w:after="0" w:line="342" w:lineRule="auto"/>
        <w:tabs>
          <w:tab w:leader="none" w:pos="1008"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008" w:hanging="504"/>
        <w:spacing w:after="0" w:line="263" w:lineRule="auto"/>
        <w:tabs>
          <w:tab w:leader="none" w:pos="10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008" w:right="20" w:hanging="504"/>
        <w:spacing w:after="0" w:line="308" w:lineRule="auto"/>
        <w:tabs>
          <w:tab w:leader="none" w:pos="1008"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008" w:right="20" w:hanging="504"/>
        <w:spacing w:after="0" w:line="277" w:lineRule="auto"/>
        <w:tabs>
          <w:tab w:leader="none" w:pos="10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-10160</wp:posOffset>
            </wp:positionV>
            <wp:extent cx="12693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October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121920</wp:posOffset>
            </wp:positionV>
            <wp:extent cx="7157720"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-10160</wp:posOffset>
            </wp:positionV>
            <wp:extent cx="10750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2021</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-10160</wp:posOffset>
            </wp:positionV>
            <wp:extent cx="12693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2021</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0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2021-10-29T15:34:58Z</dcterms:created>
  <dcterms:modified xsi:type="dcterms:W3CDTF">2021-10-29T15:34:58Z</dcterms:modified>
</cp:coreProperties>
</file>