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38" w:lineRule="exact"/>
        <w:rPr>
          <w:rFonts w:ascii="MS PGothic" w:cs="MS PGothic" w:eastAsia="MS PGothic" w:hAnsi="MS PGothic"/>
          <w:sz w:val="16"/>
          <w:szCs w:val="16"/>
          <w:color w:val="auto"/>
        </w:rPr>
      </w:pPr>
    </w:p>
    <w:p>
      <w:pPr>
        <w:ind w:left="366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September 30, 2023</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2680" w:right="1900" w:hanging="2672"/>
        <w:spacing w:after="0" w:line="530" w:lineRule="auto"/>
        <w:tabs>
          <w:tab w:leader="none" w:pos="651"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_________________ to______________________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0-422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151"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176" w:lineRule="exact"/>
        <w:rPr>
          <w:sz w:val="24"/>
          <w:szCs w:val="24"/>
          <w:color w:val="auto"/>
        </w:rPr>
      </w:pPr>
    </w:p>
    <w:p>
      <w:pPr>
        <w:sectPr>
          <w:pgSz w:w="11900" w:h="16838" w:orient="portrait"/>
          <w:cols w:equalWidth="0" w:num="2">
            <w:col w:w="6520" w:space="720"/>
            <w:col w:w="4000"/>
          </w:cols>
          <w:pgMar w:left="320" w:top="675"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485C Route One South, Iselin, New Jersey 08830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Trading Symbol(s)</w:t>
            </w:r>
          </w:p>
        </w:tc>
        <w:tc>
          <w:tcPr>
            <w:tcW w:w="4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2300" w:type="dxa"/>
            <w:vAlign w:val="bottom"/>
          </w:tcPr>
          <w:p>
            <w:pPr>
              <w:jc w:val="center"/>
              <w:ind w:right="70"/>
              <w:spacing w:after="0"/>
              <w:rPr>
                <w:sz w:val="20"/>
                <w:szCs w:val="20"/>
                <w:color w:val="auto"/>
              </w:rPr>
            </w:pPr>
            <w:r>
              <w:rPr>
                <w:rFonts w:ascii="Arial" w:cs="Arial" w:eastAsia="Arial" w:hAnsi="Arial"/>
                <w:sz w:val="18"/>
                <w:szCs w:val="18"/>
                <w:color w:val="auto"/>
                <w:w w:val="97"/>
              </w:rPr>
              <w:t>MSEX</w:t>
            </w:r>
          </w:p>
        </w:tc>
        <w:tc>
          <w:tcPr>
            <w:tcW w:w="4380" w:type="dxa"/>
            <w:vAlign w:val="bottom"/>
          </w:tcPr>
          <w:p>
            <w:pPr>
              <w:jc w:val="center"/>
              <w:ind w:right="10"/>
              <w:spacing w:after="0"/>
              <w:rPr>
                <w:sz w:val="20"/>
                <w:szCs w:val="20"/>
                <w:color w:val="auto"/>
              </w:rPr>
            </w:pPr>
            <w:r>
              <w:rPr>
                <w:rFonts w:ascii="Arial" w:cs="Arial" w:eastAsia="Arial" w:hAnsi="Arial"/>
                <w:sz w:val="18"/>
                <w:szCs w:val="18"/>
                <w:color w:val="auto"/>
                <w:w w:val="99"/>
              </w:rPr>
              <w:t>NASDAQ</w:t>
            </w:r>
          </w:p>
        </w:tc>
      </w:tr>
    </w:tbl>
    <w:p>
      <w:pPr>
        <w:spacing w:after="0" w:line="187"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39"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7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ind w:left="21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3">
            <w:col w:w="4320" w:space="720"/>
            <w:col w:w="1640" w:space="720"/>
            <w:col w:w="3840"/>
          </w:cols>
          <w:pgMar w:left="320" w:top="675" w:right="339" w:bottom="1440" w:gutter="0" w:footer="0" w:header="0"/>
          <w:type w:val="continuous"/>
        </w:sectPr>
      </w:pPr>
    </w:p>
    <w:p>
      <w:pPr>
        <w:spacing w:after="0" w:line="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ind w:right="100"/>
        <w:spacing w:after="0" w:line="258" w:lineRule="auto"/>
        <w:rPr>
          <w:sz w:val="20"/>
          <w:szCs w:val="20"/>
          <w:color w:val="auto"/>
        </w:rPr>
      </w:pPr>
      <w:r>
        <w:rPr>
          <w:rFonts w:ascii="Arial" w:cs="Arial" w:eastAsia="Arial" w:hAnsi="Arial"/>
          <w:sz w:val="18"/>
          <w:szCs w:val="18"/>
          <w:color w:val="auto"/>
        </w:rPr>
        <w:t>The number of shares outstanding of each of the registrant's classes of common stock, as of November 9, 2023: Common Stock, No Par Value: 17,806,696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gridSpan w:val="5"/>
          </w:tcPr>
          <w:p>
            <w:pPr>
              <w:ind w:left="20"/>
              <w:spacing w:after="0"/>
              <w:rPr>
                <w:sz w:val="20"/>
                <w:szCs w:val="20"/>
                <w:color w:val="auto"/>
              </w:rPr>
            </w:pPr>
            <w:r>
              <w:rPr>
                <w:rFonts w:ascii="Arial" w:cs="Arial" w:eastAsia="Arial" w:hAnsi="Arial"/>
                <w:sz w:val="18"/>
                <w:szCs w:val="18"/>
                <w:color w:val="auto"/>
              </w:rPr>
              <w:t>INDEX</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08"/>
        </w:trPr>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rPr>
              <w:t>FINANCIAL INFORMATION</w:t>
            </w:r>
          </w:p>
        </w:tc>
        <w:tc>
          <w:tcPr>
            <w:tcW w:w="7300" w:type="dxa"/>
            <w:vAlign w:val="bottom"/>
            <w:gridSpan w:val="11"/>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PAGE</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21"/>
          </w:tcPr>
          <w:p>
            <w:pPr>
              <w:spacing w:after="0"/>
              <w:rPr>
                <w:sz w:val="20"/>
                <w:szCs w:val="20"/>
                <w:color w:val="auto"/>
              </w:rPr>
            </w:pPr>
            <w:r>
              <w:rPr>
                <w:rFonts w:ascii="Arial" w:cs="Arial" w:eastAsia="Arial" w:hAnsi="Arial"/>
                <w:sz w:val="18"/>
                <w:szCs w:val="18"/>
                <w:color w:val="0000EE"/>
              </w:rPr>
              <w:t>Financial Statements (Unaudited):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970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Income</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87"/>
              </w:rPr>
              <w:t>Condensed Consolidated Balance Sheets</w:t>
            </w:r>
          </w:p>
        </w:tc>
        <w:tc>
          <w:tcPr>
            <w:tcW w:w="460" w:type="dxa"/>
            <w:vAlign w:val="bottom"/>
            <w:tcBorders>
              <w:top w:val="single" w:sz="8" w:color="0000EE"/>
            </w:tcBorders>
          </w:tcPr>
          <w:p>
            <w:pPr>
              <w:spacing w:after="0"/>
              <w:rPr>
                <w:sz w:val="24"/>
                <w:szCs w:val="24"/>
                <w:color w:val="auto"/>
              </w:rPr>
            </w:pPr>
          </w:p>
        </w:tc>
        <w:tc>
          <w:tcPr>
            <w:tcW w:w="6300" w:type="dxa"/>
            <w:vAlign w:val="bottom"/>
            <w:gridSpan w:val="8"/>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8"/>
              </w:rPr>
              <w:t>Condensed Consolidated Statements of Cash Flows</w:t>
            </w:r>
          </w:p>
        </w:tc>
        <w:tc>
          <w:tcPr>
            <w:tcW w:w="5980" w:type="dxa"/>
            <w:vAlign w:val="bottom"/>
            <w:gridSpan w:val="7"/>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970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Capital Stock and Long-Term Debt</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540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w w:val="95"/>
              </w:rPr>
              <w:t>Condensed Consolidated Statements of Common Stockholders’ Equity</w:t>
            </w:r>
          </w:p>
        </w:tc>
        <w:tc>
          <w:tcPr>
            <w:tcW w:w="430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4"/>
                <w:szCs w:val="24"/>
                <w:color w:val="auto"/>
              </w:rPr>
            </w:pPr>
          </w:p>
        </w:tc>
        <w:tc>
          <w:tcPr>
            <w:tcW w:w="510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w w:val="95"/>
              </w:rPr>
              <w:t>Notes to Unaudited Condensed Consolidated Financial Statements</w:t>
            </w:r>
          </w:p>
        </w:tc>
        <w:tc>
          <w:tcPr>
            <w:tcW w:w="4600" w:type="dxa"/>
            <w:vAlign w:val="bottom"/>
            <w:gridSpan w:val="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2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0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1"/>
              </w:rPr>
              <w:t>Quantitative and Qualitative Disclosures of Market Risk</w:t>
            </w:r>
          </w:p>
        </w:tc>
        <w:tc>
          <w:tcPr>
            <w:tcW w:w="5640" w:type="dxa"/>
            <w:vAlign w:val="bottom"/>
            <w:gridSpan w:val="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Controls and Procedures</w:t>
            </w:r>
          </w:p>
        </w:tc>
        <w:tc>
          <w:tcPr>
            <w:tcW w:w="792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21"/>
          </w:tcPr>
          <w:p>
            <w:pPr>
              <w:spacing w:after="0"/>
              <w:rPr>
                <w:sz w:val="20"/>
                <w:szCs w:val="20"/>
                <w:color w:val="auto"/>
              </w:rPr>
            </w:pPr>
            <w:r>
              <w:rPr>
                <w:rFonts w:ascii="Arial" w:cs="Arial" w:eastAsia="Arial" w:hAnsi="Arial"/>
                <w:sz w:val="18"/>
                <w:szCs w:val="18"/>
                <w:b w:val="1"/>
                <w:bCs w:val="1"/>
                <w:color w:val="0000EE"/>
              </w:rPr>
              <w:t>OTHER INFORMATION</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680" w:type="dxa"/>
            <w:vAlign w:val="bottom"/>
            <w:tcBorders>
              <w:top w:val="single" w:sz="8" w:color="0000EE"/>
            </w:tcBorders>
            <w:gridSpan w:val="3"/>
          </w:tcPr>
          <w:p>
            <w:pPr>
              <w:spacing w:after="0"/>
              <w:rPr>
                <w:sz w:val="24"/>
                <w:szCs w:val="24"/>
                <w:color w:val="auto"/>
              </w:rPr>
            </w:pPr>
          </w:p>
        </w:tc>
        <w:tc>
          <w:tcPr>
            <w:tcW w:w="768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Defaults upon Senior Securities</w:t>
            </w:r>
          </w:p>
        </w:tc>
        <w:tc>
          <w:tcPr>
            <w:tcW w:w="536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2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Mine Safety Disclosures</w:t>
            </w:r>
          </w:p>
        </w:tc>
        <w:tc>
          <w:tcPr>
            <w:tcW w:w="7420" w:type="dxa"/>
            <w:vAlign w:val="bottom"/>
            <w:gridSpan w:val="1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2"/>
          </w:tcPr>
          <w:p>
            <w:pPr>
              <w:spacing w:after="0"/>
              <w:rPr>
                <w:sz w:val="24"/>
                <w:szCs w:val="24"/>
                <w:color w:val="auto"/>
              </w:rPr>
            </w:pPr>
          </w:p>
        </w:tc>
        <w:tc>
          <w:tcPr>
            <w:tcW w:w="794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Exhibits</w:t>
            </w:r>
          </w:p>
        </w:tc>
        <w:tc>
          <w:tcPr>
            <w:tcW w:w="9100" w:type="dxa"/>
            <w:vAlign w:val="bottom"/>
            <w:gridSpan w:val="19"/>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80" w:type="dxa"/>
            <w:vAlign w:val="bottom"/>
          </w:tcPr>
          <w:p>
            <w:pPr>
              <w:spacing w:after="0"/>
              <w:rPr>
                <w:sz w:val="24"/>
                <w:szCs w:val="24"/>
                <w:color w:val="auto"/>
              </w:rPr>
            </w:pPr>
          </w:p>
        </w:tc>
      </w:tr>
      <w:tr>
        <w:trPr>
          <w:trHeight w:val="412"/>
        </w:trPr>
        <w:tc>
          <w:tcPr>
            <w:tcW w:w="10680" w:type="dxa"/>
            <w:vAlign w:val="bottom"/>
            <w:gridSpan w:val="22"/>
          </w:tcPr>
          <w:p>
            <w:pPr>
              <w:spacing w:after="0"/>
              <w:rPr>
                <w:sz w:val="20"/>
                <w:szCs w:val="20"/>
                <w:color w:val="auto"/>
              </w:rPr>
            </w:pPr>
            <w:r>
              <w:rPr>
                <w:rFonts w:ascii="Arial" w:cs="Arial" w:eastAsia="Arial" w:hAnsi="Arial"/>
                <w:sz w:val="18"/>
                <w:szCs w:val="18"/>
                <w:b w:val="1"/>
                <w:bCs w:val="1"/>
                <w:color w:val="0000EE"/>
              </w:rPr>
              <w:t>SIGNATURES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80" w:type="dxa"/>
            <w:vAlign w:val="bottom"/>
          </w:tcPr>
          <w:p>
            <w:pPr>
              <w:spacing w:after="0"/>
              <w:rPr>
                <w:sz w:val="24"/>
                <w:szCs w:val="24"/>
                <w:color w:val="auto"/>
              </w:rPr>
            </w:pPr>
          </w:p>
        </w:tc>
      </w:tr>
      <w:tr>
        <w:trPr>
          <w:trHeight w:val="581"/>
        </w:trPr>
        <w:tc>
          <w:tcPr>
            <w:tcW w:w="9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800" w:type="dxa"/>
            <w:vAlign w:val="bottom"/>
            <w:gridSpan w:val="4"/>
          </w:tcPr>
          <w:p>
            <w:pPr>
              <w:ind w:left="960"/>
              <w:spacing w:after="0"/>
              <w:rPr>
                <w:sz w:val="20"/>
                <w:szCs w:val="20"/>
                <w:color w:val="auto"/>
              </w:rPr>
            </w:pPr>
            <w:r>
              <w:rPr>
                <w:rFonts w:ascii="Arial" w:cs="Arial" w:eastAsia="Arial" w:hAnsi="Arial"/>
                <w:sz w:val="18"/>
                <w:szCs w:val="18"/>
                <w:b w:val="1"/>
                <w:bCs w:val="1"/>
                <w:color w:val="auto"/>
                <w:w w:val="92"/>
              </w:rPr>
              <w:t>Three Months Ended September 30,</w:t>
            </w: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4"/>
        </w:trPr>
        <w:tc>
          <w:tcPr>
            <w:tcW w:w="4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10"/>
        </w:trPr>
        <w:tc>
          <w:tcPr>
            <w:tcW w:w="4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46,715</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47,732</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127,672</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123,611</w:t>
            </w:r>
          </w:p>
        </w:tc>
      </w:tr>
      <w:tr>
        <w:trPr>
          <w:trHeight w:val="209"/>
        </w:trPr>
        <w:tc>
          <w:tcPr>
            <w:tcW w:w="4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1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22,581</w:t>
            </w:r>
          </w:p>
        </w:tc>
        <w:tc>
          <w:tcPr>
            <w:tcW w:w="4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20,312</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64,042</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59,007</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6,376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5,814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18,546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17,107</w:t>
            </w:r>
          </w:p>
        </w:tc>
      </w:tr>
      <w:tr>
        <w:trPr>
          <w:trHeight w:val="216"/>
        </w:trPr>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Taxes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4,936</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5,031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14,104</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13,543</w:t>
            </w:r>
          </w:p>
        </w:tc>
      </w:tr>
      <w:tr>
        <w:trPr>
          <w:trHeight w:val="209"/>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33,893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31,157</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96,692</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89,657</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Subsidiary</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5,232</w:t>
            </w:r>
          </w:p>
        </w:tc>
      </w:tr>
      <w:tr>
        <w:trPr>
          <w:trHeight w:val="209"/>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12,822</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16,575</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30,980</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39,186</w:t>
            </w:r>
          </w:p>
        </w:tc>
      </w:tr>
      <w:tr>
        <w:trPr>
          <w:trHeight w:val="209"/>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Funds Used During Construction</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627</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2,162</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r>
      <w:tr>
        <w:trPr>
          <w:trHeight w:val="216"/>
        </w:trPr>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Income (Expense), net</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936</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1,412</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3,124</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4,185</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1,432</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2,039</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5,286</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5,738</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3,518</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2,355</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9,364</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6,574</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10,736</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16,259</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26,902</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38,350</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746</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1,968</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1,143</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3,092</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9,990</w:t>
            </w:r>
          </w:p>
        </w:tc>
        <w:tc>
          <w:tcPr>
            <w:tcW w:w="4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14,291</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25,759</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35,258</w:t>
            </w:r>
          </w:p>
        </w:tc>
      </w:tr>
      <w:tr>
        <w:trPr>
          <w:trHeight w:val="216"/>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90</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9,960</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14,261</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25,669</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35,168</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2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0.56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0.80</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1.44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16"/>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Average Number of</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Outstanding :</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17,758</w:t>
            </w:r>
          </w:p>
        </w:tc>
        <w:tc>
          <w:tcPr>
            <w:tcW w:w="4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17,628</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17,708</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17,583</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17,873</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17,743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17,823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5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Production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299,187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249,153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Transmission and Distribution</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784,194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735,138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99,933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97,581</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Construction Work in Progress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32,308</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53,570</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1,215,622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1,135,442</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230,124</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214,891</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PLANT -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985,498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920,551</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5260" w:type="dxa"/>
            <w:vAlign w:val="bottom"/>
          </w:tcPr>
          <w:p>
            <w:pPr>
              <w:ind w:left="120"/>
              <w:spacing w:after="0" w:line="201" w:lineRule="exact"/>
              <w:rPr>
                <w:sz w:val="20"/>
                <w:szCs w:val="20"/>
                <w:color w:val="auto"/>
              </w:rPr>
            </w:pPr>
            <w:r>
              <w:rPr>
                <w:rFonts w:ascii="Arial" w:cs="Arial" w:eastAsia="Arial" w:hAnsi="Arial"/>
                <w:sz w:val="18"/>
                <w:szCs w:val="18"/>
                <w:color w:val="auto"/>
                <w:w w:val="95"/>
              </w:rPr>
              <w:t>Accounts Receivable, net of allowance for uncollectible accounts of</w:t>
            </w:r>
          </w:p>
        </w:tc>
        <w:tc>
          <w:tcPr>
            <w:tcW w:w="360" w:type="dxa"/>
            <w:vAlign w:val="bottom"/>
          </w:tcPr>
          <w:p>
            <w:pPr>
              <w:spacing w:after="0"/>
              <w:rPr>
                <w:sz w:val="17"/>
                <w:szCs w:val="17"/>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18,990</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$2,055 and $2,326, respectively</w:t>
            </w:r>
          </w:p>
        </w:tc>
        <w:tc>
          <w:tcPr>
            <w:tcW w:w="3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16,018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 Receivable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93,163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Unbilled Revenues</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11,316</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Materials and Supplies (at average cost)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6,405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Prepayments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2,918</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135,762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37,306</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 of Use Asset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Preliminary Survey and Investigation Charges</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2,372</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94,485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90,046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Non-utility Assets - Net</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11,383</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Plans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10,527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122,156</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116,593</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1,243,416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1,074,450</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CAPITALIZATION AND LIABILITIES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CAPITALIZATION:</w:t>
            </w: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No Par Value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243,250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233,054</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176,333</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167,274</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COMMON EQUITY</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419,583</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400,328</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354,276</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290,280</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TOTAL CAPITALIZATION</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775,943</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692,692</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52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7,444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17,462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42,250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28,604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 Payable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27,949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Accrued Taxes</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8,143</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12,162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Unearned Revenues and Advanced Service Fees</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1,459</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2,908</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121,303</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117,859</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auto"/>
            </w:tcBorders>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5260" w:type="dxa"/>
            <w:vAlign w:val="bottom"/>
          </w:tcPr>
          <w:p>
            <w:pPr>
              <w:ind w:left="120"/>
              <w:spacing w:after="0"/>
              <w:rPr>
                <w:sz w:val="20"/>
                <w:szCs w:val="20"/>
                <w:color w:val="auto"/>
              </w:rPr>
            </w:pPr>
            <w:r>
              <w:rPr>
                <w:rFonts w:ascii="Arial" w:cs="Arial" w:eastAsia="Arial" w:hAnsi="Arial"/>
                <w:sz w:val="18"/>
                <w:szCs w:val="18"/>
                <w:color w:val="auto"/>
              </w:rPr>
              <w:t>Customer Advances for Construction</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21,464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21,382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Obligations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Accumulated Deferred Income Taxes</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87,763</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77,783</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112,815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46,734</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225,944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150,524</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120,226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113,375</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52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TOTAL CAPITALIZATION AND LIABILITIES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1,243,416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1,074,450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34"/>
        </w:trPr>
        <w:tc>
          <w:tcPr>
            <w:tcW w:w="8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25,759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35,258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22,106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20,135</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Provision for Deferred Income Taxes and Investment Tax Credits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(4,685)</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(4,312)</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1,790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Gain on Sale of Subsidiary</w:t>
            </w:r>
          </w:p>
        </w:tc>
        <w:tc>
          <w:tcPr>
            <w:tcW w:w="4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(5,232)</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(2,972)</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Revenues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Materials and Supplies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3,757</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4,748</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Taxes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3,964</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Benefit Plans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Unearned Revenue and Advanced Service Fees</w:t>
            </w:r>
          </w:p>
        </w:tc>
        <w:tc>
          <w:tcPr>
            <w:tcW w:w="4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94</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4,255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8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39,986</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44,241</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Expenditures, Including AFUDC of $862 in 2023 and $639 in 2022</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(73,074)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(65,939)</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Sale of Subsiary</w:t>
            </w:r>
          </w:p>
        </w:tc>
        <w:tc>
          <w:tcPr>
            <w:tcW w:w="4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3,122</w:t>
            </w:r>
          </w:p>
        </w:tc>
      </w:tr>
      <w:tr>
        <w:trPr>
          <w:trHeight w:val="216"/>
        </w:trPr>
        <w:tc>
          <w:tcPr>
            <w:tcW w:w="8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(73,074)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(62,817)</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Redemption of Long-term Debt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(16,460)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(6,397)</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70,640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2,663</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Short-term Bank Borrowings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(13,250)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27,500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Common Stock Issuance Expense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Grantee Witholding Taxes in Exchange for Restricted Stock</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9,025</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10,064</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Common Dividends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Payment of Preferred Dividends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16"/>
        </w:trPr>
        <w:tc>
          <w:tcPr>
            <w:tcW w:w="8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32,230</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17,951</w:t>
            </w: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AND CASH EQUIVALENTS</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3,828</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r>
      <w:tr>
        <w:trPr>
          <w:trHeight w:val="21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2,970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2,908</w:t>
            </w:r>
          </w:p>
        </w:tc>
      </w:tr>
      <w:tr>
        <w:trPr>
          <w:trHeight w:val="209"/>
        </w:trPr>
        <w:tc>
          <w:tcPr>
            <w:tcW w:w="8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5,954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5,705</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Consideration for Sale of Subsidiary</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Litigation Settlement Receivable</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93,163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 Payable</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27,949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FLOWS INFORMATION:</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320" w:type="dxa"/>
            <w:vAlign w:val="bottom"/>
          </w:tcPr>
          <w:p>
            <w:pPr>
              <w:ind w:left="100"/>
              <w:spacing w:after="0"/>
              <w:rPr>
                <w:sz w:val="20"/>
                <w:szCs w:val="20"/>
                <w:color w:val="auto"/>
              </w:rPr>
            </w:pPr>
            <w:r>
              <w:rPr>
                <w:rFonts w:ascii="Arial" w:cs="Arial" w:eastAsia="Arial" w:hAnsi="Arial"/>
                <w:sz w:val="18"/>
                <w:szCs w:val="18"/>
                <w:color w:val="auto"/>
              </w:rPr>
              <w:t>Cash Paid During the Year for:</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9,589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6,793</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Interest Capitalized</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862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16"/>
        </w:trPr>
        <w:tc>
          <w:tcPr>
            <w:tcW w:w="8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2,716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997"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4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Shares Authorized - 40,000</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- 2023 - 17,771; 2022 - 17,642</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243,250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233,054</w:t>
            </w:r>
          </w:p>
        </w:tc>
      </w:tr>
      <w:tr>
        <w:trPr>
          <w:trHeight w:val="216"/>
        </w:trPr>
        <w:tc>
          <w:tcPr>
            <w:tcW w:w="6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176,333</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167,274</w:t>
            </w:r>
          </w:p>
        </w:tc>
      </w:tr>
      <w:tr>
        <w:trPr>
          <w:trHeight w:val="210"/>
        </w:trPr>
        <w:tc>
          <w:tcPr>
            <w:tcW w:w="6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COMMON EQUITY</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419,583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400,328</w:t>
            </w:r>
          </w:p>
        </w:tc>
      </w:tr>
      <w:tr>
        <w:trPr>
          <w:trHeight w:val="209"/>
        </w:trPr>
        <w:tc>
          <w:tcPr>
            <w:tcW w:w="6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Authorized - 120</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Shares Outstanding - 20</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Convertible:</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Shares Outstanding, $7.00 Series - 10</w:t>
            </w: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Nonredeemable:</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Shares Outstanding, $7.00 Series -  1</w:t>
            </w: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16"/>
        </w:trPr>
        <w:tc>
          <w:tcPr>
            <w:tcW w:w="6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Shares Outstanding, $4.75 Series - 10</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0"/>
        </w:trPr>
        <w:tc>
          <w:tcPr>
            <w:tcW w:w="6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PREFERRED STOCK</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2,084</w:t>
            </w:r>
          </w:p>
        </w:tc>
      </w:tr>
      <w:tr>
        <w:trPr>
          <w:trHeight w:val="209"/>
        </w:trPr>
        <w:tc>
          <w:tcPr>
            <w:tcW w:w="6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Long-term Debt:</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Mortgage Bonds, 0.00%-5.50%, due 2023-2059</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278,374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252,269</w:t>
            </w: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Amortizing Secured Notes, 3.94%-7.05%, due 2028-2046</w:t>
            </w: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70,396</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44,918</w:t>
            </w:r>
          </w:p>
        </w:tc>
      </w:tr>
      <w:tr>
        <w:trPr>
          <w:trHeight w:val="216"/>
        </w:trPr>
        <w:tc>
          <w:tcPr>
            <w:tcW w:w="6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State Revolving Trust Notes, 2.00%-4.03%, due 2025-2044</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11,797</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9,200</w:t>
            </w:r>
          </w:p>
        </w:tc>
      </w:tr>
      <w:tr>
        <w:trPr>
          <w:trHeight w:val="209"/>
        </w:trPr>
        <w:tc>
          <w:tcPr>
            <w:tcW w:w="6460" w:type="dxa"/>
            <w:vAlign w:val="bottom"/>
          </w:tcPr>
          <w:p>
            <w:pPr>
              <w:ind w:left="360"/>
              <w:spacing w:after="0"/>
              <w:rPr>
                <w:sz w:val="20"/>
                <w:szCs w:val="20"/>
                <w:color w:val="auto"/>
              </w:rPr>
            </w:pPr>
            <w:r>
              <w:rPr>
                <w:rFonts w:ascii="Arial" w:cs="Arial" w:eastAsia="Arial" w:hAnsi="Arial"/>
                <w:sz w:val="18"/>
                <w:szCs w:val="18"/>
                <w:color w:val="auto"/>
              </w:rPr>
              <w:t>SUBTOTAL LONG-TERM DEBT</w:t>
            </w: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360,567</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306,387</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Premium on Issuance of Long-term Debt</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6,577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6,873</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Less: Unamortized Debt Expense</w:t>
            </w:r>
          </w:p>
        </w:tc>
        <w:tc>
          <w:tcPr>
            <w:tcW w:w="2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(5,424)</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(5,518)</w:t>
            </w:r>
          </w:p>
        </w:tc>
      </w:tr>
      <w:tr>
        <w:trPr>
          <w:trHeight w:val="216"/>
        </w:trPr>
        <w:tc>
          <w:tcPr>
            <w:tcW w:w="6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Less: Current Portion of Long-term Debt</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(7,444)</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(17,462)</w:t>
            </w:r>
          </w:p>
        </w:tc>
      </w:tr>
      <w:tr>
        <w:trPr>
          <w:trHeight w:val="209"/>
        </w:trPr>
        <w:tc>
          <w:tcPr>
            <w:tcW w:w="6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LONG-TERM DEBT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354,276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290,280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Retained</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Earnings</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10"/>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2022</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July 1, 2022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17,604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229,037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156,530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385,567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14,291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14,291</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3,025</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3,025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($0.2900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17,638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232,423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165,652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398,075</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2022</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January 1, 2022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17,522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221,919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145,807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367,726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35,258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35,258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10,064</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10,064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Stock Award - Board of Directors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($0.8700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 2022</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17,638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232,423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165,652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398,075</w:t>
            </w:r>
          </w:p>
        </w:tc>
      </w:tr>
      <w:tr>
        <w:trPr>
          <w:trHeight w:val="209"/>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Three Months Ended September 30, 2023</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2023</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239,545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171,932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411,477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9,990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9,990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3,281</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($0.3125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 2023</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17,771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243,250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176,333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419,583</w:t>
            </w:r>
          </w:p>
        </w:tc>
      </w:tr>
      <w:tr>
        <w:trPr>
          <w:trHeight w:val="210"/>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2023</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17,642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233,054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167,274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400,328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25,759</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25,759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3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($0.9375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(16,600)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17,771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243,250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176,333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419,583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notes within the 2022 Annual Report on Form 10-K/A (the 2022 Form 10-K/A) are applicable to these financial statements and, in the opinion of the Company, the accompanying unaudited condensed consolidated financial statements contain all adjustments necessary (including normal recurring accruals) to present fairly the financial position as of September 30, 2023, the results of operations for the three and nine month periods ended September 30, 2023 and 2022 and cash flows for the nine month periods ended September 30, 2023 and 2022. Information included in the Condensed Consolidated Balance Sheet as of December 31, 2022, has been derived from the Company’s December 31, 2022 audited financial statements included in the 2022 Form 10-K/A.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Middlesex President and Chief Executive Officer Retirement Announcement - </w:t>
      </w:r>
      <w:r>
        <w:rPr>
          <w:rFonts w:ascii="Arial" w:cs="Arial" w:eastAsia="Arial" w:hAnsi="Arial"/>
          <w:sz w:val="18"/>
          <w:szCs w:val="18"/>
          <w:color w:val="auto"/>
        </w:rPr>
        <w:t>On May 16, 2023, President and Chief Executive Officer, Dennis W.</w:t>
      </w:r>
      <w:r>
        <w:rPr>
          <w:rFonts w:ascii="Arial" w:cs="Arial" w:eastAsia="Arial" w:hAnsi="Arial"/>
          <w:sz w:val="18"/>
          <w:szCs w:val="18"/>
          <w:b w:val="1"/>
          <w:bCs w:val="1"/>
          <w:color w:val="auto"/>
        </w:rPr>
        <w:t xml:space="preserve"> </w:t>
      </w:r>
      <w:r>
        <w:rPr>
          <w:rFonts w:ascii="Arial" w:cs="Arial" w:eastAsia="Arial" w:hAnsi="Arial"/>
          <w:sz w:val="18"/>
          <w:szCs w:val="18"/>
          <w:color w:val="auto"/>
        </w:rPr>
        <w:t>Doll announced a plan to retire upon turning age 65. Mr. Doll’s retirement is planned for the later of December 31, 2023 or, the date when a successor is duly named and effectively transitioned into the position. Mr. Doll will remain Chairman of the Middlesex Board of Directors (Board) through the expiration of his current term in May 2024. A search for Mr. Doll’s successor is being led by the Compensation Committee of the Board in collaboration with a nationally-recognized executive search firm.</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Regulatory Notice of Non-Compliance – </w:t>
      </w:r>
      <w:r>
        <w:rPr>
          <w:rFonts w:ascii="Arial" w:cs="Arial" w:eastAsia="Arial" w:hAnsi="Arial"/>
          <w:sz w:val="16"/>
          <w:szCs w:val="16"/>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standard promulgated in a NJDEP regulation that became effective in 2021. Middlesex was required by the regulation to notify its affected customers and complied within the required Notice period in November 2021.</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Notice further required the Company to take any action necessary to comply with the new standard by September 7, 2022. Consequently, in November 2021, the Company implemented an interim solution to meet the Notice requirements, which included putting the Park Avenue Wellfield Treatment Plant in off-line status and obtaining alternate sources of supply. In June 2022, the Company accelerated the in-service date for a portion of the enhanced treatment project based on engineering analysis that allowed a restart of the Park Avenue Wellfield Treatment Plant to ensure continued compliance with all state and federal drinking water standards.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13, 2022, the Company entered into an Administrative Consent Order (ACO) with the NJDEP, which required the Company to take whatever actions necessary to achieve and maintain compliance with applicable regulations. As prescribed in the ACO, the Company was to issue periodic public notifications until the ACO was closed.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2023, the Company completed the permanent construction of the entire Park Avenue Wellfield treatment upgrades and placed the upgrades into operation in full compliance with the NJDEP PFOA standards. The Company received confirmation from the NJDEP that it has complied with all requirements of the ACO and consequently, the ACO has been closed.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line="308" w:lineRule="auto"/>
        <w:rPr>
          <w:sz w:val="20"/>
          <w:szCs w:val="20"/>
          <w:color w:val="auto"/>
        </w:rPr>
      </w:pPr>
      <w:r>
        <w:rPr>
          <w:rFonts w:ascii="Arial" w:cs="Arial" w:eastAsia="Arial" w:hAnsi="Arial"/>
          <w:sz w:val="17"/>
          <w:szCs w:val="17"/>
          <w:color w:val="auto"/>
        </w:rPr>
        <w:t>The Company had previously initiated a lawsuit against 3M Company (3M), in connection with the Company’s claim that 3M introduced perfluoroalkyl substances (commonly known as “PFAS”), which include PFOA, into the Company’s water supply at its Park Avenue Wellfield facility.</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29, 2023, Middlesex and 3M executed a settlement agreement (the Settlement Agreement) to resolve the lawsuit. The Settlement Agreement provides that:</w:t>
      </w:r>
    </w:p>
    <w:p>
      <w:pPr>
        <w:spacing w:after="0" w:line="170"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3M will pay Middlesex $93.2 million in two installments, one payment of $23.3 million in December 2023 and one payment of $69.9 million in July 2024. Middlesex is obligated to pay 30% of the proceeds received to its lawyers as legal fees, or $27.9 million in total;</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Middlesex anticipates its receipt of the Settlement Agreement payments will have the effect of mitigating future increases in customer rates, the determination of which are based, in part, on Middlesex’s investments in utility infrastructure. For additional details, see “Item 1. Business – Regulation - Regulation of Rates and Services” in Middlesex’s 2022 Form 10-K;</w:t>
      </w:r>
    </w:p>
    <w:p>
      <w:pPr>
        <w:spacing w:after="0" w:line="7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Middlesex, by nature of its status as a U.S. water purveyor impacted by PFAS, was automatically included in a Multi-District Litigation Settlement before the United States District Court for the District of South Carolina in which 3M and other companies (Non-3M Companies) are participants. Middlesex agreed as part of this settlement to remain a member of the plaintiff class in order to be eligible to obtain future additional compensation from 3M and the Non-3M Companies for the remediation of its water treatment facilities; and</w:t>
      </w:r>
    </w:p>
    <w:p>
      <w:pPr>
        <w:spacing w:after="0" w:line="6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Middlesex and 3M agreed to enter into a joint mediation, scheduled for November 2023, to resolve two PFOA-related class action lawsuits against Middlesex seeking restitution for medical, water replacement and other claimed related costs. Both Middlesex and 3M are defendants in these lawsuits. These lawsuits remain in the early stages of the legal process and their ultimate resolution cannot be predicted at this time.</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the Company’s intent that any financial benefit which may result from the Settlement Agreement, net of any litigation costs to Middlesex, will ultimately inure to the benefit of the Middlesex customers in the form of mitigating future customer rate increases. As such, the anticipated net Settlement Agreement proceeds of $65.2 million have been recorded as a Regulatory Liability in the Company’s September 30, 2023 Consolidated Balance Sheet.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Coronavirus (COVID-19) Pandemic </w:t>
      </w:r>
      <w:r>
        <w:rPr>
          <w:rFonts w:ascii="Arial" w:cs="Arial" w:eastAsia="Arial" w:hAnsi="Arial"/>
          <w:sz w:val="18"/>
          <w:szCs w:val="18"/>
          <w:color w:val="auto"/>
        </w:rPr>
        <w:t>– On May 11, 2023, the United States Department of Health and Human Services declared the end of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nationwide health emergency.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ended in March 2022. In Delaware, the declared COVID-19 State of Emergency Order ended in July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has approved the tracking of COVID-19 related incremental costs for potential recovery in customer rates in future rate proceedings. In May 2023, Middlesex filed a petition to defer consideration of rate recovery of COVID-19 related incremental costs incurred until its next base rate case. The Company has increased its allowance for doubtful accounts for expected higher accounts receivable write-offs due to the financial impact of COVID-19 on customers. We will continue to monitor the effects of COVID-19 and evaluate its impact on the Company’s results of operations, financial condition and liquidity.</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Recent Accounting Guidance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new adopted or proposed accounting guidance that the Company is aware of that could have a material impact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May 2023, Middlesex filed a petition with the NJBPU seeking permission to increase annual base water revenues by approximately $34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request was necessitated predominantly by capital infrastructure investments Middlesex has made, or has committed to make, to upgrade or replace utility assets to support continued regulatory compliance and overall quality of service. We cannot predict when and whether the NJBPU will ultimately approve, deny, or reduce the amount of the request. Under New Jersey statute, the NJPBU must render a decision within nine months of filing a base rate change petition.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Replacement of Middlesex and Middlesex customer-owned lead service lines is required by the New Jersey Lead Service Line Replacement Law. In May 2023, Middlesex filed a petition seeking NJBPU approval of Middlesex’s proposed cost recovery of its Lead Service Line Replacement Plan and cost recovery of project costs associated with replacing Middlesex customer-owned lead service lines. Under this legislation, these costs would be recovered through future customer surcharges. Middlesex currently estimates that replacement of Middlesex and Middlesex customer-owned lead service lines will be approximately $46 million to $77 million over a nine-year period. A decision in this matter is expected in the fourth quarter of 2023. We cannot predict if the NJBPU will ultimately approve, deny, or amend this petition.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2023, Middlesex filed a petition with the NJBPU seeking approval of a Distribution System Improvement Charge (DSIC) Foundation Filing, which is a prerequisite to implementing a DSIC rate that allows water utilities to recover investments in, and generate a return on, qualifying capital improvements to their water distribution system made between base rate proceedings. This petition was approved by the NJBPU in October 2023 and will result in future rate increases for future DSIC qualifying projects.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the NJBPU approved Middlesex's Emergency Relief Motion to reset its Purchased Water Adjustment Clause (PWAC) tariff rate to recover additional costs of $2.7 million for the purchase of treated water from a non-affiliated water utility. A PWAC is a rate mechanism that allows for recovery of increased purchased water costs between base rate case filings. The increase, effective October 1, 2022, was on an interim basis and subject to refund with interest, pending final resolution of this matter, which the NJBPU provided in August 2023. In connection with the full recovery of the $2.7 million of additional costs, Middlesex reset its PWAC rate to zero in October 2023.</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Pinelands – </w:t>
      </w:r>
      <w:r>
        <w:rPr>
          <w:rFonts w:ascii="Arial" w:cs="Arial" w:eastAsia="Arial" w:hAnsi="Arial"/>
          <w:sz w:val="18"/>
          <w:szCs w:val="18"/>
          <w:color w:val="auto"/>
        </w:rPr>
        <w:t>On April 12, 2023, Pinelands Water and Pinelands Wastewater concluded their base rate case matters when the NJBPU approved a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$1.0 million increase in annual base rates, effective April 15, 2023. The requests were necessitated by capital infrastructure investments the companies have made as well as increased operations and maintenance costs.</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6"/>
          <w:szCs w:val="16"/>
          <w:b w:val="1"/>
          <w:bCs w:val="1"/>
          <w:color w:val="auto"/>
        </w:rPr>
        <w:t xml:space="preserve">Twin Lakes Utilities, Inc. (Twin Lakes) – </w:t>
      </w:r>
      <w:r>
        <w:rPr>
          <w:rFonts w:ascii="Arial" w:cs="Arial" w:eastAsia="Arial" w:hAnsi="Arial"/>
          <w:sz w:val="16"/>
          <w:szCs w:val="16"/>
          <w:color w:val="auto"/>
        </w:rPr>
        <w:t>Twin Lakes provides water services to approximately 115 residential customers in Shohola, Pennsylvania.</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has subsequently filed a Complaint with the United States District Court for the Middle District of Pennsylvania to address the issue of whether the PAPUC’s Order violated Middlesex’s rights under the United States Constitution. We are currently awaiting the Court’s decision.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During the nine months ended September 30, 2023 and 2022, there were 118,501 common shares (approximately $9.0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110,614 common shares (approximately $10.0 million) respectively, issued under the Middlesex Water Company Investment Plan (the Investment Plan).</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April 2023, Middlesex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2023, the Company began offering shares of its common stock for purchase at a 3% discount to participants in the Investment Plan. The discount offering will continue until 200,000 shares are purchased at the discounted price or December 1, 2023, whichever event occurs first. The discount applies to all common stock purchases made under the Investment Plan, whether by optional cash payment or by dividend reinvestment.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May 2023, Middlesex received approval from the NJBPU to increase the number of authorized shares under the Investment Plan by 0.7 million shares.</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Subject to regulatory approval, the Company periodically issues long-term debt to fund its investments in utility plant.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Jersey SRF program, borrowers first enter into a construction loan agreement with the New Jersey Infrastructure Bank (NJIB) at a below market interest rate.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Although the Company has no current projects in the NJIB loan program, it is seeking to have several projects added to the qualified list in order to borrow under the NJIB loan program.</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April 2023, Middlesex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Middlesex closed on a $40.0 million, 5.24% private placement of First Mortgage Bonds (FMBs) with a 2043 maturity date designated as Series 2023A. Proceeds were used to reduce the Company’s outstanding balances under its bank lines of credit.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2023, Tidewater closed on a $20.0 million loan from CoBank, ACB (CoBank) with an interest rate of 5.71% and a 2033 maturity date and fully drew all funds by June 30, 2023. Proceeds from the loan were used to pay off Tidewater’s outstanding balances under its bank lines of credit and for other general corporate purposes.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Tidewater closed on three Delaware Public Service Commission (DEPSC)-approved Delaware SRF loans totaling $10.2 million, all at interest rates of 2.0% with maturity dates in 2043 and 2044. These loans are for the construction, relocation, improvement, and/or interconnection of transmission mains. Tidewater has drawn a total of $1.5 million through September 30, 2023 and expects that the requisitions will continue through mid-2025.</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Tidewater closed on a DEPSC-approved $5.0 million Delaware SRF loan at an interest rate of 2.0%. The loan was for construction of a one million gallon elevated storage tank. Through September 30, 2023, Tidewater has drawn a total of $4.2 million and expects that the requisitions will continue through the first quarter of 2024. The final maturity date on the loan is 2044.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Delaware SRF Program, borrowers submit reimbursement requisitions during the construction period. As the proceeds are received from the requisitions, Tidewater records a corresponding debt obligation amount.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2023, Pinelands Water and Pinelands Wastewater closed on $3.9 million and $3.6 million CoBank amortizing mortgage type loans, respectively, with an interest rate of 6.17% and a final maturity date of 2043 for each loan. Proceeds were used to pay off outstanding intercompany loans with Middlesex and for ongoing capital projects.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Fair Value of Financial Instruments – </w:t>
      </w:r>
      <w:r>
        <w:rPr>
          <w:rFonts w:ascii="Arial" w:cs="Arial" w:eastAsia="Arial" w:hAnsi="Arial"/>
          <w:sz w:val="18"/>
          <w:szCs w:val="18"/>
          <w:color w:val="auto"/>
        </w:rPr>
        <w:t>The following methods and assumptions were used by the Company in estimating its fair value disclosure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FMBs in the table below issued by Middlesex is based on quoted market prices for similar publicly traded issues. Under the fair value hierarchy, the fair value of cash and cash</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equivalents is classified as a Level 1 measurement and the fair value of notes payable and the FMBs in the table below are classified as Level 2 measurements. The carrying amount and fair value of the FMBs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3"/>
          </w:tcPr>
          <w:p>
            <w:pPr>
              <w:ind w:left="16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September 30, 2023</w:t>
            </w: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December 31, 2022</w:t>
            </w:r>
          </w:p>
        </w:tc>
        <w:tc>
          <w:tcPr>
            <w:tcW w:w="56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4"/>
              </w:rPr>
              <w:t>Carrying</w:t>
            </w:r>
          </w:p>
        </w:tc>
        <w:tc>
          <w:tcPr>
            <w:tcW w:w="340" w:type="dxa"/>
            <w:vAlign w:val="bottom"/>
          </w:tcPr>
          <w:p>
            <w:pPr>
              <w:spacing w:after="0"/>
              <w:rPr>
                <w:sz w:val="16"/>
                <w:szCs w:val="16"/>
                <w:color w:val="auto"/>
              </w:rPr>
            </w:pPr>
          </w:p>
        </w:tc>
        <w:tc>
          <w:tcPr>
            <w:tcW w:w="980" w:type="dxa"/>
            <w:vAlign w:val="bottom"/>
          </w:tcPr>
          <w:p>
            <w:pPr>
              <w:ind w:left="220"/>
              <w:spacing w:after="0" w:line="195" w:lineRule="exact"/>
              <w:rPr>
                <w:sz w:val="20"/>
                <w:szCs w:val="20"/>
                <w:color w:val="auto"/>
              </w:rPr>
            </w:pPr>
            <w:r>
              <w:rPr>
                <w:rFonts w:ascii="Arial" w:cs="Arial" w:eastAsia="Arial" w:hAnsi="Arial"/>
                <w:sz w:val="18"/>
                <w:szCs w:val="18"/>
                <w:color w:val="auto"/>
              </w:rPr>
              <w:t>Fair</w:t>
            </w:r>
          </w:p>
        </w:tc>
        <w:tc>
          <w:tcPr>
            <w:tcW w:w="280" w:type="dxa"/>
            <w:vAlign w:val="bottom"/>
          </w:tcPr>
          <w:p>
            <w:pPr>
              <w:spacing w:after="0"/>
              <w:rPr>
                <w:sz w:val="16"/>
                <w:szCs w:val="16"/>
                <w:color w:val="auto"/>
              </w:rPr>
            </w:pPr>
          </w:p>
        </w:tc>
        <w:tc>
          <w:tcPr>
            <w:tcW w:w="102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4"/>
              </w:rPr>
              <w:t>Carrying</w:t>
            </w:r>
          </w:p>
        </w:tc>
        <w:tc>
          <w:tcPr>
            <w:tcW w:w="320" w:type="dxa"/>
            <w:vAlign w:val="bottom"/>
          </w:tcPr>
          <w:p>
            <w:pPr>
              <w:spacing w:after="0"/>
              <w:rPr>
                <w:sz w:val="16"/>
                <w:szCs w:val="16"/>
                <w:color w:val="auto"/>
              </w:rPr>
            </w:pPr>
          </w:p>
        </w:tc>
        <w:tc>
          <w:tcPr>
            <w:tcW w:w="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5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Value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FMBs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133,374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147,269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138,756</w:t>
            </w:r>
          </w:p>
        </w:tc>
        <w:tc>
          <w:tcPr>
            <w:tcW w:w="560" w:type="dxa"/>
            <w:vAlign w:val="bottom"/>
          </w:tcPr>
          <w:p>
            <w:pPr>
              <w:spacing w:after="0"/>
              <w:rPr>
                <w:sz w:val="18"/>
                <w:szCs w:val="18"/>
                <w:color w:val="auto"/>
              </w:rPr>
            </w:pPr>
          </w:p>
        </w:tc>
      </w:tr>
      <w:tr>
        <w:trPr>
          <w:trHeight w:val="560"/>
        </w:trPr>
        <w:tc>
          <w:tcPr>
            <w:tcW w:w="5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$227.2 million and $159.1 million at September 30, 2023 and December 31, 2022, respectively. Customer advances for construction have carrying amounts of $21.5 million and $21.4 million at September 30, 2023 and December 31, 2022, respectively. Their relative fair values cannot be accurately estimated since future refund payments depend on several variables, including new customer connections, customer consumption levels and future rate increases.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4"/>
          </w:tcPr>
          <w:p>
            <w:pPr>
              <w:jc w:val="center"/>
              <w:ind w:left="610"/>
              <w:spacing w:after="0"/>
              <w:rPr>
                <w:sz w:val="20"/>
                <w:szCs w:val="20"/>
                <w:color w:val="auto"/>
              </w:rPr>
            </w:pPr>
            <w:r>
              <w:rPr>
                <w:rFonts w:ascii="Arial" w:cs="Arial" w:eastAsia="Arial" w:hAnsi="Arial"/>
                <w:sz w:val="18"/>
                <w:szCs w:val="18"/>
                <w:color w:val="auto"/>
                <w:w w:val="89"/>
              </w:rPr>
              <w:t>(In Thousands Except per Share Amounts)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4"/>
          </w:tcPr>
          <w:p>
            <w:pPr>
              <w:jc w:val="center"/>
              <w:ind w:left="590"/>
              <w:spacing w:after="0"/>
              <w:rPr>
                <w:sz w:val="20"/>
                <w:szCs w:val="20"/>
                <w:color w:val="auto"/>
              </w:rPr>
            </w:pPr>
            <w:r>
              <w:rPr>
                <w:rFonts w:ascii="Arial" w:cs="Arial" w:eastAsia="Arial" w:hAnsi="Arial"/>
                <w:sz w:val="18"/>
                <w:szCs w:val="18"/>
                <w:color w:val="auto"/>
                <w:w w:val="89"/>
              </w:rPr>
              <w:t>Three Months Ended September 30,</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Income</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Shares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9,990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17,758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14,291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9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9,960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17,758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14,261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0.56</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0.81</w:t>
            </w:r>
          </w:p>
        </w:tc>
        <w:tc>
          <w:tcPr>
            <w:tcW w:w="9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9,960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17,758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14,261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17</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9,977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17,873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14,278</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0.56</w:t>
            </w:r>
          </w:p>
        </w:tc>
        <w:tc>
          <w:tcPr>
            <w:tcW w:w="9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0.80</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gridSpan w:val="4"/>
          </w:tcPr>
          <w:p>
            <w:pPr>
              <w:jc w:val="center"/>
              <w:ind w:left="610"/>
              <w:spacing w:after="0"/>
              <w:rPr>
                <w:sz w:val="20"/>
                <w:szCs w:val="20"/>
                <w:color w:val="auto"/>
              </w:rPr>
            </w:pPr>
            <w:r>
              <w:rPr>
                <w:rFonts w:ascii="Arial" w:cs="Arial" w:eastAsia="Arial" w:hAnsi="Arial"/>
                <w:sz w:val="18"/>
                <w:szCs w:val="18"/>
                <w:color w:val="auto"/>
                <w:w w:val="89"/>
              </w:rPr>
              <w:t>(In Thousands Except per Share Amounts)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4"/>
          </w:tcPr>
          <w:p>
            <w:pPr>
              <w:jc w:val="center"/>
              <w:ind w:left="610"/>
              <w:spacing w:after="0"/>
              <w:rPr>
                <w:sz w:val="20"/>
                <w:szCs w:val="20"/>
                <w:color w:val="auto"/>
              </w:rPr>
            </w:pPr>
            <w:r>
              <w:rPr>
                <w:rFonts w:ascii="Arial" w:cs="Arial" w:eastAsia="Arial" w:hAnsi="Arial"/>
                <w:sz w:val="18"/>
                <w:szCs w:val="18"/>
                <w:color w:val="auto"/>
                <w:w w:val="90"/>
              </w:rPr>
              <w:t>Nine Months Ended September 30,</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Income</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Shares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25,759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35,258</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(90)</w:t>
            </w: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(90)</w:t>
            </w:r>
          </w:p>
        </w:tc>
        <w:tc>
          <w:tcPr>
            <w:tcW w:w="9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25,669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35,168</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1.45</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w:t>
            </w:r>
          </w:p>
        </w:tc>
        <w:tc>
          <w:tcPr>
            <w:tcW w:w="9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25,669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35,168</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17,583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51</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25,720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17,823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35,219</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1.44</w:t>
            </w:r>
          </w:p>
        </w:tc>
        <w:tc>
          <w:tcPr>
            <w:tcW w:w="9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1.99</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2"/>
        </w:trPr>
        <w:tc>
          <w:tcPr>
            <w:tcW w:w="5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 Business Segment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third-party lender.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3"/>
          </w:tcPr>
          <w:p>
            <w:pPr>
              <w:ind w:left="560"/>
              <w:spacing w:after="0"/>
              <w:rPr>
                <w:sz w:val="20"/>
                <w:szCs w:val="20"/>
                <w:color w:val="auto"/>
              </w:rPr>
            </w:pPr>
            <w:r>
              <w:rPr>
                <w:rFonts w:ascii="Arial" w:cs="Arial" w:eastAsia="Arial" w:hAnsi="Arial"/>
                <w:sz w:val="18"/>
                <w:szCs w:val="18"/>
                <w:color w:val="auto"/>
              </w:rPr>
              <w:t>Three Months Ended</w:t>
            </w:r>
          </w:p>
        </w:tc>
        <w:tc>
          <w:tcPr>
            <w:tcW w:w="680" w:type="dxa"/>
            <w:vAlign w:val="bottom"/>
          </w:tcPr>
          <w:p>
            <w:pPr>
              <w:spacing w:after="0"/>
              <w:rPr>
                <w:sz w:val="18"/>
                <w:szCs w:val="18"/>
                <w:color w:val="auto"/>
              </w:rPr>
            </w:pPr>
          </w:p>
        </w:tc>
        <w:tc>
          <w:tcPr>
            <w:tcW w:w="2680" w:type="dxa"/>
            <w:vAlign w:val="bottom"/>
            <w:gridSpan w:val="3"/>
          </w:tcPr>
          <w:p>
            <w:pPr>
              <w:jc w:val="right"/>
              <w:ind w:right="790"/>
              <w:spacing w:after="0"/>
              <w:rPr>
                <w:sz w:val="20"/>
                <w:szCs w:val="20"/>
                <w:color w:val="auto"/>
              </w:rPr>
            </w:pPr>
            <w:r>
              <w:rPr>
                <w:rFonts w:ascii="Arial" w:cs="Arial" w:eastAsia="Arial" w:hAnsi="Arial"/>
                <w:sz w:val="18"/>
                <w:szCs w:val="18"/>
                <w:color w:val="auto"/>
              </w:rPr>
              <w:t>Nine Months Ended</w:t>
            </w:r>
          </w:p>
        </w:tc>
      </w:tr>
      <w:tr>
        <w:trPr>
          <w:trHeight w:val="230"/>
        </w:trPr>
        <w:tc>
          <w:tcPr>
            <w:tcW w:w="4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2023</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2023</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2022</w:t>
            </w: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43,763</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44,861</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118,625</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115,222</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3,251</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w:t>
            </w:r>
          </w:p>
        </w:tc>
        <w:tc>
          <w:tcPr>
            <w:tcW w:w="6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9,649</w:t>
            </w:r>
          </w:p>
        </w:tc>
        <w:tc>
          <w:tcPr>
            <w:tcW w:w="6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9,316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Revenues</w:t>
            </w:r>
          </w:p>
        </w:tc>
        <w:tc>
          <w:tcPr>
            <w:tcW w:w="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46,715</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47,732</w:t>
            </w: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127,672</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123,611</w:t>
            </w:r>
          </w:p>
        </w:tc>
      </w:tr>
      <w:tr>
        <w:trPr>
          <w:trHeight w:val="209"/>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12,008</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28,543</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36,793</w:t>
            </w:r>
          </w:p>
        </w:tc>
      </w:tr>
      <w:tr>
        <w:trPr>
          <w:trHeight w:val="216"/>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 – Regulated</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814</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2,437</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2,393</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12,822</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6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30,980</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39,186</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9,384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13,683</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24,017</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33,496</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606</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Net Income</w:t>
            </w:r>
          </w:p>
        </w:tc>
        <w:tc>
          <w:tcPr>
            <w:tcW w:w="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9,990</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w:t>
            </w: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25,759</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35,258</w:t>
            </w:r>
          </w:p>
        </w:tc>
      </w:tr>
      <w:tr>
        <w:trPr>
          <w:trHeight w:val="210"/>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22,415</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26,588</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72,994</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65,722</w:t>
            </w:r>
          </w:p>
        </w:tc>
      </w:tr>
      <w:tr>
        <w:trPr>
          <w:trHeight w:val="216"/>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 – Regulated</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22,439</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26,596</w:t>
            </w:r>
          </w:p>
        </w:tc>
        <w:tc>
          <w:tcPr>
            <w:tcW w:w="6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73,074</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65,939</w:t>
            </w:r>
          </w:p>
        </w:tc>
      </w:tr>
      <w:tr>
        <w:trPr>
          <w:trHeight w:val="62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color w:val="auto"/>
                <w:w w:val="97"/>
              </w:rPr>
              <w:t>As of</w:t>
            </w:r>
          </w:p>
        </w:tc>
        <w:tc>
          <w:tcPr>
            <w:tcW w:w="6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As of</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4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September 30, 2023</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December 31, 2022</w:t>
            </w:r>
          </w:p>
        </w:tc>
        <w:tc>
          <w:tcPr>
            <w:tcW w:w="6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1,241,123</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1,079,180</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7,382</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6,999</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Inter-segment Elimination</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(11,729)</w:t>
            </w:r>
          </w:p>
        </w:tc>
        <w:tc>
          <w:tcPr>
            <w:tcW w:w="6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1,243,416</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1,074,450</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554"/>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w w:val="94"/>
              </w:rPr>
              <w:t>Note 6 – Short-term Borrowings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5260" w:type="dxa"/>
            <w:vAlign w:val="bottom"/>
            <w:gridSpan w:val="6"/>
          </w:tcPr>
          <w:p>
            <w:pPr>
              <w:spacing w:after="0"/>
              <w:rPr>
                <w:sz w:val="20"/>
                <w:szCs w:val="20"/>
                <w:color w:val="auto"/>
              </w:rPr>
            </w:pPr>
            <w:r>
              <w:rPr>
                <w:rFonts w:ascii="Arial" w:cs="Arial" w:eastAsia="Arial" w:hAnsi="Arial"/>
                <w:sz w:val="18"/>
                <w:szCs w:val="18"/>
                <w:color w:val="auto"/>
                <w:w w:val="99"/>
              </w:rPr>
              <w:t>The Company maintains lines of credit aggregating $140.0 million.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3"/>
          </w:tcPr>
          <w:p>
            <w:pPr>
              <w:jc w:val="right"/>
              <w:ind w:right="810"/>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ind w:right="230"/>
              <w:spacing w:after="0"/>
              <w:rPr>
                <w:sz w:val="20"/>
                <w:szCs w:val="20"/>
                <w:color w:val="auto"/>
              </w:rPr>
            </w:pPr>
            <w:r>
              <w:rPr>
                <w:rFonts w:ascii="Arial" w:cs="Arial" w:eastAsia="Arial" w:hAnsi="Arial"/>
                <w:sz w:val="18"/>
                <w:szCs w:val="18"/>
                <w:color w:val="auto"/>
                <w:w w:val="99"/>
              </w:rPr>
              <w:t>As of September 30, 2023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Outstanding</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Available</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Maximum</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Credit Type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Renewal Date</w:t>
            </w:r>
          </w:p>
        </w:tc>
      </w:tr>
      <w:tr>
        <w:trPr>
          <w:trHeight w:val="210"/>
        </w:trPr>
        <w:tc>
          <w:tcPr>
            <w:tcW w:w="58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Uncommitted</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25, 2024</w:t>
            </w:r>
          </w:p>
        </w:tc>
      </w:tr>
      <w:tr>
        <w:trPr>
          <w:trHeight w:val="216"/>
        </w:trPr>
        <w:tc>
          <w:tcPr>
            <w:tcW w:w="5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PNC Bank</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68.0</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Committed</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July 31, 2025</w:t>
            </w:r>
          </w:p>
        </w:tc>
      </w:tr>
      <w:tr>
        <w:trPr>
          <w:trHeight w:val="229"/>
        </w:trPr>
        <w:tc>
          <w:tcPr>
            <w:tcW w:w="58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CoBank</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Committed</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 2026</w:t>
            </w:r>
          </w:p>
        </w:tc>
      </w:tr>
      <w:tr>
        <w:trPr>
          <w:trHeight w:val="223"/>
        </w:trPr>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140.0</w:t>
            </w:r>
          </w:p>
        </w:tc>
        <w:tc>
          <w:tcPr>
            <w:tcW w:w="19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interest rates are set for borrowings under the Bank of America and PNC Bank lines of credit using the Bloomberg Short-Term Bank Yield Index and the Secured Overnight Financing Rate (SOFR), respectively,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September 30, 2023 under these credit lines is 6.51%.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daily amounts of borrowings outstanding under these credit lines and the weighted average interest rates on those amounts were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3"/>
          </w:tcPr>
          <w:p>
            <w:pPr>
              <w:jc w:val="right"/>
              <w:ind w:right="43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2220" w:type="dxa"/>
            <w:vAlign w:val="bottom"/>
            <w:gridSpan w:val="3"/>
          </w:tcPr>
          <w:p>
            <w:pPr>
              <w:jc w:val="right"/>
              <w:ind w:right="430"/>
              <w:spacing w:after="0"/>
              <w:rPr>
                <w:sz w:val="20"/>
                <w:szCs w:val="20"/>
                <w:color w:val="auto"/>
              </w:rPr>
            </w:pPr>
            <w:r>
              <w:rPr>
                <w:rFonts w:ascii="Arial" w:cs="Arial" w:eastAsia="Arial" w:hAnsi="Arial"/>
                <w:sz w:val="18"/>
                <w:szCs w:val="18"/>
                <w:color w:val="auto"/>
              </w:rPr>
              <w:t>Nine Months Ended</w:t>
            </w:r>
          </w:p>
        </w:tc>
      </w:t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360" w:type="dxa"/>
            <w:vAlign w:val="bottom"/>
          </w:tcPr>
          <w:p>
            <w:pPr>
              <w:spacing w:after="0"/>
              <w:rPr>
                <w:sz w:val="18"/>
                <w:szCs w:val="18"/>
                <w:color w:val="auto"/>
              </w:rPr>
            </w:pPr>
          </w:p>
        </w:tc>
        <w:tc>
          <w:tcPr>
            <w:tcW w:w="2220" w:type="dxa"/>
            <w:vAlign w:val="bottom"/>
            <w:gridSpan w:val="3"/>
          </w:tcPr>
          <w:p>
            <w:pPr>
              <w:jc w:val="right"/>
              <w:ind w:right="630"/>
              <w:spacing w:after="0"/>
              <w:rPr>
                <w:sz w:val="20"/>
                <w:szCs w:val="20"/>
                <w:color w:val="auto"/>
              </w:rPr>
            </w:pPr>
            <w:r>
              <w:rPr>
                <w:rFonts w:ascii="Arial" w:cs="Arial" w:eastAsia="Arial" w:hAnsi="Arial"/>
                <w:sz w:val="18"/>
                <w:szCs w:val="18"/>
                <w:color w:val="auto"/>
              </w:rPr>
              <w:t>September 30,</w:t>
            </w:r>
          </w:p>
        </w:tc>
      </w:tr>
      <w:tr>
        <w:trPr>
          <w:trHeight w:val="230"/>
        </w:trPr>
        <w:tc>
          <w:tcPr>
            <w:tcW w:w="48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25,015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33,750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32,860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22,648</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3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3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2.48%</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dates for the $42.3 million outstanding as of September 30, 2023 were in October 2023 and continue through December 2023 and were or are expected to be extended at the discretion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 million gallons a day (mgd). The agreement renewal process is underway and a new agreement is expected to be in place prior to the expiration date of the existing agreement. Middlesex does not expect the agreement terms and conditions to vary. Pricing is set annually by the NJWSA through a public rate making process. The agreement has provisions for additional pricing in the event Middlesex overdrafts or exceeds certain monthly and annual thresholds.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 has an agreement with a non-affiliated regulated water utility for the purchase of treated water. This agreement, which expires February 27, 2026, provides for the minimum purchase of 3 mgd of treated water with provisions for additional 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 million gallons of treated water annually.</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Purchased water costs are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Treated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Untreated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300" w:type="dxa"/>
            <w:vAlign w:val="bottom"/>
            <w:gridSpan w:val="3"/>
          </w:tcPr>
          <w:p>
            <w:pPr>
              <w:jc w:val="right"/>
              <w:ind w:right="43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2220" w:type="dxa"/>
            <w:vAlign w:val="bottom"/>
            <w:gridSpan w:val="3"/>
          </w:tcPr>
          <w:p>
            <w:pPr>
              <w:jc w:val="right"/>
              <w:ind w:right="430"/>
              <w:spacing w:after="0"/>
              <w:rPr>
                <w:sz w:val="20"/>
                <w:szCs w:val="20"/>
                <w:color w:val="auto"/>
              </w:rPr>
            </w:pPr>
            <w:r>
              <w:rPr>
                <w:rFonts w:ascii="Arial" w:cs="Arial" w:eastAsia="Arial" w:hAnsi="Arial"/>
                <w:sz w:val="18"/>
                <w:szCs w:val="18"/>
                <w:color w:val="auto"/>
              </w:rPr>
              <w:t>Nine Months Ended</w:t>
            </w:r>
          </w:p>
        </w:tc>
      </w:tr>
      <w:tr>
        <w:trPr>
          <w:trHeight w:val="216"/>
        </w:trPr>
        <w:tc>
          <w:tcPr>
            <w:tcW w:w="360" w:type="dxa"/>
            <w:vAlign w:val="bottom"/>
          </w:tcPr>
          <w:p>
            <w:pPr>
              <w:spacing w:after="0"/>
              <w:rPr>
                <w:sz w:val="18"/>
                <w:szCs w:val="18"/>
                <w:color w:val="auto"/>
              </w:rPr>
            </w:pPr>
          </w:p>
        </w:tc>
        <w:tc>
          <w:tcPr>
            <w:tcW w:w="230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360" w:type="dxa"/>
            <w:vAlign w:val="bottom"/>
          </w:tcPr>
          <w:p>
            <w:pPr>
              <w:spacing w:after="0"/>
              <w:rPr>
                <w:sz w:val="18"/>
                <w:szCs w:val="18"/>
                <w:color w:val="auto"/>
              </w:rPr>
            </w:pPr>
          </w:p>
        </w:tc>
        <w:tc>
          <w:tcPr>
            <w:tcW w:w="2220" w:type="dxa"/>
            <w:vAlign w:val="bottom"/>
            <w:gridSpan w:val="3"/>
          </w:tcPr>
          <w:p>
            <w:pPr>
              <w:jc w:val="right"/>
              <w:ind w:right="630"/>
              <w:spacing w:after="0"/>
              <w:rPr>
                <w:sz w:val="20"/>
                <w:szCs w:val="20"/>
                <w:color w:val="auto"/>
              </w:rPr>
            </w:pPr>
            <w:r>
              <w:rPr>
                <w:rFonts w:ascii="Arial" w:cs="Arial" w:eastAsia="Arial" w:hAnsi="Arial"/>
                <w:sz w:val="18"/>
                <w:szCs w:val="18"/>
                <w:color w:val="auto"/>
              </w:rPr>
              <w:t>September 30,</w:t>
            </w:r>
          </w:p>
        </w:tc>
      </w:tr>
      <w:tr>
        <w:trPr>
          <w:trHeight w:val="230"/>
        </w:trPr>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r>
      <w:tr>
        <w:trPr>
          <w:trHeight w:val="425"/>
        </w:trPr>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1,607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2,467</w:t>
            </w:r>
          </w:p>
        </w:tc>
      </w:tr>
      <w:tr>
        <w:trPr>
          <w:trHeight w:val="230"/>
        </w:trPr>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2,384</w:t>
            </w:r>
          </w:p>
        </w:tc>
      </w:tr>
      <w:tr>
        <w:trPr>
          <w:trHeight w:val="209"/>
        </w:trPr>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-436245</wp:posOffset>
            </wp:positionV>
            <wp:extent cx="641223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-153670</wp:posOffset>
            </wp:positionV>
            <wp:extent cx="641223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20" w:space="720"/>
            <w:col w:w="5800"/>
          </w:cols>
          <w:pgMar w:left="320" w:top="557" w:right="339" w:bottom="1440" w:gutter="0" w:footer="0" w:header="0"/>
        </w:sect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September 30, 2023 and 2022, respectively, and $0.6 million for each of the nine months ended September 30, 2023 and 2022, respectively.</w:t>
      </w:r>
    </w:p>
    <w:p>
      <w:pPr>
        <w:sectPr>
          <w:pgSz w:w="11900" w:h="16838" w:orient="portrait"/>
          <w:cols w:equalWidth="0" w:num="1">
            <w:col w:w="11240"/>
          </w:cols>
          <w:pgMar w:left="320" w:top="557" w:right="3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Information related to operating lease ROU assets and lease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ROU Asset at Lease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Current ROU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68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(In Millions)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680" w:type="dxa"/>
            <w:vAlign w:val="bottom"/>
            <w:gridSpan w:val="2"/>
          </w:tcPr>
          <w:p>
            <w:pPr>
              <w:jc w:val="center"/>
              <w:ind w:left="70"/>
              <w:spacing w:after="0"/>
              <w:rPr>
                <w:sz w:val="20"/>
                <w:szCs w:val="20"/>
                <w:color w:val="auto"/>
              </w:rPr>
            </w:pPr>
            <w:r>
              <w:rPr>
                <w:rFonts w:ascii="Arial" w:cs="Arial" w:eastAsia="Arial" w:hAnsi="Arial"/>
                <w:sz w:val="18"/>
                <w:szCs w:val="18"/>
                <w:color w:val="auto"/>
                <w:w w:val="97"/>
              </w:rPr>
              <w:t>As of</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60" w:type="dxa"/>
            <w:vAlign w:val="bottom"/>
            <w:gridSpan w:val="2"/>
          </w:tcPr>
          <w:p>
            <w:pPr>
              <w:ind w:left="100"/>
              <w:spacing w:after="0"/>
              <w:rPr>
                <w:sz w:val="20"/>
                <w:szCs w:val="20"/>
                <w:color w:val="auto"/>
              </w:rPr>
            </w:pPr>
            <w:r>
              <w:rPr>
                <w:rFonts w:ascii="Arial" w:cs="Arial" w:eastAsia="Arial" w:hAnsi="Arial"/>
                <w:sz w:val="18"/>
                <w:szCs w:val="18"/>
                <w:color w:val="auto"/>
                <w:w w:val="88"/>
              </w:rPr>
              <w:t>September 30, 2023</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w w:val="88"/>
              </w:rPr>
              <w:t>December 31, 2022</w:t>
            </w:r>
          </w:p>
        </w:tc>
      </w:tr>
      <w:tr>
        <w:trPr>
          <w:trHeight w:val="230"/>
        </w:trPr>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230"/>
        </w:trPr>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r>
      <w:tr>
        <w:trPr>
          <w:trHeight w:val="210"/>
        </w:trPr>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6960" w:space="720"/>
            <w:col w:w="3560"/>
          </w:cols>
          <w:pgMar w:left="320" w:top="557" w:right="33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The Company’s future minimum operating lease commitments as of September 30, 2023 are as follows:</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9"/>
              </w:rPr>
              <w:t>(In Millions)</w:t>
            </w:r>
          </w:p>
        </w:tc>
      </w:tr>
      <w:tr>
        <w:trPr>
          <w:trHeight w:val="216"/>
        </w:trPr>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580" w:type="dxa"/>
            <w:vAlign w:val="bottom"/>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580" w:type="dxa"/>
            <w:vAlign w:val="bottom"/>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4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Imputed Interest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Present Value of Lease Payments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4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Less Current Portion*</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10"/>
        </w:trPr>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Non-Current Lease Liability</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-121920</wp:posOffset>
            </wp:positionV>
            <wp:extent cx="3566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Construction – </w:t>
      </w:r>
      <w:r>
        <w:rPr>
          <w:rFonts w:ascii="Arial" w:cs="Arial" w:eastAsia="Arial" w:hAnsi="Arial"/>
          <w:sz w:val="18"/>
          <w:szCs w:val="18"/>
          <w:color w:val="auto"/>
        </w:rPr>
        <w:t>The Company has forecasted to spend approximately $96 million for its construction program in 2023. The Company has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construction contracts that, in the aggregate, obligate expenditure of an estimated $8 million in the future. The actual amount and timing of capital expenditures is dependent on the need for upgrade or replacement of existing infrastructure, customer growth, residential new home construction and sales, project scheduling, supply chain issues and continued refinement of project scope and costs. With continued upward pressure on mortgage interest rates, as well as other financial market uncertainties, there is no assurance that projected customer growth and residential new home construction and sales will occur.</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PFOA Matter – </w:t>
      </w:r>
      <w:r>
        <w:rPr>
          <w:rFonts w:ascii="Arial" w:cs="Arial" w:eastAsia="Arial" w:hAnsi="Arial"/>
          <w:sz w:val="18"/>
          <w:szCs w:val="18"/>
          <w:color w:val="auto"/>
        </w:rPr>
        <w:t>In November 2021, the Company was served with two PFOA-related class action lawsuits seeking restitution for medical, water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replacement and other related costs and economic damages. These lawsuits are in the early stages of the legal process and their ultimate resolution cannot be predicted at this time. For further discussion of this matter, see </w:t>
      </w:r>
      <w:r>
        <w:rPr>
          <w:rFonts w:ascii="Arial" w:cs="Arial" w:eastAsia="Arial" w:hAnsi="Arial"/>
          <w:sz w:val="18"/>
          <w:szCs w:val="18"/>
          <w:i w:val="1"/>
          <w:iCs w:val="1"/>
          <w:color w:val="auto"/>
        </w:rPr>
        <w:t>Note 1 - Regulatory Notice of Non-Compliance</w:t>
      </w:r>
      <w:r>
        <w:rPr>
          <w:rFonts w:ascii="Arial" w:cs="Arial" w:eastAsia="Arial" w:hAnsi="Arial"/>
          <w:sz w:val="18"/>
          <w:szCs w:val="18"/>
          <w:color w:val="auto"/>
        </w:rPr>
        <w: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its executive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under certain conditions in connection with a change in control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Pension Benefits – </w:t>
      </w:r>
      <w:r>
        <w:rPr>
          <w:rFonts w:ascii="Arial" w:cs="Arial" w:eastAsia="Arial" w:hAnsi="Arial"/>
          <w:sz w:val="16"/>
          <w:szCs w:val="16"/>
          <w:color w:val="auto"/>
        </w:rPr>
        <w:t>The Company’s defined benefit pension plan (Pension Plan) covers all active employees hired prior to April 1, 2007. Employees hired</w:t>
      </w:r>
      <w:r>
        <w:rPr>
          <w:rFonts w:ascii="Arial" w:cs="Arial" w:eastAsia="Arial" w:hAnsi="Arial"/>
          <w:sz w:val="16"/>
          <w:szCs w:val="16"/>
          <w:b w:val="1"/>
          <w:bCs w:val="1"/>
          <w:color w:val="auto"/>
        </w:rPr>
        <w:t xml:space="preserve"> </w:t>
      </w:r>
      <w:r>
        <w:rPr>
          <w:rFonts w:ascii="Arial" w:cs="Arial" w:eastAsia="Arial" w:hAnsi="Arial"/>
          <w:sz w:val="16"/>
          <w:szCs w:val="16"/>
          <w:color w:val="auto"/>
        </w:rPr>
        <w:t>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each of the nine month periods ended September 30, 2023 and 2022, the Company did not make cash contributions to the Pension Plan. The Company expects to make cash contributions of approximately $1.9 million over the remainder of the current year. The Company also maintains an unfunded supplemental retirement benefit plan for certain active and retired Company officers and currently pays $0.5 million in annual benefits to the retired participants.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81" w:lineRule="auto"/>
        <w:rPr>
          <w:sz w:val="20"/>
          <w:szCs w:val="20"/>
          <w:color w:val="auto"/>
        </w:rPr>
      </w:pPr>
      <w:r>
        <w:rPr>
          <w:rFonts w:ascii="Arial" w:cs="Arial" w:eastAsia="Arial" w:hAnsi="Arial"/>
          <w:sz w:val="17"/>
          <w:szCs w:val="17"/>
          <w:b w:val="1"/>
          <w:bCs w:val="1"/>
          <w:color w:val="auto"/>
        </w:rPr>
        <w:t xml:space="preserve">Other Postretirement Benefits – </w:t>
      </w:r>
      <w:r>
        <w:rPr>
          <w:rFonts w:ascii="Arial" w:cs="Arial" w:eastAsia="Arial" w:hAnsi="Arial"/>
          <w:sz w:val="17"/>
          <w:szCs w:val="17"/>
          <w:color w:val="auto"/>
        </w:rPr>
        <w:t>The Company’s retirement plan other than pensions (Other Benefits Plan) covers substantially all currently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retired employees. Employees hired after March 31, 2007 are not eligible to participate in this plan. Coverage includes healthcare and life insurance. For each of the nine month periods ended September 30, 2023 and 2022, the Company did not make cash contributions to its Other Benefits Plan. The Company expects to make additional Other Benefits Plan cash contributions of $0.9 million over the remainder of the current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relating to the Company’s periodic costs (benefit) for its employee retirement benefit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left="630"/>
              <w:spacing w:after="0"/>
              <w:rPr>
                <w:sz w:val="20"/>
                <w:szCs w:val="20"/>
                <w:color w:val="auto"/>
              </w:rPr>
            </w:pPr>
            <w:r>
              <w:rPr>
                <w:rFonts w:ascii="Arial" w:cs="Arial" w:eastAsia="Arial" w:hAnsi="Arial"/>
                <w:sz w:val="18"/>
                <w:szCs w:val="18"/>
                <w:color w:val="auto"/>
                <w:w w:val="90"/>
              </w:rPr>
              <w:t>(In Thousands)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Pension Benefits</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00" w:type="dxa"/>
            <w:vAlign w:val="bottom"/>
            <w:gridSpan w:val="4"/>
          </w:tcPr>
          <w:p>
            <w:pPr>
              <w:jc w:val="center"/>
              <w:spacing w:after="0" w:line="195" w:lineRule="exact"/>
              <w:rPr>
                <w:sz w:val="20"/>
                <w:szCs w:val="20"/>
                <w:color w:val="auto"/>
              </w:rPr>
            </w:pPr>
            <w:r>
              <w:rPr>
                <w:rFonts w:ascii="Arial" w:cs="Arial" w:eastAsia="Arial" w:hAnsi="Arial"/>
                <w:sz w:val="18"/>
                <w:szCs w:val="18"/>
                <w:color w:val="auto"/>
                <w:w w:val="89"/>
              </w:rPr>
              <w:t>Three Months Ended September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2023</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2022</w:t>
            </w:r>
          </w:p>
        </w:tc>
      </w:tr>
      <w:tr>
        <w:trPr>
          <w:trHeight w:val="210"/>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591</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761</w:t>
            </w:r>
          </w:p>
        </w:tc>
        <w:tc>
          <w:tcPr>
            <w:tcW w:w="5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402</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2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418</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411"/>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left="630"/>
              <w:spacing w:after="0"/>
              <w:rPr>
                <w:sz w:val="20"/>
                <w:szCs w:val="20"/>
                <w:color w:val="auto"/>
              </w:rPr>
            </w:pPr>
            <w:r>
              <w:rPr>
                <w:rFonts w:ascii="Arial" w:cs="Arial" w:eastAsia="Arial" w:hAnsi="Arial"/>
                <w:sz w:val="18"/>
                <w:szCs w:val="18"/>
                <w:color w:val="auto"/>
                <w:w w:val="90"/>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Pension Benefits</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3"/>
          </w:tcPr>
          <w:p>
            <w:pPr>
              <w:jc w:val="center"/>
              <w:ind w:right="70"/>
              <w:spacing w:after="0" w:line="195" w:lineRule="exact"/>
              <w:rPr>
                <w:sz w:val="20"/>
                <w:szCs w:val="20"/>
                <w:color w:val="auto"/>
              </w:rPr>
            </w:pPr>
            <w:r>
              <w:rPr>
                <w:rFonts w:ascii="Arial" w:cs="Arial" w:eastAsia="Arial" w:hAnsi="Arial"/>
                <w:sz w:val="18"/>
                <w:szCs w:val="18"/>
                <w:color w:val="auto"/>
                <w:w w:val="90"/>
              </w:rPr>
              <w:t>Nine Months Ended September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4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2023</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2022</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1,772</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3,202</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2,282</w:t>
            </w:r>
          </w:p>
        </w:tc>
        <w:tc>
          <w:tcPr>
            <w:tcW w:w="5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1,206</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2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1,255</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*Service cost is included Operations and Maintenance expense on the consolidated statements of income; all other amounts are included in Other Income (Expense),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5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3"/>
          </w:tcPr>
          <w:p>
            <w:pPr>
              <w:jc w:val="right"/>
              <w:ind w:right="790"/>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5400" w:type="dxa"/>
            <w:vAlign w:val="bottom"/>
          </w:tcPr>
          <w:p>
            <w:pPr>
              <w:spacing w:after="0"/>
              <w:rPr>
                <w:sz w:val="18"/>
                <w:szCs w:val="18"/>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color w:val="auto"/>
                <w:w w:val="96"/>
              </w:rPr>
              <w:t>Three Months Ended September 30,</w:t>
            </w:r>
          </w:p>
        </w:tc>
        <w:tc>
          <w:tcPr>
            <w:tcW w:w="180" w:type="dxa"/>
            <w:vAlign w:val="bottom"/>
          </w:tcPr>
          <w:p>
            <w:pPr>
              <w:spacing w:after="0"/>
              <w:rPr>
                <w:sz w:val="18"/>
                <w:szCs w:val="18"/>
                <w:color w:val="auto"/>
              </w:rPr>
            </w:pPr>
          </w:p>
        </w:tc>
        <w:tc>
          <w:tcPr>
            <w:tcW w:w="2680" w:type="dxa"/>
            <w:vAlign w:val="bottom"/>
            <w:gridSpan w:val="3"/>
          </w:tcPr>
          <w:p>
            <w:pPr>
              <w:jc w:val="right"/>
              <w:ind w:right="30"/>
              <w:spacing w:after="0"/>
              <w:rPr>
                <w:sz w:val="20"/>
                <w:szCs w:val="20"/>
                <w:color w:val="auto"/>
              </w:rPr>
            </w:pPr>
            <w:r>
              <w:rPr>
                <w:rFonts w:ascii="Arial" w:cs="Arial" w:eastAsia="Arial" w:hAnsi="Arial"/>
                <w:sz w:val="18"/>
                <w:szCs w:val="18"/>
                <w:color w:val="auto"/>
                <w:w w:val="90"/>
              </w:rPr>
              <w:t>Nine Months Ended September 30,</w:t>
            </w:r>
          </w:p>
        </w:tc>
      </w:tr>
      <w:tr>
        <w:trPr>
          <w:trHeight w:val="230"/>
        </w:trPr>
        <w:tc>
          <w:tcPr>
            <w:tcW w:w="54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25,070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25,108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66,726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65,767</w:t>
            </w: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6,926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7,167</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18,553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16,796</w:t>
            </w: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4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3,396</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3,208</w:t>
            </w:r>
          </w:p>
        </w:tc>
        <w:tc>
          <w:tcPr>
            <w:tcW w:w="1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9,041</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8,504</w:t>
            </w: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Fire Protection</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9,453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9,541</w:t>
            </w: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4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4,958</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5,644</w:t>
            </w:r>
          </w:p>
        </w:tc>
        <w:tc>
          <w:tcPr>
            <w:tcW w:w="1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14,479</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13,905</w:t>
            </w: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3,137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3,321</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9,309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8,986</w:t>
            </w: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46,690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47,696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127,561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123,499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4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46,715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47,732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127,672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123,611</w:t>
            </w:r>
          </w:p>
        </w:tc>
      </w:tr>
      <w:tr>
        <w:trPr>
          <w:trHeight w:val="554"/>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9" w:name="page20"/>
    <w:bookmarkEnd w:id="19"/>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2022, including Amendment No. 1 to such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plans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customer rates, consumption volumes, service fees, revenues, margins, expenses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plans to renew municipal franchises and consents in the territories it 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adequate supplies of quality water;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modified water quality standards and compliance with related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and/or privatizations;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pace of new housing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availability of materials and supplies for operations and critical infrastructure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internal control over financial reporting;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the Novel Coronavirus (COVID-19)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elsewhere in this report.</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10-K/A for the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New Jersey water utility system (the Middlesex System) provides water services to approximately 60,000 retail customers, primarily in central New Jersey. The Middlesex System also provides water sales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provide water services to approximately 59,000 retail customers in New Castle, Kent and Sussex Counties, Delaware. Tidewater’s subsidiary, White Marsh, services approximately 4,500 customers in Kent and Sussex Counties through various operations and maintenance contracts.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301" w:lineRule="auto"/>
        <w:rPr>
          <w:sz w:val="20"/>
          <w:szCs w:val="20"/>
          <w:color w:val="auto"/>
        </w:rPr>
      </w:pPr>
      <w:r>
        <w:rPr>
          <w:rFonts w:ascii="Arial" w:cs="Arial" w:eastAsia="Arial" w:hAnsi="Arial"/>
          <w:sz w:val="16"/>
          <w:szCs w:val="16"/>
          <w:color w:val="auto"/>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Middlesex Base Water Rate Increase Request </w:t>
      </w:r>
      <w:r>
        <w:rPr>
          <w:rFonts w:ascii="Arial" w:cs="Arial" w:eastAsia="Arial" w:hAnsi="Arial"/>
          <w:sz w:val="16"/>
          <w:szCs w:val="16"/>
          <w:color w:val="auto"/>
        </w:rPr>
        <w:t>- In May 2023, Middlesex filed a petition with the New Jersey Board of Public Utilities (NJBPU) seeking</w:t>
      </w:r>
      <w:r>
        <w:rPr>
          <w:rFonts w:ascii="Arial" w:cs="Arial" w:eastAsia="Arial" w:hAnsi="Arial"/>
          <w:sz w:val="16"/>
          <w:szCs w:val="16"/>
          <w:b w:val="1"/>
          <w:bCs w:val="1"/>
          <w:color w:val="auto"/>
        </w:rPr>
        <w:t xml:space="preserve"> </w:t>
      </w:r>
      <w:r>
        <w:rPr>
          <w:rFonts w:ascii="Arial" w:cs="Arial" w:eastAsia="Arial" w:hAnsi="Arial"/>
          <w:sz w:val="16"/>
          <w:szCs w:val="16"/>
          <w:color w:val="auto"/>
        </w:rPr>
        <w:t>permission to increase annual base water revenues by approximately $34 million. The request was necessitated predominantly by capital infrastructure investments Middlesex has made, or has committed to make, to ensure proper maintenance, development and improvement of its utility assets to support continued regulatory compliance and overall quality of service. We cannot predict when and whether the NJBPU will ultimately approve, deny, or reduce the amount of the request. Under New Jersey statute, the NJPBU must render a decision within nine months of filing a base rate change petition.</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Middlesex President and Chief Executive Officer Retirement Announcement – </w:t>
      </w:r>
      <w:r>
        <w:rPr>
          <w:rFonts w:ascii="Arial" w:cs="Arial" w:eastAsia="Arial" w:hAnsi="Arial"/>
          <w:sz w:val="18"/>
          <w:szCs w:val="18"/>
          <w:color w:val="auto"/>
        </w:rPr>
        <w:t>In May 2023, President and Chief Executive Officer (CEO), Dennis W.</w:t>
      </w:r>
      <w:r>
        <w:rPr>
          <w:rFonts w:ascii="Arial" w:cs="Arial" w:eastAsia="Arial" w:hAnsi="Arial"/>
          <w:sz w:val="18"/>
          <w:szCs w:val="18"/>
          <w:b w:val="1"/>
          <w:bCs w:val="1"/>
          <w:color w:val="auto"/>
        </w:rPr>
        <w:t xml:space="preserve"> </w:t>
      </w:r>
      <w:r>
        <w:rPr>
          <w:rFonts w:ascii="Arial" w:cs="Arial" w:eastAsia="Arial" w:hAnsi="Arial"/>
          <w:sz w:val="18"/>
          <w:szCs w:val="18"/>
          <w:color w:val="auto"/>
        </w:rPr>
        <w:t>Doll announced a plan to retire upon turning age 65. Mr. Doll’s retirement is planned for the later of December 31, 2023 or, the date when a successor is duly named and effectively transitioned into the position. Mr. Doll will remain Chairman of the Middlesex Board of Directors (Board) through the expiration of his current term in May 2024. A search for Mr. Doll’s successor is being led by the Compensation Committee of the Board in collaboration with a nationally-recognized executive search firm.</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Pinelands’ Base Rate Increases Approved - </w:t>
      </w:r>
      <w:r>
        <w:rPr>
          <w:rFonts w:ascii="Arial" w:cs="Arial" w:eastAsia="Arial" w:hAnsi="Arial"/>
          <w:sz w:val="18"/>
          <w:szCs w:val="18"/>
          <w:color w:val="auto"/>
        </w:rPr>
        <w:t>On April 12, 2023, Pinelands Water and Pinelands Wastewater concluded their base rate case matters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NJBPU approved a combined $1.0 million increase in annual base rates, effective April 15, 2023. The requests were necessitated by capital infrastructure investments the companies have made as well as increased operations and maintenance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Middlesex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April 2023, Middlesex received approval from the NJBPU to issue and sell up to 1.0 million shares of its common stock, without par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December 31, 2025. Additionally, in April 2023, Middlesex received approval from the NJBPU to borrow up to $300.0 million from the New Jersey State Revolving Fund (SRF) Program, the New Jersey Economic Development Authority, private placement and other financial institutions as needed through December 31, 2025. The Company expects to issue equity and debt securities in a series of transaction offerings over a multi-year period to help fund Middlesex’s multi-year capital construction program.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Middlesex closed on a $40.0 million, 5.24% private placement of First Mortgage Bonds (FMBs) with a 2043 maturity date designated as Series 2023A. Proceeds were used to reduce the Company’s outstanding balances under its bank lines of credit.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2023, Middlesex received approval from the NJBPU to increase the number of authorized shares under the Middlesex Water Company Investment Plan (the Investment Plan) by 0.7 million shares.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Tidewater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April 2023, Tidewater closed on three Delaware Public Service Commission (DEPSC)-approved SRF loans totaling $10.2 million, all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rates of 2.0% with maturity dates in 2043 and 2044. These loans are for the construction, relocation, improvement, and/or interconnection of transmission mains. Tidewater has drawn a total of $1.5 million through September 30, 2023 and expects that the requisitions will continue through mid-2025.</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May 2023, Tidewater closed on a $20.0 million loan from CoBank, ACB (CoBank) with an interest rate of 5.71% and a 2033 maturity date. Proceeds from the loan were used to pay off Tidewater’s outstanding balances under its bank lines of credit and for other general corporate purposes.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Pinelands </w:t>
      </w:r>
      <w:r>
        <w:rPr>
          <w:rFonts w:ascii="Arial" w:cs="Arial" w:eastAsia="Arial" w:hAnsi="Arial"/>
          <w:sz w:val="18"/>
          <w:szCs w:val="18"/>
          <w:color w:val="auto"/>
        </w:rPr>
        <w:t>- In July 2023, Pinelands Water and Pinelands Wastewater closed on $3.9 million and $3.6 million CoBank amortizing mortgage type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with an interest rate of 6.17% and a final maturity date of 2043 for each loan. Proceeds from the loans were used to pay off outstanding intercompany loans with Middlesex and for ongoing capital projects.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8"/>
          <w:szCs w:val="18"/>
          <w:b w:val="1"/>
          <w:bCs w:val="1"/>
          <w:color w:val="auto"/>
        </w:rPr>
        <w:t xml:space="preserve">Capital Construction Program </w:t>
      </w:r>
      <w:r>
        <w:rPr>
          <w:rFonts w:ascii="Arial" w:cs="Arial" w:eastAsia="Arial" w:hAnsi="Arial"/>
          <w:sz w:val="18"/>
          <w:szCs w:val="18"/>
          <w:b w:val="1"/>
          <w:bCs w:val="1"/>
          <w:color w:val="323232"/>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maintain and improve service for the current and future generations of water and wastewater customers. The Company plans to invest approximately $23 million in the last quarter of 2023 in connection with projects that include, but are not limited to:</w:t>
      </w:r>
    </w:p>
    <w:p>
      <w:pPr>
        <w:spacing w:after="0" w:line="184"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construction of a facility to provide an enhanced treatment process at the Company’s largest wellfield located in South Plainfield, New Jersey to comply with new state water quality regulations related to perfluoroalkyl substances (PFAS), and integrate surge protection to mitigate spikes in water pressures along with enhancements to corrosion control and chlorination processes;</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of approximately 24,000 linear feet of cast iron 6" water main in the Borough of Carteret and the Port Reading section of Woodbridge, New Jersey;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of Company and customer owned lead and galvanized steel service 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Interconnecting Tidewater’s Angola and Meadows Districts which will provide redundant capacity and storage for both districts;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Various water main replacements and improvements.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and timing of capital expenditures is dependent on project scheduling and refinement of engineering estimates for certain capital projects.</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Regulatory Notice of Non-Compliance – </w:t>
      </w:r>
      <w:r>
        <w:rPr>
          <w:rFonts w:ascii="Arial" w:cs="Arial" w:eastAsia="Arial" w:hAnsi="Arial"/>
          <w:sz w:val="16"/>
          <w:szCs w:val="16"/>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standard promulgated in a NJDEP regulation that became effective in 2021. Middlesex was required by the regulation to notify its affected customers and complied within the required Notice period in November 2021.</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Notice further required the Company to take any action necessary to comply with the new standard by September 7, 2022. Consequently, in November 2021, the Company implemented an interim solution to meet the Notice requirements, which included putting the Park Avenue Wellfield Treatment Plant in off-line status and obtaining alternate sources of supply. In June 2022, the Company accelerated the in-service date for a portion of the enhanced treatment project based on engineering analysis that allowed a restart of the Park Avenue Wellfield Treatment Plant to ensure continued compliance with all state and federal drinking water standards.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13, 2022, the Company entered into an Administrative Consent Order (ACO) with the NJDEP, which required the Company to take whatever actions necessary to achieve and maintain compliance with applicable regulations. As prescribed in the ACO, the Company was to issue periodic public notifications until the ACO was closed.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2023, the Company completed the permanent construction of the entire Park Avenue Wellfield treatment upgrades and placed the upgrades into operation in full compliance with the NJDEP PFOA standards. The Company received confirmation from the NJDEP that it has complied with all requirements of the ACO and consequently, the ACO has been closed.</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had previously initiated a lawsuit against 3M Company (3M), seeking to hold 3M accountable for the Company’s claim that 3M introduced perfluoroalkyl substances (commonly known as “PFAS”), which include PFOA, into the Company’s water supply at its Park Avenue Wellfield facility.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29, 2023, Middlesex and 3M executed a settlement agreement (the Settlement Agreement) to resolve Middlesex’s lawsuit against 3M. The Settlement Agreement provides that: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3M will pay Middlesex $93.2 million in two installments, one payment of $23.3 million in December 2023 ($23.3 million) and one payment of $69.9 million in July 2024. Middlesex is obligated to pay 30% of the proceeds received to its lawyers as legal fees, or $27.9 million in total;</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Middlesex anticipates its receipt of the Settlement Proceeds will have the effect of mitigating future increases in customer rates, the determination of which are based, in part, on Middlesex’s investments in utility infrastructure. For additional details, see “Item 1. Business – Regulation - Regulation of Rates and Services” in Middlesex’s 2022 Form 10-K;</w:t>
      </w:r>
    </w:p>
    <w:p>
      <w:pPr>
        <w:spacing w:after="0" w:line="7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Middlesex, by nature of its status as a U.S. water purveyor impacted by PFAS, was automatically included in a Multi-District Litigation Settlement before the United States District Court for the District of South Carolina in which 3M and other companies (Non-3M Companies) are participants. Middlesex agreed as part of this settlement to remain a member of the plaintiff class in order to be eligible to obtain future additional compensation from 3M and the Non-3M Companies for the remediation of its water treatment facilities; and</w:t>
      </w:r>
    </w:p>
    <w:p>
      <w:pPr>
        <w:spacing w:after="0" w:line="6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Middlesex and 3M agreed to enter into a joint mediation, scheduled for November 2023, to resolve two PFOA-related class action lawsuits against Middlesex seeking restitution for medical, water replacement and other claimed related costs. Both Middlesex and 3M are defendants in these lawsuits. These lawsuits remain in the early stages of the legal process and their ultimate resolution cannot be predicted at this time.</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the Company’s intent that any financial benefit which may result from the Settlement Agreement, net of any litigation costs to Middlesex, will ultimately inure to the benefit of the Middlesex customers in the form of mitigating future customer rate increases. As such, the anticipated net Settlement Agreement proceeds of $65.2 million have been recorded as a Regulatory Liability in the Company’s September 30, 2023 Consolidated Balance Sheet.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These factors are discussed in the Results of Operations section below. Unfavorable weather patterns may occur at any time, which can result in lower customer demand for water.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investments in system infrastructure continue to grow significantly and our operating costs continue to increase in 2023 in a variety of categories. These factors led Middlesex to file for a base rate increase in May 2023. Tidewater has not yet determined the need to file for a base rate increase but continues to monitor its requirements for a rate filing in 2023.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organic residential customer growth continues in our Tidewater system but is impacted by the current and evolving macroeconomic market conditions relative to residential housing. Builders and developers in our Delaware service territory are experiencing longer home sales closing cycles due to supply chain constraints, which may be further affected by inflationary trends and the federal government’s ongoing efforts to mitigate inflation through increases in interest rates.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projected to spend approximately $277 million for the 2023-2025 capital investment program, including approximately $18 million for PFAS-related treatment upgrades, $9 million for Lead and Copper Rule compliance in the Middlesex System, $34 million on the RENEW Program, which is our ongoing initiative to replace water mains in the Middlesex System and $4 million for construction of elevated storage tanks in our Tidewater and Middlesex Systems.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 in projects, products and services that complement our core water and wastewater competencies;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and adequate recovery of infrastructure investments and other costs to maintain service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Prudent acquisitions of investor and municipally-owned water and wastewater utilities;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 of municipal and industrial water and wastewater systems on a contract basis which meet our risk profile.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calendar year 2023 is a period of significant transition for the Company based on the items noted above and elsewhere in this document, including the transition of the CEO and other elements of the Company’s succession plan, various rate case and other regulatory proceedings and various construction and financing initiatives. The timing and extent of these matters, both individually and collectively, may impact financial results in 2023. No such items however, are expected to have a material adverse effect on revenues or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and Southern Shores; Non-Regulated-USA, USA-PA, and White Marsh.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September 30,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6"/>
          </w:tcPr>
          <w:p>
            <w:pPr>
              <w:ind w:left="30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gridSpan w:val="9"/>
          </w:tcPr>
          <w:p>
            <w:pPr>
              <w:jc w:val="right"/>
              <w:ind w:right="80"/>
              <w:spacing w:after="0"/>
              <w:rPr>
                <w:sz w:val="20"/>
                <w:szCs w:val="20"/>
                <w:color w:val="auto"/>
              </w:rPr>
            </w:pPr>
            <w:r>
              <w:rPr>
                <w:rFonts w:ascii="Arial" w:cs="Arial" w:eastAsia="Arial" w:hAnsi="Arial"/>
                <w:sz w:val="18"/>
                <w:szCs w:val="18"/>
                <w:color w:val="auto"/>
              </w:rPr>
              <w:t>Three Months Ended September 30,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2023</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7"/>
              </w:rPr>
              <w:t>Non-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Regulated</w:t>
            </w: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Regulated</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Regulated</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46,715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20,376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22,581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17,935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2,377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20,312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w:t>
            </w:r>
          </w:p>
        </w:tc>
      </w:tr>
      <w:tr>
        <w:trPr>
          <w:trHeight w:val="23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4,883</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4,936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4,972</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5,031</w:t>
            </w:r>
          </w:p>
        </w:tc>
      </w:tr>
      <w:tr>
        <w:trPr>
          <w:trHeight w:val="209"/>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12,822</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16,575</w:t>
            </w:r>
          </w:p>
        </w:tc>
      </w:t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3,518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w:t>
            </w:r>
          </w:p>
        </w:tc>
      </w:tr>
      <w:tr>
        <w:trPr>
          <w:trHeight w:val="209"/>
        </w:trPr>
        <w:tc>
          <w:tcPr>
            <w:tcW w:w="3820" w:type="dxa"/>
            <w:vAlign w:val="bottom"/>
          </w:tcPr>
          <w:p>
            <w:pPr>
              <w:ind w:left="10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9,384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9,990</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13,683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608</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14,291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 for the three months ended September 30, 2023 decreased $1.0 million from the same period in 2022 due to the following factors:</w:t>
      </w:r>
    </w:p>
    <w:p>
      <w:pPr>
        <w:spacing w:after="0" w:line="248" w:lineRule="exact"/>
        <w:rPr>
          <w:sz w:val="20"/>
          <w:szCs w:val="20"/>
          <w:color w:val="auto"/>
        </w:rPr>
      </w:pPr>
    </w:p>
    <w:p>
      <w:pPr>
        <w:ind w:left="500" w:right="2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Middlesex System revenues decreased $0.2 million due to lower customer demand offset somewhat by the implementation of the final phase of the 2021 base rate case increase on January 1, 2023;</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ind w:left="500" w:hanging="330"/>
        <w:spacing w:after="0" w:line="25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Tidewater System revenues decreased $0.7 million due to lower customer demand and lower revenue from a 2022 DEPSC-ordered rate reduction partially offset by an increase in customers; and</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revenue categories decreased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three months ended September 30, 2023 increased $2.3 million from the same period in 2022 due to the following factors:</w:t>
      </w:r>
    </w:p>
    <w:p>
      <w:pPr>
        <w:spacing w:after="0" w:line="170"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Higher purchased water costs and water treatment costs in our Middlesex system resulted in increased production costs of $1.4 million;</w:t>
      </w:r>
    </w:p>
    <w:p>
      <w:pPr>
        <w:spacing w:after="0" w:line="34" w:lineRule="exact"/>
        <w:rPr>
          <w:rFonts w:ascii="Arial" w:cs="Arial" w:eastAsia="Arial" w:hAnsi="Arial"/>
          <w:sz w:val="17"/>
          <w:szCs w:val="17"/>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Outside service costs rose by $0.4 million primarily due to production instrumentation calibration activities;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for the three months ended September 30, 2023 increased $0.6 million from the same period in 2022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three months ended September 30, 2023 decreased $0.1 million from the same period in 2022 primarily due to lower revenue related taxes on decreased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September 30, 2023 decreased $0.6 million from the same period in 2022 due primarily to lower actuarially-determined retirement benefit plans non-service benefit and lower Allowance for Funds Used During Construction (AFUDC) resulting from a lower level of capital projects in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three months ended September 30, 2023 increased $1.2 million from the same period in 2022 due to higher average debt outstanding and an increase in average borrowing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taxes for the three months ended September 30, 2023 decreased by $1.2 million from the same period in 2022, primarily due to greater income tax benefits associated with increased repair expenditures on tangible property in the Middlesex System and lower pre-tax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September 30, 2023 decreased $4.3 million as compared with the same period in 2022. Basic earnings per share were $0.56 and $0.81 for the three months ended September 30, 2023 and 2022, respectively. Diluted earnings per share were $0.56 and $0.80 for the three months ended September 30, 2023 and 2022, respectively.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220" w:type="dxa"/>
            <w:vAlign w:val="bottom"/>
            <w:gridSpan w:val="5"/>
          </w:tcPr>
          <w:p>
            <w:pPr>
              <w:spacing w:after="0"/>
              <w:rPr>
                <w:sz w:val="20"/>
                <w:szCs w:val="20"/>
                <w:color w:val="auto"/>
              </w:rPr>
            </w:pPr>
            <w:r>
              <w:rPr>
                <w:rFonts w:ascii="Arial" w:cs="Arial" w:eastAsia="Arial" w:hAnsi="Arial"/>
                <w:sz w:val="18"/>
                <w:szCs w:val="18"/>
                <w:b w:val="1"/>
                <w:bCs w:val="1"/>
                <w:color w:val="auto"/>
                <w:w w:val="94"/>
              </w:rPr>
              <w:t>Results of Operations – Nine Months Ended September 30, 2023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right"/>
              <w:ind w:right="8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20"/>
                <w:szCs w:val="20"/>
                <w:color w:val="auto"/>
              </w:rPr>
            </w:pPr>
          </w:p>
        </w:tc>
        <w:tc>
          <w:tcPr>
            <w:tcW w:w="2660" w:type="dxa"/>
            <w:vAlign w:val="bottom"/>
            <w:gridSpan w:val="8"/>
          </w:tcPr>
          <w:p>
            <w:pPr>
              <w:jc w:val="right"/>
              <w:ind w:right="120"/>
              <w:spacing w:after="0"/>
              <w:rPr>
                <w:sz w:val="20"/>
                <w:szCs w:val="20"/>
                <w:color w:val="auto"/>
              </w:rPr>
            </w:pPr>
            <w:r>
              <w:rPr>
                <w:rFonts w:ascii="Arial" w:cs="Arial" w:eastAsia="Arial" w:hAnsi="Arial"/>
                <w:sz w:val="18"/>
                <w:szCs w:val="18"/>
                <w:color w:val="auto"/>
                <w:w w:val="89"/>
              </w:rPr>
              <w:t>Nine Months Ended September 30,</w:t>
            </w:r>
          </w:p>
        </w:tc>
        <w:tc>
          <w:tcPr>
            <w:tcW w:w="120" w:type="dxa"/>
            <w:vAlign w:val="bottom"/>
          </w:tcPr>
          <w:p>
            <w:pPr>
              <w:spacing w:after="0"/>
              <w:rPr>
                <w:sz w:val="20"/>
                <w:szCs w:val="20"/>
                <w:color w:val="auto"/>
              </w:rPr>
            </w:pPr>
          </w:p>
        </w:tc>
        <w:tc>
          <w:tcPr>
            <w:tcW w:w="880" w:type="dxa"/>
            <w:vAlign w:val="bottom"/>
            <w:vMerge w:val="restart"/>
          </w:tcPr>
          <w:p>
            <w:pPr>
              <w:jc w:val="center"/>
              <w:ind w:right="3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7"/>
              </w:rPr>
              <w:t>Non-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Regulated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Regulated</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Regulated</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127,672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57,548</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64,042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52,780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6,227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59,007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18,350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13,922</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14,104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13,359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Subsidiary</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5,232</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28,543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2,437</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30,980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36,793</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2,393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39,186</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5,126</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5,286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(benefit)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855</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1,143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2,253</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839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4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25,759</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nine months ended September 30, 2023 increased $4.1 million from the same period in 2022 due to the following factors:</w:t>
      </w:r>
    </w:p>
    <w:p>
      <w:pPr>
        <w:spacing w:after="0" w:line="237"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Middlesex System revenues increased $4.9 million due to the implementation of the final phase of the 2021 base rate case increase on January 1, 2023 offset somewhat by lower customer demand;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Tidewater System revenues decreased $1.2 million due to lower new connection fees and lower revenue from a 2022 DEPSC-ordered rate reduction partially offset by an increase in customers;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Non-regulated revenues increased $0.3 million due to higher supplemental contract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Pinelands revenue increased $0.1 million due to the implementation of a base rate increase effective April 15,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nine months ended September 30, 2023 increased $5.0 million from the same period in 2022 due to the following factors:</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purchased water costs and water treatment costs in our Middlesex system resulted in increased production costs of $3.4 million;</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costs also increased by $0.7 million due to wage increases;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Outside service costs rose by $0.7 million primarily due to production instrumentation calibration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insurance costs increased $0.4 million due to higher policy premiums;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weather-related main break activity in our Middlesex system during the winter months resulted in $0.8 million of decreased non-labor costs;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Non-regulated operation and maintenance expense increased $0.3 million due to higher supplemental contract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nine months ended September 30, 2023 increased $1.4 million from the same period in 2022 due to a higher level of utility plant in service.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nine months ended September 30, 2023 increased $0.6 million from the same period in 2022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Middlesex recognized a $5.2 million gain on the sale of its regulated Delaware wastewater subsidiary in January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Income, net for the nine months ended September 30, 2023 decreased $0.5 million from the same period in 2022 primarily due to lower actuarially-determined retirement benefit plans non-service benefit partially offset by higher AFUDC resulting from a lower level of capital projects in progress.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nine months ended September 30, 2023 increased $2.8 million from the same period in 2022 due to higher average debt outstanding and an increase in average borrowing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for the nine months ended September 30, 2023 decreased by $1.9 million from the same period in 2022, primarily due to greater income tax benefits associated with increased repair expenditures on tangible property in the Middlesex System and lower pretax income due to gain on the sale of a subsidiary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nine months ended September 30, 2023 decreased $9.5 million as compared with the same period in 2022. Basic earnings per share were $1.45 and $2.00 for the nine months ended September 30, 2023 and 2022, respectively. Diluted earnings per share were $1.44 and $1.99 for the nine months ended September 30, 2023 and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customer growth. The effect of those factors on net income is discussed in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cash flows from operating activities decreased $4.3 million to $40.0 million. The decrease in cash flows from operating activities primarily resulted from lower net income and higher interest and tax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cash flows used in investing activities increased $10.3 million to $73.1 million due to increased utility plant expenditures in 2023 and cash received in January 2022 from the sale of Middlesex’s regulated wastewater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Financing Cash Flows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cash flows from financing activities increased $14.3 million to $32.2 million. The increase in cash flows provided by financing activities is due to an increase in net borrowings partially offset by increased common stock dividend payments and lower proceeds from the issuance of common stock under the Investment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capital investment program for 2023 is currently estimated to be approximately $96 million. Through September 30, 2023, we have expended $73.1 million and expect to incur approximately $23 million for capital projects for the remainder of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project that we may expend approximately $181 million for capital projects in 2024 and 2025. The actual amount and timing of capital expenditures is dependent on the need for replacement of existing infrastructure, customer growth, residential new home construction and sales, project scheduling and continued refinement of project scope and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2023, we plan on utilizing some or all of the following:</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Internally generated funds;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Short-term borrowings, as needed, through $140 million of bank lines of credit established with multiple financial institutions. As of September 30, 2023, there was $97.8 million of available credit under these lines (for further discussion on Company lines of credit,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 </w:t>
      </w:r>
      <w:r>
        <w:rPr>
          <w:rFonts w:ascii="Arial" w:cs="Arial" w:eastAsia="Arial" w:hAnsi="Arial"/>
          <w:sz w:val="18"/>
          <w:szCs w:val="18"/>
          <w:i w:val="1"/>
          <w:iCs w:val="1"/>
          <w:color w:val="auto"/>
        </w:rPr>
        <w:t>Short Term</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Borrowings</w:t>
      </w:r>
      <w:r>
        <w:rPr>
          <w:rFonts w:ascii="Arial" w:cs="Arial" w:eastAsia="Arial" w:hAnsi="Arial"/>
          <w:sz w:val="18"/>
          <w:szCs w:val="18"/>
          <w:color w:val="212529"/>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Proceeds from long-term borrowing arrangements, including loans from private placement, CoBank and the Delaware SRF Program, which provides cost-effective financing for projects that meet certain water quality-related and/or system improvement criteria (for further discussion on long-term borrowings, see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Financings above</w:t>
      </w:r>
      <w:r>
        <w:rPr>
          <w:rFonts w:ascii="Arial" w:cs="Arial" w:eastAsia="Arial" w:hAnsi="Arial"/>
          <w:sz w:val="18"/>
          <w:szCs w:val="18"/>
          <w:color w:val="212529"/>
        </w:rPr>
        <w:t>)</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from sales of common stock under the Investment Plan.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2023, the Company began offering shares of its common stock for purchase at a 3% discount to participants in the Investment Plan. The discount offering will continue until 200,000 shares are purchased at the discounted price or December 1, 2023, whichever event occurs first.</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April 2023, Middlesex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May 2023, Middlesex received approval from the NJBPU to increase the number of authorized shares under the Investment Plan by 0.7 million shares.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2023 to 2059. Over the next twelve months, approximately $7.4 million of the current portion of existing long-term debt instruments will mature. Applying a hypothetical change in the rate of interest charged by 10% on those borrowings, would not have a material effect on our earnings.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September 30, 2023. Based upon that evaluation, the Company’s Chief Executive Officer and the Company’s Chief Financial Officer concluded that no changes in internal control over financial reporting occurred during the quarter ended September 30, 2023 that has materially affected, or are reasonably likely to materially affect, internal control over financial reporting and that our disclosure controls and procedures were not effective as of September 30, 2023 due to the material weakness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2023, the Company’s independent registered public accounting firm, Baker Tilly US, LLP (Baker Tilly), conducted a routine internal quality review of its integrated audit of the Company’s 2022 consolidated financial statements and internal control over financial reporting as of December 31, 2022. As a result of this review, Baker Tilly re-examined the Company’s information technology general controls (ITGCs) in the areas of user access and change management over certain information technology (IT) systems that support the Company’s financial reporting processes. Certain of those controls were found to be deficient because of a lack of sufficient IT control processes designed to prevent or detect unauthorized changes in applications and data in selected IT environments. It has therefore been concluded that automated and manual process controls dependent on ITGCs were not effective. These ineffective controls create a possibility that material misstatements in financial reporting processes and financial statement accounts in our consolidated financial statements will not be prevented or detected on a timely basis and, therefore, based on the assessment, management has concluded that they represent a material weakness in our internal control over financial reporting and that the Company’s internal control over financial reporting was not effective as of September 30, 2023.</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newly identified material weakness referred to above, Management, including our Principal Executive Officer and Principal Financial Officer, believe that the financial statements contained in this Quarterly Report on Form 10-Q for the quarter ended September 30, 2023 fairly present, in all material respects, the financial condition, results of operations and cash flows of the Company for all periods presented in accordance with accounting principles generally accepted in the United States of America.</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committed to remediating the material weakness in a timely manner. Our remediation process includes, but is not limited to, enhancements to our ITGCs and automated auditing features of our IT systems as well increased monitoring of IT system changes made through certain user accounts.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Audit Committee of our Board of Directors and Company Management will closely monitor the remediation efforts, until the remediation efforts discussed in this section, including any additional remediation efforts that our Management identifies as necessary, are complete, tested and determined effective, we will not be able to conclude that the material weakness has been remediated.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updates and amends the information provided in the Company’s Annual Report on Form 10-K for the year ended December 31, 2022 in Part I, Item 3—Legal Proceedings. Capitalized terms used but not otherwise defined herein have the meanings set forth in the Company’s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PFOA Regulatory Notice of Non-Compliance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Vera et al. v. Middlesex Water Company </w:t>
      </w:r>
      <w:r>
        <w:rPr>
          <w:rFonts w:ascii="Arial" w:cs="Arial" w:eastAsia="Arial" w:hAnsi="Arial"/>
          <w:sz w:val="18"/>
          <w:szCs w:val="18"/>
          <w:color w:val="auto"/>
        </w:rPr>
        <w:t>– On March 21, 2023, the United States District Court for the District of New Jersey issued an order remanding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case back to the Superior Court of New Jersey. Discovery is underway in this matter. On August 29, 2023 the Company executed a settlement agreement with 3M Company to resolve a lawsuit related to perfluoroalkyl substances. For additional information see “Item 2. Management’s Discussion and Analysis of Financial Condition and Results of Operations – Regulatory Notice of Non-Compliance.”</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about risk factors does not differ materially from those set forth in Part I, Item 1A. of the Company’s Annual Report on Form 10-K/A for the year ended December 31, 2022 (filed November 8, 2023).</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Insider Trading Arrangements and Policies - </w:t>
      </w:r>
      <w:r>
        <w:rPr>
          <w:rFonts w:ascii="Arial" w:cs="Arial" w:eastAsia="Arial" w:hAnsi="Arial"/>
          <w:sz w:val="18"/>
          <w:szCs w:val="18"/>
          <w:color w:val="auto"/>
        </w:rPr>
        <w:t>During the three months ended September 30, 2023, no director or officer of the Company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terminated a “Rule 10b5-1 trading arrangement” or “non-Rule 10b5-1 trading arrangement,” as each term is defined in Item 408(a) of Regulation S-K.</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0"/>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10.17(c)</w:t>
            </w:r>
          </w:p>
        </w:tc>
        <w:tc>
          <w:tcPr>
            <w:tcW w:w="102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Promissory Note and Supplement, dated May 11, 2023, between Tidewater Utilities, Inc. and CoBank, ACB; Amendments to Combination</w:t>
            </w:r>
          </w:p>
        </w:tc>
      </w:tr>
      <w:tr>
        <w:trPr>
          <w:trHeight w:val="196"/>
        </w:trPr>
        <w:tc>
          <w:tcPr>
            <w:tcW w:w="980" w:type="dxa"/>
            <w:vAlign w:val="bottom"/>
          </w:tcPr>
          <w:p>
            <w:pPr>
              <w:spacing w:after="0"/>
              <w:rPr>
                <w:sz w:val="17"/>
                <w:szCs w:val="17"/>
                <w:color w:val="auto"/>
              </w:rPr>
            </w:pPr>
          </w:p>
        </w:tc>
        <w:tc>
          <w:tcPr>
            <w:tcW w:w="10260" w:type="dxa"/>
            <w:vAlign w:val="bottom"/>
            <w:gridSpan w:val="10"/>
          </w:tcPr>
          <w:p>
            <w:pPr>
              <w:spacing w:after="0" w:line="196" w:lineRule="exact"/>
              <w:rPr>
                <w:sz w:val="20"/>
                <w:szCs w:val="20"/>
                <w:color w:val="auto"/>
              </w:rPr>
            </w:pPr>
            <w:r>
              <w:rPr>
                <w:rFonts w:ascii="Arial" w:cs="Arial" w:eastAsia="Arial" w:hAnsi="Arial"/>
                <w:sz w:val="18"/>
                <w:szCs w:val="18"/>
                <w:color w:val="0000EE"/>
                <w:w w:val="94"/>
              </w:rPr>
              <w:t>Water Utility Real Estate Mortgage and Security Agreement, effective May 11, 2023, between Tidewater Utilities, Inc. and CoBank, ACB.</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10.17(d)</w:t>
            </w:r>
          </w:p>
        </w:tc>
        <w:tc>
          <w:tcPr>
            <w:tcW w:w="97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Sixth Amendment to Promissory Note and Supplement, dated as of May 11, 2023, between Tidewater Utilities, Inc. and CoBank, ACB.</w:t>
            </w: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10.53</w:t>
            </w:r>
          </w:p>
        </w:tc>
        <w:tc>
          <w:tcPr>
            <w:tcW w:w="10260" w:type="dxa"/>
            <w:vAlign w:val="bottom"/>
            <w:gridSpan w:val="10"/>
          </w:tcPr>
          <w:p>
            <w:pPr>
              <w:spacing w:after="0"/>
              <w:rPr>
                <w:sz w:val="20"/>
                <w:szCs w:val="20"/>
                <w:color w:val="auto"/>
              </w:rPr>
            </w:pPr>
            <w:r>
              <w:rPr>
                <w:rFonts w:ascii="Arial" w:cs="Arial" w:eastAsia="Arial" w:hAnsi="Arial"/>
                <w:sz w:val="18"/>
                <w:szCs w:val="18"/>
                <w:color w:val="0000EE"/>
              </w:rPr>
              <w:t>Multiple Advance Term Promissory Note, dated May 22, 2023, between Pinelands Water Company and CoBank, ACB.</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10.54</w:t>
            </w:r>
          </w:p>
        </w:tc>
        <w:tc>
          <w:tcPr>
            <w:tcW w:w="9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Multiple Advance Term Promissory Note, dated May 22, 2023, between Pinelands Wastewater Company and CoBank, ACB.</w:t>
            </w:r>
          </w:p>
        </w:tc>
        <w:tc>
          <w:tcPr>
            <w:tcW w:w="1240" w:type="dxa"/>
            <w:vAlign w:val="bottom"/>
            <w:gridSpan w:val="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10.55*</w:t>
            </w:r>
          </w:p>
        </w:tc>
        <w:tc>
          <w:tcPr>
            <w:tcW w:w="7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Settlement Agreement, dated as of August 28, 2023 between Middlesex Water Company and 3M Company</w:t>
            </w:r>
          </w:p>
        </w:tc>
        <w:tc>
          <w:tcPr>
            <w:tcW w:w="2520" w:type="dxa"/>
            <w:vAlign w:val="bottom"/>
            <w:gridSpan w:val="7"/>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10"/>
          </w:tcPr>
          <w:p>
            <w:pPr>
              <w:spacing w:after="0"/>
              <w:rPr>
                <w:sz w:val="20"/>
                <w:szCs w:val="20"/>
                <w:color w:val="auto"/>
              </w:rPr>
            </w:pPr>
            <w:r>
              <w:rPr>
                <w:rFonts w:ascii="Arial" w:cs="Arial" w:eastAsia="Arial" w:hAnsi="Arial"/>
                <w:sz w:val="18"/>
                <w:szCs w:val="18"/>
                <w:color w:val="0000EE"/>
              </w:rPr>
              <w:t>Section 302 Certification by Dennis W. Doll pursuant to Rules 13a-14 and 15d-14 of the Securities Exchange Act of 1934.</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2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10"/>
          </w:tcPr>
          <w:p>
            <w:pPr>
              <w:spacing w:after="0"/>
              <w:rPr>
                <w:sz w:val="20"/>
                <w:szCs w:val="20"/>
                <w:color w:val="auto"/>
              </w:rPr>
            </w:pPr>
            <w:r>
              <w:rPr>
                <w:rFonts w:ascii="Arial" w:cs="Arial" w:eastAsia="Arial" w:hAnsi="Arial"/>
                <w:sz w:val="18"/>
                <w:szCs w:val="18"/>
                <w:color w:val="0000EE"/>
              </w:rPr>
              <w:t>Section 302 Certification by A. Bruce O’Connor pursuant to Rules 13a-14 and 15d-14 of the Securities Exchange Act of 1934.</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520" w:type="dxa"/>
            <w:vAlign w:val="bottom"/>
            <w:gridSpan w:val="5"/>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Section 906 Certification by Dennis W. Doll pursuant to 18 U.S.C. §1350, as adopted pursuant to Section 302 of the Sarbanes-Oxley Act of</w:t>
            </w:r>
          </w:p>
        </w:tc>
      </w:tr>
      <w:tr>
        <w:trPr>
          <w:trHeight w:val="196"/>
        </w:trPr>
        <w:tc>
          <w:tcPr>
            <w:tcW w:w="9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20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Section 906 Certification by A. Bruce O’Connor pursuant to 18 U.S.C. §1350, as adopted pursuant to Section 302 of the Sarbanes-Oxley Act</w:t>
            </w:r>
          </w:p>
        </w:tc>
      </w:tr>
      <w:tr>
        <w:trPr>
          <w:trHeight w:val="196"/>
        </w:trPr>
        <w:tc>
          <w:tcPr>
            <w:tcW w:w="98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of 2002.</w:t>
            </w:r>
          </w:p>
        </w:tc>
        <w:tc>
          <w:tcPr>
            <w:tcW w:w="9660" w:type="dxa"/>
            <w:vAlign w:val="bottom"/>
            <w:gridSpan w:val="8"/>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10"/>
          </w:tcPr>
          <w:p>
            <w:pPr>
              <w:ind w:left="320"/>
              <w:spacing w:after="0"/>
              <w:rPr>
                <w:sz w:val="20"/>
                <w:szCs w:val="20"/>
                <w:color w:val="auto"/>
              </w:rPr>
            </w:pPr>
            <w:r>
              <w:rPr>
                <w:rFonts w:ascii="Arial" w:cs="Arial" w:eastAsia="Arial" w:hAnsi="Arial"/>
                <w:sz w:val="18"/>
                <w:szCs w:val="18"/>
                <w:color w:val="auto"/>
              </w:rPr>
              <w:t>XBRL Instance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10"/>
          </w:tcPr>
          <w:p>
            <w:pPr>
              <w:ind w:left="320"/>
              <w:spacing w:after="0"/>
              <w:rPr>
                <w:sz w:val="20"/>
                <w:szCs w:val="20"/>
                <w:color w:val="auto"/>
              </w:rPr>
            </w:pPr>
            <w:r>
              <w:rPr>
                <w:rFonts w:ascii="Arial" w:cs="Arial" w:eastAsia="Arial" w:hAnsi="Arial"/>
                <w:sz w:val="18"/>
                <w:szCs w:val="18"/>
                <w:color w:val="auto"/>
              </w:rPr>
              <w:t>XBRL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10"/>
          </w:tcPr>
          <w:p>
            <w:pPr>
              <w:ind w:left="32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10"/>
          </w:tcPr>
          <w:p>
            <w:pPr>
              <w:ind w:left="32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10"/>
          </w:tcPr>
          <w:p>
            <w:pPr>
              <w:ind w:left="32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10"/>
          </w:tcPr>
          <w:p>
            <w:pPr>
              <w:ind w:left="320"/>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1300" w:right="80" w:hanging="129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70"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 Certain portions of this exhibit that constitute confidential information have been omitted in accordance with Regulation S-K, Item 601(b)(10)(iv) because it is both (i) not material and (ii) is the type of information the Company treats as private and confidential.</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 Bruce O’Connor</w:t>
            </w:r>
          </w:p>
        </w:tc>
      </w:tr>
      <w:tr>
        <w:trPr>
          <w:trHeight w:val="195"/>
        </w:trPr>
        <w:tc>
          <w:tcPr>
            <w:tcW w:w="64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A. Bruce O’Connor</w:t>
            </w: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Senior Vice President, Treasurer and</w:t>
            </w:r>
          </w:p>
        </w:tc>
      </w:tr>
      <w:tr>
        <w:trPr>
          <w:trHeight w:val="216"/>
        </w:trPr>
        <w:tc>
          <w:tcPr>
            <w:tcW w:w="6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10.17(c)</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No. RX0024T11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 AND SUPPLEMENT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(Multiple Advance Term Loan)</w:t>
      </w:r>
    </w:p>
    <w:p>
      <w:pPr>
        <w:spacing w:after="0" w:line="31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18"/>
          <w:szCs w:val="18"/>
          <w:b w:val="1"/>
          <w:bCs w:val="1"/>
          <w:color w:val="auto"/>
        </w:rPr>
        <w:t xml:space="preserve">THIS PROMISSORY NOTE AND SUPPLEMENT </w:t>
      </w:r>
      <w:r>
        <w:rPr>
          <w:rFonts w:ascii="Arial" w:cs="Arial" w:eastAsia="Arial" w:hAnsi="Arial"/>
          <w:sz w:val="18"/>
          <w:szCs w:val="18"/>
          <w:color w:val="auto"/>
        </w:rPr>
        <w:t>(this “</w:t>
      </w:r>
      <w:r>
        <w:rPr>
          <w:rFonts w:ascii="Arial" w:cs="Arial" w:eastAsia="Arial" w:hAnsi="Arial"/>
          <w:sz w:val="18"/>
          <w:szCs w:val="18"/>
          <w:u w:val="single" w:color="auto"/>
          <w:color w:val="auto"/>
        </w:rPr>
        <w:t>Promissory Note and Supplement</w:t>
      </w:r>
      <w:r>
        <w:rPr>
          <w:rFonts w:ascii="Arial" w:cs="Arial" w:eastAsia="Arial" w:hAnsi="Arial"/>
          <w:sz w:val="18"/>
          <w:szCs w:val="18"/>
          <w:color w:val="auto"/>
        </w:rPr>
        <w:t>”) is entered into as of May 11, 2023 between</w:t>
      </w:r>
      <w:r>
        <w:rPr>
          <w:rFonts w:ascii="Arial" w:cs="Arial" w:eastAsia="Arial" w:hAnsi="Arial"/>
          <w:sz w:val="18"/>
          <w:szCs w:val="18"/>
          <w:b w:val="1"/>
          <w:bCs w:val="1"/>
          <w:color w:val="auto"/>
        </w:rPr>
        <w:t xml:space="preserve"> TIDEWATER UTILITIES,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CoBANK, ACB</w:t>
      </w:r>
      <w:r>
        <w:rPr>
          <w:rFonts w:ascii="Arial" w:cs="Arial" w:eastAsia="Arial" w:hAnsi="Arial"/>
          <w:sz w:val="18"/>
          <w:szCs w:val="18"/>
          <w:color w:val="auto"/>
        </w:rPr>
        <w:t>, a federally chartered instrumentality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w:t>
      </w:r>
      <w:r>
        <w:rPr>
          <w:rFonts w:ascii="Arial" w:cs="Arial" w:eastAsia="Arial" w:hAnsi="Arial"/>
          <w:sz w:val="18"/>
          <w:szCs w:val="18"/>
          <w:u w:val="single" w:color="auto"/>
          <w:color w:val="auto"/>
        </w:rPr>
        <w:t>CoBank</w:t>
      </w:r>
      <w:r>
        <w:rPr>
          <w:rFonts w:ascii="Arial" w:cs="Arial" w:eastAsia="Arial" w:hAnsi="Arial"/>
          <w:sz w:val="18"/>
          <w:szCs w:val="18"/>
          <w:color w:val="auto"/>
        </w:rPr>
        <w:t>”), and supplements that certain Master Loan Agreement dated as of May 23, 2003, as amended by the Amendment dated as of September 28, 2004, the Second Amendment to Master Loan Agreement dated as of August 22, 2005 and the Third Amendment to Master Loan Agreement dated as December 1, 2015 (as further amended or restated from time to time, the “</w:t>
      </w:r>
      <w:r>
        <w:rPr>
          <w:rFonts w:ascii="Arial" w:cs="Arial" w:eastAsia="Arial" w:hAnsi="Arial"/>
          <w:sz w:val="18"/>
          <w:szCs w:val="18"/>
          <w:u w:val="single" w:color="auto"/>
          <w:color w:val="auto"/>
        </w:rPr>
        <w:t>MLA</w:t>
      </w:r>
      <w:r>
        <w:rPr>
          <w:rFonts w:ascii="Arial" w:cs="Arial" w:eastAsia="Arial" w:hAnsi="Arial"/>
          <w:sz w:val="18"/>
          <w:szCs w:val="18"/>
          <w:color w:val="auto"/>
        </w:rPr>
        <w:t>”). Capitalized terms used herein and not defined herein shall have the meanings given to those terms in the MLA.</w:t>
      </w:r>
    </w:p>
    <w:p>
      <w:pPr>
        <w:spacing w:after="0" w:line="187" w:lineRule="exact"/>
        <w:rPr>
          <w:sz w:val="20"/>
          <w:szCs w:val="20"/>
          <w:color w:val="auto"/>
        </w:rPr>
      </w:pPr>
    </w:p>
    <w:p>
      <w:pPr>
        <w:jc w:val="both"/>
        <w:ind w:firstLine="614"/>
        <w:spacing w:after="0" w:line="289" w:lineRule="auto"/>
        <w:rPr>
          <w:sz w:val="20"/>
          <w:szCs w:val="20"/>
          <w:color w:val="auto"/>
        </w:rPr>
      </w:pPr>
      <w:r>
        <w:rPr>
          <w:rFonts w:ascii="Arial" w:cs="Arial" w:eastAsia="Arial" w:hAnsi="Arial"/>
          <w:sz w:val="17"/>
          <w:szCs w:val="17"/>
          <w:b w:val="1"/>
          <w:bCs w:val="1"/>
          <w:color w:val="auto"/>
        </w:rPr>
        <w:t>SECTION 1. The Commitment</w:t>
      </w:r>
      <w:r>
        <w:rPr>
          <w:rFonts w:ascii="Arial" w:cs="Arial" w:eastAsia="Arial" w:hAnsi="Arial"/>
          <w:sz w:val="17"/>
          <w:szCs w:val="17"/>
          <w:color w:val="auto"/>
        </w:rPr>
        <w:t>. On the terms and conditions set forth in the MLA and this Promissory Note and Supplement, CoBank</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make loans (each, a “</w:t>
      </w:r>
      <w:r>
        <w:rPr>
          <w:rFonts w:ascii="Arial" w:cs="Arial" w:eastAsia="Arial" w:hAnsi="Arial"/>
          <w:sz w:val="17"/>
          <w:szCs w:val="17"/>
          <w:u w:val="single" w:color="auto"/>
          <w:color w:val="auto"/>
        </w:rPr>
        <w:t>Loan</w:t>
      </w:r>
      <w:r>
        <w:rPr>
          <w:rFonts w:ascii="Arial" w:cs="Arial" w:eastAsia="Arial" w:hAnsi="Arial"/>
          <w:sz w:val="17"/>
          <w:szCs w:val="17"/>
          <w:color w:val="auto"/>
        </w:rPr>
        <w:t>”) to the Company from time to time during the period set forth below in an aggregate principal amount not to exceed $20,000,000 (the “</w:t>
      </w:r>
      <w:r>
        <w:rPr>
          <w:rFonts w:ascii="Arial" w:cs="Arial" w:eastAsia="Arial" w:hAnsi="Arial"/>
          <w:sz w:val="17"/>
          <w:szCs w:val="17"/>
          <w:u w:val="single" w:color="auto"/>
          <w:color w:val="auto"/>
        </w:rPr>
        <w:t>Commitment</w:t>
      </w:r>
      <w:r>
        <w:rPr>
          <w:rFonts w:ascii="Arial" w:cs="Arial" w:eastAsia="Arial" w:hAnsi="Arial"/>
          <w:sz w:val="17"/>
          <w:szCs w:val="17"/>
          <w:color w:val="auto"/>
        </w:rPr>
        <w:t>”). Under the Commitment, amounts borrowed and later repaid may not be reborrowed.</w:t>
      </w:r>
    </w:p>
    <w:p>
      <w:pPr>
        <w:spacing w:after="0" w:line="158" w:lineRule="exact"/>
        <w:rPr>
          <w:sz w:val="20"/>
          <w:szCs w:val="20"/>
          <w:color w:val="auto"/>
        </w:rPr>
      </w:pPr>
    </w:p>
    <w:p>
      <w:pPr>
        <w:jc w:val="both"/>
        <w:ind w:firstLine="614"/>
        <w:spacing w:after="0" w:line="285" w:lineRule="auto"/>
        <w:rPr>
          <w:sz w:val="20"/>
          <w:szCs w:val="20"/>
          <w:color w:val="auto"/>
        </w:rPr>
      </w:pPr>
      <w:r>
        <w:rPr>
          <w:rFonts w:ascii="Arial" w:cs="Arial" w:eastAsia="Arial" w:hAnsi="Arial"/>
          <w:sz w:val="16"/>
          <w:szCs w:val="16"/>
          <w:b w:val="1"/>
          <w:bCs w:val="1"/>
          <w:color w:val="auto"/>
        </w:rPr>
        <w:t>SECTION 2. Purpose</w:t>
      </w:r>
      <w:r>
        <w:rPr>
          <w:rFonts w:ascii="Arial" w:cs="Arial" w:eastAsia="Arial" w:hAnsi="Arial"/>
          <w:sz w:val="16"/>
          <w:szCs w:val="16"/>
          <w:color w:val="auto"/>
        </w:rPr>
        <w:t>. The purpose of the Commitment is to: (A) refinance the outstanding principal balance of the loans made by CoBank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from time to time under that certain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 Third Amendment to Promissory Note and Supplement dated as of March 7, 2017, a Fourth Amendment to Promissory Note and Supplement dated as of August 19, 2020, an Omnibus Amendment to Promissory Notes and Supplements dated as of December 6, 2022 and a Sixth Amendment to Promissory Note and Supplement dated as of the date hereof (the “</w:t>
      </w:r>
      <w:r>
        <w:rPr>
          <w:rFonts w:ascii="Arial" w:cs="Arial" w:eastAsia="Arial" w:hAnsi="Arial"/>
          <w:sz w:val="16"/>
          <w:szCs w:val="16"/>
          <w:u w:val="single" w:color="auto"/>
          <w:color w:val="auto"/>
        </w:rPr>
        <w:t>Revolving Term Loan</w:t>
      </w:r>
      <w:r>
        <w:rPr>
          <w:rFonts w:ascii="Arial" w:cs="Arial" w:eastAsia="Arial" w:hAnsi="Arial"/>
          <w:sz w:val="16"/>
          <w:szCs w:val="16"/>
          <w:color w:val="auto"/>
        </w:rPr>
        <w:t>”);</w:t>
      </w:r>
    </w:p>
    <w:p>
      <w:pPr>
        <w:spacing w:after="0" w:line="3" w:lineRule="exact"/>
        <w:rPr>
          <w:sz w:val="20"/>
          <w:szCs w:val="20"/>
          <w:color w:val="auto"/>
        </w:rPr>
      </w:pPr>
    </w:p>
    <w:p>
      <w:pPr>
        <w:ind w:firstLine="1"/>
        <w:spacing w:after="0" w:line="260" w:lineRule="auto"/>
        <w:tabs>
          <w:tab w:leader="none" w:pos="3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refinance debt of the Company to Middlesex Water Company (“</w:t>
      </w:r>
      <w:r>
        <w:rPr>
          <w:rFonts w:ascii="Arial" w:cs="Arial" w:eastAsia="Arial" w:hAnsi="Arial"/>
          <w:sz w:val="18"/>
          <w:szCs w:val="18"/>
          <w:u w:val="single" w:color="auto"/>
          <w:color w:val="auto"/>
        </w:rPr>
        <w:t>Middlesex Water</w:t>
      </w:r>
      <w:r>
        <w:rPr>
          <w:rFonts w:ascii="Arial" w:cs="Arial" w:eastAsia="Arial" w:hAnsi="Arial"/>
          <w:sz w:val="18"/>
          <w:szCs w:val="18"/>
          <w:color w:val="auto"/>
        </w:rPr>
        <w:t>”) that was incurred to finance capital expenditures; and (C) finance additional capital expenditures.</w:t>
      </w:r>
    </w:p>
    <w:p>
      <w:pPr>
        <w:spacing w:after="0" w:line="195" w:lineRule="exact"/>
        <w:rPr>
          <w:sz w:val="20"/>
          <w:szCs w:val="20"/>
          <w:color w:val="auto"/>
        </w:rPr>
      </w:pPr>
    </w:p>
    <w:p>
      <w:pPr>
        <w:jc w:val="both"/>
        <w:ind w:firstLine="614"/>
        <w:spacing w:after="0" w:line="282" w:lineRule="auto"/>
        <w:rPr>
          <w:sz w:val="20"/>
          <w:szCs w:val="20"/>
          <w:color w:val="auto"/>
        </w:rPr>
      </w:pPr>
      <w:r>
        <w:rPr>
          <w:rFonts w:ascii="Arial" w:cs="Arial" w:eastAsia="Arial" w:hAnsi="Arial"/>
          <w:sz w:val="18"/>
          <w:szCs w:val="18"/>
          <w:b w:val="1"/>
          <w:bCs w:val="1"/>
          <w:color w:val="auto"/>
        </w:rPr>
        <w:t>SECTION 3. Term of Commitment</w:t>
      </w:r>
      <w:r>
        <w:rPr>
          <w:rFonts w:ascii="Arial" w:cs="Arial" w:eastAsia="Arial" w:hAnsi="Arial"/>
          <w:sz w:val="18"/>
          <w:szCs w:val="18"/>
          <w:color w:val="auto"/>
        </w:rPr>
        <w:t>. The term of the Commitment shall be from the date hereof up to and including December 20, 2023,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later date as CoBank may, in its sole discretion, authorize in writing.</w:t>
      </w:r>
    </w:p>
    <w:p>
      <w:pPr>
        <w:spacing w:after="0" w:line="162" w:lineRule="exact"/>
        <w:rPr>
          <w:sz w:val="20"/>
          <w:szCs w:val="20"/>
          <w:color w:val="auto"/>
        </w:rPr>
      </w:pPr>
    </w:p>
    <w:p>
      <w:pPr>
        <w:jc w:val="both"/>
        <w:ind w:firstLine="614"/>
        <w:spacing w:after="0" w:line="258" w:lineRule="auto"/>
        <w:rPr>
          <w:sz w:val="20"/>
          <w:szCs w:val="20"/>
          <w:color w:val="auto"/>
        </w:rPr>
      </w:pPr>
      <w:r>
        <w:rPr>
          <w:rFonts w:ascii="Arial" w:cs="Arial" w:eastAsia="Arial" w:hAnsi="Arial"/>
          <w:sz w:val="18"/>
          <w:szCs w:val="18"/>
          <w:b w:val="1"/>
          <w:bCs w:val="1"/>
          <w:color w:val="auto"/>
        </w:rPr>
        <w:t>SECTION 4. Availability</w:t>
      </w:r>
      <w:r>
        <w:rPr>
          <w:rFonts w:ascii="Arial" w:cs="Arial" w:eastAsia="Arial" w:hAnsi="Arial"/>
          <w:sz w:val="18"/>
          <w:szCs w:val="18"/>
          <w:color w:val="auto"/>
        </w:rPr>
        <w:t>. Notwithstanding Section 2 of the MLA: (A) Loans will be made available upon written request in form and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by CoBank (the “</w:t>
      </w:r>
      <w:r>
        <w:rPr>
          <w:rFonts w:ascii="Arial" w:cs="Arial" w:eastAsia="Arial" w:hAnsi="Arial"/>
          <w:sz w:val="18"/>
          <w:szCs w:val="18"/>
          <w:u w:val="single" w:color="auto"/>
          <w:color w:val="auto"/>
        </w:rPr>
        <w:t>Request for Loan</w:t>
      </w:r>
      <w:r>
        <w:rPr>
          <w:rFonts w:ascii="Arial" w:cs="Arial" w:eastAsia="Arial" w:hAnsi="Arial"/>
          <w:sz w:val="18"/>
          <w:szCs w:val="18"/>
          <w:color w:val="auto"/>
        </w:rPr>
        <w:t>”); (B) Loans to be made for the purpose of refinancing the Revolving Term Loan will be made by CoBank retaining the proceeds of the Loans and applying them against the unpaid principal balance of the Revolving Term Loan; and (C) Loans to be made for the purpose of refinancing the Company’s existing indebtedness owed to Middlesex Water will be made by wire transfer of immediately available funds directly to Middlesex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213995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20" w:top="125" w:right="559" w:bottom="1440" w:gutter="0" w:footer="0" w:header="0"/>
        </w:sectPr>
      </w:pPr>
    </w:p>
    <w:bookmarkStart w:id="35" w:name="page36"/>
    <w:bookmarkEnd w:id="35"/>
    <w:p>
      <w:pPr>
        <w:ind w:left="620"/>
        <w:spacing w:after="0"/>
        <w:rPr>
          <w:sz w:val="20"/>
          <w:szCs w:val="20"/>
          <w:color w:val="auto"/>
        </w:rPr>
      </w:pPr>
      <w:r>
        <w:rPr>
          <w:rFonts w:ascii="Arial" w:cs="Arial" w:eastAsia="Arial" w:hAnsi="Arial"/>
          <w:sz w:val="18"/>
          <w:szCs w:val="18"/>
          <w:b w:val="1"/>
          <w:bCs w:val="1"/>
          <w:color w:val="auto"/>
        </w:rPr>
        <w:t>SECTION 5. Interest</w:t>
      </w:r>
      <w:r>
        <w:rPr>
          <w:rFonts w:ascii="Arial" w:cs="Arial" w:eastAsia="Arial" w:hAnsi="Arial"/>
          <w:sz w:val="18"/>
          <w:szCs w:val="18"/>
          <w:color w:val="auto"/>
        </w:rPr>
        <w:t>.</w:t>
      </w:r>
    </w:p>
    <w:p>
      <w:pPr>
        <w:spacing w:after="0" w:line="225" w:lineRule="exact"/>
        <w:rPr>
          <w:sz w:val="20"/>
          <w:szCs w:val="20"/>
          <w:color w:val="auto"/>
        </w:rPr>
      </w:pPr>
    </w:p>
    <w:p>
      <w:pPr>
        <w:ind w:firstLine="1229"/>
        <w:spacing w:after="0" w:line="282" w:lineRule="auto"/>
        <w:tabs>
          <w:tab w:leader="none" w:pos="180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Rate Options</w:t>
      </w:r>
      <w:r>
        <w:rPr>
          <w:rFonts w:ascii="Arial" w:cs="Arial" w:eastAsia="Arial" w:hAnsi="Arial"/>
          <w:sz w:val="18"/>
          <w:szCs w:val="18"/>
          <w:color w:val="auto"/>
        </w:rPr>
        <w:t>. The Company agrees to pay interest on the unpaid balance of the Loans in accordance with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interest rate options, as selected by the Company:</w:t>
      </w:r>
    </w:p>
    <w:p>
      <w:pPr>
        <w:spacing w:after="0" w:line="256" w:lineRule="exact"/>
        <w:rPr>
          <w:rFonts w:ascii="Arial" w:cs="Arial" w:eastAsia="Arial" w:hAnsi="Arial"/>
          <w:sz w:val="18"/>
          <w:szCs w:val="18"/>
          <w:b w:val="1"/>
          <w:bCs w:val="1"/>
          <w:color w:val="auto"/>
        </w:rPr>
      </w:pPr>
    </w:p>
    <w:p>
      <w:pPr>
        <w:jc w:val="both"/>
        <w:ind w:firstLine="1843"/>
        <w:spacing w:after="0" w:line="277" w:lineRule="auto"/>
        <w:tabs>
          <w:tab w:leader="none" w:pos="2518"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Weekly Variable Rate Option</w:t>
      </w:r>
      <w:r>
        <w:rPr>
          <w:rFonts w:ascii="Arial" w:cs="Arial" w:eastAsia="Arial" w:hAnsi="Arial"/>
          <w:sz w:val="17"/>
          <w:szCs w:val="17"/>
          <w:color w:val="auto"/>
        </w:rPr>
        <w:t>. At a rate per annum equal to the rate of interest established by CoBank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CoBank’s sole and absolute discretion on the first Business Day of each week (the “</w:t>
      </w:r>
      <w:r>
        <w:rPr>
          <w:rFonts w:ascii="Arial" w:cs="Arial" w:eastAsia="Arial" w:hAnsi="Arial"/>
          <w:sz w:val="17"/>
          <w:szCs w:val="17"/>
          <w:u w:val="single" w:color="auto"/>
          <w:color w:val="auto"/>
        </w:rPr>
        <w:t>Variable Rate Option</w:t>
      </w:r>
      <w:r>
        <w:rPr>
          <w:rFonts w:ascii="Arial" w:cs="Arial" w:eastAsia="Arial" w:hAnsi="Arial"/>
          <w:sz w:val="17"/>
          <w:szCs w:val="17"/>
          <w:color w:val="auto"/>
        </w:rPr>
        <w:t>”). The rate of interest so established by CoBank shall be effective from and including the first Business Day of each week to and excluding the first Business Day of the next week. Each change in the rate shall be applicable to all balances subject to this option, without the necessity of notice provided to the Company, and information about the Company’s then current rate shall be made available upon telephonic request.</w:t>
      </w:r>
    </w:p>
    <w:p>
      <w:pPr>
        <w:spacing w:after="0" w:line="262" w:lineRule="exact"/>
        <w:rPr>
          <w:rFonts w:ascii="Arial" w:cs="Arial" w:eastAsia="Arial" w:hAnsi="Arial"/>
          <w:sz w:val="17"/>
          <w:szCs w:val="17"/>
          <w:b w:val="1"/>
          <w:bCs w:val="1"/>
          <w:color w:val="auto"/>
        </w:rPr>
      </w:pPr>
    </w:p>
    <w:p>
      <w:pPr>
        <w:jc w:val="both"/>
        <w:ind w:firstLine="1843"/>
        <w:spacing w:after="0" w:line="258" w:lineRule="auto"/>
        <w:tabs>
          <w:tab w:leader="none" w:pos="243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Quoted Rate Option</w:t>
      </w:r>
      <w:r>
        <w:rPr>
          <w:rFonts w:ascii="Arial" w:cs="Arial" w:eastAsia="Arial" w:hAnsi="Arial"/>
          <w:sz w:val="18"/>
          <w:szCs w:val="18"/>
          <w:color w:val="auto"/>
        </w:rPr>
        <w:t>. At a fixed rate per annum to be quoted by CoBank in its sole discretion in each instance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Quoted Fixed Rate Option</w:t>
      </w:r>
      <w:r>
        <w:rPr>
          <w:rFonts w:ascii="Arial" w:cs="Arial" w:eastAsia="Arial" w:hAnsi="Arial"/>
          <w:sz w:val="18"/>
          <w:szCs w:val="18"/>
          <w:color w:val="auto"/>
        </w:rPr>
        <w:t>”). Under this option, rates may be fixed on such balances and for such periods (each, a “</w:t>
      </w:r>
      <w:r>
        <w:rPr>
          <w:rFonts w:ascii="Arial" w:cs="Arial" w:eastAsia="Arial" w:hAnsi="Arial"/>
          <w:sz w:val="18"/>
          <w:szCs w:val="18"/>
          <w:u w:val="single" w:color="auto"/>
          <w:color w:val="auto"/>
        </w:rPr>
        <w:t>Quoted Fixed Rate Period</w:t>
      </w:r>
      <w:r>
        <w:rPr>
          <w:rFonts w:ascii="Arial" w:cs="Arial" w:eastAsia="Arial" w:hAnsi="Arial"/>
          <w:sz w:val="18"/>
          <w:szCs w:val="18"/>
          <w:color w:val="auto"/>
        </w:rPr>
        <w:t>”) as may be agreeable to CoBank in its sole discretion in each instance, provided that: (a) rates may not be fixed for Quoted Fixed Rate Periods of less than one year; (b) rates may only be fixed on balances of not less than $100,000.00; and (c) the maximum number of balances that may be subject to this option at any one time shall be five (5).</w:t>
      </w:r>
    </w:p>
    <w:p>
      <w:pPr>
        <w:spacing w:after="0" w:line="183" w:lineRule="exact"/>
        <w:rPr>
          <w:rFonts w:ascii="Arial" w:cs="Arial" w:eastAsia="Arial" w:hAnsi="Arial"/>
          <w:sz w:val="18"/>
          <w:szCs w:val="18"/>
          <w:b w:val="1"/>
          <w:bCs w:val="1"/>
          <w:color w:val="auto"/>
        </w:rPr>
      </w:pPr>
    </w:p>
    <w:p>
      <w:pPr>
        <w:jc w:val="both"/>
        <w:ind w:firstLine="1229"/>
        <w:spacing w:after="0" w:line="254" w:lineRule="auto"/>
        <w:tabs>
          <w:tab w:leader="none" w:pos="183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Elections</w:t>
      </w:r>
      <w:r>
        <w:rPr>
          <w:rFonts w:ascii="Arial" w:cs="Arial" w:eastAsia="Arial" w:hAnsi="Arial"/>
          <w:sz w:val="18"/>
          <w:szCs w:val="18"/>
          <w:color w:val="auto"/>
        </w:rPr>
        <w:t>. Subject to the limitations set forth above, the Company: (1) shall select the applicable rate option(s) at the time it</w:t>
      </w:r>
      <w:r>
        <w:rPr>
          <w:rFonts w:ascii="Arial" w:cs="Arial" w:eastAsia="Arial" w:hAnsi="Arial"/>
          <w:sz w:val="18"/>
          <w:szCs w:val="18"/>
          <w:b w:val="1"/>
          <w:bCs w:val="1"/>
          <w:color w:val="auto"/>
        </w:rPr>
        <w:t xml:space="preserve"> </w:t>
      </w:r>
      <w:r>
        <w:rPr>
          <w:rFonts w:ascii="Arial" w:cs="Arial" w:eastAsia="Arial" w:hAnsi="Arial"/>
          <w:sz w:val="18"/>
          <w:szCs w:val="18"/>
          <w:color w:val="auto"/>
        </w:rPr>
        <w:t>requests a Loan; (2) may, on any Business Day, elect to convert balances bearing interest at the Variable Rate Option to the Quoted Fixed Rate Option; and (3) may, on the last day of any Quoted Fixed Rate Period, elect to refix the rate under the Quoted Fixed Rate Option or convert the balance to the Variable Rate Option. In the absence of an election provided for herein, the Company shall be deemed to have elected the Variable Rate Option. All elections provided for herein may be made telephonically, in writing, or, if agreed to in a separate agreement, electronically, and must be received by 12:00 noon Company’s local time on the applicable day. Any election made telephonically, shall be promptly confirmed in writing if so requested by CoBank. Notwithstanding the foregoing, while a Default or Event of Default exists the Company may not fix rates under the Quoted Fixed Rate Option.</w:t>
      </w:r>
    </w:p>
    <w:p>
      <w:pPr>
        <w:spacing w:after="0" w:line="205" w:lineRule="exact"/>
        <w:rPr>
          <w:rFonts w:ascii="Arial" w:cs="Arial" w:eastAsia="Arial" w:hAnsi="Arial"/>
          <w:sz w:val="18"/>
          <w:szCs w:val="18"/>
          <w:b w:val="1"/>
          <w:bCs w:val="1"/>
          <w:color w:val="auto"/>
        </w:rPr>
      </w:pPr>
    </w:p>
    <w:p>
      <w:pPr>
        <w:jc w:val="both"/>
        <w:ind w:firstLine="1229"/>
        <w:spacing w:after="0" w:line="310" w:lineRule="auto"/>
        <w:tabs>
          <w:tab w:leader="none" w:pos="1804"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Calculation and Payment</w:t>
      </w:r>
      <w:r>
        <w:rPr>
          <w:rFonts w:ascii="Arial" w:cs="Arial" w:eastAsia="Arial" w:hAnsi="Arial"/>
          <w:sz w:val="16"/>
          <w:szCs w:val="16"/>
          <w:color w:val="auto"/>
        </w:rPr>
        <w:t>. Interest shall be calculated on the actual number of days the Loans are outstanding on the basis of</w:t>
      </w:r>
      <w:r>
        <w:rPr>
          <w:rFonts w:ascii="Arial" w:cs="Arial" w:eastAsia="Arial" w:hAnsi="Arial"/>
          <w:sz w:val="16"/>
          <w:szCs w:val="16"/>
          <w:b w:val="1"/>
          <w:bCs w:val="1"/>
          <w:color w:val="auto"/>
        </w:rPr>
        <w:t xml:space="preserve"> </w:t>
      </w:r>
      <w:r>
        <w:rPr>
          <w:rFonts w:ascii="Arial" w:cs="Arial" w:eastAsia="Arial" w:hAnsi="Arial"/>
          <w:sz w:val="16"/>
          <w:szCs w:val="16"/>
          <w:color w:val="auto"/>
        </w:rPr>
        <w:t>a year consisting of 360 days. In calculating interest, the date each Loan is made shall be included and the date each Loan is repaid shall, if received before 3:00 P.M. Mountain time, be excluded. Interest shall be: (1) calculated monthly in arrears as of the last day of each calendar month and on the final maturity date of the Loans; and (2) due and payable on the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following calendar month and on the final maturity date of the Loans.</w:t>
      </w:r>
    </w:p>
    <w:p>
      <w:pPr>
        <w:spacing w:after="0" w:line="21" w:lineRule="exact"/>
        <w:rPr>
          <w:sz w:val="20"/>
          <w:szCs w:val="20"/>
          <w:color w:val="auto"/>
        </w:rPr>
      </w:pPr>
    </w:p>
    <w:p>
      <w:pPr>
        <w:jc w:val="both"/>
        <w:ind w:firstLine="614"/>
        <w:spacing w:after="0" w:line="266" w:lineRule="auto"/>
        <w:rPr>
          <w:sz w:val="20"/>
          <w:szCs w:val="20"/>
          <w:color w:val="auto"/>
        </w:rPr>
      </w:pPr>
      <w:r>
        <w:rPr>
          <w:rFonts w:ascii="Arial" w:cs="Arial" w:eastAsia="Arial" w:hAnsi="Arial"/>
          <w:sz w:val="18"/>
          <w:szCs w:val="18"/>
          <w:b w:val="1"/>
          <w:bCs w:val="1"/>
          <w:color w:val="auto"/>
        </w:rPr>
        <w:t>SECTION 6. Commitment Fee</w:t>
      </w:r>
      <w:r>
        <w:rPr>
          <w:rFonts w:ascii="Arial" w:cs="Arial" w:eastAsia="Arial" w:hAnsi="Arial"/>
          <w:sz w:val="18"/>
          <w:szCs w:val="18"/>
          <w:color w:val="auto"/>
        </w:rPr>
        <w:t>. The Company agrees to pay to CoBank a commitment fee on the average daily unused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at the rate of 0.15% per annum (calculated on an actual/360 day basis). Fees shall be: (A) calculated monthly in arrears as of the last day of each calendar month and on the date the Commitment expires or is terminated; and (B)</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20" w:top="553" w:right="559" w:bottom="1440" w:gutter="0" w:footer="0" w:header="0"/>
        </w:sectPr>
      </w:pPr>
    </w:p>
    <w:bookmarkStart w:id="36" w:name="page37"/>
    <w:bookmarkEnd w:id="36"/>
    <w:p>
      <w:pPr>
        <w:jc w:val="both"/>
        <w:spacing w:after="0" w:line="224" w:lineRule="auto"/>
        <w:rPr>
          <w:sz w:val="20"/>
          <w:szCs w:val="20"/>
          <w:color w:val="auto"/>
        </w:rPr>
      </w:pPr>
      <w:r>
        <w:rPr>
          <w:rFonts w:ascii="Arial" w:cs="Arial" w:eastAsia="Arial" w:hAnsi="Arial"/>
          <w:sz w:val="17"/>
          <w:szCs w:val="17"/>
          <w:color w:val="auto"/>
        </w:rPr>
        <w:t>shall be due and payable on the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following calendar month and on the date the Commitment expires or is terminated. Such fee shall be payable for each calendar month (or portion thereof) occurring during the original or any extended term of the Commitment.</w:t>
      </w:r>
    </w:p>
    <w:p>
      <w:pPr>
        <w:spacing w:after="0" w:line="198" w:lineRule="exact"/>
        <w:rPr>
          <w:sz w:val="20"/>
          <w:szCs w:val="20"/>
          <w:color w:val="auto"/>
        </w:rPr>
      </w:pPr>
    </w:p>
    <w:p>
      <w:pPr>
        <w:jc w:val="both"/>
        <w:ind w:firstLine="614"/>
        <w:spacing w:after="0" w:line="261" w:lineRule="auto"/>
        <w:rPr>
          <w:sz w:val="20"/>
          <w:szCs w:val="20"/>
          <w:color w:val="auto"/>
        </w:rPr>
      </w:pPr>
      <w:r>
        <w:rPr>
          <w:rFonts w:ascii="Arial" w:cs="Arial" w:eastAsia="Arial" w:hAnsi="Arial"/>
          <w:sz w:val="18"/>
          <w:szCs w:val="18"/>
          <w:b w:val="1"/>
          <w:bCs w:val="1"/>
          <w:color w:val="auto"/>
        </w:rPr>
        <w:t>SECTION 7. Promissory Note</w:t>
      </w:r>
      <w:r>
        <w:rPr>
          <w:rFonts w:ascii="Arial" w:cs="Arial" w:eastAsia="Arial" w:hAnsi="Arial"/>
          <w:sz w:val="18"/>
          <w:szCs w:val="18"/>
          <w:color w:val="auto"/>
        </w:rPr>
        <w:t>. The Company promises to repay the Loans to CoBank or order on March 20, 2033. In addition to the above,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promises to pay to CoBank or order interest on the unpaid principal balance of the Loans at the times and in accordance with the provisions set forth above. If any date on which principal or interest is due is not a Business Day, then such payment shall be due and payable on the next Business Day and, in the case of principal, interest shall continue to accrue on the amount thereof.</w:t>
      </w:r>
    </w:p>
    <w:p>
      <w:pPr>
        <w:spacing w:after="0" w:line="180" w:lineRule="exact"/>
        <w:rPr>
          <w:sz w:val="20"/>
          <w:szCs w:val="20"/>
          <w:color w:val="auto"/>
        </w:rPr>
      </w:pPr>
    </w:p>
    <w:p>
      <w:pPr>
        <w:jc w:val="both"/>
        <w:ind w:firstLine="614"/>
        <w:spacing w:after="0" w:line="347" w:lineRule="auto"/>
        <w:rPr>
          <w:sz w:val="20"/>
          <w:szCs w:val="20"/>
          <w:color w:val="auto"/>
        </w:rPr>
      </w:pPr>
      <w:r>
        <w:rPr>
          <w:rFonts w:ascii="Arial" w:cs="Arial" w:eastAsia="Arial" w:hAnsi="Arial"/>
          <w:sz w:val="16"/>
          <w:szCs w:val="16"/>
          <w:b w:val="1"/>
          <w:bCs w:val="1"/>
          <w:color w:val="auto"/>
        </w:rPr>
        <w:t>SECTION 8. Prepayment</w:t>
      </w:r>
      <w:r>
        <w:rPr>
          <w:rFonts w:ascii="Arial" w:cs="Arial" w:eastAsia="Arial" w:hAnsi="Arial"/>
          <w:sz w:val="16"/>
          <w:szCs w:val="16"/>
          <w:color w:val="auto"/>
        </w:rPr>
        <w:t>. Subject to Section 10.01 of the MLA, the Company may, on three Business Days’ prior written notice, prepay all</w:t>
      </w:r>
      <w:r>
        <w:rPr>
          <w:rFonts w:ascii="Arial" w:cs="Arial" w:eastAsia="Arial" w:hAnsi="Arial"/>
          <w:sz w:val="16"/>
          <w:szCs w:val="16"/>
          <w:b w:val="1"/>
          <w:bCs w:val="1"/>
          <w:color w:val="auto"/>
        </w:rPr>
        <w:t xml:space="preserve"> </w:t>
      </w:r>
      <w:r>
        <w:rPr>
          <w:rFonts w:ascii="Arial" w:cs="Arial" w:eastAsia="Arial" w:hAnsi="Arial"/>
          <w:sz w:val="16"/>
          <w:szCs w:val="16"/>
          <w:color w:val="auto"/>
        </w:rPr>
        <w:t>or any portion of the Loans. Unless otherwise agreed, all prepayments will be applied to such balances, fixed or variable, as CoBank shall specify.</w:t>
      </w:r>
    </w:p>
    <w:p>
      <w:pPr>
        <w:spacing w:after="0" w:line="116" w:lineRule="exact"/>
        <w:rPr>
          <w:sz w:val="20"/>
          <w:szCs w:val="20"/>
          <w:color w:val="auto"/>
        </w:rPr>
      </w:pPr>
    </w:p>
    <w:p>
      <w:pPr>
        <w:jc w:val="both"/>
        <w:ind w:firstLine="614"/>
        <w:spacing w:after="0" w:line="282" w:lineRule="auto"/>
        <w:rPr>
          <w:sz w:val="20"/>
          <w:szCs w:val="20"/>
          <w:color w:val="auto"/>
        </w:rPr>
      </w:pPr>
      <w:r>
        <w:rPr>
          <w:rFonts w:ascii="Arial" w:cs="Arial" w:eastAsia="Arial" w:hAnsi="Arial"/>
          <w:sz w:val="18"/>
          <w:szCs w:val="18"/>
          <w:b w:val="1"/>
          <w:bCs w:val="1"/>
          <w:color w:val="auto"/>
        </w:rPr>
        <w:t>SECTION 9. Security</w:t>
      </w:r>
      <w:r>
        <w:rPr>
          <w:rFonts w:ascii="Arial" w:cs="Arial" w:eastAsia="Arial" w:hAnsi="Arial"/>
          <w:sz w:val="18"/>
          <w:szCs w:val="18"/>
          <w:color w:val="auto"/>
        </w:rPr>
        <w:t>. The Company’s obligations hereunder and, to the extent related hereto, the MLA, shall be secured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2.04 of the MLA.</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SECTION 10. Conditions Precedent</w:t>
      </w:r>
      <w:r>
        <w:rPr>
          <w:rFonts w:ascii="Arial" w:cs="Arial" w:eastAsia="Arial" w:hAnsi="Arial"/>
          <w:sz w:val="18"/>
          <w:szCs w:val="18"/>
          <w:color w:val="auto"/>
        </w:rPr>
        <w:t>. In addition to the conditions precedent set forth in the MLA, CoBank’s obligation to make:</w:t>
      </w:r>
    </w:p>
    <w:p>
      <w:pPr>
        <w:spacing w:after="0" w:line="225" w:lineRule="exact"/>
        <w:rPr>
          <w:sz w:val="20"/>
          <w:szCs w:val="20"/>
          <w:color w:val="auto"/>
        </w:rPr>
      </w:pPr>
    </w:p>
    <w:p>
      <w:pPr>
        <w:jc w:val="both"/>
        <w:ind w:firstLine="1229"/>
        <w:spacing w:after="0" w:line="256" w:lineRule="auto"/>
        <w:tabs>
          <w:tab w:leader="none" w:pos="194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Initial Loan</w:t>
      </w:r>
      <w:r>
        <w:rPr>
          <w:rFonts w:ascii="Arial" w:cs="Arial" w:eastAsia="Arial" w:hAnsi="Arial"/>
          <w:sz w:val="18"/>
          <w:szCs w:val="18"/>
          <w:color w:val="auto"/>
        </w:rPr>
        <w:t>. The initial Loan to the Company hereunder is subject to the conditions precedent that CoBank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each of the following (which in the case of instruments or documents, must be originals, duly executed, and in form and content acceptable to CoBank): (A) an amendment to the Mortgage (the “</w:t>
      </w:r>
      <w:r>
        <w:rPr>
          <w:rFonts w:ascii="Arial" w:cs="Arial" w:eastAsia="Arial" w:hAnsi="Arial"/>
          <w:sz w:val="18"/>
          <w:szCs w:val="18"/>
          <w:u w:val="single" w:color="auto"/>
          <w:color w:val="auto"/>
        </w:rPr>
        <w:t>Mortgage Amendment</w:t>
      </w:r>
      <w:r>
        <w:rPr>
          <w:rFonts w:ascii="Arial" w:cs="Arial" w:eastAsia="Arial" w:hAnsi="Arial"/>
          <w:sz w:val="18"/>
          <w:szCs w:val="18"/>
          <w:color w:val="auto"/>
        </w:rPr>
        <w:t>”); (B) such evidence as CoBank shall require that the Mortgage Amendment has been recorded in all places where the Mortgage has been recorded; and (C) a lien search conducted in the office of the Delaware Secretary of State showing that there are no Liens on any property of the Company other than Liens in favor of CoBank and Liens permitted under Section 6.01 of the MLA.</w:t>
      </w:r>
    </w:p>
    <w:p>
      <w:pPr>
        <w:spacing w:after="0" w:line="200" w:lineRule="exact"/>
        <w:rPr>
          <w:rFonts w:ascii="Arial" w:cs="Arial" w:eastAsia="Arial" w:hAnsi="Arial"/>
          <w:sz w:val="18"/>
          <w:szCs w:val="18"/>
          <w:b w:val="1"/>
          <w:bCs w:val="1"/>
          <w:color w:val="auto"/>
        </w:rPr>
      </w:pPr>
    </w:p>
    <w:p>
      <w:pPr>
        <w:ind w:firstLine="1229"/>
        <w:spacing w:after="0" w:line="282" w:lineRule="auto"/>
        <w:tabs>
          <w:tab w:leader="none" w:pos="180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Each Loan</w:t>
      </w:r>
      <w:r>
        <w:rPr>
          <w:rFonts w:ascii="Arial" w:cs="Arial" w:eastAsia="Arial" w:hAnsi="Arial"/>
          <w:sz w:val="18"/>
          <w:szCs w:val="18"/>
          <w:color w:val="auto"/>
        </w:rPr>
        <w:t>. Each Loan to the Company (including the initial Loan) is subject to the condition precedent that CoBank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 duly completed and executed Request for Loan.</w:t>
      </w:r>
    </w:p>
    <w:p>
      <w:pPr>
        <w:spacing w:after="0" w:line="256" w:lineRule="exact"/>
        <w:rPr>
          <w:sz w:val="20"/>
          <w:szCs w:val="20"/>
          <w:color w:val="auto"/>
        </w:rPr>
      </w:pPr>
    </w:p>
    <w:p>
      <w:pPr>
        <w:jc w:val="both"/>
        <w:ind w:firstLine="614"/>
        <w:spacing w:after="0" w:line="261" w:lineRule="auto"/>
        <w:rPr>
          <w:sz w:val="20"/>
          <w:szCs w:val="20"/>
          <w:color w:val="auto"/>
        </w:rPr>
      </w:pPr>
      <w:r>
        <w:rPr>
          <w:rFonts w:ascii="Arial" w:cs="Arial" w:eastAsia="Arial" w:hAnsi="Arial"/>
          <w:sz w:val="18"/>
          <w:szCs w:val="18"/>
          <w:b w:val="1"/>
          <w:bCs w:val="1"/>
          <w:color w:val="auto"/>
        </w:rPr>
        <w:t>SECTION 11. Representations and Warranties</w:t>
      </w:r>
      <w:r>
        <w:rPr>
          <w:rFonts w:ascii="Arial" w:cs="Arial" w:eastAsia="Arial" w:hAnsi="Arial"/>
          <w:sz w:val="18"/>
          <w:szCs w:val="18"/>
          <w:color w:val="auto"/>
        </w:rPr>
        <w:t>. In addition to the representations and warranties set forth in the MLA,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CoBank that Appendix B to the Mortgage (as amended) sets forth all real property and interests in real property of the Company as of the date hereof, including without limitation, all real property on or under which the Company has a well, water treatment plant, or water storage facility.</w:t>
      </w:r>
    </w:p>
    <w:p>
      <w:pPr>
        <w:spacing w:after="0" w:line="180" w:lineRule="exact"/>
        <w:rPr>
          <w:sz w:val="20"/>
          <w:szCs w:val="20"/>
          <w:color w:val="auto"/>
        </w:rPr>
      </w:pPr>
    </w:p>
    <w:p>
      <w:pPr>
        <w:jc w:val="both"/>
        <w:ind w:firstLine="614"/>
        <w:spacing w:after="0" w:line="266" w:lineRule="auto"/>
        <w:rPr>
          <w:sz w:val="20"/>
          <w:szCs w:val="20"/>
          <w:color w:val="auto"/>
        </w:rPr>
      </w:pPr>
      <w:r>
        <w:rPr>
          <w:rFonts w:ascii="Arial" w:cs="Arial" w:eastAsia="Arial" w:hAnsi="Arial"/>
          <w:sz w:val="18"/>
          <w:szCs w:val="18"/>
          <w:b w:val="1"/>
          <w:bCs w:val="1"/>
          <w:color w:val="auto"/>
        </w:rPr>
        <w:t>SECTION 12. Counterparts and Electronic Delivery</w:t>
      </w:r>
      <w:r>
        <w:rPr>
          <w:rFonts w:ascii="Arial" w:cs="Arial" w:eastAsia="Arial" w:hAnsi="Arial"/>
          <w:sz w:val="18"/>
          <w:szCs w:val="18"/>
          <w:color w:val="auto"/>
        </w:rPr>
        <w:t>. This Promissory Note and Supplement may be executed in counterparts (and by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parties in different counterparts), each of which shall constitute an original, and all of which when taken together shall constitute a single agreement. In addition, this Promissory Note and Supplement may be delivered by electronic means.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on next page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20" w:top="561" w:right="55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color w:val="auto"/>
        </w:rPr>
        <w:t>Checklist Documents</w:t>
      </w:r>
    </w:p>
    <w:p>
      <w:pPr>
        <w:spacing w:after="0" w:line="316" w:lineRule="exact"/>
        <w:rPr>
          <w:sz w:val="20"/>
          <w:szCs w:val="20"/>
          <w:color w:val="auto"/>
        </w:rPr>
      </w:pPr>
    </w:p>
    <w:p>
      <w:pPr>
        <w:ind w:left="240" w:right="380" w:firstLine="612"/>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Promissory Note and Supplement to be executed by their duly authorized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shown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CoBANK,ACB</w:t>
            </w:r>
          </w:p>
        </w:tc>
        <w:tc>
          <w:tcPr>
            <w:tcW w:w="7060" w:type="dxa"/>
            <w:vAlign w:val="bottom"/>
            <w:gridSpan w:val="2"/>
          </w:tcPr>
          <w:p>
            <w:pPr>
              <w:ind w:left="1120"/>
              <w:spacing w:after="0"/>
              <w:rPr>
                <w:sz w:val="20"/>
                <w:szCs w:val="20"/>
                <w:color w:val="auto"/>
              </w:rPr>
            </w:pPr>
            <w:r>
              <w:rPr>
                <w:rFonts w:ascii="Arial" w:cs="Arial" w:eastAsia="Arial" w:hAnsi="Arial"/>
                <w:sz w:val="18"/>
                <w:szCs w:val="18"/>
                <w:b w:val="1"/>
                <w:bCs w:val="1"/>
                <w:color w:val="auto"/>
              </w:rPr>
              <w:t>TIDEWATER UTILITIES, INC.</w:t>
            </w:r>
          </w:p>
        </w:tc>
      </w:tr>
      <w:tr>
        <w:trPr>
          <w:trHeight w:val="7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c>
          <w:tcPr>
            <w:tcW w:w="2120" w:type="dxa"/>
            <w:vAlign w:val="bottom"/>
          </w:tcPr>
          <w:p>
            <w:pPr>
              <w:ind w:left="1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Capko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Jared A. Greene</w:t>
            </w:r>
          </w:p>
        </w:tc>
        <w:tc>
          <w:tcPr>
            <w:tcW w:w="2120" w:type="dxa"/>
            <w:vAlign w:val="bottom"/>
          </w:tcPr>
          <w:p>
            <w:pPr>
              <w:ind w:left="112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Robert J. Capko</w:t>
            </w:r>
          </w:p>
        </w:tc>
      </w:t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120" w:type="dxa"/>
            <w:vAlign w:val="bottom"/>
          </w:tcPr>
          <w:p>
            <w:pPr>
              <w:ind w:left="1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Promissory Note and Supplement (Multiple Advance Term Loan) (RX0024Tl I)</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Tax Parcel No.: See Attached List of Parcel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Prepared by/Return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Richards, Layton &amp; Finger,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551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TO COMBINATION WATER UTILITY REAL ESTATE MORTGAGE AND SECURITY AGREEMENT</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TIDEWATER UTILITIES,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1100 South Little Creek Road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Dover, DE 19901</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FAVOR OF</w:t>
      </w: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COBANK,ACB</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6340 South Fiddlers Green Circle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Greenwood Village, Colorado 80111</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MORTGAGE GRANTS A SECURITY INTEREST BY A TRANSMITTING UTILITY</w:t>
      </w:r>
    </w:p>
    <w:p>
      <w:pPr>
        <w:spacing w:after="0" w:line="239" w:lineRule="exact"/>
        <w:rPr>
          <w:sz w:val="20"/>
          <w:szCs w:val="20"/>
          <w:color w:val="auto"/>
        </w:rPr>
      </w:pPr>
    </w:p>
    <w:p>
      <w:pPr>
        <w:jc w:val="center"/>
        <w:ind w:left="420" w:right="100"/>
        <w:spacing w:after="0" w:line="277" w:lineRule="auto"/>
        <w:rPr>
          <w:sz w:val="20"/>
          <w:szCs w:val="20"/>
          <w:color w:val="auto"/>
        </w:rPr>
      </w:pPr>
      <w:r>
        <w:rPr>
          <w:rFonts w:ascii="Arial" w:cs="Arial" w:eastAsia="Arial" w:hAnsi="Arial"/>
          <w:sz w:val="18"/>
          <w:szCs w:val="18"/>
          <w:color w:val="auto"/>
        </w:rPr>
        <w:t>THE MORTGAGE CONTAINS AFTER ACQUIRED PROPERTY PROVISIONS AND SUCH AFTER ACQUIRED PROPERTY IS SECURED BY THE MORTGAGE</w:t>
      </w:r>
    </w:p>
    <w:p>
      <w:pPr>
        <w:spacing w:after="0" w:line="170" w:lineRule="exact"/>
        <w:rPr>
          <w:sz w:val="20"/>
          <w:szCs w:val="20"/>
          <w:color w:val="auto"/>
        </w:rPr>
      </w:pPr>
    </w:p>
    <w:p>
      <w:pPr>
        <w:jc w:val="center"/>
        <w:ind w:left="400"/>
        <w:spacing w:after="0" w:line="277" w:lineRule="auto"/>
        <w:rPr>
          <w:sz w:val="20"/>
          <w:szCs w:val="20"/>
          <w:color w:val="auto"/>
        </w:rPr>
      </w:pPr>
      <w:r>
        <w:rPr>
          <w:rFonts w:ascii="Arial" w:cs="Arial" w:eastAsia="Arial" w:hAnsi="Arial"/>
          <w:sz w:val="18"/>
          <w:szCs w:val="18"/>
          <w:color w:val="auto"/>
        </w:rPr>
        <w:t>THIS AMENDMENT TO COMBINATION WATER UTILITY REAL ESTATE MORTGAGE AND SECURITY AGREEMENT MAY BE FILED AS A FINANCING STATEMENT AND MAY BE RECORDED IN THE REAL PROPERTY RECORDS</w:t>
      </w:r>
    </w:p>
    <w:p>
      <w:pPr>
        <w:spacing w:after="0" w:line="184" w:lineRule="exact"/>
        <w:rPr>
          <w:sz w:val="20"/>
          <w:szCs w:val="20"/>
          <w:color w:val="auto"/>
        </w:rPr>
      </w:pPr>
    </w:p>
    <w:p>
      <w:pPr>
        <w:jc w:val="center"/>
        <w:ind w:left="420" w:right="120"/>
        <w:spacing w:after="0" w:line="277" w:lineRule="auto"/>
        <w:rPr>
          <w:sz w:val="20"/>
          <w:szCs w:val="20"/>
          <w:color w:val="auto"/>
        </w:rPr>
      </w:pPr>
      <w:r>
        <w:rPr>
          <w:rFonts w:ascii="Arial" w:cs="Arial" w:eastAsia="Arial" w:hAnsi="Arial"/>
          <w:sz w:val="18"/>
          <w:szCs w:val="18"/>
          <w:color w:val="auto"/>
        </w:rPr>
        <w:t>THIS AMENDMENT INCREASES THE AMOUNT THAT MAY BE SECURED BY THE MORTGAGE AND ADDS NEW DEBT TO THE DEBT SECURED BY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Sussex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39" w:name="page40"/>
    <w:bookmarkEnd w:id="39"/>
    <w:p>
      <w:pPr>
        <w:jc w:val="center"/>
        <w:ind w:right="-220"/>
        <w:spacing w:after="0"/>
        <w:rPr>
          <w:sz w:val="20"/>
          <w:szCs w:val="20"/>
          <w:color w:val="auto"/>
        </w:rPr>
      </w:pPr>
      <w:r>
        <w:rPr>
          <w:rFonts w:ascii="Arial" w:cs="Arial" w:eastAsia="Arial" w:hAnsi="Arial"/>
          <w:sz w:val="17"/>
          <w:szCs w:val="17"/>
          <w:b w:val="1"/>
          <w:bCs w:val="1"/>
          <w:u w:val="single" w:color="auto"/>
          <w:color w:val="auto"/>
        </w:rPr>
        <w:t>LIST OF TAX PARCEL NUMBERS</w:t>
      </w:r>
    </w:p>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Sussex County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3-34.13.00-543.1</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2-34.11.20-91.00</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2-34-11.16-4.00</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2-34.11.00-64.1</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3-31-3.00-232.00</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3-34-12.00-377.00</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4-32-7.00-32.02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1-33-10.00-83.01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674370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AMENDMENT TO COMBINATION WATER UTILITY REAL ESTATE MORTGAGE AND SECURITY AGREEMENT</w:t>
      </w:r>
    </w:p>
    <w:p>
      <w:pPr>
        <w:spacing w:after="0" w:line="239" w:lineRule="exact"/>
        <w:rPr>
          <w:sz w:val="20"/>
          <w:szCs w:val="20"/>
          <w:color w:val="auto"/>
        </w:rPr>
      </w:pPr>
    </w:p>
    <w:p>
      <w:pPr>
        <w:jc w:val="both"/>
        <w:ind w:firstLine="617"/>
        <w:spacing w:after="0" w:line="266" w:lineRule="auto"/>
        <w:rPr>
          <w:sz w:val="20"/>
          <w:szCs w:val="20"/>
          <w:color w:val="auto"/>
        </w:rPr>
      </w:pPr>
      <w:r>
        <w:rPr>
          <w:rFonts w:ascii="Arial" w:cs="Arial" w:eastAsia="Arial" w:hAnsi="Arial"/>
          <w:sz w:val="18"/>
          <w:szCs w:val="18"/>
          <w:b w:val="1"/>
          <w:bCs w:val="1"/>
          <w:color w:val="auto"/>
        </w:rPr>
        <w:t xml:space="preserve">THIS AMENDMENT TO COMBINATION WATER UTILITY REAL ESTATE MORTGAGE AND SECURITY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May 11, 2023, between </w:t>
      </w:r>
      <w:r>
        <w:rPr>
          <w:rFonts w:ascii="Arial" w:cs="Arial" w:eastAsia="Arial" w:hAnsi="Arial"/>
          <w:sz w:val="18"/>
          <w:szCs w:val="18"/>
          <w:b w:val="1"/>
          <w:bCs w:val="1"/>
          <w:color w:val="auto"/>
        </w:rPr>
        <w:t>TIDEWATER UTILITIES, INC.,</w:t>
      </w:r>
      <w:r>
        <w:rPr>
          <w:rFonts w:ascii="Arial" w:cs="Arial" w:eastAsia="Arial" w:hAnsi="Arial"/>
          <w:sz w:val="18"/>
          <w:szCs w:val="18"/>
          <w:color w:val="auto"/>
        </w:rPr>
        <w:t xml:space="preserve">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CoBANK,</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ACB, </w:t>
      </w:r>
      <w:r>
        <w:rPr>
          <w:rFonts w:ascii="Arial" w:cs="Arial" w:eastAsia="Arial" w:hAnsi="Arial"/>
          <w:sz w:val="18"/>
          <w:szCs w:val="18"/>
          <w:color w:val="auto"/>
        </w:rPr>
        <w:t>a federally chartered instrumentality of the United States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("CoBank").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3" w:lineRule="exact"/>
        <w:rPr>
          <w:sz w:val="20"/>
          <w:szCs w:val="20"/>
          <w:color w:val="auto"/>
        </w:rPr>
      </w:pPr>
    </w:p>
    <w:p>
      <w:pPr>
        <w:jc w:val="both"/>
        <w:ind w:firstLine="614"/>
        <w:spacing w:after="0" w:line="277" w:lineRule="auto"/>
        <w:rPr>
          <w:sz w:val="20"/>
          <w:szCs w:val="20"/>
          <w:color w:val="auto"/>
        </w:rPr>
      </w:pPr>
      <w:r>
        <w:rPr>
          <w:rFonts w:ascii="Arial" w:cs="Arial" w:eastAsia="Arial" w:hAnsi="Arial"/>
          <w:sz w:val="18"/>
          <w:szCs w:val="18"/>
          <w:color w:val="auto"/>
        </w:rPr>
        <w:t xml:space="preserve">WHEREAS, CoBank and the Company are parties to that certain Master Loan Agreement dated as of May 23, 2003 and various amendments thereto (as amended, the </w:t>
      </w:r>
      <w:r>
        <w:rPr>
          <w:rFonts w:ascii="Arial" w:cs="Arial" w:eastAsia="Arial" w:hAnsi="Arial"/>
          <w:sz w:val="18"/>
          <w:szCs w:val="18"/>
          <w:u w:val="single" w:color="auto"/>
          <w:color w:val="auto"/>
        </w:rPr>
        <w:t>"MLA");</w:t>
      </w:r>
    </w:p>
    <w:p>
      <w:pPr>
        <w:spacing w:after="0" w:line="170"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color w:val="auto"/>
        </w:rPr>
        <w:t xml:space="preserve">WHEREAS, in connection with the MLA, CoBank is the mortgagee under the Combination Water Utility Mortgage and Security Agreement between the Company and CoBank dated as of May 23, 2003 and recorded in the Office of the Recorder of Deeds in and for Sussex County, State of Delaware </w:t>
      </w:r>
      <w:r>
        <w:rPr>
          <w:rFonts w:ascii="Arial" w:cs="Arial" w:eastAsia="Arial" w:hAnsi="Arial"/>
          <w:sz w:val="17"/>
          <w:szCs w:val="17"/>
          <w:u w:val="single" w:color="auto"/>
          <w:color w:val="auto"/>
        </w:rPr>
        <w:t>("Recorder's Office")</w:t>
      </w:r>
      <w:r>
        <w:rPr>
          <w:rFonts w:ascii="Arial" w:cs="Arial" w:eastAsia="Arial" w:hAnsi="Arial"/>
          <w:sz w:val="17"/>
          <w:szCs w:val="17"/>
          <w:color w:val="auto"/>
        </w:rPr>
        <w:t xml:space="preserve"> in Mortgage Book 5554, Page 159, as amended by an Amendment to Combination Water Utility Real Estate Mortgage and Security Agreement dated as of September 28, 2004 and recorded in the Recorder's Office in Mortgage Book 7095, Page 72, an Amendment to Combination Water Utility Real Estate Mortgage and Security Agreement dated April 22, 2005 and recorded in the Recorder's Office in Mortgage Book 7967, Page 314, an Amendment to Combination Water Utility Real Estate Mortgage and Security Agreement dated as of March 19, 2009 and recorded in the Recorder's Office in Mortgage Book 10940, Page 216, an Amendment to Combination Water Utility Real Estate Mortgage and Security Agreement dated as of October 15, 2014 and recorded in the Recorder's Office in Mortgage Book 14517, Page 186, and an Amendment to Combination Water Utility Real Estate Mortgage and Security Agreement dated as of March 29, 2021 and recorded in the Recorder's Office in Mortgage Book 19639, Page 216 (collectively, as amended, the </w:t>
      </w:r>
      <w:r>
        <w:rPr>
          <w:rFonts w:ascii="Arial" w:cs="Arial" w:eastAsia="Arial" w:hAnsi="Arial"/>
          <w:sz w:val="17"/>
          <w:szCs w:val="17"/>
          <w:u w:val="single" w:color="auto"/>
          <w:color w:val="auto"/>
        </w:rPr>
        <w:t>"Mortgage");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pursuant to the MLA, CoBank made various loans to the Company evidenced by the notes described on Appendix A to the Mortgage;</w:t>
      </w:r>
    </w:p>
    <w:p>
      <w:pPr>
        <w:spacing w:after="0" w:line="248"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8"/>
          <w:szCs w:val="18"/>
          <w:color w:val="auto"/>
        </w:rPr>
        <w:t>WHEREAS, pursuant to the MLA, CoBank has agreed to extend $20,000,000 in additional loans to the Company to be evidenced by that certain Promissory Note and Supplement (Multiple Advance Term Loan) dated as of May 11, 2023;</w:t>
      </w:r>
    </w:p>
    <w:p>
      <w:pPr>
        <w:spacing w:after="0" w:line="184" w:lineRule="exact"/>
        <w:rPr>
          <w:sz w:val="20"/>
          <w:szCs w:val="20"/>
          <w:color w:val="auto"/>
        </w:rPr>
      </w:pPr>
    </w:p>
    <w:p>
      <w:pPr>
        <w:jc w:val="both"/>
        <w:ind w:right="20" w:firstLine="616"/>
        <w:spacing w:after="0" w:line="277" w:lineRule="auto"/>
        <w:rPr>
          <w:sz w:val="20"/>
          <w:szCs w:val="20"/>
          <w:color w:val="auto"/>
        </w:rPr>
      </w:pPr>
      <w:r>
        <w:rPr>
          <w:rFonts w:ascii="Arial" w:cs="Arial" w:eastAsia="Arial" w:hAnsi="Arial"/>
          <w:sz w:val="18"/>
          <w:szCs w:val="18"/>
          <w:color w:val="auto"/>
        </w:rPr>
        <w:t>WHEREAS, in connection therewith, the parties desire to amend the existing Mortgage as set forth herein to give notice of the increase in the secured obligations of the Company; and</w:t>
      </w:r>
    </w:p>
    <w:p>
      <w:pPr>
        <w:spacing w:after="0" w:line="170" w:lineRule="exact"/>
        <w:rPr>
          <w:sz w:val="20"/>
          <w:szCs w:val="20"/>
          <w:color w:val="auto"/>
        </w:rPr>
      </w:pPr>
    </w:p>
    <w:p>
      <w:pPr>
        <w:jc w:val="both"/>
        <w:ind w:firstLine="614"/>
        <w:spacing w:after="0" w:line="311" w:lineRule="auto"/>
        <w:rPr>
          <w:sz w:val="20"/>
          <w:szCs w:val="20"/>
          <w:color w:val="auto"/>
        </w:rPr>
      </w:pPr>
      <w:r>
        <w:rPr>
          <w:rFonts w:ascii="Arial" w:cs="Arial" w:eastAsia="Arial" w:hAnsi="Arial"/>
          <w:sz w:val="16"/>
          <w:szCs w:val="16"/>
          <w:color w:val="auto"/>
        </w:rPr>
        <w:t>WHEREAS, the Mortgage, as amended hereby, remains in full force and effect and the lien and security interest and the priority of such lien and security interest granted thereunder continues (without interruption) thereunder. Except as amended hereby, the Mortgage shall otherwise remain unchanged. Capitalized terms used but not defined herein shall have the meanings assigned to such terms or defined by reference in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ind w:left="62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parties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firstLine="614"/>
        <w:spacing w:after="0" w:line="282" w:lineRule="auto"/>
        <w:rPr>
          <w:sz w:val="20"/>
          <w:szCs w:val="20"/>
          <w:color w:val="auto"/>
        </w:rPr>
      </w:pPr>
      <w:r>
        <w:rPr>
          <w:rFonts w:ascii="Arial" w:cs="Arial" w:eastAsia="Arial" w:hAnsi="Arial"/>
          <w:sz w:val="18"/>
          <w:szCs w:val="18"/>
          <w:b w:val="1"/>
          <w:bCs w:val="1"/>
          <w:color w:val="auto"/>
        </w:rPr>
        <w:t xml:space="preserve">SECTION 1. Recitals. </w:t>
      </w:r>
      <w:r>
        <w:rPr>
          <w:rFonts w:ascii="Arial" w:cs="Arial" w:eastAsia="Arial" w:hAnsi="Arial"/>
          <w:sz w:val="18"/>
          <w:szCs w:val="18"/>
          <w:color w:val="auto"/>
        </w:rPr>
        <w:t>The recitals set forth above constitute an integral part of this Amendment, are true and correct, and such recitals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are incorporated herein by this reference with the same force and effect as if fully set forth herein.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SECTION 2. Amendment. </w:t>
      </w:r>
      <w:r>
        <w:rPr>
          <w:rFonts w:ascii="Arial" w:cs="Arial" w:eastAsia="Arial" w:hAnsi="Arial"/>
          <w:sz w:val="18"/>
          <w:szCs w:val="18"/>
          <w:color w:val="auto"/>
        </w:rPr>
        <w:t>Appendix A is hereby amended and restated as provided in Appendix A hereto.</w:t>
      </w:r>
    </w:p>
    <w:p>
      <w:pPr>
        <w:spacing w:after="0" w:line="225" w:lineRule="exact"/>
        <w:rPr>
          <w:sz w:val="20"/>
          <w:szCs w:val="20"/>
          <w:color w:val="auto"/>
        </w:rPr>
      </w:pPr>
    </w:p>
    <w:p>
      <w:pPr>
        <w:ind w:firstLine="613"/>
        <w:spacing w:after="0" w:line="312" w:lineRule="auto"/>
        <w:rPr>
          <w:sz w:val="20"/>
          <w:szCs w:val="20"/>
          <w:color w:val="auto"/>
        </w:rPr>
      </w:pPr>
      <w:r>
        <w:rPr>
          <w:rFonts w:ascii="Arial" w:cs="Arial" w:eastAsia="Arial" w:hAnsi="Arial"/>
          <w:sz w:val="17"/>
          <w:szCs w:val="17"/>
          <w:b w:val="1"/>
          <w:bCs w:val="1"/>
          <w:color w:val="auto"/>
        </w:rPr>
        <w:t xml:space="preserve">SECTION 3. Ratification. </w:t>
      </w:r>
      <w:r>
        <w:rPr>
          <w:rFonts w:ascii="Arial" w:cs="Arial" w:eastAsia="Arial" w:hAnsi="Arial"/>
          <w:sz w:val="17"/>
          <w:szCs w:val="17"/>
          <w:color w:val="auto"/>
        </w:rPr>
        <w:t>The Company hereby confirms and ratifies the Mortgage, and confirms and agrees that the Mortgaged Property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secure all of the Company's obligations under the Credit Agreements, including, without limitation, those shown on Appendix A hereto.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ind w:firstLine="613"/>
        <w:spacing w:after="0" w:line="277" w:lineRule="auto"/>
        <w:rPr>
          <w:sz w:val="20"/>
          <w:szCs w:val="20"/>
          <w:color w:val="auto"/>
        </w:rPr>
      </w:pPr>
      <w:r>
        <w:rPr>
          <w:rFonts w:ascii="Arial" w:cs="Arial" w:eastAsia="Arial" w:hAnsi="Arial"/>
          <w:sz w:val="18"/>
          <w:szCs w:val="18"/>
          <w:color w:val="auto"/>
        </w:rPr>
        <w:t>IN WITNESS WHEREOF, TIDEWATER UTILITIES, INC., as Mortgagor, has caused this Amendment to be signed in its name and its corporate seal to be hereunto affixed and attested by its officers thereunto duly authorized, all as of the day and year first above written..</w:t>
      </w:r>
    </w:p>
    <w:p>
      <w:pPr>
        <w:spacing w:after="0" w:line="39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TIDEWATER UTILITIES, INC., Mortgagor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Signed, sealed and delivered in the presence of:</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Jay L. Kooper</w:t>
            </w:r>
          </w:p>
        </w:tc>
        <w:tc>
          <w:tcPr>
            <w:tcW w:w="3460" w:type="dxa"/>
            <w:vAlign w:val="bottom"/>
          </w:tcPr>
          <w:p>
            <w:pPr>
              <w:ind w:left="28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Capko</w:t>
            </w:r>
          </w:p>
        </w:tc>
        <w:tc>
          <w:tcPr>
            <w:tcW w:w="560" w:type="dxa"/>
            <w:vAlign w:val="bottom"/>
          </w:tcPr>
          <w:p>
            <w:pPr>
              <w:spacing w:after="0"/>
              <w:rPr>
                <w:sz w:val="20"/>
                <w:szCs w:val="20"/>
                <w:color w:val="auto"/>
              </w:rPr>
            </w:pPr>
            <w:r>
              <w:rPr>
                <w:rFonts w:ascii="Arial" w:cs="Arial" w:eastAsia="Arial" w:hAnsi="Arial"/>
                <w:sz w:val="18"/>
                <w:szCs w:val="18"/>
                <w:color w:val="auto"/>
                <w:w w:val="92"/>
              </w:rPr>
              <w:t>(SEAL)</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w w:val="99"/>
              </w:rPr>
              <w:t>Witness</w:t>
            </w:r>
          </w:p>
        </w:tc>
        <w:tc>
          <w:tcPr>
            <w:tcW w:w="3240" w:type="dxa"/>
            <w:vAlign w:val="bottom"/>
          </w:tcPr>
          <w:p>
            <w:pPr>
              <w:spacing w:after="0"/>
              <w:rPr>
                <w:sz w:val="16"/>
                <w:szCs w:val="16"/>
                <w:color w:val="auto"/>
              </w:rPr>
            </w:pPr>
          </w:p>
        </w:tc>
        <w:tc>
          <w:tcPr>
            <w:tcW w:w="3460" w:type="dxa"/>
            <w:vAlign w:val="bottom"/>
          </w:tcPr>
          <w:p>
            <w:pPr>
              <w:ind w:left="2800"/>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Robert J. Capko</w:t>
            </w:r>
          </w:p>
        </w:tc>
        <w:tc>
          <w:tcPr>
            <w:tcW w:w="56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60" w:type="dxa"/>
            <w:vAlign w:val="bottom"/>
          </w:tcPr>
          <w:p>
            <w:pPr>
              <w:ind w:left="2800"/>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Treasurer</w:t>
            </w:r>
          </w:p>
        </w:tc>
        <w:tc>
          <w:tcPr>
            <w:tcW w:w="560" w:type="dxa"/>
            <w:vAlign w:val="bottom"/>
          </w:tcPr>
          <w:p>
            <w:pPr>
              <w:spacing w:after="0"/>
              <w:rPr>
                <w:sz w:val="20"/>
                <w:szCs w:val="20"/>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Attest:</w:t>
            </w:r>
          </w:p>
        </w:tc>
        <w:tc>
          <w:tcPr>
            <w:tcW w:w="3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Kooper</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Jay L. Kooper</w:t>
            </w:r>
          </w:p>
        </w:tc>
        <w:tc>
          <w:tcPr>
            <w:tcW w:w="3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STATE OF </w:t>
      </w:r>
      <w:r>
        <w:rPr>
          <w:rFonts w:ascii="Arial" w:cs="Arial" w:eastAsia="Arial" w:hAnsi="Arial"/>
          <w:sz w:val="18"/>
          <w:szCs w:val="18"/>
          <w:u w:val="single" w:color="auto"/>
          <w:color w:val="010101"/>
        </w:rPr>
        <w:t>New Jersey</w:t>
      </w:r>
      <w:r>
        <w:rPr>
          <w:rFonts w:ascii="Arial" w:cs="Arial" w:eastAsia="Arial" w:hAnsi="Arial"/>
          <w:sz w:val="18"/>
          <w:szCs w:val="18"/>
          <w:color w:val="010101"/>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COUNTY OF </w:t>
      </w:r>
      <w:r>
        <w:rPr>
          <w:rFonts w:ascii="Arial" w:cs="Arial" w:eastAsia="Arial" w:hAnsi="Arial"/>
          <w:sz w:val="18"/>
          <w:szCs w:val="18"/>
          <w:u w:val="single" w:color="auto"/>
          <w:color w:val="010101"/>
        </w:rPr>
        <w:t>Middlesex</w:t>
      </w:r>
      <w:r>
        <w:rPr>
          <w:rFonts w:ascii="Arial" w:cs="Arial" w:eastAsia="Arial" w:hAnsi="Arial"/>
          <w:sz w:val="18"/>
          <w:szCs w:val="18"/>
          <w:color w:val="010101"/>
        </w:rPr>
        <w:t>)</w:t>
      </w:r>
    </w:p>
    <w:p>
      <w:pPr>
        <w:spacing w:after="0" w:line="229" w:lineRule="exact"/>
        <w:rPr>
          <w:sz w:val="20"/>
          <w:szCs w:val="20"/>
          <w:color w:val="auto"/>
        </w:rPr>
      </w:pPr>
    </w:p>
    <w:p>
      <w:pPr>
        <w:ind w:firstLine="613"/>
        <w:spacing w:after="0" w:line="214" w:lineRule="auto"/>
        <w:rPr>
          <w:sz w:val="20"/>
          <w:szCs w:val="20"/>
          <w:color w:val="auto"/>
        </w:rPr>
      </w:pPr>
      <w:r>
        <w:rPr>
          <w:rFonts w:ascii="Arial" w:cs="Arial" w:eastAsia="Arial" w:hAnsi="Arial"/>
          <w:sz w:val="18"/>
          <w:szCs w:val="18"/>
          <w:color w:val="auto"/>
        </w:rPr>
        <w:t xml:space="preserve">The foregoing instrument was acknowledged before me this </w:t>
      </w:r>
      <w:r>
        <w:rPr>
          <w:rFonts w:ascii="Arial" w:cs="Arial" w:eastAsia="Arial" w:hAnsi="Arial"/>
          <w:sz w:val="18"/>
          <w:szCs w:val="18"/>
          <w:u w:val="single" w:color="auto"/>
          <w:color w:val="auto"/>
        </w:rPr>
        <w:t>9</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May</w:t>
      </w:r>
      <w:r>
        <w:rPr>
          <w:rFonts w:ascii="Arial" w:cs="Arial" w:eastAsia="Arial" w:hAnsi="Arial"/>
          <w:sz w:val="18"/>
          <w:szCs w:val="18"/>
          <w:color w:val="auto"/>
        </w:rPr>
        <w:t>, 2023, by Robert J. Capko, as Treasurer of Tidewater Utilities, Inc., a Delaware corporation, on behalf of said corporation.</w:t>
      </w:r>
    </w:p>
    <w:p>
      <w:pPr>
        <w:spacing w:after="0" w:line="203" w:lineRule="exact"/>
        <w:rPr>
          <w:sz w:val="20"/>
          <w:szCs w:val="20"/>
          <w:color w:val="auto"/>
        </w:rPr>
      </w:pPr>
    </w:p>
    <w:p>
      <w:pPr>
        <w:ind w:firstLine="613"/>
        <w:spacing w:after="0" w:line="277" w:lineRule="auto"/>
        <w:rPr>
          <w:sz w:val="20"/>
          <w:szCs w:val="20"/>
          <w:color w:val="auto"/>
        </w:rPr>
      </w:pPr>
      <w:r>
        <w:rPr>
          <w:rFonts w:ascii="Arial" w:cs="Arial" w:eastAsia="Arial" w:hAnsi="Arial"/>
          <w:sz w:val="18"/>
          <w:szCs w:val="18"/>
          <w:color w:val="auto"/>
        </w:rPr>
        <w:t>IN WITNESS WHEREOF, I have hereunto set my hand and affixed my official seal in the County and State aforesaid, the day and year in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Tracy L. Tyrell</w:t>
            </w:r>
          </w:p>
        </w:tc>
        <w:tc>
          <w:tcPr>
            <w:tcW w:w="64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6700" w:type="dxa"/>
            <w:vAlign w:val="bottom"/>
          </w:tcPr>
          <w:p>
            <w:pPr>
              <w:spacing w:after="0"/>
              <w:rPr>
                <w:sz w:val="16"/>
                <w:szCs w:val="16"/>
                <w:color w:val="auto"/>
              </w:rPr>
            </w:pPr>
          </w:p>
        </w:tc>
        <w:tc>
          <w:tcPr>
            <w:tcW w:w="3900" w:type="dxa"/>
            <w:vAlign w:val="bottom"/>
            <w:gridSpan w:val="5"/>
          </w:tcPr>
          <w:p>
            <w:pPr>
              <w:spacing w:after="0" w:line="195" w:lineRule="exact"/>
              <w:rPr>
                <w:sz w:val="20"/>
                <w:szCs w:val="20"/>
                <w:color w:val="auto"/>
              </w:rPr>
            </w:pPr>
            <w:r>
              <w:rPr>
                <w:rFonts w:ascii="Arial" w:cs="Arial" w:eastAsia="Arial" w:hAnsi="Arial"/>
                <w:sz w:val="18"/>
                <w:szCs w:val="18"/>
                <w:color w:val="auto"/>
              </w:rPr>
              <w:t>Notary Public</w:t>
            </w:r>
          </w:p>
        </w:tc>
        <w:tc>
          <w:tcPr>
            <w:tcW w:w="640" w:type="dxa"/>
            <w:vAlign w:val="bottom"/>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Name: Tracy L. Tyrell</w:t>
            </w:r>
          </w:p>
        </w:tc>
        <w:tc>
          <w:tcPr>
            <w:tcW w:w="64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3900" w:type="dxa"/>
            <w:vAlign w:val="bottom"/>
            <w:gridSpan w:val="5"/>
          </w:tcPr>
          <w:p>
            <w:pPr>
              <w:spacing w:after="0" w:line="196" w:lineRule="exact"/>
              <w:rPr>
                <w:sz w:val="20"/>
                <w:szCs w:val="20"/>
                <w:color w:val="auto"/>
              </w:rPr>
            </w:pPr>
            <w:r>
              <w:rPr>
                <w:rFonts w:ascii="Arial" w:cs="Arial" w:eastAsia="Arial" w:hAnsi="Arial"/>
                <w:sz w:val="18"/>
                <w:szCs w:val="18"/>
                <w:color w:val="auto"/>
              </w:rPr>
              <w:t>My commission expires: 3/16/2027</w:t>
            </w:r>
          </w:p>
        </w:tc>
        <w:tc>
          <w:tcPr>
            <w:tcW w:w="640" w:type="dxa"/>
            <w:vAlign w:val="bottom"/>
          </w:tcPr>
          <w:p>
            <w:pPr>
              <w:spacing w:after="0"/>
              <w:rPr>
                <w:sz w:val="17"/>
                <w:szCs w:val="17"/>
                <w:color w:val="auto"/>
              </w:rPr>
            </w:pPr>
          </w:p>
        </w:tc>
      </w:tr>
      <w:tr>
        <w:trPr>
          <w:trHeight w:val="20"/>
        </w:trPr>
        <w:tc>
          <w:tcPr>
            <w:tcW w:w="8520" w:type="dxa"/>
            <w:vAlign w:val="bottom"/>
            <w:gridSpan w:val="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0600" w:type="dxa"/>
            <w:vAlign w:val="bottom"/>
            <w:gridSpan w:val="6"/>
          </w:tcPr>
          <w:p>
            <w:pPr>
              <w:ind w:left="1760"/>
              <w:spacing w:after="0"/>
              <w:rPr>
                <w:sz w:val="20"/>
                <w:szCs w:val="20"/>
                <w:color w:val="auto"/>
              </w:rPr>
            </w:pPr>
            <w:r>
              <w:rPr>
                <w:rFonts w:ascii="Arial" w:cs="Arial" w:eastAsia="Arial" w:hAnsi="Arial"/>
                <w:sz w:val="18"/>
                <w:szCs w:val="18"/>
                <w:color w:val="auto"/>
              </w:rPr>
              <w:t>Signature page to Amendment to Combination Water Utility Real Estate Mortgage and Security Agreement</w:t>
            </w:r>
          </w:p>
        </w:tc>
        <w:tc>
          <w:tcPr>
            <w:tcW w:w="640" w:type="dxa"/>
            <w:vAlign w:val="bottom"/>
          </w:tcPr>
          <w:p>
            <w:pPr>
              <w:spacing w:after="0"/>
              <w:rPr>
                <w:sz w:val="24"/>
                <w:szCs w:val="24"/>
                <w:color w:val="auto"/>
              </w:rPr>
            </w:pPr>
          </w:p>
        </w:tc>
      </w:tr>
      <w:tr>
        <w:trPr>
          <w:trHeight w:val="614"/>
        </w:trPr>
        <w:tc>
          <w:tcPr>
            <w:tcW w:w="6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43" w:name="page44"/>
    <w:bookmarkEnd w:id="43"/>
    <w:p>
      <w:pPr>
        <w:ind w:left="400"/>
        <w:spacing w:after="0"/>
        <w:rPr>
          <w:sz w:val="20"/>
          <w:szCs w:val="20"/>
          <w:color w:val="auto"/>
        </w:rPr>
      </w:pPr>
      <w:r>
        <w:rPr>
          <w:rFonts w:ascii="Arial" w:cs="Arial" w:eastAsia="Arial" w:hAnsi="Arial"/>
          <w:sz w:val="18"/>
          <w:szCs w:val="18"/>
          <w:color w:val="auto"/>
        </w:rPr>
        <w:t>Checklist Documents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Document# 2023000017001 BK: 21755 PG: 255</w:t>
      </w:r>
    </w:p>
    <w:p>
      <w:pPr>
        <w:spacing w:after="0" w:line="36" w:lineRule="exact"/>
        <w:rPr>
          <w:sz w:val="20"/>
          <w:szCs w:val="20"/>
          <w:color w:val="auto"/>
        </w:rPr>
      </w:pPr>
    </w:p>
    <w:p>
      <w:pPr>
        <w:ind w:left="20" w:right="4240"/>
        <w:spacing w:after="0" w:line="313" w:lineRule="auto"/>
        <w:rPr>
          <w:sz w:val="20"/>
          <w:szCs w:val="20"/>
          <w:color w:val="auto"/>
        </w:rPr>
      </w:pPr>
      <w:r>
        <w:rPr>
          <w:rFonts w:ascii="Arial" w:cs="Arial" w:eastAsia="Arial" w:hAnsi="Arial"/>
          <w:sz w:val="18"/>
          <w:szCs w:val="18"/>
          <w:b w:val="1"/>
          <w:bCs w:val="1"/>
          <w:color w:val="auto"/>
        </w:rPr>
        <w:t>Recorder of Deeds, Alexandra Reed Baker On 5/17/2023 at 9:54:35 AM Sussex County, DE Doc Surcharge Paid</w:t>
      </w:r>
    </w:p>
    <w:p>
      <w:pPr>
        <w:spacing w:after="0" w:line="351" w:lineRule="exact"/>
        <w:rPr>
          <w:sz w:val="20"/>
          <w:szCs w:val="20"/>
          <w:color w:val="auto"/>
        </w:rPr>
      </w:pPr>
    </w:p>
    <w:p>
      <w:pPr>
        <w:ind w:right="20" w:firstLine="613"/>
        <w:spacing w:after="0" w:line="282" w:lineRule="auto"/>
        <w:rPr>
          <w:sz w:val="20"/>
          <w:szCs w:val="20"/>
          <w:color w:val="auto"/>
        </w:rPr>
      </w:pPr>
      <w:r>
        <w:rPr>
          <w:rFonts w:ascii="Arial" w:cs="Arial" w:eastAsia="Arial" w:hAnsi="Arial"/>
          <w:sz w:val="18"/>
          <w:szCs w:val="18"/>
          <w:b w:val="1"/>
          <w:bCs w:val="1"/>
          <w:color w:val="auto"/>
        </w:rPr>
        <w:t xml:space="preserve">IN WITNESS WHEREOF, CoBANK, ACB, </w:t>
      </w:r>
      <w:r>
        <w:rPr>
          <w:rFonts w:ascii="Arial" w:cs="Arial" w:eastAsia="Arial" w:hAnsi="Arial"/>
          <w:sz w:val="18"/>
          <w:szCs w:val="18"/>
          <w:color w:val="auto"/>
        </w:rPr>
        <w:t>as Mortgagee, has caused this Amendment to be signed in its name and its corporate seal to be</w:t>
      </w:r>
      <w:r>
        <w:rPr>
          <w:rFonts w:ascii="Arial" w:cs="Arial" w:eastAsia="Arial" w:hAnsi="Arial"/>
          <w:sz w:val="18"/>
          <w:szCs w:val="18"/>
          <w:b w:val="1"/>
          <w:bCs w:val="1"/>
          <w:color w:val="auto"/>
        </w:rPr>
        <w:t xml:space="preserve"> </w:t>
      </w:r>
      <w:r>
        <w:rPr>
          <w:rFonts w:ascii="Arial" w:cs="Arial" w:eastAsia="Arial" w:hAnsi="Arial"/>
          <w:sz w:val="18"/>
          <w:szCs w:val="18"/>
          <w:color w:val="auto"/>
        </w:rPr>
        <w:t>hereunto affixed and attested by its officers thereunto duly authorized, all as of the day and year first above written.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vMerge w:val="restart"/>
          </w:tcPr>
          <w:p>
            <w:pPr>
              <w:spacing w:after="0"/>
              <w:rPr>
                <w:sz w:val="20"/>
                <w:szCs w:val="20"/>
                <w:color w:val="auto"/>
              </w:rPr>
            </w:pPr>
            <w:r>
              <w:rPr>
                <w:rFonts w:ascii="Arial" w:cs="Arial" w:eastAsia="Arial" w:hAnsi="Arial"/>
                <w:sz w:val="18"/>
                <w:szCs w:val="18"/>
                <w:color w:val="auto"/>
              </w:rPr>
              <w:t>Signed, sealed and delivered in the presence of:</w:t>
            </w:r>
          </w:p>
        </w:tc>
        <w:tc>
          <w:tcPr>
            <w:tcW w:w="6700" w:type="dxa"/>
            <w:vAlign w:val="bottom"/>
            <w:gridSpan w:val="2"/>
          </w:tcPr>
          <w:p>
            <w:pPr>
              <w:ind w:left="2800"/>
              <w:spacing w:after="0"/>
              <w:rPr>
                <w:sz w:val="20"/>
                <w:szCs w:val="20"/>
                <w:color w:val="auto"/>
              </w:rPr>
            </w:pPr>
            <w:r>
              <w:rPr>
                <w:rFonts w:ascii="Arial" w:cs="Arial" w:eastAsia="Arial" w:hAnsi="Arial"/>
                <w:sz w:val="18"/>
                <w:szCs w:val="18"/>
                <w:b w:val="1"/>
                <w:bCs w:val="1"/>
                <w:color w:val="auto"/>
              </w:rPr>
              <w:t>CoBANK, ACB., Mortgagee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Satriano</w:t>
            </w:r>
          </w:p>
        </w:tc>
        <w:tc>
          <w:tcPr>
            <w:tcW w:w="3460" w:type="dxa"/>
            <w:vAlign w:val="bottom"/>
          </w:tcPr>
          <w:p>
            <w:pPr>
              <w:ind w:left="28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c>
          <w:tcPr>
            <w:tcW w:w="560" w:type="dxa"/>
            <w:vAlign w:val="bottom"/>
          </w:tcPr>
          <w:p>
            <w:pPr>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195"/>
        </w:trPr>
        <w:tc>
          <w:tcPr>
            <w:tcW w:w="3900" w:type="dxa"/>
            <w:vAlign w:val="bottom"/>
          </w:tcPr>
          <w:p>
            <w:pPr>
              <w:spacing w:after="0" w:line="195" w:lineRule="exact"/>
              <w:rPr>
                <w:sz w:val="20"/>
                <w:szCs w:val="20"/>
                <w:color w:val="auto"/>
              </w:rPr>
            </w:pPr>
            <w:r>
              <w:rPr>
                <w:rFonts w:ascii="Arial" w:cs="Arial" w:eastAsia="Arial" w:hAnsi="Arial"/>
                <w:sz w:val="18"/>
                <w:szCs w:val="18"/>
                <w:color w:val="auto"/>
              </w:rPr>
              <w:t>Witness</w:t>
            </w:r>
          </w:p>
        </w:tc>
        <w:tc>
          <w:tcPr>
            <w:tcW w:w="3460" w:type="dxa"/>
            <w:vAlign w:val="bottom"/>
          </w:tcPr>
          <w:p>
            <w:pPr>
              <w:ind w:left="2800"/>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Jared A. Greene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460" w:type="dxa"/>
            <w:vAlign w:val="bottom"/>
          </w:tcPr>
          <w:p>
            <w:pPr>
              <w:ind w:left="2800"/>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STATE OF </w:t>
      </w:r>
      <w:r>
        <w:rPr>
          <w:rFonts w:ascii="Arial" w:cs="Arial" w:eastAsia="Arial" w:hAnsi="Arial"/>
          <w:sz w:val="18"/>
          <w:szCs w:val="18"/>
          <w:u w:val="single" w:color="auto"/>
          <w:color w:val="010101"/>
        </w:rPr>
        <w:t>Colorado</w:t>
      </w:r>
      <w:r>
        <w:rPr>
          <w:rFonts w:ascii="Arial" w:cs="Arial" w:eastAsia="Arial" w:hAnsi="Arial"/>
          <w:sz w:val="18"/>
          <w:szCs w:val="18"/>
          <w:color w:val="010101"/>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COUNTY OF </w:t>
      </w:r>
      <w:r>
        <w:rPr>
          <w:rFonts w:ascii="Arial" w:cs="Arial" w:eastAsia="Arial" w:hAnsi="Arial"/>
          <w:sz w:val="18"/>
          <w:szCs w:val="18"/>
          <w:u w:val="single" w:color="auto"/>
          <w:color w:val="010101"/>
        </w:rPr>
        <w:t>Arapahoe</w:t>
      </w:r>
      <w:r>
        <w:rPr>
          <w:rFonts w:ascii="Arial" w:cs="Arial" w:eastAsia="Arial" w:hAnsi="Arial"/>
          <w:sz w:val="18"/>
          <w:szCs w:val="18"/>
          <w:color w:val="010101"/>
        </w:rPr>
        <w:t>)</w:t>
      </w:r>
    </w:p>
    <w:p>
      <w:pPr>
        <w:spacing w:after="0" w:line="229" w:lineRule="exact"/>
        <w:rPr>
          <w:sz w:val="20"/>
          <w:szCs w:val="20"/>
          <w:color w:val="auto"/>
        </w:rPr>
      </w:pPr>
    </w:p>
    <w:p>
      <w:pPr>
        <w:ind w:right="20" w:firstLine="613"/>
        <w:spacing w:after="0" w:line="214" w:lineRule="auto"/>
        <w:rPr>
          <w:sz w:val="20"/>
          <w:szCs w:val="20"/>
          <w:color w:val="auto"/>
        </w:rPr>
      </w:pPr>
      <w:r>
        <w:rPr>
          <w:rFonts w:ascii="Arial" w:cs="Arial" w:eastAsia="Arial" w:hAnsi="Arial"/>
          <w:sz w:val="18"/>
          <w:szCs w:val="18"/>
          <w:color w:val="auto"/>
        </w:rPr>
        <w:t xml:space="preserve">The foregoing instrument was acknowledged before me this </w:t>
      </w:r>
      <w:r>
        <w:rPr>
          <w:rFonts w:ascii="Arial" w:cs="Arial" w:eastAsia="Arial" w:hAnsi="Arial"/>
          <w:sz w:val="18"/>
          <w:szCs w:val="18"/>
          <w:u w:val="single" w:color="auto"/>
          <w:color w:val="auto"/>
        </w:rPr>
        <w:t>10</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May</w:t>
      </w:r>
      <w:r>
        <w:rPr>
          <w:rFonts w:ascii="Arial" w:cs="Arial" w:eastAsia="Arial" w:hAnsi="Arial"/>
          <w:sz w:val="18"/>
          <w:szCs w:val="18"/>
          <w:color w:val="auto"/>
        </w:rPr>
        <w:t>, 2023, by Jared A. Greene, as Assistant Corporate Secretary of CoBank, ACB, , a federally chartered instrumentality of the Untied States, on behalf of said corporation.</w:t>
      </w:r>
    </w:p>
    <w:p>
      <w:pPr>
        <w:spacing w:after="0" w:line="203" w:lineRule="exact"/>
        <w:rPr>
          <w:sz w:val="20"/>
          <w:szCs w:val="20"/>
          <w:color w:val="auto"/>
        </w:rPr>
      </w:pPr>
    </w:p>
    <w:p>
      <w:pPr>
        <w:ind w:firstLine="613"/>
        <w:spacing w:after="0" w:line="277" w:lineRule="auto"/>
        <w:rPr>
          <w:sz w:val="20"/>
          <w:szCs w:val="20"/>
          <w:color w:val="auto"/>
        </w:rPr>
      </w:pPr>
      <w:r>
        <w:rPr>
          <w:rFonts w:ascii="Arial" w:cs="Arial" w:eastAsia="Arial" w:hAnsi="Arial"/>
          <w:sz w:val="18"/>
          <w:szCs w:val="18"/>
          <w:color w:val="auto"/>
        </w:rPr>
        <w:t>IN WITNESS WHEREOF, I have hereunto set my hand and affixed my official seal in the County and State aforesaid, the day and year in first above written.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Megan Moloznik</w:t>
            </w:r>
          </w:p>
        </w:tc>
        <w:tc>
          <w:tcPr>
            <w:tcW w:w="64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6700" w:type="dxa"/>
            <w:vAlign w:val="bottom"/>
          </w:tcPr>
          <w:p>
            <w:pPr>
              <w:spacing w:after="0"/>
              <w:rPr>
                <w:sz w:val="16"/>
                <w:szCs w:val="16"/>
                <w:color w:val="auto"/>
              </w:rPr>
            </w:pPr>
          </w:p>
        </w:tc>
        <w:tc>
          <w:tcPr>
            <w:tcW w:w="3900" w:type="dxa"/>
            <w:vAlign w:val="bottom"/>
            <w:gridSpan w:val="5"/>
          </w:tcPr>
          <w:p>
            <w:pPr>
              <w:spacing w:after="0" w:line="195" w:lineRule="exact"/>
              <w:rPr>
                <w:sz w:val="20"/>
                <w:szCs w:val="20"/>
                <w:color w:val="auto"/>
              </w:rPr>
            </w:pPr>
            <w:r>
              <w:rPr>
                <w:rFonts w:ascii="Arial" w:cs="Arial" w:eastAsia="Arial" w:hAnsi="Arial"/>
                <w:sz w:val="18"/>
                <w:szCs w:val="18"/>
                <w:color w:val="auto"/>
              </w:rPr>
              <w:t>Notary Public</w:t>
            </w:r>
          </w:p>
        </w:tc>
        <w:tc>
          <w:tcPr>
            <w:tcW w:w="640" w:type="dxa"/>
            <w:vAlign w:val="bottom"/>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Name: Megan Moloznik</w:t>
            </w:r>
          </w:p>
        </w:tc>
        <w:tc>
          <w:tcPr>
            <w:tcW w:w="64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3900" w:type="dxa"/>
            <w:vAlign w:val="bottom"/>
            <w:gridSpan w:val="5"/>
          </w:tcPr>
          <w:p>
            <w:pPr>
              <w:spacing w:after="0" w:line="196" w:lineRule="exact"/>
              <w:rPr>
                <w:sz w:val="20"/>
                <w:szCs w:val="20"/>
                <w:color w:val="auto"/>
              </w:rPr>
            </w:pPr>
            <w:r>
              <w:rPr>
                <w:rFonts w:ascii="Arial" w:cs="Arial" w:eastAsia="Arial" w:hAnsi="Arial"/>
                <w:sz w:val="18"/>
                <w:szCs w:val="18"/>
                <w:color w:val="auto"/>
              </w:rPr>
              <w:t>My commission expires: 2/21/2026</w:t>
            </w:r>
          </w:p>
        </w:tc>
        <w:tc>
          <w:tcPr>
            <w:tcW w:w="640" w:type="dxa"/>
            <w:vAlign w:val="bottom"/>
          </w:tcPr>
          <w:p>
            <w:pPr>
              <w:spacing w:after="0"/>
              <w:rPr>
                <w:sz w:val="17"/>
                <w:szCs w:val="17"/>
                <w:color w:val="auto"/>
              </w:rPr>
            </w:pPr>
          </w:p>
        </w:tc>
      </w:tr>
      <w:tr>
        <w:trPr>
          <w:trHeight w:val="20"/>
        </w:trPr>
        <w:tc>
          <w:tcPr>
            <w:tcW w:w="8520" w:type="dxa"/>
            <w:vAlign w:val="bottom"/>
            <w:gridSpan w:val="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0600" w:type="dxa"/>
            <w:vAlign w:val="bottom"/>
            <w:gridSpan w:val="6"/>
          </w:tcPr>
          <w:p>
            <w:pPr>
              <w:ind w:left="1760"/>
              <w:spacing w:after="0"/>
              <w:rPr>
                <w:sz w:val="20"/>
                <w:szCs w:val="20"/>
                <w:color w:val="auto"/>
              </w:rPr>
            </w:pPr>
            <w:r>
              <w:rPr>
                <w:rFonts w:ascii="Arial" w:cs="Arial" w:eastAsia="Arial" w:hAnsi="Arial"/>
                <w:sz w:val="18"/>
                <w:szCs w:val="18"/>
                <w:color w:val="auto"/>
              </w:rPr>
              <w:t>Signature page to Amendment to Combination Water Utility Real Estate Mortgage and Security Agreement</w:t>
            </w:r>
          </w:p>
        </w:tc>
        <w:tc>
          <w:tcPr>
            <w:tcW w:w="640" w:type="dxa"/>
            <w:vAlign w:val="bottom"/>
          </w:tcPr>
          <w:p>
            <w:pPr>
              <w:spacing w:after="0"/>
              <w:rPr>
                <w:sz w:val="24"/>
                <w:szCs w:val="24"/>
                <w:color w:val="auto"/>
              </w:rPr>
            </w:pPr>
          </w:p>
        </w:tc>
      </w:tr>
      <w:tr>
        <w:trPr>
          <w:trHeight w:val="547"/>
        </w:trPr>
        <w:tc>
          <w:tcPr>
            <w:tcW w:w="6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7" w:right="339" w:bottom="1440" w:gutter="0" w:footer="0" w:header="0"/>
        </w:sectPr>
      </w:pPr>
    </w:p>
    <w:bookmarkStart w:id="44" w:name="page45"/>
    <w:bookmarkEnd w:id="44"/>
    <w:p>
      <w:pPr>
        <w:jc w:val="center"/>
        <w:ind w:right="-220"/>
        <w:spacing w:after="0"/>
        <w:rPr>
          <w:sz w:val="20"/>
          <w:szCs w:val="20"/>
          <w:color w:val="auto"/>
        </w:rPr>
      </w:pPr>
      <w:r>
        <w:rPr>
          <w:rFonts w:ascii="Arial" w:cs="Arial" w:eastAsia="Arial" w:hAnsi="Arial"/>
          <w:sz w:val="18"/>
          <w:szCs w:val="18"/>
          <w:b w:val="1"/>
          <w:bCs w:val="1"/>
          <w:color w:val="auto"/>
        </w:rPr>
        <w:t xml:space="preserve">APPENDIX A- </w:t>
      </w:r>
      <w:r>
        <w:rPr>
          <w:rFonts w:ascii="Arial" w:cs="Arial" w:eastAsia="Arial" w:hAnsi="Arial"/>
          <w:sz w:val="18"/>
          <w:szCs w:val="18"/>
          <w:color w:val="auto"/>
        </w:rPr>
        <w:t>-</w:t>
      </w:r>
      <w:r>
        <w:rPr>
          <w:rFonts w:ascii="Arial" w:cs="Arial" w:eastAsia="Arial" w:hAnsi="Arial"/>
          <w:sz w:val="18"/>
          <w:szCs w:val="18"/>
          <w:b w:val="1"/>
          <w:bCs w:val="1"/>
          <w:color w:val="auto"/>
        </w:rPr>
        <w:t xml:space="preserve"> CERTAIN OBLIGATIONS; ETC.</w:t>
      </w:r>
    </w:p>
    <w:p>
      <w:pPr>
        <w:spacing w:after="0" w:line="229" w:lineRule="exact"/>
        <w:rPr>
          <w:sz w:val="20"/>
          <w:szCs w:val="20"/>
          <w:color w:val="auto"/>
        </w:rPr>
      </w:pPr>
    </w:p>
    <w:p>
      <w:pPr>
        <w:ind w:left="800" w:right="959" w:hanging="292"/>
        <w:spacing w:after="0" w:line="258" w:lineRule="auto"/>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"Credit Agreement" referred to in Section 1.01 of the Mortgage includes but is not limited to the following:</w:t>
      </w:r>
    </w:p>
    <w:p>
      <w:pPr>
        <w:spacing w:after="0" w:line="1" w:lineRule="exact"/>
        <w:rPr>
          <w:rFonts w:ascii="Arial" w:cs="Arial" w:eastAsia="Arial" w:hAnsi="Arial"/>
          <w:sz w:val="18"/>
          <w:szCs w:val="18"/>
          <w:color w:val="auto"/>
        </w:rPr>
      </w:pPr>
    </w:p>
    <w:p>
      <w:pPr>
        <w:ind w:left="1480" w:hanging="365"/>
        <w:spacing w:after="0"/>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Master Loan Agreement dated as of May 23, 2003 and numbered RX0024;</w:t>
      </w:r>
    </w:p>
    <w:p>
      <w:pPr>
        <w:spacing w:after="0" w:line="22" w:lineRule="exact"/>
        <w:rPr>
          <w:rFonts w:ascii="Arial" w:cs="Arial" w:eastAsia="Arial" w:hAnsi="Arial"/>
          <w:sz w:val="18"/>
          <w:szCs w:val="18"/>
          <w:color w:val="auto"/>
        </w:rPr>
      </w:pPr>
    </w:p>
    <w:p>
      <w:pPr>
        <w:ind w:left="1480" w:right="89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May 23, 2003 and numbered RX0024Tl in the principal amount of $3,187,241.75;</w:t>
      </w:r>
    </w:p>
    <w:p>
      <w:pPr>
        <w:ind w:left="1480" w:right="85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May 23, 2003 and numbered RX0024T2 in the principal amount of $10,500,000;</w:t>
      </w:r>
    </w:p>
    <w:p>
      <w:pPr>
        <w:ind w:left="1480" w:right="63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RX0024T3 in the principal amount of $7,000,000;</w:t>
      </w:r>
    </w:p>
    <w:p>
      <w:pPr>
        <w:ind w:left="1480" w:right="63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RX0024T4 in the principal amount of $7,000,000;</w:t>
      </w:r>
    </w:p>
    <w:p>
      <w:pPr>
        <w:ind w:left="1480" w:right="639" w:hanging="365"/>
        <w:spacing w:after="0" w:line="258"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RX0024T5 in the principal amount of $7,000,000;</w:t>
      </w:r>
    </w:p>
    <w:p>
      <w:pPr>
        <w:ind w:left="1480" w:right="67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RX0024T6 in the principal amount of $10,000,000;</w:t>
      </w:r>
    </w:p>
    <w:p>
      <w:pPr>
        <w:ind w:left="1480" w:right="67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RX0024T7 in the principal amount of $7,000,000;</w:t>
      </w:r>
    </w:p>
    <w:p>
      <w:pPr>
        <w:ind w:left="1480" w:right="67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RX0024T8 in the principal amount of $15,000,000;</w:t>
      </w:r>
    </w:p>
    <w:p>
      <w:pPr>
        <w:ind w:left="1480" w:right="57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October 15, 2014, and numbered RX0024T9 in the principal amount of $15,000,000;</w:t>
      </w:r>
    </w:p>
    <w:p>
      <w:pPr>
        <w:ind w:left="1480" w:right="539" w:hanging="365"/>
        <w:spacing w:after="0" w:line="258"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March 29, 2021, and numbered RX0024Tl O in the principal amount of $20,000,000;</w:t>
      </w:r>
    </w:p>
    <w:p>
      <w:pPr>
        <w:ind w:left="1480" w:right="739" w:hanging="365"/>
        <w:spacing w:after="0" w:line="250" w:lineRule="auto"/>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Promissory Note and Supplement dated as of May 11, 2023, and numbered RX0024Tl 1 in the principal amount of $20,000,000; and</w:t>
      </w:r>
    </w:p>
    <w:p>
      <w:pPr>
        <w:ind w:left="1480" w:hanging="365"/>
        <w:spacing w:after="0"/>
        <w:tabs>
          <w:tab w:leader="none" w:pos="14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amendments to and restatements of any of the foregoing.</w:t>
      </w:r>
    </w:p>
    <w:p>
      <w:pPr>
        <w:spacing w:after="0" w:line="224" w:lineRule="exact"/>
        <w:rPr>
          <w:rFonts w:ascii="Arial" w:cs="Arial" w:eastAsia="Arial" w:hAnsi="Arial"/>
          <w:sz w:val="18"/>
          <w:szCs w:val="18"/>
          <w:color w:val="auto"/>
        </w:rPr>
      </w:pPr>
    </w:p>
    <w:p>
      <w:pPr>
        <w:jc w:val="both"/>
        <w:ind w:left="800" w:right="499" w:hanging="306"/>
        <w:spacing w:after="0" w:line="342"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"Maximum Debt Limit" is: $122,000,000.00 plus: (1) all accrued interest, prepayment premiums, fees and other charges owing to the Mortgagee; and (2) other sums as provided in Section 6.09 of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45" w:name="page46"/>
    <w:bookmarkEnd w:id="45"/>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 Parcel No.: See Attached List of Parcel Numbers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Prepared by/Return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Richards, Layton &amp; Finger,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TO COMBINATION WATER UTILITY REAL ESTATE MORTGAGE AND SECURITY AGREEMENT</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TIDEWATER UTILITIES,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1100 South Little Creek Road Dover, DE 19901</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FAVOR OF</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COBANK,ACB</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6340 South Fiddlers Green Circle Greenwood Village, Colorado 80111</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MORTGAGE GRANTS A SECURITY INTEREST BY A TRANSMITTING UTILITY</w:t>
      </w:r>
    </w:p>
    <w:p>
      <w:pPr>
        <w:spacing w:after="0" w:line="225" w:lineRule="exact"/>
        <w:rPr>
          <w:sz w:val="20"/>
          <w:szCs w:val="20"/>
          <w:color w:val="auto"/>
        </w:rPr>
      </w:pPr>
    </w:p>
    <w:p>
      <w:pPr>
        <w:jc w:val="center"/>
        <w:ind w:left="420" w:right="100"/>
        <w:spacing w:after="0" w:line="277" w:lineRule="auto"/>
        <w:rPr>
          <w:sz w:val="20"/>
          <w:szCs w:val="20"/>
          <w:color w:val="auto"/>
        </w:rPr>
      </w:pPr>
      <w:r>
        <w:rPr>
          <w:rFonts w:ascii="Arial" w:cs="Arial" w:eastAsia="Arial" w:hAnsi="Arial"/>
          <w:sz w:val="18"/>
          <w:szCs w:val="18"/>
          <w:color w:val="auto"/>
        </w:rPr>
        <w:t>THE MORTGAGE CONTAINS AFTER ACQUIRED PROPERTY PROVISIONS AND SUCH AFTER ACQUIRED PROPERTY IS SECURED BY THE MORTGAGE</w:t>
      </w:r>
    </w:p>
    <w:p>
      <w:pPr>
        <w:spacing w:after="0" w:line="170" w:lineRule="exact"/>
        <w:rPr>
          <w:sz w:val="20"/>
          <w:szCs w:val="20"/>
          <w:color w:val="auto"/>
        </w:rPr>
      </w:pPr>
    </w:p>
    <w:p>
      <w:pPr>
        <w:jc w:val="center"/>
        <w:ind w:left="400"/>
        <w:spacing w:after="0" w:line="277" w:lineRule="auto"/>
        <w:rPr>
          <w:sz w:val="20"/>
          <w:szCs w:val="20"/>
          <w:color w:val="auto"/>
        </w:rPr>
      </w:pPr>
      <w:r>
        <w:rPr>
          <w:rFonts w:ascii="Arial" w:cs="Arial" w:eastAsia="Arial" w:hAnsi="Arial"/>
          <w:sz w:val="18"/>
          <w:szCs w:val="18"/>
          <w:color w:val="auto"/>
        </w:rPr>
        <w:t>THIS AMENDMENT TO COMBINATION WATER UTILITY REAL ESTATE MORTGAGE AND SECURITY AGREEMENT MAY BE FILED AS A FINANCING STATEMENT AND MAY BE RECORDED IN THE REAL PROPERTY RECORDS</w:t>
      </w:r>
    </w:p>
    <w:p>
      <w:pPr>
        <w:spacing w:after="0" w:line="170" w:lineRule="exact"/>
        <w:rPr>
          <w:sz w:val="20"/>
          <w:szCs w:val="20"/>
          <w:color w:val="auto"/>
        </w:rPr>
      </w:pPr>
    </w:p>
    <w:p>
      <w:pPr>
        <w:jc w:val="center"/>
        <w:ind w:left="400" w:right="120"/>
        <w:spacing w:after="0" w:line="277" w:lineRule="auto"/>
        <w:rPr>
          <w:sz w:val="20"/>
          <w:szCs w:val="20"/>
          <w:color w:val="auto"/>
        </w:rPr>
      </w:pPr>
      <w:r>
        <w:rPr>
          <w:rFonts w:ascii="Arial" w:cs="Arial" w:eastAsia="Arial" w:hAnsi="Arial"/>
          <w:sz w:val="18"/>
          <w:szCs w:val="18"/>
          <w:color w:val="auto"/>
        </w:rPr>
        <w:t>THIS AMENDMENT INCREASES THE AMOUNT THAT MAY BE SECURED BY THE MORTGAGE AND ADDS NEW DEBT TO THE DEBT SECURED BY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Kent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b w:val="1"/>
          <w:bCs w:val="1"/>
          <w:u w:val="single" w:color="auto"/>
          <w:color w:val="auto"/>
        </w:rPr>
        <w:t>LIST OF TAX PARCEL NUMBERS</w:t>
      </w: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Kent County</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NM 00-094.15-04-33.00-000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NM 00-095.09-01-04.01-000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ED 00-086.16-01-01.02-000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ED-00-056.20-02-53.00-000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SM-00-120.00-01-09.01-000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SM-00-118.00-01-24.01-000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WD-00-092.02-01-05.01-000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NM-00-095.09-01-34.01-000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ED-00-066.04-01-04.01-000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ED-05-057.00-01-12.00-000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LC-03-046.00-01-07.23-000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DC-00-028.01-02-39.00-000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DC-00-028.03-07-30.00-000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AMENDMENT TO COMBINATION WATER UTILITY REAL ESTATE MORTGAGE AND SECURITY AGREEMENT</w:t>
      </w:r>
    </w:p>
    <w:p>
      <w:pPr>
        <w:spacing w:after="0" w:line="225" w:lineRule="exact"/>
        <w:rPr>
          <w:sz w:val="20"/>
          <w:szCs w:val="20"/>
          <w:color w:val="auto"/>
        </w:rPr>
      </w:pPr>
    </w:p>
    <w:p>
      <w:pPr>
        <w:jc w:val="both"/>
        <w:ind w:firstLine="624"/>
        <w:spacing w:after="0" w:line="266" w:lineRule="auto"/>
        <w:rPr>
          <w:sz w:val="20"/>
          <w:szCs w:val="20"/>
          <w:color w:val="auto"/>
        </w:rPr>
      </w:pPr>
      <w:r>
        <w:rPr>
          <w:rFonts w:ascii="Arial" w:cs="Arial" w:eastAsia="Arial" w:hAnsi="Arial"/>
          <w:sz w:val="18"/>
          <w:szCs w:val="18"/>
          <w:b w:val="1"/>
          <w:bCs w:val="1"/>
          <w:color w:val="auto"/>
        </w:rPr>
        <w:t xml:space="preserve">THIS AMENDMENT TO COMBINATION WATER UTILITY REAL ESTATE MORTGAGE AND SECURITY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May 11, 2023, between </w:t>
      </w:r>
      <w:r>
        <w:rPr>
          <w:rFonts w:ascii="Arial" w:cs="Arial" w:eastAsia="Arial" w:hAnsi="Arial"/>
          <w:sz w:val="18"/>
          <w:szCs w:val="18"/>
          <w:b w:val="1"/>
          <w:bCs w:val="1"/>
          <w:color w:val="auto"/>
        </w:rPr>
        <w:t>TIDEWATER UTILITIES, INC.,</w:t>
      </w:r>
      <w:r>
        <w:rPr>
          <w:rFonts w:ascii="Arial" w:cs="Arial" w:eastAsia="Arial" w:hAnsi="Arial"/>
          <w:sz w:val="18"/>
          <w:szCs w:val="18"/>
          <w:color w:val="auto"/>
        </w:rPr>
        <w:t xml:space="preserve">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CoBANK,</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ACB, </w:t>
      </w:r>
      <w:r>
        <w:rPr>
          <w:rFonts w:ascii="Arial" w:cs="Arial" w:eastAsia="Arial" w:hAnsi="Arial"/>
          <w:sz w:val="18"/>
          <w:szCs w:val="18"/>
          <w:color w:val="auto"/>
        </w:rPr>
        <w:t>a federally chartered instrumentality of the United States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("CoBank").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3"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8"/>
          <w:szCs w:val="18"/>
          <w:color w:val="auto"/>
        </w:rPr>
        <w:t xml:space="preserve">WHEREAS, CoBank and the Company are parties to that certain Master Loan Agreement dated as of May 23, 2003 and various amendments thereto (as amended, the </w:t>
      </w:r>
      <w:r>
        <w:rPr>
          <w:rFonts w:ascii="Arial" w:cs="Arial" w:eastAsia="Arial" w:hAnsi="Arial"/>
          <w:sz w:val="18"/>
          <w:szCs w:val="18"/>
          <w:u w:val="single" w:color="auto"/>
          <w:color w:val="auto"/>
        </w:rPr>
        <w:t>"MLA");</w:t>
      </w:r>
    </w:p>
    <w:p>
      <w:pPr>
        <w:spacing w:after="0" w:line="184" w:lineRule="exact"/>
        <w:rPr>
          <w:sz w:val="20"/>
          <w:szCs w:val="20"/>
          <w:color w:val="auto"/>
        </w:rPr>
      </w:pPr>
    </w:p>
    <w:p>
      <w:pPr>
        <w:jc w:val="both"/>
        <w:ind w:firstLine="624"/>
        <w:spacing w:after="0" w:line="269" w:lineRule="auto"/>
        <w:rPr>
          <w:sz w:val="20"/>
          <w:szCs w:val="20"/>
          <w:color w:val="auto"/>
        </w:rPr>
      </w:pPr>
      <w:r>
        <w:rPr>
          <w:rFonts w:ascii="Arial" w:cs="Arial" w:eastAsia="Arial" w:hAnsi="Arial"/>
          <w:sz w:val="17"/>
          <w:szCs w:val="17"/>
          <w:color w:val="auto"/>
        </w:rPr>
        <w:t xml:space="preserve">WHEREAS, in connection with the MLA, CoBank is the mortgagee under the Combination Water Utility Mortgage and Security Agreement from the Company to CoBank dated as of May 23, 2003 and recorded in the Office of the Recorder of Deeds in and for Kent County, State of Delaware </w:t>
      </w:r>
      <w:r>
        <w:rPr>
          <w:rFonts w:ascii="Arial" w:cs="Arial" w:eastAsia="Arial" w:hAnsi="Arial"/>
          <w:sz w:val="17"/>
          <w:szCs w:val="17"/>
          <w:u w:val="single" w:color="auto"/>
          <w:color w:val="auto"/>
        </w:rPr>
        <w:t>("Recorder's Office")</w:t>
      </w:r>
      <w:r>
        <w:rPr>
          <w:rFonts w:ascii="Arial" w:cs="Arial" w:eastAsia="Arial" w:hAnsi="Arial"/>
          <w:sz w:val="17"/>
          <w:szCs w:val="17"/>
          <w:color w:val="auto"/>
        </w:rPr>
        <w:t xml:space="preserve"> in Mortgage Book 1787, Page 183, as amended by an Amendment to Combination Water Utility Real Estate Mortgage and Security Agreement dated as of September 28, 2004 and recorded in the Recorder's Office in Mortgage Book 654, Page 50, an Amendment to Combination Water Utility Real Estate Mortgage and Security Agreement dated April 22, 2005 and recorded in the Recorder's Office in Document No. 2005-24464 {RE, Volume 2289, Page 172), an Amendment to Combination Water Utility Real Estate Mortgage and Security Agreement dated as of March 19, 2009 and recorded in the Recorder's Office in Document No. 143809 (RE, Volume 4874, Page 42), an Amendment to Combination Water Utility Real Estate Mortgage and Security Agreement dated as of October 15, 2014 and recorded in the Recorder's Office in Document No. 263382 (RE, Volume 7379, Page 155), and an Amendment to Combination Water Utility Real Estate Mortgage and Security Agreement dated as of March 29, 2021 and recorded in the Recorder's Office in Document No. 413433 (RE, Volume 10938, Page 312) (collectively, as amended, the </w:t>
      </w:r>
      <w:r>
        <w:rPr>
          <w:rFonts w:ascii="Arial" w:cs="Arial" w:eastAsia="Arial" w:hAnsi="Arial"/>
          <w:sz w:val="17"/>
          <w:szCs w:val="17"/>
          <w:u w:val="single" w:color="auto"/>
          <w:color w:val="auto"/>
        </w:rPr>
        <w:t>"Mortgage");</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pursuant to the MLA, CoBank made various loans to the Company evidenced by the notes described on Appendix A to the Mortgage;</w:t>
      </w:r>
    </w:p>
    <w:p>
      <w:pPr>
        <w:spacing w:after="0" w:line="248"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8"/>
          <w:szCs w:val="18"/>
          <w:color w:val="auto"/>
        </w:rPr>
        <w:t>WHEREAS, pursuant to the MLA, CoBank has agreed to extend $20,000,000 in additional loans to the Company to be evidenced by that certain Promissory Note and Supplement (Multiple Advance Term Loan) dated as of May 11, 2023;</w:t>
      </w:r>
    </w:p>
    <w:p>
      <w:pPr>
        <w:spacing w:after="0" w:line="170" w:lineRule="exact"/>
        <w:rPr>
          <w:sz w:val="20"/>
          <w:szCs w:val="20"/>
          <w:color w:val="auto"/>
        </w:rPr>
      </w:pPr>
    </w:p>
    <w:p>
      <w:pPr>
        <w:jc w:val="both"/>
        <w:ind w:firstLine="625"/>
        <w:spacing w:after="0" w:line="277" w:lineRule="auto"/>
        <w:rPr>
          <w:sz w:val="20"/>
          <w:szCs w:val="20"/>
          <w:color w:val="auto"/>
        </w:rPr>
      </w:pPr>
      <w:r>
        <w:rPr>
          <w:rFonts w:ascii="Arial" w:cs="Arial" w:eastAsia="Arial" w:hAnsi="Arial"/>
          <w:sz w:val="18"/>
          <w:szCs w:val="18"/>
          <w:color w:val="auto"/>
        </w:rPr>
        <w:t>WHEREAS, in connection therewith, the parties desire to amend the existing Mortgage as set forth herein to give notice of the increase in the secured obligations of the Company; and</w:t>
      </w:r>
    </w:p>
    <w:p>
      <w:pPr>
        <w:spacing w:after="0" w:line="184" w:lineRule="exact"/>
        <w:rPr>
          <w:sz w:val="20"/>
          <w:szCs w:val="20"/>
          <w:color w:val="auto"/>
        </w:rPr>
      </w:pPr>
    </w:p>
    <w:p>
      <w:pPr>
        <w:jc w:val="both"/>
        <w:ind w:firstLine="623"/>
        <w:spacing w:after="0" w:line="311" w:lineRule="auto"/>
        <w:rPr>
          <w:sz w:val="20"/>
          <w:szCs w:val="20"/>
          <w:color w:val="auto"/>
        </w:rPr>
      </w:pPr>
      <w:r>
        <w:rPr>
          <w:rFonts w:ascii="Arial" w:cs="Arial" w:eastAsia="Arial" w:hAnsi="Arial"/>
          <w:sz w:val="16"/>
          <w:szCs w:val="16"/>
          <w:color w:val="auto"/>
        </w:rPr>
        <w:t>WHEREAS, the Mortgage, as amended hereby, remains in full force and effect and the lien and security interest and the priority of such lien and security interest granted thereunder continues (without interruption) thereunder. Except as amended hereby, the Mortgage shall otherwise remain unchanged. Capitalized terms used but not defined herein shall have the meanings assigned to such terms or defined by reference in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8" w:name="page49"/>
    <w:bookmarkEnd w:id="48"/>
    <w:p>
      <w:pPr>
        <w:ind w:left="62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parties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firstLine="614"/>
        <w:spacing w:after="0" w:line="282" w:lineRule="auto"/>
        <w:rPr>
          <w:sz w:val="20"/>
          <w:szCs w:val="20"/>
          <w:color w:val="auto"/>
        </w:rPr>
      </w:pPr>
      <w:r>
        <w:rPr>
          <w:rFonts w:ascii="Arial" w:cs="Arial" w:eastAsia="Arial" w:hAnsi="Arial"/>
          <w:sz w:val="18"/>
          <w:szCs w:val="18"/>
          <w:b w:val="1"/>
          <w:bCs w:val="1"/>
          <w:color w:val="auto"/>
        </w:rPr>
        <w:t xml:space="preserve">SECTION 1. Recitals. </w:t>
      </w:r>
      <w:r>
        <w:rPr>
          <w:rFonts w:ascii="Arial" w:cs="Arial" w:eastAsia="Arial" w:hAnsi="Arial"/>
          <w:sz w:val="18"/>
          <w:szCs w:val="18"/>
          <w:color w:val="auto"/>
        </w:rPr>
        <w:t>The recitals set forth above constitute an integral part of this Amendment, are true and correct, and such recitals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are incorporated herein by this reference with the same force and effect as if fully set forth herein.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SECTION 2. Amendment. </w:t>
      </w:r>
      <w:r>
        <w:rPr>
          <w:rFonts w:ascii="Arial" w:cs="Arial" w:eastAsia="Arial" w:hAnsi="Arial"/>
          <w:sz w:val="18"/>
          <w:szCs w:val="18"/>
          <w:color w:val="auto"/>
        </w:rPr>
        <w:t>Appendix A is hereby amended and restated as provided in Appendix A hereto.</w:t>
      </w:r>
    </w:p>
    <w:p>
      <w:pPr>
        <w:spacing w:after="0" w:line="225" w:lineRule="exact"/>
        <w:rPr>
          <w:sz w:val="20"/>
          <w:szCs w:val="20"/>
          <w:color w:val="auto"/>
        </w:rPr>
      </w:pPr>
    </w:p>
    <w:p>
      <w:pPr>
        <w:ind w:right="20" w:firstLine="615"/>
        <w:spacing w:after="0" w:line="312" w:lineRule="auto"/>
        <w:rPr>
          <w:sz w:val="20"/>
          <w:szCs w:val="20"/>
          <w:color w:val="auto"/>
        </w:rPr>
      </w:pPr>
      <w:r>
        <w:rPr>
          <w:rFonts w:ascii="Arial" w:cs="Arial" w:eastAsia="Arial" w:hAnsi="Arial"/>
          <w:sz w:val="17"/>
          <w:szCs w:val="17"/>
          <w:b w:val="1"/>
          <w:bCs w:val="1"/>
          <w:color w:val="auto"/>
        </w:rPr>
        <w:t xml:space="preserve">SECTION 3. Ratification. </w:t>
      </w:r>
      <w:r>
        <w:rPr>
          <w:rFonts w:ascii="Arial" w:cs="Arial" w:eastAsia="Arial" w:hAnsi="Arial"/>
          <w:sz w:val="17"/>
          <w:szCs w:val="17"/>
          <w:color w:val="auto"/>
        </w:rPr>
        <w:t>The Company hereby confirms and ratifies the Mortgage, and confirms and agrees that the Mortgaged Property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secure all of the Company's obligations under the Credit Agreements, including, without limitation, those shown on Appendix A hereto.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Checklist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15"/>
        <w:spacing w:after="0" w:line="277" w:lineRule="auto"/>
        <w:rPr>
          <w:sz w:val="20"/>
          <w:szCs w:val="20"/>
          <w:color w:val="auto"/>
        </w:rPr>
      </w:pPr>
      <w:r>
        <w:rPr>
          <w:rFonts w:ascii="Arial" w:cs="Arial" w:eastAsia="Arial" w:hAnsi="Arial"/>
          <w:sz w:val="18"/>
          <w:szCs w:val="18"/>
          <w:color w:val="auto"/>
        </w:rPr>
        <w:t>IN WITNESS WHEREOF, TIDEWATER UTILITIES, INC., as Mortgagor, has caused this Amendment to be signed in its name and its corporate seal to be hereunto affixed by its officers thereunto duly authorized, all as of the day and year first above written.</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TIDEWATER UTILITIES, INC., Mortgagor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Signed, sealed and delivered in the presence of:</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Jay L. Kooper</w:t>
            </w:r>
          </w:p>
        </w:tc>
        <w:tc>
          <w:tcPr>
            <w:tcW w:w="3460" w:type="dxa"/>
            <w:vAlign w:val="bottom"/>
          </w:tcPr>
          <w:p>
            <w:pPr>
              <w:ind w:left="28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Capko</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w w:val="99"/>
              </w:rPr>
              <w:t>Witness</w:t>
            </w:r>
          </w:p>
        </w:tc>
        <w:tc>
          <w:tcPr>
            <w:tcW w:w="3240" w:type="dxa"/>
            <w:vAlign w:val="bottom"/>
          </w:tcPr>
          <w:p>
            <w:pPr>
              <w:spacing w:after="0"/>
              <w:rPr>
                <w:sz w:val="16"/>
                <w:szCs w:val="16"/>
                <w:color w:val="auto"/>
              </w:rPr>
            </w:pPr>
          </w:p>
        </w:tc>
        <w:tc>
          <w:tcPr>
            <w:tcW w:w="3460" w:type="dxa"/>
            <w:vAlign w:val="bottom"/>
          </w:tcPr>
          <w:p>
            <w:pPr>
              <w:ind w:left="2800"/>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Robert J. Capko</w:t>
            </w:r>
          </w:p>
        </w:tc>
      </w:tr>
      <w:tr>
        <w:trPr>
          <w:trHeight w:val="230"/>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60" w:type="dxa"/>
            <w:vAlign w:val="bottom"/>
          </w:tcPr>
          <w:p>
            <w:pPr>
              <w:ind w:left="2800"/>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Treasurer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Attest:</w:t>
            </w:r>
          </w:p>
        </w:tc>
        <w:tc>
          <w:tcPr>
            <w:tcW w:w="3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Kooper</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Jay L. Kooper</w:t>
            </w:r>
          </w:p>
        </w:tc>
        <w:tc>
          <w:tcPr>
            <w:tcW w:w="346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STATE OF </w:t>
      </w:r>
      <w:r>
        <w:rPr>
          <w:rFonts w:ascii="Arial" w:cs="Arial" w:eastAsia="Arial" w:hAnsi="Arial"/>
          <w:sz w:val="18"/>
          <w:szCs w:val="18"/>
          <w:u w:val="single" w:color="auto"/>
          <w:color w:val="010101"/>
        </w:rPr>
        <w:t>New Jersey</w:t>
      </w:r>
      <w:r>
        <w:rPr>
          <w:rFonts w:ascii="Arial" w:cs="Arial" w:eastAsia="Arial" w:hAnsi="Arial"/>
          <w:sz w:val="18"/>
          <w:szCs w:val="18"/>
          <w:color w:val="010101"/>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COUNTY OF </w:t>
      </w:r>
      <w:r>
        <w:rPr>
          <w:rFonts w:ascii="Arial" w:cs="Arial" w:eastAsia="Arial" w:hAnsi="Arial"/>
          <w:sz w:val="18"/>
          <w:szCs w:val="18"/>
          <w:u w:val="single" w:color="auto"/>
          <w:color w:val="010101"/>
        </w:rPr>
        <w:t>Middlesex</w:t>
      </w:r>
      <w:r>
        <w:rPr>
          <w:rFonts w:ascii="Arial" w:cs="Arial" w:eastAsia="Arial" w:hAnsi="Arial"/>
          <w:sz w:val="18"/>
          <w:szCs w:val="18"/>
          <w:color w:val="010101"/>
        </w:rPr>
        <w:t>)</w:t>
      </w:r>
    </w:p>
    <w:p>
      <w:pPr>
        <w:spacing w:after="0" w:line="229" w:lineRule="exact"/>
        <w:rPr>
          <w:sz w:val="20"/>
          <w:szCs w:val="20"/>
          <w:color w:val="auto"/>
        </w:rPr>
      </w:pPr>
    </w:p>
    <w:p>
      <w:pPr>
        <w:ind w:firstLine="613"/>
        <w:spacing w:after="0" w:line="214" w:lineRule="auto"/>
        <w:rPr>
          <w:sz w:val="20"/>
          <w:szCs w:val="20"/>
          <w:color w:val="auto"/>
        </w:rPr>
      </w:pPr>
      <w:r>
        <w:rPr>
          <w:rFonts w:ascii="Arial" w:cs="Arial" w:eastAsia="Arial" w:hAnsi="Arial"/>
          <w:sz w:val="18"/>
          <w:szCs w:val="18"/>
          <w:color w:val="auto"/>
        </w:rPr>
        <w:t xml:space="preserve">The foregoing instrument was acknowledged before me this </w:t>
      </w:r>
      <w:r>
        <w:rPr>
          <w:rFonts w:ascii="Arial" w:cs="Arial" w:eastAsia="Arial" w:hAnsi="Arial"/>
          <w:sz w:val="18"/>
          <w:szCs w:val="18"/>
          <w:u w:val="single" w:color="auto"/>
          <w:color w:val="auto"/>
        </w:rPr>
        <w:t>9</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May</w:t>
      </w:r>
      <w:r>
        <w:rPr>
          <w:rFonts w:ascii="Arial" w:cs="Arial" w:eastAsia="Arial" w:hAnsi="Arial"/>
          <w:sz w:val="18"/>
          <w:szCs w:val="18"/>
          <w:color w:val="auto"/>
        </w:rPr>
        <w:t>, 2023, by Robert J. Capko, as Treasurer of Tidewater Utilities, Inc., a Delaware corporation, on behalf of said corporation.</w:t>
      </w:r>
    </w:p>
    <w:p>
      <w:pPr>
        <w:spacing w:after="0" w:line="203" w:lineRule="exact"/>
        <w:rPr>
          <w:sz w:val="20"/>
          <w:szCs w:val="20"/>
          <w:color w:val="auto"/>
        </w:rPr>
      </w:pPr>
    </w:p>
    <w:p>
      <w:pPr>
        <w:ind w:firstLine="613"/>
        <w:spacing w:after="0" w:line="277" w:lineRule="auto"/>
        <w:rPr>
          <w:sz w:val="20"/>
          <w:szCs w:val="20"/>
          <w:color w:val="auto"/>
        </w:rPr>
      </w:pPr>
      <w:r>
        <w:rPr>
          <w:rFonts w:ascii="Arial" w:cs="Arial" w:eastAsia="Arial" w:hAnsi="Arial"/>
          <w:sz w:val="18"/>
          <w:szCs w:val="18"/>
          <w:color w:val="auto"/>
        </w:rPr>
        <w:t>IN WITNESS WHEREOF, I have hereunto set my hand and affixed my official seal in the County and State aforesaid, the day and year in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Tracy L. Tyrell</w:t>
            </w:r>
          </w:p>
        </w:tc>
        <w:tc>
          <w:tcPr>
            <w:tcW w:w="64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6700" w:type="dxa"/>
            <w:vAlign w:val="bottom"/>
          </w:tcPr>
          <w:p>
            <w:pPr>
              <w:spacing w:after="0"/>
              <w:rPr>
                <w:sz w:val="16"/>
                <w:szCs w:val="16"/>
                <w:color w:val="auto"/>
              </w:rPr>
            </w:pPr>
          </w:p>
        </w:tc>
        <w:tc>
          <w:tcPr>
            <w:tcW w:w="3900" w:type="dxa"/>
            <w:vAlign w:val="bottom"/>
            <w:gridSpan w:val="5"/>
          </w:tcPr>
          <w:p>
            <w:pPr>
              <w:spacing w:after="0" w:line="195" w:lineRule="exact"/>
              <w:rPr>
                <w:sz w:val="20"/>
                <w:szCs w:val="20"/>
                <w:color w:val="auto"/>
              </w:rPr>
            </w:pPr>
            <w:r>
              <w:rPr>
                <w:rFonts w:ascii="Arial" w:cs="Arial" w:eastAsia="Arial" w:hAnsi="Arial"/>
                <w:sz w:val="18"/>
                <w:szCs w:val="18"/>
                <w:color w:val="auto"/>
              </w:rPr>
              <w:t>Notary Public</w:t>
            </w:r>
          </w:p>
        </w:tc>
        <w:tc>
          <w:tcPr>
            <w:tcW w:w="640" w:type="dxa"/>
            <w:vAlign w:val="bottom"/>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Name: Tracy L. Tyrell</w:t>
            </w:r>
          </w:p>
        </w:tc>
        <w:tc>
          <w:tcPr>
            <w:tcW w:w="64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3900" w:type="dxa"/>
            <w:vAlign w:val="bottom"/>
            <w:gridSpan w:val="5"/>
          </w:tcPr>
          <w:p>
            <w:pPr>
              <w:spacing w:after="0" w:line="196" w:lineRule="exact"/>
              <w:rPr>
                <w:sz w:val="20"/>
                <w:szCs w:val="20"/>
                <w:color w:val="auto"/>
              </w:rPr>
            </w:pPr>
            <w:r>
              <w:rPr>
                <w:rFonts w:ascii="Arial" w:cs="Arial" w:eastAsia="Arial" w:hAnsi="Arial"/>
                <w:sz w:val="18"/>
                <w:szCs w:val="18"/>
                <w:color w:val="auto"/>
              </w:rPr>
              <w:t>My commission expires: 3/16/2027</w:t>
            </w:r>
          </w:p>
        </w:tc>
        <w:tc>
          <w:tcPr>
            <w:tcW w:w="640" w:type="dxa"/>
            <w:vAlign w:val="bottom"/>
          </w:tcPr>
          <w:p>
            <w:pPr>
              <w:spacing w:after="0"/>
              <w:rPr>
                <w:sz w:val="17"/>
                <w:szCs w:val="17"/>
                <w:color w:val="auto"/>
              </w:rPr>
            </w:pPr>
          </w:p>
        </w:tc>
      </w:tr>
      <w:tr>
        <w:trPr>
          <w:trHeight w:val="567"/>
        </w:trPr>
        <w:tc>
          <w:tcPr>
            <w:tcW w:w="6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4" w:right="339" w:bottom="1440" w:gutter="0" w:footer="0" w:header="0"/>
        </w:sectPr>
      </w:pPr>
    </w:p>
    <w:bookmarkStart w:id="50" w:name="page51"/>
    <w:bookmarkEnd w:id="50"/>
    <w:p>
      <w:pPr>
        <w:ind w:right="20" w:firstLine="613"/>
        <w:spacing w:after="0" w:line="282" w:lineRule="auto"/>
        <w:rPr>
          <w:sz w:val="20"/>
          <w:szCs w:val="20"/>
          <w:color w:val="auto"/>
        </w:rPr>
      </w:pPr>
      <w:r>
        <w:rPr>
          <w:rFonts w:ascii="Arial" w:cs="Arial" w:eastAsia="Arial" w:hAnsi="Arial"/>
          <w:sz w:val="18"/>
          <w:szCs w:val="18"/>
          <w:b w:val="1"/>
          <w:bCs w:val="1"/>
          <w:color w:val="auto"/>
        </w:rPr>
        <w:t xml:space="preserve">IN WITNESS WHEREOF, CoBANK, ACB, </w:t>
      </w:r>
      <w:r>
        <w:rPr>
          <w:rFonts w:ascii="Arial" w:cs="Arial" w:eastAsia="Arial" w:hAnsi="Arial"/>
          <w:sz w:val="18"/>
          <w:szCs w:val="18"/>
          <w:color w:val="auto"/>
        </w:rPr>
        <w:t>as Mortgagee, has caused this Amendment to be signed in its name and its corporate seal to be</w:t>
      </w:r>
      <w:r>
        <w:rPr>
          <w:rFonts w:ascii="Arial" w:cs="Arial" w:eastAsia="Arial" w:hAnsi="Arial"/>
          <w:sz w:val="18"/>
          <w:szCs w:val="18"/>
          <w:b w:val="1"/>
          <w:bCs w:val="1"/>
          <w:color w:val="auto"/>
        </w:rPr>
        <w:t xml:space="preserve"> </w:t>
      </w:r>
      <w:r>
        <w:rPr>
          <w:rFonts w:ascii="Arial" w:cs="Arial" w:eastAsia="Arial" w:hAnsi="Arial"/>
          <w:sz w:val="18"/>
          <w:szCs w:val="18"/>
          <w:color w:val="auto"/>
        </w:rPr>
        <w:t>hereunto affixed and attested by its officers thereunto duly authorized, all as of the day and year first above written.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vMerge w:val="restart"/>
          </w:tcPr>
          <w:p>
            <w:pPr>
              <w:spacing w:after="0"/>
              <w:rPr>
                <w:sz w:val="20"/>
                <w:szCs w:val="20"/>
                <w:color w:val="auto"/>
              </w:rPr>
            </w:pPr>
            <w:r>
              <w:rPr>
                <w:rFonts w:ascii="Arial" w:cs="Arial" w:eastAsia="Arial" w:hAnsi="Arial"/>
                <w:sz w:val="18"/>
                <w:szCs w:val="18"/>
                <w:color w:val="auto"/>
              </w:rPr>
              <w:t>Signed, sealed and delivered in the presence of:</w:t>
            </w:r>
          </w:p>
        </w:tc>
        <w:tc>
          <w:tcPr>
            <w:tcW w:w="6700" w:type="dxa"/>
            <w:vAlign w:val="bottom"/>
            <w:gridSpan w:val="2"/>
          </w:tcPr>
          <w:p>
            <w:pPr>
              <w:ind w:left="2800"/>
              <w:spacing w:after="0"/>
              <w:rPr>
                <w:sz w:val="20"/>
                <w:szCs w:val="20"/>
                <w:color w:val="auto"/>
              </w:rPr>
            </w:pPr>
            <w:r>
              <w:rPr>
                <w:rFonts w:ascii="Arial" w:cs="Arial" w:eastAsia="Arial" w:hAnsi="Arial"/>
                <w:sz w:val="18"/>
                <w:szCs w:val="18"/>
                <w:b w:val="1"/>
                <w:bCs w:val="1"/>
                <w:color w:val="auto"/>
              </w:rPr>
              <w:t>CoBANK, ACB., Mortgagee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Satriano</w:t>
            </w:r>
          </w:p>
        </w:tc>
        <w:tc>
          <w:tcPr>
            <w:tcW w:w="3460" w:type="dxa"/>
            <w:vAlign w:val="bottom"/>
          </w:tcPr>
          <w:p>
            <w:pPr>
              <w:ind w:left="28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c>
          <w:tcPr>
            <w:tcW w:w="560" w:type="dxa"/>
            <w:vAlign w:val="bottom"/>
          </w:tcPr>
          <w:p>
            <w:pPr>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195"/>
        </w:trPr>
        <w:tc>
          <w:tcPr>
            <w:tcW w:w="3900" w:type="dxa"/>
            <w:vAlign w:val="bottom"/>
          </w:tcPr>
          <w:p>
            <w:pPr>
              <w:spacing w:after="0" w:line="195" w:lineRule="exact"/>
              <w:rPr>
                <w:sz w:val="20"/>
                <w:szCs w:val="20"/>
                <w:color w:val="auto"/>
              </w:rPr>
            </w:pPr>
            <w:r>
              <w:rPr>
                <w:rFonts w:ascii="Arial" w:cs="Arial" w:eastAsia="Arial" w:hAnsi="Arial"/>
                <w:sz w:val="18"/>
                <w:szCs w:val="18"/>
                <w:color w:val="auto"/>
              </w:rPr>
              <w:t>Witness</w:t>
            </w:r>
          </w:p>
        </w:tc>
        <w:tc>
          <w:tcPr>
            <w:tcW w:w="3460" w:type="dxa"/>
            <w:vAlign w:val="bottom"/>
          </w:tcPr>
          <w:p>
            <w:pPr>
              <w:ind w:left="2800"/>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Jared A. Greene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460" w:type="dxa"/>
            <w:vAlign w:val="bottom"/>
          </w:tcPr>
          <w:p>
            <w:pPr>
              <w:ind w:left="2800"/>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STATE OF </w:t>
      </w:r>
      <w:r>
        <w:rPr>
          <w:rFonts w:ascii="Arial" w:cs="Arial" w:eastAsia="Arial" w:hAnsi="Arial"/>
          <w:sz w:val="18"/>
          <w:szCs w:val="18"/>
          <w:u w:val="single" w:color="auto"/>
          <w:color w:val="010101"/>
        </w:rPr>
        <w:t>Colorado</w:t>
      </w:r>
      <w:r>
        <w:rPr>
          <w:rFonts w:ascii="Arial" w:cs="Arial" w:eastAsia="Arial" w:hAnsi="Arial"/>
          <w:sz w:val="18"/>
          <w:szCs w:val="18"/>
          <w:color w:val="010101"/>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COUNTY OF </w:t>
      </w:r>
      <w:r>
        <w:rPr>
          <w:rFonts w:ascii="Arial" w:cs="Arial" w:eastAsia="Arial" w:hAnsi="Arial"/>
          <w:sz w:val="18"/>
          <w:szCs w:val="18"/>
          <w:u w:val="single" w:color="auto"/>
          <w:color w:val="010101"/>
        </w:rPr>
        <w:t>Arapahoe</w:t>
      </w:r>
      <w:r>
        <w:rPr>
          <w:rFonts w:ascii="Arial" w:cs="Arial" w:eastAsia="Arial" w:hAnsi="Arial"/>
          <w:sz w:val="18"/>
          <w:szCs w:val="18"/>
          <w:color w:val="010101"/>
        </w:rPr>
        <w:t>)</w:t>
      </w:r>
    </w:p>
    <w:p>
      <w:pPr>
        <w:spacing w:after="0" w:line="229" w:lineRule="exact"/>
        <w:rPr>
          <w:sz w:val="20"/>
          <w:szCs w:val="20"/>
          <w:color w:val="auto"/>
        </w:rPr>
      </w:pPr>
    </w:p>
    <w:p>
      <w:pPr>
        <w:ind w:right="20" w:firstLine="613"/>
        <w:spacing w:after="0" w:line="214" w:lineRule="auto"/>
        <w:rPr>
          <w:sz w:val="20"/>
          <w:szCs w:val="20"/>
          <w:color w:val="auto"/>
        </w:rPr>
      </w:pPr>
      <w:r>
        <w:rPr>
          <w:rFonts w:ascii="Arial" w:cs="Arial" w:eastAsia="Arial" w:hAnsi="Arial"/>
          <w:sz w:val="18"/>
          <w:szCs w:val="18"/>
          <w:color w:val="auto"/>
        </w:rPr>
        <w:t xml:space="preserve">The foregoing instrument was acknowledged before me this </w:t>
      </w:r>
      <w:r>
        <w:rPr>
          <w:rFonts w:ascii="Arial" w:cs="Arial" w:eastAsia="Arial" w:hAnsi="Arial"/>
          <w:sz w:val="18"/>
          <w:szCs w:val="18"/>
          <w:u w:val="single" w:color="auto"/>
          <w:color w:val="auto"/>
        </w:rPr>
        <w:t>10</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May</w:t>
      </w:r>
      <w:r>
        <w:rPr>
          <w:rFonts w:ascii="Arial" w:cs="Arial" w:eastAsia="Arial" w:hAnsi="Arial"/>
          <w:sz w:val="18"/>
          <w:szCs w:val="18"/>
          <w:color w:val="auto"/>
        </w:rPr>
        <w:t>, 2023, by Jared A. Greene, as Assistant Corporate Secretary of CoBank, ACB, , a federally chartered instrumentality of the Untied States, on behalf of said corporation.</w:t>
      </w:r>
    </w:p>
    <w:p>
      <w:pPr>
        <w:spacing w:after="0" w:line="203" w:lineRule="exact"/>
        <w:rPr>
          <w:sz w:val="20"/>
          <w:szCs w:val="20"/>
          <w:color w:val="auto"/>
        </w:rPr>
      </w:pPr>
    </w:p>
    <w:p>
      <w:pPr>
        <w:ind w:firstLine="613"/>
        <w:spacing w:after="0" w:line="277" w:lineRule="auto"/>
        <w:rPr>
          <w:sz w:val="20"/>
          <w:szCs w:val="20"/>
          <w:color w:val="auto"/>
        </w:rPr>
      </w:pPr>
      <w:r>
        <w:rPr>
          <w:rFonts w:ascii="Arial" w:cs="Arial" w:eastAsia="Arial" w:hAnsi="Arial"/>
          <w:sz w:val="18"/>
          <w:szCs w:val="18"/>
          <w:color w:val="auto"/>
        </w:rPr>
        <w:t>IN WITNESS WHEREOF, I have hereunto set my hand and affixed my official seal in the County and State aforesaid, the day and year in first above written.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Megan Moloznik</w:t>
            </w:r>
          </w:p>
        </w:tc>
        <w:tc>
          <w:tcPr>
            <w:tcW w:w="64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6700" w:type="dxa"/>
            <w:vAlign w:val="bottom"/>
          </w:tcPr>
          <w:p>
            <w:pPr>
              <w:spacing w:after="0"/>
              <w:rPr>
                <w:sz w:val="16"/>
                <w:szCs w:val="16"/>
                <w:color w:val="auto"/>
              </w:rPr>
            </w:pPr>
          </w:p>
        </w:tc>
        <w:tc>
          <w:tcPr>
            <w:tcW w:w="3900" w:type="dxa"/>
            <w:vAlign w:val="bottom"/>
            <w:gridSpan w:val="5"/>
          </w:tcPr>
          <w:p>
            <w:pPr>
              <w:spacing w:after="0" w:line="195" w:lineRule="exact"/>
              <w:rPr>
                <w:sz w:val="20"/>
                <w:szCs w:val="20"/>
                <w:color w:val="auto"/>
              </w:rPr>
            </w:pPr>
            <w:r>
              <w:rPr>
                <w:rFonts w:ascii="Arial" w:cs="Arial" w:eastAsia="Arial" w:hAnsi="Arial"/>
                <w:sz w:val="18"/>
                <w:szCs w:val="18"/>
                <w:color w:val="auto"/>
              </w:rPr>
              <w:t>Notary Public</w:t>
            </w:r>
          </w:p>
        </w:tc>
        <w:tc>
          <w:tcPr>
            <w:tcW w:w="640" w:type="dxa"/>
            <w:vAlign w:val="bottom"/>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Name: Megan Moloznik</w:t>
            </w:r>
          </w:p>
        </w:tc>
        <w:tc>
          <w:tcPr>
            <w:tcW w:w="64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3900" w:type="dxa"/>
            <w:vAlign w:val="bottom"/>
            <w:gridSpan w:val="5"/>
          </w:tcPr>
          <w:p>
            <w:pPr>
              <w:spacing w:after="0" w:line="196" w:lineRule="exact"/>
              <w:rPr>
                <w:sz w:val="20"/>
                <w:szCs w:val="20"/>
                <w:color w:val="auto"/>
              </w:rPr>
            </w:pPr>
            <w:r>
              <w:rPr>
                <w:rFonts w:ascii="Arial" w:cs="Arial" w:eastAsia="Arial" w:hAnsi="Arial"/>
                <w:sz w:val="18"/>
                <w:szCs w:val="18"/>
                <w:color w:val="auto"/>
              </w:rPr>
              <w:t>My commission expires: 2/21/2026</w:t>
            </w:r>
          </w:p>
        </w:tc>
        <w:tc>
          <w:tcPr>
            <w:tcW w:w="640" w:type="dxa"/>
            <w:vAlign w:val="bottom"/>
          </w:tcPr>
          <w:p>
            <w:pPr>
              <w:spacing w:after="0"/>
              <w:rPr>
                <w:sz w:val="17"/>
                <w:szCs w:val="17"/>
                <w:color w:val="auto"/>
              </w:rPr>
            </w:pPr>
          </w:p>
        </w:tc>
      </w:tr>
      <w:tr>
        <w:trPr>
          <w:trHeight w:val="797"/>
        </w:trPr>
        <w:tc>
          <w:tcPr>
            <w:tcW w:w="6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0" w:right="339" w:bottom="1440" w:gutter="0" w:footer="0" w:header="0"/>
        </w:sectPr>
      </w:pPr>
    </w:p>
    <w:bookmarkStart w:id="51" w:name="page52"/>
    <w:bookmarkEnd w:id="51"/>
    <w:p>
      <w:pPr>
        <w:ind w:left="1860"/>
        <w:spacing w:after="0"/>
        <w:rPr>
          <w:sz w:val="20"/>
          <w:szCs w:val="20"/>
          <w:color w:val="auto"/>
        </w:rPr>
      </w:pPr>
      <w:r>
        <w:rPr>
          <w:rFonts w:ascii="Arial" w:cs="Arial" w:eastAsia="Arial" w:hAnsi="Arial"/>
          <w:sz w:val="18"/>
          <w:szCs w:val="18"/>
          <w:b w:val="1"/>
          <w:bCs w:val="1"/>
          <w:color w:val="auto"/>
        </w:rPr>
        <w:t xml:space="preserve">APPENDIX A </w:t>
      </w:r>
      <w:r>
        <w:rPr>
          <w:rFonts w:ascii="Arial" w:cs="Arial" w:eastAsia="Arial" w:hAnsi="Arial"/>
          <w:sz w:val="18"/>
          <w:szCs w:val="18"/>
          <w:color w:val="auto"/>
        </w:rPr>
        <w:t>- -</w:t>
      </w:r>
      <w:r>
        <w:rPr>
          <w:rFonts w:ascii="Arial" w:cs="Arial" w:eastAsia="Arial" w:hAnsi="Arial"/>
          <w:sz w:val="18"/>
          <w:szCs w:val="18"/>
          <w:b w:val="1"/>
          <w:bCs w:val="1"/>
          <w:color w:val="auto"/>
        </w:rPr>
        <w:t xml:space="preserve"> CERTAIN OBLIGATIONS; ETC.</w:t>
      </w:r>
    </w:p>
    <w:p>
      <w:pPr>
        <w:spacing w:after="0" w:line="229" w:lineRule="exact"/>
        <w:rPr>
          <w:sz w:val="20"/>
          <w:szCs w:val="20"/>
          <w:color w:val="auto"/>
        </w:rPr>
      </w:pPr>
    </w:p>
    <w:p>
      <w:pPr>
        <w:ind w:left="760" w:hanging="30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"Credit Agreement" referred to in Section 1.01 of the Mortgage includes but is not limited to the following:</w:t>
      </w:r>
    </w:p>
    <w:p>
      <w:pPr>
        <w:spacing w:after="0" w:line="46" w:lineRule="exact"/>
        <w:rPr>
          <w:rFonts w:ascii="Arial" w:cs="Arial" w:eastAsia="Arial" w:hAnsi="Arial"/>
          <w:sz w:val="16"/>
          <w:szCs w:val="16"/>
          <w:color w:val="auto"/>
        </w:rPr>
      </w:pPr>
    </w:p>
    <w:p>
      <w:pPr>
        <w:ind w:left="1440" w:hanging="365"/>
        <w:spacing w:after="0"/>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Master Loan Agreement dated as of May 23, 2003 and numbered RX0024;</w:t>
      </w:r>
    </w:p>
    <w:p>
      <w:pPr>
        <w:spacing w:after="0" w:line="22" w:lineRule="exact"/>
        <w:rPr>
          <w:rFonts w:ascii="Arial" w:cs="Arial" w:eastAsia="Arial" w:hAnsi="Arial"/>
          <w:sz w:val="18"/>
          <w:szCs w:val="18"/>
          <w:color w:val="auto"/>
        </w:rPr>
      </w:pPr>
    </w:p>
    <w:p>
      <w:pPr>
        <w:ind w:left="1440" w:right="939" w:hanging="365"/>
        <w:spacing w:after="0" w:line="250" w:lineRule="auto"/>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Promissory Note and Supplement dated as of May 23, 2003 and numbered RX0024Tl in the principal amount of$3,187,241.75;</w:t>
      </w:r>
    </w:p>
    <w:p>
      <w:pPr>
        <w:ind w:left="1440" w:right="899" w:hanging="365"/>
        <w:spacing w:after="0" w:line="250" w:lineRule="auto"/>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Promissory Note and Supplement dated as of May 23, 2003 and numbered RX0024T2 in the principal amount of$10,500,000;</w:t>
      </w:r>
    </w:p>
    <w:p>
      <w:pPr>
        <w:ind w:left="1440" w:right="679" w:hanging="365"/>
        <w:spacing w:after="0" w:line="250" w:lineRule="auto"/>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RX0024T3 in the principal amount of$7,000,000;</w:t>
      </w:r>
    </w:p>
    <w:p>
      <w:pPr>
        <w:ind w:left="1440" w:right="679" w:hanging="365"/>
        <w:spacing w:after="0" w:line="258" w:lineRule="auto"/>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RX0024T4 in the principal amount of$7,000,000;</w:t>
      </w:r>
    </w:p>
    <w:p>
      <w:pPr>
        <w:ind w:left="1440" w:right="679" w:hanging="365"/>
        <w:spacing w:after="0" w:line="250" w:lineRule="auto"/>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RX0024T5 in the principal amount of$7,000,000;</w:t>
      </w:r>
    </w:p>
    <w:p>
      <w:pPr>
        <w:ind w:left="1440" w:right="719" w:hanging="365"/>
        <w:spacing w:after="0" w:line="250" w:lineRule="auto"/>
        <w:tabs>
          <w:tab w:leader="none" w:pos="1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RX0024T6 in the principal amount of$10,000,000;</w:t>
      </w:r>
    </w:p>
    <w:p>
      <w:pPr>
        <w:ind w:left="1440" w:right="719" w:hanging="365"/>
        <w:spacing w:after="0" w:line="250" w:lineRule="auto"/>
        <w:tabs>
          <w:tab w:leader="none" w:pos="1440" w:val="left"/>
        </w:tabs>
        <w:numPr>
          <w:ilvl w:val="2"/>
          <w:numId w:val="22"/>
        </w:numPr>
        <w:rPr>
          <w:rFonts w:ascii="Arial" w:cs="Arial" w:eastAsia="Arial" w:hAnsi="Arial"/>
          <w:sz w:val="18"/>
          <w:szCs w:val="18"/>
          <w:b w:val="1"/>
          <w:bCs w:val="1"/>
          <w:color w:val="auto"/>
        </w:rPr>
      </w:pPr>
      <w:r>
        <w:rPr>
          <w:rFonts w:ascii="Arial" w:cs="Arial" w:eastAsia="Arial" w:hAnsi="Arial"/>
          <w:sz w:val="18"/>
          <w:szCs w:val="18"/>
          <w:color w:val="auto"/>
        </w:rPr>
        <w:t>Promissory Note and Supplement dated as of March 19, 2009, and numbered RX0024T7 in the principal amount of$7,000,000;</w:t>
      </w:r>
    </w:p>
    <w:p>
      <w:pPr>
        <w:ind w:left="1420" w:right="739" w:hanging="359"/>
        <w:spacing w:after="0" w:line="250"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RX0024T8 in the principal amount of$15,000,000;</w:t>
      </w:r>
    </w:p>
    <w:p>
      <w:pPr>
        <w:ind w:left="1440" w:right="619" w:hanging="365"/>
        <w:spacing w:after="0" w:line="250" w:lineRule="auto"/>
        <w:tabs>
          <w:tab w:leader="none" w:pos="14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Promissory Note and Supplement dated as of October 15, 2014, and numbered RX0024T9 in the principal amount of$15,000,000;</w:t>
      </w:r>
    </w:p>
    <w:p>
      <w:pPr>
        <w:ind w:left="1440" w:right="579" w:hanging="365"/>
        <w:spacing w:after="0" w:line="258" w:lineRule="auto"/>
        <w:tabs>
          <w:tab w:leader="none" w:pos="14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Promissory Note and Supplement dated as of March 29, 2021, and numbered RX0024Tl O in the principal amount of $20,000,000;</w:t>
      </w:r>
    </w:p>
    <w:p>
      <w:pPr>
        <w:ind w:left="1440" w:right="739" w:hanging="365"/>
        <w:spacing w:after="0" w:line="250" w:lineRule="auto"/>
        <w:tabs>
          <w:tab w:leader="none" w:pos="14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Promissory Note and Supplement dated as of May 11, 2023, and numbered RX0024T 11 in the principal amount of $20,000,000; and</w:t>
      </w:r>
    </w:p>
    <w:p>
      <w:pPr>
        <w:ind w:left="1440" w:hanging="365"/>
        <w:spacing w:after="0"/>
        <w:tabs>
          <w:tab w:leader="none" w:pos="14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amendments to and restatements of any of the foregoing.</w:t>
      </w:r>
    </w:p>
    <w:p>
      <w:pPr>
        <w:spacing w:after="0" w:line="210" w:lineRule="exact"/>
        <w:rPr>
          <w:rFonts w:ascii="Arial" w:cs="Arial" w:eastAsia="Arial" w:hAnsi="Arial"/>
          <w:sz w:val="18"/>
          <w:szCs w:val="18"/>
          <w:color w:val="auto"/>
        </w:rPr>
      </w:pPr>
    </w:p>
    <w:p>
      <w:pPr>
        <w:ind w:left="760" w:right="299" w:hanging="306"/>
        <w:spacing w:after="0" w:line="342"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"Maximum Debt Limit" is: $122,000,000.00 plus: (1) all accrued interest, prepayment premiums, fees and other charges owing to the Mortgagee; and (2) other sums as provided in Section 6.09 of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Tax Parcel No.: See Attached List of Parcel Numbers</w:t>
      </w:r>
    </w:p>
    <w:p>
      <w:pPr>
        <w:spacing w:after="0" w:line="200" w:lineRule="exact"/>
        <w:rPr>
          <w:sz w:val="20"/>
          <w:szCs w:val="20"/>
          <w:color w:val="auto"/>
        </w:rPr>
      </w:pPr>
    </w:p>
    <w:p>
      <w:pPr>
        <w:spacing w:after="0" w:line="241"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Prepared by/Return to:</w:t>
      </w:r>
    </w:p>
    <w:p>
      <w:pPr>
        <w:spacing w:after="0" w:line="46"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Richards, Layton &amp; Finger, P.A.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 Box 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COMBINATION WATER UTILITY REAL ESTATE MORTGAGE AND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TIDEWATER UTILITIES,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1100 South Little Creek Road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Dover, DE 19901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FAVOR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COBANK,ACB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6340 South Fiddlers Green Circle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Greenwood Village, Colorado 80111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MORTGAGE GRANTS A SECURITY INTEREST BY A TRANSMITTING UTILITY</w:t>
      </w:r>
    </w:p>
    <w:p>
      <w:pPr>
        <w:spacing w:after="0" w:line="225" w:lineRule="exact"/>
        <w:rPr>
          <w:sz w:val="20"/>
          <w:szCs w:val="20"/>
          <w:color w:val="auto"/>
        </w:rPr>
      </w:pPr>
    </w:p>
    <w:p>
      <w:pPr>
        <w:jc w:val="center"/>
        <w:ind w:left="340" w:right="180"/>
        <w:spacing w:after="0" w:line="277" w:lineRule="auto"/>
        <w:rPr>
          <w:sz w:val="20"/>
          <w:szCs w:val="20"/>
          <w:color w:val="auto"/>
        </w:rPr>
      </w:pPr>
      <w:r>
        <w:rPr>
          <w:rFonts w:ascii="Arial" w:cs="Arial" w:eastAsia="Arial" w:hAnsi="Arial"/>
          <w:sz w:val="18"/>
          <w:szCs w:val="18"/>
          <w:color w:val="auto"/>
        </w:rPr>
        <w:t>THE MORTGAGE CONTAINS AFTER ACQUIRED PROPERTY PROVISIONS AND SUCH AFTER ACQUIRED PROPERTY IS SECURED BY THE MORTGAGE</w:t>
      </w:r>
    </w:p>
    <w:p>
      <w:pPr>
        <w:spacing w:after="0" w:line="184"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THIS AMENDMENT TO COMBINATION WATER UTILITY REAL ESTATE MORTGAGE AND SECURITY AGREEMENT MAY BE FILED AS A FINANCING STATEMENT AND MAY BE RECORDED IN THE REAL PROPERTY RECORDS</w:t>
      </w:r>
    </w:p>
    <w:p>
      <w:pPr>
        <w:spacing w:after="0" w:line="170" w:lineRule="exact"/>
        <w:rPr>
          <w:sz w:val="20"/>
          <w:szCs w:val="20"/>
          <w:color w:val="auto"/>
        </w:rPr>
      </w:pPr>
    </w:p>
    <w:p>
      <w:pPr>
        <w:jc w:val="center"/>
        <w:ind w:left="340" w:right="200"/>
        <w:spacing w:after="0" w:line="277" w:lineRule="auto"/>
        <w:rPr>
          <w:sz w:val="20"/>
          <w:szCs w:val="20"/>
          <w:color w:val="auto"/>
        </w:rPr>
      </w:pPr>
      <w:r>
        <w:rPr>
          <w:rFonts w:ascii="Arial" w:cs="Arial" w:eastAsia="Arial" w:hAnsi="Arial"/>
          <w:sz w:val="18"/>
          <w:szCs w:val="18"/>
          <w:color w:val="auto"/>
        </w:rPr>
        <w:t>THIS AMENDMENT INCREASES THE AMOUNT THAT MAY BE SECURED BY THE MORTGAGE AND ADDS NEW DEBT TO THE DEBT SECURED BY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New Castle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center"/>
        <w:ind w:right="-200"/>
        <w:spacing w:after="0"/>
        <w:rPr>
          <w:sz w:val="20"/>
          <w:szCs w:val="20"/>
          <w:color w:val="auto"/>
        </w:rPr>
      </w:pPr>
      <w:r>
        <w:rPr>
          <w:rFonts w:ascii="Arial" w:cs="Arial" w:eastAsia="Arial" w:hAnsi="Arial"/>
          <w:sz w:val="17"/>
          <w:szCs w:val="17"/>
          <w:b w:val="1"/>
          <w:bCs w:val="1"/>
          <w:u w:val="single" w:color="auto"/>
          <w:color w:val="auto"/>
        </w:rPr>
        <w:t>LIST OF TAX PARCEL NUMBERS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Castle County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13-019.10-106</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13-019.10-051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13-007.40-098</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13-011.00-122</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13-013.20-180</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11-057.00-014</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13-018.00-239</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13-012.00-106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220345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39"/>
          </w:cols>
          <w:pgMar w:left="1220" w:top="1066"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AMENDMENT TO COMBINATION WATER UTILITY REAL ESTATE MORTGAGE AND SECURITY AGREEMENT</w:t>
      </w:r>
    </w:p>
    <w:p>
      <w:pPr>
        <w:spacing w:after="0" w:line="23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8"/>
          <w:szCs w:val="18"/>
          <w:b w:val="1"/>
          <w:bCs w:val="1"/>
          <w:color w:val="auto"/>
        </w:rPr>
        <w:t xml:space="preserve">THIS AMENDMENT TO COMBINATION WATER UTILITY REAL ESTATE MORTGAGE AND SECURITY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May 11, 2023, between </w:t>
      </w:r>
      <w:r>
        <w:rPr>
          <w:rFonts w:ascii="Arial" w:cs="Arial" w:eastAsia="Arial" w:hAnsi="Arial"/>
          <w:sz w:val="18"/>
          <w:szCs w:val="18"/>
          <w:b w:val="1"/>
          <w:bCs w:val="1"/>
          <w:color w:val="auto"/>
        </w:rPr>
        <w:t>TIDEWATER UTILITIES, INC.,</w:t>
      </w:r>
      <w:r>
        <w:rPr>
          <w:rFonts w:ascii="Arial" w:cs="Arial" w:eastAsia="Arial" w:hAnsi="Arial"/>
          <w:sz w:val="18"/>
          <w:szCs w:val="18"/>
          <w:color w:val="auto"/>
        </w:rPr>
        <w:t xml:space="preserve">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CoBANK,</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ACB, </w:t>
      </w:r>
      <w:r>
        <w:rPr>
          <w:rFonts w:ascii="Arial" w:cs="Arial" w:eastAsia="Arial" w:hAnsi="Arial"/>
          <w:sz w:val="18"/>
          <w:szCs w:val="18"/>
          <w:color w:val="auto"/>
        </w:rPr>
        <w:t>a federally chartered instrumentality of the United States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("CoBank").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14"/>
        <w:spacing w:after="0" w:line="277" w:lineRule="auto"/>
        <w:rPr>
          <w:sz w:val="20"/>
          <w:szCs w:val="20"/>
          <w:color w:val="auto"/>
        </w:rPr>
      </w:pPr>
      <w:r>
        <w:rPr>
          <w:rFonts w:ascii="Arial" w:cs="Arial" w:eastAsia="Arial" w:hAnsi="Arial"/>
          <w:sz w:val="18"/>
          <w:szCs w:val="18"/>
          <w:color w:val="auto"/>
        </w:rPr>
        <w:t xml:space="preserve">WHEREAS, CoBank and the Company are parties to that certain Master Loan Agreement dated as of May 23, 2003 and various amendments thereto (as amended, the </w:t>
      </w:r>
      <w:r>
        <w:rPr>
          <w:rFonts w:ascii="Arial" w:cs="Arial" w:eastAsia="Arial" w:hAnsi="Arial"/>
          <w:sz w:val="18"/>
          <w:szCs w:val="18"/>
          <w:u w:val="single" w:color="auto"/>
          <w:color w:val="auto"/>
        </w:rPr>
        <w:t>"MLA");</w:t>
      </w:r>
    </w:p>
    <w:p>
      <w:pPr>
        <w:spacing w:after="0" w:line="170" w:lineRule="exact"/>
        <w:rPr>
          <w:sz w:val="20"/>
          <w:szCs w:val="20"/>
          <w:color w:val="auto"/>
        </w:rPr>
      </w:pPr>
    </w:p>
    <w:p>
      <w:pPr>
        <w:jc w:val="both"/>
        <w:ind w:firstLine="620"/>
        <w:spacing w:after="0" w:line="269" w:lineRule="auto"/>
        <w:rPr>
          <w:sz w:val="20"/>
          <w:szCs w:val="20"/>
          <w:color w:val="auto"/>
        </w:rPr>
      </w:pPr>
      <w:r>
        <w:rPr>
          <w:rFonts w:ascii="Arial" w:cs="Arial" w:eastAsia="Arial" w:hAnsi="Arial"/>
          <w:sz w:val="17"/>
          <w:szCs w:val="17"/>
          <w:color w:val="auto"/>
        </w:rPr>
        <w:t xml:space="preserve">WHEREAS, in connection with the MLA, CoBank is the mortgagee under the Combination Water Utility Mortgage and Security Agreement from the Company to CoBank dated as of May 23, 2003 and recorded in the Office of the Recorder of Deeds in and for New Castle County, State of Delaware </w:t>
      </w:r>
      <w:r>
        <w:rPr>
          <w:rFonts w:ascii="Arial" w:cs="Arial" w:eastAsia="Arial" w:hAnsi="Arial"/>
          <w:sz w:val="17"/>
          <w:szCs w:val="17"/>
          <w:u w:val="single" w:color="auto"/>
          <w:color w:val="auto"/>
        </w:rPr>
        <w:t>("Recorder's Office")</w:t>
      </w:r>
      <w:r>
        <w:rPr>
          <w:rFonts w:ascii="Arial" w:cs="Arial" w:eastAsia="Arial" w:hAnsi="Arial"/>
          <w:sz w:val="17"/>
          <w:szCs w:val="17"/>
          <w:color w:val="auto"/>
        </w:rPr>
        <w:t xml:space="preserve"> in Instrument No: 20030523-0063462, as amended by an Amendment to Combination Water Utility Real Estate Mortgage and Security Agreement dated as of September 28, 2004 and recorded in the Recorder's Office in Instrument No: 20041005-0108857, an Amendment to Combination Water Utility Real Estate Mortgage and Security Agreement dated April 22, 2005 and recorded in the Recorder's Office in Instrument No: 20050819-0083497, an Amendment to Combination Water Utility Real Estate Mortgage and Security Agreement dated as of March 19, 2009 and recorded in the Recorder's Office in Instrument No: 20090323-0016391, an Amendment to Combination Water Utility Real Estate Mortgage and Security Agreement dated as of October 15, 2014 and recorded in the Recorder's Office in Instrument No: 20141008-0045081, and an Amendment to Combination Water Utility Real Estate Mortgage and Security Agreement dated as of March 29, 2021 and recorded in the Recorder's Office in Instrument No: 20210405-0039622 (collectively, as amended, the </w:t>
      </w:r>
      <w:r>
        <w:rPr>
          <w:rFonts w:ascii="Arial" w:cs="Arial" w:eastAsia="Arial" w:hAnsi="Arial"/>
          <w:sz w:val="17"/>
          <w:szCs w:val="17"/>
          <w:u w:val="single" w:color="auto"/>
          <w:color w:val="auto"/>
        </w:rPr>
        <w:t>"Mortgage");</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pursuant to the MLA, CoBank made various loans to the Company evidenced by the notes described on Appendix A to the Mortgage;</w:t>
      </w:r>
    </w:p>
    <w:p>
      <w:pPr>
        <w:spacing w:after="0" w:line="262"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8"/>
          <w:szCs w:val="18"/>
          <w:color w:val="auto"/>
        </w:rPr>
        <w:t>WHEREAS, pursuant to the MLA, CoBank has agreed to extend $20,000,000 in additional loans to the Company to be evidenced by that certain Promissory Note and Supplement (Multiple Advance Term Loan) dated as of May 11, 2023;</w:t>
      </w:r>
    </w:p>
    <w:p>
      <w:pPr>
        <w:spacing w:after="0" w:line="170" w:lineRule="exact"/>
        <w:rPr>
          <w:sz w:val="20"/>
          <w:szCs w:val="20"/>
          <w:color w:val="auto"/>
        </w:rPr>
      </w:pPr>
    </w:p>
    <w:p>
      <w:pPr>
        <w:jc w:val="both"/>
        <w:ind w:right="20" w:firstLine="616"/>
        <w:spacing w:after="0" w:line="277" w:lineRule="auto"/>
        <w:rPr>
          <w:sz w:val="20"/>
          <w:szCs w:val="20"/>
          <w:color w:val="auto"/>
        </w:rPr>
      </w:pPr>
      <w:r>
        <w:rPr>
          <w:rFonts w:ascii="Arial" w:cs="Arial" w:eastAsia="Arial" w:hAnsi="Arial"/>
          <w:sz w:val="18"/>
          <w:szCs w:val="18"/>
          <w:color w:val="auto"/>
        </w:rPr>
        <w:t>WHEREAS, in connection therewith, the parties desire to amend the existing Mortgage as set forth herein to give notice of the increase in the secured obligations of the Company; and</w:t>
      </w:r>
    </w:p>
    <w:p>
      <w:pPr>
        <w:spacing w:after="0" w:line="184" w:lineRule="exact"/>
        <w:rPr>
          <w:sz w:val="20"/>
          <w:szCs w:val="20"/>
          <w:color w:val="auto"/>
        </w:rPr>
      </w:pPr>
    </w:p>
    <w:p>
      <w:pPr>
        <w:jc w:val="both"/>
        <w:ind w:firstLine="614"/>
        <w:spacing w:after="0" w:line="311" w:lineRule="auto"/>
        <w:rPr>
          <w:sz w:val="20"/>
          <w:szCs w:val="20"/>
          <w:color w:val="auto"/>
        </w:rPr>
      </w:pPr>
      <w:r>
        <w:rPr>
          <w:rFonts w:ascii="Arial" w:cs="Arial" w:eastAsia="Arial" w:hAnsi="Arial"/>
          <w:sz w:val="16"/>
          <w:szCs w:val="16"/>
          <w:color w:val="auto"/>
        </w:rPr>
        <w:t>WHEREAS, the Mortgage, as amended hereby, remains in full force and effect and the lien and security interest and the priority of such lien and security interest granted thereunder continues (without interruption) thereunder. Except as amended hereby, the Mortgage shall otherwise remain unchanged. Capitalized terms used but not defined herein shall have the meanings assigned to such terms or defined by reference in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5" w:name="page56"/>
    <w:bookmarkEnd w:id="55"/>
    <w:p>
      <w:pPr>
        <w:ind w:left="62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parties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p>
      <w:pPr>
        <w:ind w:firstLine="610"/>
        <w:spacing w:after="0" w:line="282" w:lineRule="auto"/>
        <w:rPr>
          <w:sz w:val="20"/>
          <w:szCs w:val="20"/>
          <w:color w:val="auto"/>
        </w:rPr>
      </w:pPr>
      <w:r>
        <w:rPr>
          <w:rFonts w:ascii="Arial" w:cs="Arial" w:eastAsia="Arial" w:hAnsi="Arial"/>
          <w:sz w:val="18"/>
          <w:szCs w:val="18"/>
          <w:b w:val="1"/>
          <w:bCs w:val="1"/>
          <w:color w:val="auto"/>
        </w:rPr>
        <w:t xml:space="preserve">SECTION 1. Recitals. </w:t>
      </w:r>
      <w:r>
        <w:rPr>
          <w:rFonts w:ascii="Arial" w:cs="Arial" w:eastAsia="Arial" w:hAnsi="Arial"/>
          <w:sz w:val="18"/>
          <w:szCs w:val="18"/>
          <w:color w:val="auto"/>
        </w:rPr>
        <w:t>The recitals set forth above constitute an integral part of this Amendment, are true and correct, and such recitals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are incorporated herein by this reference with the same force and effect as if fully set forth herein.</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SECTION 2. Amendment. </w:t>
      </w:r>
      <w:r>
        <w:rPr>
          <w:rFonts w:ascii="Arial" w:cs="Arial" w:eastAsia="Arial" w:hAnsi="Arial"/>
          <w:sz w:val="18"/>
          <w:szCs w:val="18"/>
          <w:color w:val="auto"/>
        </w:rPr>
        <w:t>Appendix A is hereby amended and restated as provided in Appendix A hereto.</w:t>
      </w:r>
    </w:p>
    <w:p>
      <w:pPr>
        <w:spacing w:after="0" w:line="239" w:lineRule="exact"/>
        <w:rPr>
          <w:sz w:val="20"/>
          <w:szCs w:val="20"/>
          <w:color w:val="auto"/>
        </w:rPr>
      </w:pPr>
    </w:p>
    <w:p>
      <w:pPr>
        <w:ind w:firstLine="613"/>
        <w:spacing w:after="0" w:line="312" w:lineRule="auto"/>
        <w:rPr>
          <w:sz w:val="20"/>
          <w:szCs w:val="20"/>
          <w:color w:val="auto"/>
        </w:rPr>
      </w:pPr>
      <w:r>
        <w:rPr>
          <w:rFonts w:ascii="Arial" w:cs="Arial" w:eastAsia="Arial" w:hAnsi="Arial"/>
          <w:sz w:val="17"/>
          <w:szCs w:val="17"/>
          <w:b w:val="1"/>
          <w:bCs w:val="1"/>
          <w:color w:val="auto"/>
        </w:rPr>
        <w:t xml:space="preserve">SECTION 3. Ratification. </w:t>
      </w:r>
      <w:r>
        <w:rPr>
          <w:rFonts w:ascii="Arial" w:cs="Arial" w:eastAsia="Arial" w:hAnsi="Arial"/>
          <w:sz w:val="17"/>
          <w:szCs w:val="17"/>
          <w:color w:val="auto"/>
        </w:rPr>
        <w:t>The Company hereby confirms and ratifies the Mortgage, and confirms and agrees that the Mortgaged Property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secure all of the Company's obligations under the Credit Agreements, including, without limitation, those shown on Appendix A hereto.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8"/>
          <w:szCs w:val="18"/>
          <w:color w:val="auto"/>
        </w:rPr>
        <w:t>Checklist Documents</w:t>
      </w:r>
    </w:p>
    <w:p>
      <w:pPr>
        <w:spacing w:after="0" w:line="235" w:lineRule="exact"/>
        <w:rPr>
          <w:sz w:val="20"/>
          <w:szCs w:val="20"/>
          <w:color w:val="auto"/>
        </w:rPr>
      </w:pPr>
    </w:p>
    <w:p>
      <w:pPr>
        <w:ind w:left="9020"/>
        <w:spacing w:after="0"/>
        <w:rPr>
          <w:sz w:val="20"/>
          <w:szCs w:val="20"/>
          <w:color w:val="auto"/>
        </w:rPr>
      </w:pPr>
      <w:r>
        <w:rPr>
          <w:rFonts w:ascii="Arial" w:cs="Arial" w:eastAsia="Arial" w:hAnsi="Arial"/>
          <w:sz w:val="15"/>
          <w:szCs w:val="15"/>
          <w:b w:val="1"/>
          <w:bCs w:val="1"/>
          <w:color w:val="010101"/>
        </w:rPr>
        <w:t>202305160031187 Page 5 of 7</w:t>
      </w:r>
    </w:p>
    <w:p>
      <w:pPr>
        <w:spacing w:after="0" w:line="264"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8"/>
          <w:szCs w:val="18"/>
          <w:color w:val="auto"/>
        </w:rPr>
        <w:t>IN WITNESS WHEREOF, TIDEWATER UTILITIES, INC., as Mortgagor, has caused this Amendment to be signed in its name and its corporate seal to be hereunto affixed and attested by its officers thereunto duly authorized, all as of the day and year first above written.</w:t>
      </w:r>
    </w:p>
    <w:p>
      <w:pPr>
        <w:spacing w:after="0" w:line="382"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TIDEWATER UTILITIES, INC., Mortgagor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Signed, sealed and delivered in the presence of:</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Jay L. Kooper</w:t>
            </w:r>
          </w:p>
        </w:tc>
        <w:tc>
          <w:tcPr>
            <w:tcW w:w="3460" w:type="dxa"/>
            <w:vAlign w:val="bottom"/>
          </w:tcPr>
          <w:p>
            <w:pPr>
              <w:ind w:left="28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Capko</w:t>
            </w:r>
          </w:p>
        </w:tc>
        <w:tc>
          <w:tcPr>
            <w:tcW w:w="560" w:type="dxa"/>
            <w:vAlign w:val="bottom"/>
          </w:tcPr>
          <w:p>
            <w:pPr>
              <w:spacing w:after="0"/>
              <w:rPr>
                <w:sz w:val="20"/>
                <w:szCs w:val="20"/>
                <w:color w:val="auto"/>
              </w:rPr>
            </w:pPr>
            <w:r>
              <w:rPr>
                <w:rFonts w:ascii="Arial" w:cs="Arial" w:eastAsia="Arial" w:hAnsi="Arial"/>
                <w:sz w:val="18"/>
                <w:szCs w:val="18"/>
                <w:color w:val="auto"/>
                <w:w w:val="92"/>
              </w:rPr>
              <w:t>(SEAL)</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w w:val="99"/>
              </w:rPr>
              <w:t>Witness</w:t>
            </w:r>
          </w:p>
        </w:tc>
        <w:tc>
          <w:tcPr>
            <w:tcW w:w="3240" w:type="dxa"/>
            <w:vAlign w:val="bottom"/>
          </w:tcPr>
          <w:p>
            <w:pPr>
              <w:spacing w:after="0"/>
              <w:rPr>
                <w:sz w:val="16"/>
                <w:szCs w:val="16"/>
                <w:color w:val="auto"/>
              </w:rPr>
            </w:pPr>
          </w:p>
        </w:tc>
        <w:tc>
          <w:tcPr>
            <w:tcW w:w="3460" w:type="dxa"/>
            <w:vAlign w:val="bottom"/>
          </w:tcPr>
          <w:p>
            <w:pPr>
              <w:ind w:left="2800"/>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Robert J. Capko</w:t>
            </w:r>
          </w:p>
        </w:tc>
        <w:tc>
          <w:tcPr>
            <w:tcW w:w="56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60" w:type="dxa"/>
            <w:vAlign w:val="bottom"/>
          </w:tcPr>
          <w:p>
            <w:pPr>
              <w:ind w:left="2800"/>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Treasurer</w:t>
            </w:r>
          </w:p>
        </w:tc>
        <w:tc>
          <w:tcPr>
            <w:tcW w:w="560" w:type="dxa"/>
            <w:vAlign w:val="bottom"/>
          </w:tcPr>
          <w:p>
            <w:pPr>
              <w:spacing w:after="0"/>
              <w:rPr>
                <w:sz w:val="20"/>
                <w:szCs w:val="20"/>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Attest:</w:t>
            </w:r>
          </w:p>
        </w:tc>
        <w:tc>
          <w:tcPr>
            <w:tcW w:w="3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Kooper</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Jay L. Kooper</w:t>
            </w:r>
          </w:p>
        </w:tc>
        <w:tc>
          <w:tcPr>
            <w:tcW w:w="3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3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STATE OF </w:t>
      </w:r>
      <w:r>
        <w:rPr>
          <w:rFonts w:ascii="Arial" w:cs="Arial" w:eastAsia="Arial" w:hAnsi="Arial"/>
          <w:sz w:val="18"/>
          <w:szCs w:val="18"/>
          <w:u w:val="single" w:color="auto"/>
          <w:color w:val="010101"/>
        </w:rPr>
        <w:t>New Jersey</w:t>
      </w:r>
      <w:r>
        <w:rPr>
          <w:rFonts w:ascii="Arial" w:cs="Arial" w:eastAsia="Arial" w:hAnsi="Arial"/>
          <w:sz w:val="18"/>
          <w:szCs w:val="18"/>
          <w:color w:val="010101"/>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COUNTY OF </w:t>
      </w:r>
      <w:r>
        <w:rPr>
          <w:rFonts w:ascii="Arial" w:cs="Arial" w:eastAsia="Arial" w:hAnsi="Arial"/>
          <w:sz w:val="18"/>
          <w:szCs w:val="18"/>
          <w:u w:val="single" w:color="auto"/>
          <w:color w:val="010101"/>
        </w:rPr>
        <w:t>Middlesex</w:t>
      </w:r>
      <w:r>
        <w:rPr>
          <w:rFonts w:ascii="Arial" w:cs="Arial" w:eastAsia="Arial" w:hAnsi="Arial"/>
          <w:sz w:val="18"/>
          <w:szCs w:val="18"/>
          <w:color w:val="010101"/>
        </w:rPr>
        <w:t>)</w:t>
      </w:r>
    </w:p>
    <w:p>
      <w:pPr>
        <w:spacing w:after="0" w:line="229" w:lineRule="exact"/>
        <w:rPr>
          <w:sz w:val="20"/>
          <w:szCs w:val="20"/>
          <w:color w:val="auto"/>
        </w:rPr>
      </w:pPr>
    </w:p>
    <w:p>
      <w:pPr>
        <w:ind w:firstLine="613"/>
        <w:spacing w:after="0" w:line="214" w:lineRule="auto"/>
        <w:rPr>
          <w:sz w:val="20"/>
          <w:szCs w:val="20"/>
          <w:color w:val="auto"/>
        </w:rPr>
      </w:pPr>
      <w:r>
        <w:rPr>
          <w:rFonts w:ascii="Arial" w:cs="Arial" w:eastAsia="Arial" w:hAnsi="Arial"/>
          <w:sz w:val="18"/>
          <w:szCs w:val="18"/>
          <w:color w:val="auto"/>
        </w:rPr>
        <w:t xml:space="preserve">The foregoing instrument was acknowledged before me this </w:t>
      </w:r>
      <w:r>
        <w:rPr>
          <w:rFonts w:ascii="Arial" w:cs="Arial" w:eastAsia="Arial" w:hAnsi="Arial"/>
          <w:sz w:val="18"/>
          <w:szCs w:val="18"/>
          <w:u w:val="single" w:color="auto"/>
          <w:color w:val="auto"/>
        </w:rPr>
        <w:t>9</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May</w:t>
      </w:r>
      <w:r>
        <w:rPr>
          <w:rFonts w:ascii="Arial" w:cs="Arial" w:eastAsia="Arial" w:hAnsi="Arial"/>
          <w:sz w:val="18"/>
          <w:szCs w:val="18"/>
          <w:color w:val="auto"/>
        </w:rPr>
        <w:t>, 2023, by Robert J. Capko, as Treasurer of Tidewater Utilities, Inc., a Delaware corporation, on behalf of said corporation.</w:t>
      </w:r>
    </w:p>
    <w:p>
      <w:pPr>
        <w:spacing w:after="0" w:line="203" w:lineRule="exact"/>
        <w:rPr>
          <w:sz w:val="20"/>
          <w:szCs w:val="20"/>
          <w:color w:val="auto"/>
        </w:rPr>
      </w:pPr>
    </w:p>
    <w:p>
      <w:pPr>
        <w:ind w:firstLine="613"/>
        <w:spacing w:after="0" w:line="277" w:lineRule="auto"/>
        <w:rPr>
          <w:sz w:val="20"/>
          <w:szCs w:val="20"/>
          <w:color w:val="auto"/>
        </w:rPr>
      </w:pPr>
      <w:r>
        <w:rPr>
          <w:rFonts w:ascii="Arial" w:cs="Arial" w:eastAsia="Arial" w:hAnsi="Arial"/>
          <w:sz w:val="18"/>
          <w:szCs w:val="18"/>
          <w:color w:val="auto"/>
        </w:rPr>
        <w:t>IN WITNESS WHEREOF, I have hereunto set my hand and affixed my official seal in the County and State aforesaid, the day and year in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Tracy L. Tyrell</w:t>
            </w:r>
          </w:p>
        </w:tc>
        <w:tc>
          <w:tcPr>
            <w:tcW w:w="64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6700" w:type="dxa"/>
            <w:vAlign w:val="bottom"/>
          </w:tcPr>
          <w:p>
            <w:pPr>
              <w:spacing w:after="0"/>
              <w:rPr>
                <w:sz w:val="16"/>
                <w:szCs w:val="16"/>
                <w:color w:val="auto"/>
              </w:rPr>
            </w:pPr>
          </w:p>
        </w:tc>
        <w:tc>
          <w:tcPr>
            <w:tcW w:w="3900" w:type="dxa"/>
            <w:vAlign w:val="bottom"/>
            <w:gridSpan w:val="5"/>
          </w:tcPr>
          <w:p>
            <w:pPr>
              <w:spacing w:after="0" w:line="195" w:lineRule="exact"/>
              <w:rPr>
                <w:sz w:val="20"/>
                <w:szCs w:val="20"/>
                <w:color w:val="auto"/>
              </w:rPr>
            </w:pPr>
            <w:r>
              <w:rPr>
                <w:rFonts w:ascii="Arial" w:cs="Arial" w:eastAsia="Arial" w:hAnsi="Arial"/>
                <w:sz w:val="18"/>
                <w:szCs w:val="18"/>
                <w:color w:val="auto"/>
              </w:rPr>
              <w:t>Notary Public</w:t>
            </w:r>
          </w:p>
        </w:tc>
        <w:tc>
          <w:tcPr>
            <w:tcW w:w="640" w:type="dxa"/>
            <w:vAlign w:val="bottom"/>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Name: Tracy L. Tyrell</w:t>
            </w:r>
          </w:p>
        </w:tc>
        <w:tc>
          <w:tcPr>
            <w:tcW w:w="64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3900" w:type="dxa"/>
            <w:vAlign w:val="bottom"/>
            <w:gridSpan w:val="5"/>
          </w:tcPr>
          <w:p>
            <w:pPr>
              <w:spacing w:after="0" w:line="196" w:lineRule="exact"/>
              <w:rPr>
                <w:sz w:val="20"/>
                <w:szCs w:val="20"/>
                <w:color w:val="auto"/>
              </w:rPr>
            </w:pPr>
            <w:r>
              <w:rPr>
                <w:rFonts w:ascii="Arial" w:cs="Arial" w:eastAsia="Arial" w:hAnsi="Arial"/>
                <w:sz w:val="18"/>
                <w:szCs w:val="18"/>
                <w:color w:val="auto"/>
              </w:rPr>
              <w:t>My commission expires: 3/16/2027</w:t>
            </w:r>
          </w:p>
        </w:tc>
        <w:tc>
          <w:tcPr>
            <w:tcW w:w="640" w:type="dxa"/>
            <w:vAlign w:val="bottom"/>
          </w:tcPr>
          <w:p>
            <w:pPr>
              <w:spacing w:after="0"/>
              <w:rPr>
                <w:sz w:val="17"/>
                <w:szCs w:val="17"/>
                <w:color w:val="auto"/>
              </w:rPr>
            </w:pPr>
          </w:p>
        </w:tc>
      </w:tr>
      <w:tr>
        <w:trPr>
          <w:trHeight w:val="20"/>
        </w:trPr>
        <w:tc>
          <w:tcPr>
            <w:tcW w:w="8520" w:type="dxa"/>
            <w:vAlign w:val="bottom"/>
            <w:gridSpan w:val="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82"/>
        </w:trPr>
        <w:tc>
          <w:tcPr>
            <w:tcW w:w="10600" w:type="dxa"/>
            <w:vAlign w:val="bottom"/>
            <w:gridSpan w:val="6"/>
          </w:tcPr>
          <w:p>
            <w:pPr>
              <w:ind w:left="1760"/>
              <w:spacing w:after="0"/>
              <w:rPr>
                <w:sz w:val="20"/>
                <w:szCs w:val="20"/>
                <w:color w:val="auto"/>
              </w:rPr>
            </w:pPr>
            <w:r>
              <w:rPr>
                <w:rFonts w:ascii="Arial" w:cs="Arial" w:eastAsia="Arial" w:hAnsi="Arial"/>
                <w:sz w:val="18"/>
                <w:szCs w:val="18"/>
                <w:color w:val="070707"/>
              </w:rPr>
              <w:t xml:space="preserve">Signature </w:t>
            </w:r>
            <w:r>
              <w:rPr>
                <w:rFonts w:ascii="Arial" w:cs="Arial" w:eastAsia="Arial" w:hAnsi="Arial"/>
                <w:sz w:val="18"/>
                <w:szCs w:val="18"/>
                <w:color w:val="1D1D1D"/>
              </w:rPr>
              <w:t>page</w:t>
            </w:r>
            <w:r>
              <w:rPr>
                <w:rFonts w:ascii="Arial" w:cs="Arial" w:eastAsia="Arial" w:hAnsi="Arial"/>
                <w:sz w:val="18"/>
                <w:szCs w:val="18"/>
                <w:color w:val="070707"/>
              </w:rPr>
              <w:t xml:space="preserve"> to </w:t>
            </w:r>
            <w:r>
              <w:rPr>
                <w:rFonts w:ascii="Arial" w:cs="Arial" w:eastAsia="Arial" w:hAnsi="Arial"/>
                <w:sz w:val="18"/>
                <w:szCs w:val="18"/>
                <w:color w:val="1D1D1D"/>
              </w:rPr>
              <w:t>Amendment</w:t>
            </w:r>
            <w:r>
              <w:rPr>
                <w:rFonts w:ascii="Arial" w:cs="Arial" w:eastAsia="Arial" w:hAnsi="Arial"/>
                <w:sz w:val="18"/>
                <w:szCs w:val="18"/>
                <w:color w:val="070707"/>
              </w:rPr>
              <w:t xml:space="preserve"> to Combination Water </w:t>
            </w:r>
            <w:r>
              <w:rPr>
                <w:rFonts w:ascii="Arial" w:cs="Arial" w:eastAsia="Arial" w:hAnsi="Arial"/>
                <w:sz w:val="18"/>
                <w:szCs w:val="18"/>
                <w:color w:val="1D1D1D"/>
              </w:rPr>
              <w:t>Utility</w:t>
            </w:r>
            <w:r>
              <w:rPr>
                <w:rFonts w:ascii="Arial" w:cs="Arial" w:eastAsia="Arial" w:hAnsi="Arial"/>
                <w:sz w:val="18"/>
                <w:szCs w:val="18"/>
                <w:color w:val="070707"/>
              </w:rPr>
              <w:t xml:space="preserve"> Real Estate Mortgage and </w:t>
            </w:r>
            <w:r>
              <w:rPr>
                <w:rFonts w:ascii="Arial" w:cs="Arial" w:eastAsia="Arial" w:hAnsi="Arial"/>
                <w:sz w:val="18"/>
                <w:szCs w:val="18"/>
                <w:color w:val="1D1D1D"/>
              </w:rPr>
              <w:t>Security Agreement</w:t>
            </w:r>
          </w:p>
        </w:tc>
        <w:tc>
          <w:tcPr>
            <w:tcW w:w="640" w:type="dxa"/>
            <w:vAlign w:val="bottom"/>
          </w:tcPr>
          <w:p>
            <w:pPr>
              <w:spacing w:after="0"/>
              <w:rPr>
                <w:sz w:val="24"/>
                <w:szCs w:val="24"/>
                <w:color w:val="auto"/>
              </w:rPr>
            </w:pPr>
          </w:p>
        </w:tc>
      </w:tr>
      <w:tr>
        <w:trPr>
          <w:trHeight w:val="574"/>
        </w:trPr>
        <w:tc>
          <w:tcPr>
            <w:tcW w:w="6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8"/>
          <w:szCs w:val="18"/>
          <w:color w:val="auto"/>
        </w:rPr>
        <w:t>Checklist Documents</w:t>
      </w:r>
    </w:p>
    <w:p>
      <w:pPr>
        <w:spacing w:after="0" w:line="23" w:lineRule="exact"/>
        <w:rPr>
          <w:sz w:val="20"/>
          <w:szCs w:val="20"/>
          <w:color w:val="auto"/>
        </w:rPr>
      </w:pPr>
    </w:p>
    <w:p>
      <w:pPr>
        <w:ind w:left="9020"/>
        <w:spacing w:after="0"/>
        <w:rPr>
          <w:sz w:val="20"/>
          <w:szCs w:val="20"/>
          <w:color w:val="auto"/>
        </w:rPr>
      </w:pPr>
      <w:r>
        <w:rPr>
          <w:rFonts w:ascii="Arial" w:cs="Arial" w:eastAsia="Arial" w:hAnsi="Arial"/>
          <w:sz w:val="15"/>
          <w:szCs w:val="15"/>
          <w:b w:val="1"/>
          <w:bCs w:val="1"/>
          <w:color w:val="070707"/>
        </w:rPr>
        <w:t>202305160031187 Page 6 of 7</w:t>
      </w:r>
    </w:p>
    <w:p>
      <w:pPr>
        <w:spacing w:after="0" w:line="255" w:lineRule="exact"/>
        <w:rPr>
          <w:sz w:val="20"/>
          <w:szCs w:val="20"/>
          <w:color w:val="auto"/>
        </w:rPr>
      </w:pPr>
    </w:p>
    <w:p>
      <w:pPr>
        <w:jc w:val="both"/>
        <w:ind w:right="20" w:firstLine="613"/>
        <w:spacing w:after="0" w:line="282" w:lineRule="auto"/>
        <w:rPr>
          <w:sz w:val="20"/>
          <w:szCs w:val="20"/>
          <w:color w:val="auto"/>
        </w:rPr>
      </w:pPr>
      <w:r>
        <w:rPr>
          <w:rFonts w:ascii="Arial" w:cs="Arial" w:eastAsia="Arial" w:hAnsi="Arial"/>
          <w:sz w:val="18"/>
          <w:szCs w:val="18"/>
          <w:b w:val="1"/>
          <w:bCs w:val="1"/>
          <w:color w:val="070707"/>
        </w:rPr>
        <w:t xml:space="preserve">IN WITNESS WHEREOF, CoBANK, ACB, </w:t>
      </w:r>
      <w:r>
        <w:rPr>
          <w:rFonts w:ascii="Arial" w:cs="Arial" w:eastAsia="Arial" w:hAnsi="Arial"/>
          <w:sz w:val="18"/>
          <w:szCs w:val="18"/>
          <w:color w:val="070707"/>
        </w:rPr>
        <w:t>as Mortgagee, has caused this Amendment to be signed in its name and its corporate seal to be</w:t>
      </w:r>
      <w:r>
        <w:rPr>
          <w:rFonts w:ascii="Arial" w:cs="Arial" w:eastAsia="Arial" w:hAnsi="Arial"/>
          <w:sz w:val="18"/>
          <w:szCs w:val="18"/>
          <w:b w:val="1"/>
          <w:bCs w:val="1"/>
          <w:color w:val="070707"/>
        </w:rPr>
        <w:t xml:space="preserve"> </w:t>
      </w:r>
      <w:r>
        <w:rPr>
          <w:rFonts w:ascii="Arial" w:cs="Arial" w:eastAsia="Arial" w:hAnsi="Arial"/>
          <w:sz w:val="18"/>
          <w:szCs w:val="18"/>
          <w:color w:val="070707"/>
        </w:rPr>
        <w:t xml:space="preserve">hereunto affixed and attested by </w:t>
      </w:r>
      <w:r>
        <w:rPr>
          <w:rFonts w:ascii="Arial" w:cs="Arial" w:eastAsia="Arial" w:hAnsi="Arial"/>
          <w:sz w:val="18"/>
          <w:szCs w:val="18"/>
          <w:color w:val="1D1D1D"/>
        </w:rPr>
        <w:t>its</w:t>
      </w:r>
      <w:r>
        <w:rPr>
          <w:rFonts w:ascii="Arial" w:cs="Arial" w:eastAsia="Arial" w:hAnsi="Arial"/>
          <w:sz w:val="18"/>
          <w:szCs w:val="18"/>
          <w:color w:val="070707"/>
        </w:rPr>
        <w:t xml:space="preserve"> officers thereunto duly authorized</w:t>
      </w:r>
      <w:r>
        <w:rPr>
          <w:rFonts w:ascii="Arial" w:cs="Arial" w:eastAsia="Arial" w:hAnsi="Arial"/>
          <w:sz w:val="18"/>
          <w:szCs w:val="18"/>
          <w:color w:val="4B4B4B"/>
        </w:rPr>
        <w:t>,</w:t>
      </w:r>
      <w:r>
        <w:rPr>
          <w:rFonts w:ascii="Arial" w:cs="Arial" w:eastAsia="Arial" w:hAnsi="Arial"/>
          <w:sz w:val="18"/>
          <w:szCs w:val="18"/>
          <w:color w:val="070707"/>
        </w:rPr>
        <w:t xml:space="preserve"> all as of the day and </w:t>
      </w:r>
      <w:r>
        <w:rPr>
          <w:rFonts w:ascii="Arial" w:cs="Arial" w:eastAsia="Arial" w:hAnsi="Arial"/>
          <w:sz w:val="18"/>
          <w:szCs w:val="18"/>
          <w:color w:val="1D1D1D"/>
        </w:rPr>
        <w:t>year</w:t>
      </w:r>
      <w:r>
        <w:rPr>
          <w:rFonts w:ascii="Arial" w:cs="Arial" w:eastAsia="Arial" w:hAnsi="Arial"/>
          <w:sz w:val="18"/>
          <w:szCs w:val="18"/>
          <w:color w:val="070707"/>
        </w:rPr>
        <w:t xml:space="preserve"> first </w:t>
      </w:r>
      <w:r>
        <w:rPr>
          <w:rFonts w:ascii="Arial" w:cs="Arial" w:eastAsia="Arial" w:hAnsi="Arial"/>
          <w:sz w:val="18"/>
          <w:szCs w:val="18"/>
          <w:color w:val="1D1D1D"/>
        </w:rPr>
        <w:t>above</w:t>
      </w:r>
      <w:r>
        <w:rPr>
          <w:rFonts w:ascii="Arial" w:cs="Arial" w:eastAsia="Arial" w:hAnsi="Arial"/>
          <w:sz w:val="18"/>
          <w:szCs w:val="18"/>
          <w:color w:val="070707"/>
        </w:rPr>
        <w:t xml:space="preserve"> written.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vMerge w:val="restart"/>
          </w:tcPr>
          <w:p>
            <w:pPr>
              <w:spacing w:after="0"/>
              <w:rPr>
                <w:sz w:val="20"/>
                <w:szCs w:val="20"/>
                <w:color w:val="auto"/>
              </w:rPr>
            </w:pPr>
            <w:r>
              <w:rPr>
                <w:rFonts w:ascii="Arial" w:cs="Arial" w:eastAsia="Arial" w:hAnsi="Arial"/>
                <w:sz w:val="18"/>
                <w:szCs w:val="18"/>
                <w:color w:val="auto"/>
              </w:rPr>
              <w:t>Signed, sealed and delivered in the presence of:</w:t>
            </w:r>
          </w:p>
        </w:tc>
        <w:tc>
          <w:tcPr>
            <w:tcW w:w="6700" w:type="dxa"/>
            <w:vAlign w:val="bottom"/>
            <w:gridSpan w:val="2"/>
          </w:tcPr>
          <w:p>
            <w:pPr>
              <w:ind w:left="2800"/>
              <w:spacing w:after="0"/>
              <w:rPr>
                <w:sz w:val="20"/>
                <w:szCs w:val="20"/>
                <w:color w:val="auto"/>
              </w:rPr>
            </w:pPr>
            <w:r>
              <w:rPr>
                <w:rFonts w:ascii="Arial" w:cs="Arial" w:eastAsia="Arial" w:hAnsi="Arial"/>
                <w:sz w:val="18"/>
                <w:szCs w:val="18"/>
                <w:b w:val="1"/>
                <w:bCs w:val="1"/>
                <w:color w:val="auto"/>
              </w:rPr>
              <w:t>CoBANK, ACB., Mortgagee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Satriano</w:t>
            </w:r>
          </w:p>
        </w:tc>
        <w:tc>
          <w:tcPr>
            <w:tcW w:w="3460" w:type="dxa"/>
            <w:vAlign w:val="bottom"/>
          </w:tcPr>
          <w:p>
            <w:pPr>
              <w:ind w:left="28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c>
          <w:tcPr>
            <w:tcW w:w="560" w:type="dxa"/>
            <w:vAlign w:val="bottom"/>
          </w:tcPr>
          <w:p>
            <w:pPr>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195"/>
        </w:trPr>
        <w:tc>
          <w:tcPr>
            <w:tcW w:w="3900" w:type="dxa"/>
            <w:vAlign w:val="bottom"/>
          </w:tcPr>
          <w:p>
            <w:pPr>
              <w:spacing w:after="0" w:line="195" w:lineRule="exact"/>
              <w:rPr>
                <w:sz w:val="20"/>
                <w:szCs w:val="20"/>
                <w:color w:val="auto"/>
              </w:rPr>
            </w:pPr>
            <w:r>
              <w:rPr>
                <w:rFonts w:ascii="Arial" w:cs="Arial" w:eastAsia="Arial" w:hAnsi="Arial"/>
                <w:sz w:val="18"/>
                <w:szCs w:val="18"/>
                <w:color w:val="auto"/>
              </w:rPr>
              <w:t>Witness</w:t>
            </w:r>
          </w:p>
        </w:tc>
        <w:tc>
          <w:tcPr>
            <w:tcW w:w="3460" w:type="dxa"/>
            <w:vAlign w:val="bottom"/>
          </w:tcPr>
          <w:p>
            <w:pPr>
              <w:ind w:left="2800"/>
              <w:spacing w:after="0" w:line="195"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Jared A. Greene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460" w:type="dxa"/>
            <w:vAlign w:val="bottom"/>
          </w:tcPr>
          <w:p>
            <w:pPr>
              <w:ind w:left="2800"/>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STATE OF </w:t>
      </w:r>
      <w:r>
        <w:rPr>
          <w:rFonts w:ascii="Arial" w:cs="Arial" w:eastAsia="Arial" w:hAnsi="Arial"/>
          <w:sz w:val="18"/>
          <w:szCs w:val="18"/>
          <w:u w:val="single" w:color="auto"/>
          <w:color w:val="010101"/>
        </w:rPr>
        <w:t>Colorado</w:t>
      </w:r>
      <w:r>
        <w:rPr>
          <w:rFonts w:ascii="Arial" w:cs="Arial" w:eastAsia="Arial" w:hAnsi="Arial"/>
          <w:sz w:val="18"/>
          <w:szCs w:val="18"/>
          <w:color w:val="010101"/>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 xml:space="preserve">COUNTY OF </w:t>
      </w:r>
      <w:r>
        <w:rPr>
          <w:rFonts w:ascii="Arial" w:cs="Arial" w:eastAsia="Arial" w:hAnsi="Arial"/>
          <w:sz w:val="18"/>
          <w:szCs w:val="18"/>
          <w:u w:val="single" w:color="auto"/>
          <w:color w:val="010101"/>
        </w:rPr>
        <w:t>Arapahoe</w:t>
      </w:r>
      <w:r>
        <w:rPr>
          <w:rFonts w:ascii="Arial" w:cs="Arial" w:eastAsia="Arial" w:hAnsi="Arial"/>
          <w:sz w:val="18"/>
          <w:szCs w:val="18"/>
          <w:color w:val="010101"/>
        </w:rPr>
        <w:t>)</w:t>
      </w:r>
    </w:p>
    <w:p>
      <w:pPr>
        <w:spacing w:after="0" w:line="229" w:lineRule="exact"/>
        <w:rPr>
          <w:sz w:val="20"/>
          <w:szCs w:val="20"/>
          <w:color w:val="auto"/>
        </w:rPr>
      </w:pPr>
    </w:p>
    <w:p>
      <w:pPr>
        <w:ind w:right="20" w:firstLine="613"/>
        <w:spacing w:after="0" w:line="214" w:lineRule="auto"/>
        <w:rPr>
          <w:sz w:val="20"/>
          <w:szCs w:val="20"/>
          <w:color w:val="auto"/>
        </w:rPr>
      </w:pPr>
      <w:r>
        <w:rPr>
          <w:rFonts w:ascii="Arial" w:cs="Arial" w:eastAsia="Arial" w:hAnsi="Arial"/>
          <w:sz w:val="18"/>
          <w:szCs w:val="18"/>
          <w:color w:val="auto"/>
        </w:rPr>
        <w:t xml:space="preserve">The foregoing instrument was acknowledged before me this </w:t>
      </w:r>
      <w:r>
        <w:rPr>
          <w:rFonts w:ascii="Arial" w:cs="Arial" w:eastAsia="Arial" w:hAnsi="Arial"/>
          <w:sz w:val="18"/>
          <w:szCs w:val="18"/>
          <w:u w:val="single" w:color="auto"/>
          <w:color w:val="auto"/>
        </w:rPr>
        <w:t>10</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May</w:t>
      </w:r>
      <w:r>
        <w:rPr>
          <w:rFonts w:ascii="Arial" w:cs="Arial" w:eastAsia="Arial" w:hAnsi="Arial"/>
          <w:sz w:val="18"/>
          <w:szCs w:val="18"/>
          <w:color w:val="auto"/>
        </w:rPr>
        <w:t>, 2023, by Jared A. Greene, as Assistant Corporate Secretary of CoBank, ACB., a federally chartered instrumentality of the Untied States, on behalf of said corporation.</w:t>
      </w:r>
    </w:p>
    <w:p>
      <w:pPr>
        <w:spacing w:after="0" w:line="1" w:lineRule="exact"/>
        <w:rPr>
          <w:sz w:val="20"/>
          <w:szCs w:val="20"/>
          <w:color w:val="auto"/>
        </w:rPr>
      </w:pPr>
    </w:p>
    <w:p>
      <w:pPr>
        <w:ind w:firstLine="613"/>
        <w:spacing w:after="0" w:line="260" w:lineRule="auto"/>
        <w:rPr>
          <w:sz w:val="20"/>
          <w:szCs w:val="20"/>
          <w:color w:val="auto"/>
        </w:rPr>
      </w:pPr>
      <w:r>
        <w:rPr>
          <w:rFonts w:ascii="Arial" w:cs="Arial" w:eastAsia="Arial" w:hAnsi="Arial"/>
          <w:sz w:val="18"/>
          <w:szCs w:val="18"/>
          <w:color w:val="auto"/>
        </w:rPr>
        <w:t>IN WITNESS WHEREOF, I have hereunto set my hand and affixed my official seal in the County and State aforesaid, the day and year in first above written.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Megan Moloznik</w:t>
            </w:r>
          </w:p>
        </w:tc>
        <w:tc>
          <w:tcPr>
            <w:tcW w:w="640" w:type="dxa"/>
            <w:vAlign w:val="bottom"/>
          </w:tcPr>
          <w:p>
            <w:pPr>
              <w:spacing w:after="0"/>
              <w:rPr>
                <w:sz w:val="20"/>
                <w:szCs w:val="20"/>
                <w:color w:val="auto"/>
              </w:rPr>
            </w:pPr>
            <w:r>
              <w:rPr>
                <w:rFonts w:ascii="Arial" w:cs="Arial" w:eastAsia="Arial" w:hAnsi="Arial"/>
                <w:sz w:val="18"/>
                <w:szCs w:val="18"/>
                <w:color w:val="auto"/>
              </w:rPr>
              <w:t>(SEAL)</w:t>
            </w:r>
          </w:p>
        </w:tc>
      </w:tr>
      <w:tr>
        <w:trPr>
          <w:trHeight w:val="195"/>
        </w:trPr>
        <w:tc>
          <w:tcPr>
            <w:tcW w:w="6700" w:type="dxa"/>
            <w:vAlign w:val="bottom"/>
          </w:tcPr>
          <w:p>
            <w:pPr>
              <w:spacing w:after="0"/>
              <w:rPr>
                <w:sz w:val="16"/>
                <w:szCs w:val="16"/>
                <w:color w:val="auto"/>
              </w:rPr>
            </w:pPr>
          </w:p>
        </w:tc>
        <w:tc>
          <w:tcPr>
            <w:tcW w:w="3900" w:type="dxa"/>
            <w:vAlign w:val="bottom"/>
            <w:gridSpan w:val="5"/>
          </w:tcPr>
          <w:p>
            <w:pPr>
              <w:spacing w:after="0" w:line="195" w:lineRule="exact"/>
              <w:rPr>
                <w:sz w:val="20"/>
                <w:szCs w:val="20"/>
                <w:color w:val="auto"/>
              </w:rPr>
            </w:pPr>
            <w:r>
              <w:rPr>
                <w:rFonts w:ascii="Arial" w:cs="Arial" w:eastAsia="Arial" w:hAnsi="Arial"/>
                <w:sz w:val="18"/>
                <w:szCs w:val="18"/>
                <w:color w:val="auto"/>
              </w:rPr>
              <w:t>Notary Public</w:t>
            </w:r>
          </w:p>
        </w:tc>
        <w:tc>
          <w:tcPr>
            <w:tcW w:w="640" w:type="dxa"/>
            <w:vAlign w:val="bottom"/>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Name: Megan Moloznik</w:t>
            </w:r>
          </w:p>
        </w:tc>
        <w:tc>
          <w:tcPr>
            <w:tcW w:w="64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3900" w:type="dxa"/>
            <w:vAlign w:val="bottom"/>
            <w:gridSpan w:val="5"/>
          </w:tcPr>
          <w:p>
            <w:pPr>
              <w:spacing w:after="0" w:line="196" w:lineRule="exact"/>
              <w:rPr>
                <w:sz w:val="20"/>
                <w:szCs w:val="20"/>
                <w:color w:val="auto"/>
              </w:rPr>
            </w:pPr>
            <w:r>
              <w:rPr>
                <w:rFonts w:ascii="Arial" w:cs="Arial" w:eastAsia="Arial" w:hAnsi="Arial"/>
                <w:sz w:val="18"/>
                <w:szCs w:val="18"/>
                <w:color w:val="auto"/>
              </w:rPr>
              <w:t>My commission expires: 2/21/2026</w:t>
            </w:r>
          </w:p>
        </w:tc>
        <w:tc>
          <w:tcPr>
            <w:tcW w:w="640" w:type="dxa"/>
            <w:vAlign w:val="bottom"/>
          </w:tcPr>
          <w:p>
            <w:pPr>
              <w:spacing w:after="0"/>
              <w:rPr>
                <w:sz w:val="17"/>
                <w:szCs w:val="17"/>
                <w:color w:val="auto"/>
              </w:rPr>
            </w:pPr>
          </w:p>
        </w:tc>
      </w:tr>
      <w:tr>
        <w:trPr>
          <w:trHeight w:val="20"/>
        </w:trPr>
        <w:tc>
          <w:tcPr>
            <w:tcW w:w="8520" w:type="dxa"/>
            <w:vAlign w:val="bottom"/>
            <w:gridSpan w:val="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66"/>
        </w:trPr>
        <w:tc>
          <w:tcPr>
            <w:tcW w:w="10600" w:type="dxa"/>
            <w:vAlign w:val="bottom"/>
            <w:gridSpan w:val="6"/>
          </w:tcPr>
          <w:p>
            <w:pPr>
              <w:ind w:left="1760"/>
              <w:spacing w:after="0"/>
              <w:rPr>
                <w:sz w:val="20"/>
                <w:szCs w:val="20"/>
                <w:color w:val="auto"/>
              </w:rPr>
            </w:pPr>
            <w:r>
              <w:rPr>
                <w:rFonts w:ascii="Arial" w:cs="Arial" w:eastAsia="Arial" w:hAnsi="Arial"/>
                <w:sz w:val="18"/>
                <w:szCs w:val="18"/>
                <w:color w:val="070707"/>
              </w:rPr>
              <w:t xml:space="preserve">Signature </w:t>
            </w:r>
            <w:r>
              <w:rPr>
                <w:rFonts w:ascii="Arial" w:cs="Arial" w:eastAsia="Arial" w:hAnsi="Arial"/>
                <w:sz w:val="18"/>
                <w:szCs w:val="18"/>
                <w:color w:val="1D1D1D"/>
              </w:rPr>
              <w:t>page</w:t>
            </w:r>
            <w:r>
              <w:rPr>
                <w:rFonts w:ascii="Arial" w:cs="Arial" w:eastAsia="Arial" w:hAnsi="Arial"/>
                <w:sz w:val="18"/>
                <w:szCs w:val="18"/>
                <w:color w:val="070707"/>
              </w:rPr>
              <w:t xml:space="preserve"> to </w:t>
            </w:r>
            <w:r>
              <w:rPr>
                <w:rFonts w:ascii="Arial" w:cs="Arial" w:eastAsia="Arial" w:hAnsi="Arial"/>
                <w:sz w:val="18"/>
                <w:szCs w:val="18"/>
                <w:color w:val="1D1D1D"/>
              </w:rPr>
              <w:t>Amendment</w:t>
            </w:r>
            <w:r>
              <w:rPr>
                <w:rFonts w:ascii="Arial" w:cs="Arial" w:eastAsia="Arial" w:hAnsi="Arial"/>
                <w:sz w:val="18"/>
                <w:szCs w:val="18"/>
                <w:color w:val="070707"/>
              </w:rPr>
              <w:t xml:space="preserve"> to Combination Water </w:t>
            </w:r>
            <w:r>
              <w:rPr>
                <w:rFonts w:ascii="Arial" w:cs="Arial" w:eastAsia="Arial" w:hAnsi="Arial"/>
                <w:sz w:val="18"/>
                <w:szCs w:val="18"/>
                <w:color w:val="1D1D1D"/>
              </w:rPr>
              <w:t>Utility</w:t>
            </w:r>
            <w:r>
              <w:rPr>
                <w:rFonts w:ascii="Arial" w:cs="Arial" w:eastAsia="Arial" w:hAnsi="Arial"/>
                <w:sz w:val="18"/>
                <w:szCs w:val="18"/>
                <w:color w:val="070707"/>
              </w:rPr>
              <w:t xml:space="preserve"> Real Estate Mortgage and </w:t>
            </w:r>
            <w:r>
              <w:rPr>
                <w:rFonts w:ascii="Arial" w:cs="Arial" w:eastAsia="Arial" w:hAnsi="Arial"/>
                <w:sz w:val="18"/>
                <w:szCs w:val="18"/>
                <w:color w:val="1D1D1D"/>
              </w:rPr>
              <w:t>Security Agreement</w:t>
            </w:r>
          </w:p>
        </w:tc>
        <w:tc>
          <w:tcPr>
            <w:tcW w:w="640" w:type="dxa"/>
            <w:vAlign w:val="bottom"/>
          </w:tcPr>
          <w:p>
            <w:pPr>
              <w:spacing w:after="0"/>
              <w:rPr>
                <w:sz w:val="24"/>
                <w:szCs w:val="24"/>
                <w:color w:val="auto"/>
              </w:rPr>
            </w:pPr>
          </w:p>
        </w:tc>
      </w:tr>
      <w:tr>
        <w:trPr>
          <w:trHeight w:val="560"/>
        </w:trPr>
        <w:tc>
          <w:tcPr>
            <w:tcW w:w="6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Checklist Documents</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202305160031187 Page 7 of 7</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 xml:space="preserve">APPENDIX A- </w:t>
      </w:r>
      <w:r>
        <w:rPr>
          <w:rFonts w:ascii="Arial" w:cs="Arial" w:eastAsia="Arial" w:hAnsi="Arial"/>
          <w:sz w:val="18"/>
          <w:szCs w:val="18"/>
          <w:color w:val="auto"/>
        </w:rPr>
        <w:t>-</w:t>
      </w:r>
      <w:r>
        <w:rPr>
          <w:rFonts w:ascii="Arial" w:cs="Arial" w:eastAsia="Arial" w:hAnsi="Arial"/>
          <w:sz w:val="18"/>
          <w:szCs w:val="18"/>
          <w:b w:val="1"/>
          <w:bCs w:val="1"/>
          <w:color w:val="auto"/>
        </w:rPr>
        <w:t xml:space="preserve"> CERTAIN OBLIGATIONS; ETC.</w:t>
      </w:r>
    </w:p>
    <w:p>
      <w:pPr>
        <w:spacing w:after="0" w:line="243" w:lineRule="exact"/>
        <w:rPr>
          <w:sz w:val="20"/>
          <w:szCs w:val="20"/>
          <w:color w:val="auto"/>
        </w:rPr>
      </w:pPr>
    </w:p>
    <w:p>
      <w:pPr>
        <w:ind w:left="1400" w:hanging="305"/>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"Credit Agreement" referred to in Section 1.01 of the Mortgage includes but is not limited to the following:</w:t>
      </w:r>
    </w:p>
    <w:p>
      <w:pPr>
        <w:spacing w:after="0" w:line="23" w:lineRule="exact"/>
        <w:rPr>
          <w:rFonts w:ascii="Arial" w:cs="Arial" w:eastAsia="Arial" w:hAnsi="Arial"/>
          <w:sz w:val="18"/>
          <w:szCs w:val="18"/>
          <w:color w:val="auto"/>
        </w:rPr>
      </w:pPr>
    </w:p>
    <w:p>
      <w:pPr>
        <w:ind w:left="2080" w:hanging="364"/>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Master Loan Agreement dated as of May 23, 2003 and numbered RX0024;</w:t>
      </w:r>
    </w:p>
    <w:p>
      <w:pPr>
        <w:spacing w:after="0" w:line="9" w:lineRule="exact"/>
        <w:rPr>
          <w:rFonts w:ascii="Arial" w:cs="Arial" w:eastAsia="Arial" w:hAnsi="Arial"/>
          <w:sz w:val="18"/>
          <w:szCs w:val="18"/>
          <w:color w:val="auto"/>
        </w:rPr>
      </w:pPr>
    </w:p>
    <w:p>
      <w:pPr>
        <w:ind w:left="2080" w:right="182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May 23, 2003 and numbered RX0024Tl in the principal amount of $3,187,241.75;</w:t>
      </w:r>
    </w:p>
    <w:p>
      <w:pPr>
        <w:ind w:left="2080" w:right="178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May 23, 2003 and numbered RX0024T2 in the principal amount of $10,500,000;</w:t>
      </w:r>
    </w:p>
    <w:p>
      <w:pPr>
        <w:ind w:left="2080" w:right="154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RX0024T3 in the principal amount of $7,000,000;</w:t>
      </w:r>
    </w:p>
    <w:p>
      <w:pPr>
        <w:ind w:left="2080" w:right="1540" w:hanging="364"/>
        <w:spacing w:after="0" w:line="258"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RX0024T4 in the principal amount of $7,000,000;</w:t>
      </w:r>
    </w:p>
    <w:p>
      <w:pPr>
        <w:ind w:left="2080" w:right="154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August 22, 2005, and numbered RX0024T5 in the principal amount of $7,000,000;</w:t>
      </w:r>
    </w:p>
    <w:p>
      <w:pPr>
        <w:ind w:left="2080" w:right="160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RX0024T6 in the principal amount of $10,000,000;</w:t>
      </w:r>
    </w:p>
    <w:p>
      <w:pPr>
        <w:ind w:left="2080" w:right="160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RX0024T7 in the principal amount of $7,000,000;</w:t>
      </w:r>
    </w:p>
    <w:p>
      <w:pPr>
        <w:ind w:left="2080" w:right="160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March 19, 2009, and numbered RX0024T8 in the principal amount of $15,000,000;</w:t>
      </w:r>
    </w:p>
    <w:p>
      <w:pPr>
        <w:ind w:left="2080" w:right="148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October 15, 2014, and numbered RX0024T9 in the principal amount of $15,000,000;</w:t>
      </w:r>
    </w:p>
    <w:p>
      <w:pPr>
        <w:ind w:left="2080" w:right="1460" w:hanging="364"/>
        <w:spacing w:after="0" w:line="258"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March 29, 2021, and numbered RX0024Tl O in the principal amount of $20,000,000;</w:t>
      </w:r>
    </w:p>
    <w:p>
      <w:pPr>
        <w:ind w:left="2080" w:right="1660" w:hanging="364"/>
        <w:spacing w:after="0" w:line="250" w:lineRule="auto"/>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Promissory Note and Supplement dated as of May 11, 2023, and numbered RX0024Tl 1 in the principal amount of $20,000,000; and</w:t>
      </w:r>
    </w:p>
    <w:p>
      <w:pPr>
        <w:ind w:left="2080" w:hanging="364"/>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amendments to and restatements of any of the foregoing.</w:t>
      </w:r>
    </w:p>
    <w:p>
      <w:pPr>
        <w:spacing w:after="0" w:line="210" w:lineRule="exact"/>
        <w:rPr>
          <w:rFonts w:ascii="Arial" w:cs="Arial" w:eastAsia="Arial" w:hAnsi="Arial"/>
          <w:sz w:val="18"/>
          <w:szCs w:val="18"/>
          <w:color w:val="auto"/>
        </w:rPr>
      </w:pPr>
    </w:p>
    <w:p>
      <w:pPr>
        <w:ind w:left="1400" w:right="1440" w:hanging="305"/>
        <w:spacing w:after="0" w:line="308" w:lineRule="auto"/>
        <w:tabs>
          <w:tab w:leader="none" w:pos="1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"Maximum Debt Limit" is: $122,000,000.00 plus: (1) all accrued interest, prepayment premiums, fees and other charges owing to the Mortgagee; and (2) other sums as provided in Section 6.09 of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10.17(d)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No. RX0024T6F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 PROMISSORY NOTE AND SUPPLEMENT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Term Loan)</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SIXTH AMENDMENT TO PROMISSORY NOTE AND SUPPLEMENT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May 11, 2023, between </w:t>
      </w:r>
      <w:r>
        <w:rPr>
          <w:rFonts w:ascii="Arial" w:cs="Arial" w:eastAsia="Arial" w:hAnsi="Arial"/>
          <w:sz w:val="18"/>
          <w:szCs w:val="18"/>
          <w:b w:val="1"/>
          <w:bCs w:val="1"/>
          <w:color w:val="auto"/>
        </w:rPr>
        <w:t>TIDEWATER UTILITIES,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CoBANK, ACB</w:t>
      </w:r>
      <w:r>
        <w:rPr>
          <w:rFonts w:ascii="Arial" w:cs="Arial" w:eastAsia="Arial" w:hAnsi="Arial"/>
          <w:sz w:val="18"/>
          <w:szCs w:val="18"/>
          <w:color w:val="auto"/>
        </w:rPr>
        <w:t>, a federally chartered instrumentality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w:t>
      </w:r>
      <w:r>
        <w:rPr>
          <w:rFonts w:ascii="Arial" w:cs="Arial" w:eastAsia="Arial" w:hAnsi="Arial"/>
          <w:sz w:val="18"/>
          <w:szCs w:val="18"/>
          <w:u w:val="single" w:color="auto"/>
          <w:color w:val="auto"/>
        </w:rPr>
        <w:t>CoBank</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and CoBank are parties to a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 Third Amendment to Promissory Note and Supplement dated as of March 7, 2017, a Fourth Amendment to Promissory Note and Supplement dated as of August 19, 2020 and an Omnibus Amendment to Promissory Notes and Supplements dated as of December 6, 2022 (collectively, the “</w:t>
      </w:r>
      <w:r>
        <w:rPr>
          <w:rFonts w:ascii="Arial" w:cs="Arial" w:eastAsia="Arial" w:hAnsi="Arial"/>
          <w:sz w:val="17"/>
          <w:szCs w:val="17"/>
          <w:u w:val="single" w:color="auto"/>
          <w:color w:val="auto"/>
        </w:rPr>
        <w:t>Supplement</w:t>
      </w:r>
      <w:r>
        <w:rPr>
          <w:rFonts w:ascii="Arial" w:cs="Arial" w:eastAsia="Arial" w:hAnsi="Arial"/>
          <w:sz w:val="17"/>
          <w:szCs w:val="17"/>
          <w:color w:val="auto"/>
        </w:rPr>
        <w:t>”). The parties now desire to amend the Supplement.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acknowledged, the parties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 Defined Terms</w:t>
      </w:r>
      <w:r>
        <w:rPr>
          <w:rFonts w:ascii="Arial" w:cs="Arial" w:eastAsia="Arial" w:hAnsi="Arial"/>
          <w:sz w:val="18"/>
          <w:szCs w:val="18"/>
          <w:color w:val="auto"/>
        </w:rPr>
        <w:t>. All capitalized terms used herein and not defined herein shall have the meanings given to those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or in the “MLA” (as defined in the Supplement).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Amendments</w:t>
      </w:r>
      <w:r>
        <w:rPr>
          <w:rFonts w:ascii="Arial" w:cs="Arial" w:eastAsia="Arial" w:hAnsi="Arial"/>
          <w:sz w:val="18"/>
          <w:szCs w:val="18"/>
          <w:color w:val="auto"/>
        </w:rPr>
        <w:t>. Section 3 of the Supplement is hereby amended and restated to read as follows:</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 Term. </w:t>
      </w:r>
      <w:r>
        <w:rPr>
          <w:rFonts w:ascii="Arial" w:cs="Arial" w:eastAsia="Arial" w:hAnsi="Arial"/>
          <w:sz w:val="18"/>
          <w:szCs w:val="18"/>
          <w:color w:val="auto"/>
        </w:rPr>
        <w:t>The term of the Commitment shall be from the date hereof, up to and including May 20, 2026, or such later date as CoBank</w:t>
      </w:r>
      <w:r>
        <w:rPr>
          <w:rFonts w:ascii="Arial" w:cs="Arial" w:eastAsia="Arial" w:hAnsi="Arial"/>
          <w:sz w:val="18"/>
          <w:szCs w:val="18"/>
          <w:b w:val="1"/>
          <w:bCs w:val="1"/>
          <w:color w:val="auto"/>
        </w:rPr>
        <w:t xml:space="preserve"> </w:t>
      </w:r>
      <w:r>
        <w:rPr>
          <w:rFonts w:ascii="Arial" w:cs="Arial" w:eastAsia="Arial" w:hAnsi="Arial"/>
          <w:sz w:val="18"/>
          <w:szCs w:val="18"/>
          <w:color w:val="auto"/>
        </w:rPr>
        <w:t>may, in its sole discretion, authorize in writing.</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3. Representations and Warranties</w:t>
      </w:r>
      <w:r>
        <w:rPr>
          <w:rFonts w:ascii="Arial" w:cs="Arial" w:eastAsia="Arial" w:hAnsi="Arial"/>
          <w:sz w:val="16"/>
          <w:szCs w:val="16"/>
          <w:color w:val="auto"/>
        </w:rPr>
        <w:t>. To induce CoBank to enter into this Amendment, the Company represents and warrants that: (A)</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such as have been obtained, are in full force and effect, and are not subject to appeal, no consent, permission, authorization, order or license of any governmental authority or of any party to any agreement to which the Company is a party or by which it or any of its property may be bound or affected, is necessary in connection with the execution, delivery, performance or enforcement of this Amendment; (B) the Company is in compliance with all of the terms of the Loan Documents, and no Default or Event of Default exists; and (C) this Amendment has been duly authorized, executed and delivered by the Company, and creates legal, valid, and binding obligations of the Company which are enforceable in accordance with its terms, except to the extent that enforceability may be limited by applicable bankruptcy, insolvency or similar laws affecting the rights of creditors generally. Without limiting (B) above, the Company represents and warrants that it is in compliance with all notice provisions of the Loan Documents, including, without limitation, the requirement to notify CoBank of the commencement of material litigation and of certain 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10060"/>
        <w:spacing w:after="0"/>
        <w:rPr>
          <w:sz w:val="20"/>
          <w:szCs w:val="20"/>
          <w:color w:val="auto"/>
        </w:rPr>
      </w:pPr>
      <w:r>
        <w:rPr>
          <w:rFonts w:ascii="Arial" w:cs="Arial" w:eastAsia="Arial" w:hAnsi="Arial"/>
          <w:sz w:val="16"/>
          <w:szCs w:val="16"/>
          <w:color w:val="auto"/>
        </w:rPr>
        <w:t>Exhibit 10.17(d)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Confirmation</w:t>
      </w:r>
      <w:r>
        <w:rPr>
          <w:rFonts w:ascii="Arial" w:cs="Arial" w:eastAsia="Arial" w:hAnsi="Arial"/>
          <w:sz w:val="18"/>
          <w:szCs w:val="18"/>
          <w:color w:val="auto"/>
        </w:rPr>
        <w:t>. Except as amended by this Amendment, the Supplement shall remain in full force and effect as written.</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Counterparts and Electronic Delivery</w:t>
      </w:r>
      <w:r>
        <w:rPr>
          <w:rFonts w:ascii="Arial" w:cs="Arial" w:eastAsia="Arial" w:hAnsi="Arial"/>
          <w:sz w:val="18"/>
          <w:szCs w:val="18"/>
          <w:color w:val="auto"/>
        </w:rPr>
        <w:t>. This Amendment may be executed in counterparts (and by different parties in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constitute an original, and all of which when taken together shall constitute a single agreement. In addition, this Amendment may be delivered by electronic means.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on next page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left="10060"/>
        <w:spacing w:after="0"/>
        <w:rPr>
          <w:sz w:val="20"/>
          <w:szCs w:val="20"/>
          <w:color w:val="auto"/>
        </w:rPr>
      </w:pPr>
      <w:r>
        <w:rPr>
          <w:rFonts w:ascii="Arial" w:cs="Arial" w:eastAsia="Arial" w:hAnsi="Arial"/>
          <w:sz w:val="16"/>
          <w:szCs w:val="16"/>
          <w:color w:val="auto"/>
        </w:rPr>
        <w:t>Exhibit 10.17(d)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Amendment to be executed by their duly authorized officers as of the date shown above.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CoBANK,ACB</w:t>
            </w:r>
          </w:p>
        </w:tc>
        <w:tc>
          <w:tcPr>
            <w:tcW w:w="7060" w:type="dxa"/>
            <w:vAlign w:val="bottom"/>
            <w:gridSpan w:val="2"/>
          </w:tcPr>
          <w:p>
            <w:pPr>
              <w:ind w:left="1120"/>
              <w:spacing w:after="0"/>
              <w:rPr>
                <w:sz w:val="20"/>
                <w:szCs w:val="20"/>
                <w:color w:val="auto"/>
              </w:rPr>
            </w:pPr>
            <w:r>
              <w:rPr>
                <w:rFonts w:ascii="Arial" w:cs="Arial" w:eastAsia="Arial" w:hAnsi="Arial"/>
                <w:sz w:val="18"/>
                <w:szCs w:val="18"/>
                <w:b w:val="1"/>
                <w:bCs w:val="1"/>
                <w:color w:val="auto"/>
              </w:rPr>
              <w:t>TIDEWATER UTILITIES, INC.</w:t>
            </w:r>
          </w:p>
        </w:tc>
      </w:tr>
      <w:tr>
        <w:trPr>
          <w:trHeight w:val="7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A. Greene</w:t>
            </w:r>
          </w:p>
        </w:tc>
        <w:tc>
          <w:tcPr>
            <w:tcW w:w="2120" w:type="dxa"/>
            <w:vAlign w:val="bottom"/>
          </w:tcPr>
          <w:p>
            <w:pPr>
              <w:ind w:left="1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Capko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Jared A. Greene</w:t>
            </w:r>
          </w:p>
        </w:tc>
        <w:tc>
          <w:tcPr>
            <w:tcW w:w="2120" w:type="dxa"/>
            <w:vAlign w:val="bottom"/>
          </w:tcPr>
          <w:p>
            <w:pPr>
              <w:ind w:left="112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Robert J. Capko</w:t>
            </w:r>
          </w:p>
        </w:tc>
      </w:t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120" w:type="dxa"/>
            <w:vAlign w:val="bottom"/>
          </w:tcPr>
          <w:p>
            <w:pPr>
              <w:ind w:left="1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Sixth Amendment to Promissory Note and Supplement (Revolving Term Loan) (RX0024T6F)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10.53</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No. 00148003T0I</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MULTIPLE ADVANCE TERM PROMISSORY NOTE</w:t>
      </w:r>
    </w:p>
    <w:p>
      <w:pPr>
        <w:spacing w:after="0" w:line="225" w:lineRule="exact"/>
        <w:rPr>
          <w:sz w:val="20"/>
          <w:szCs w:val="20"/>
          <w:color w:val="auto"/>
        </w:rPr>
      </w:pPr>
    </w:p>
    <w:p>
      <w:pPr>
        <w:jc w:val="both"/>
        <w:ind w:firstLine="590"/>
        <w:spacing w:after="0" w:line="258" w:lineRule="auto"/>
        <w:rPr>
          <w:sz w:val="20"/>
          <w:szCs w:val="20"/>
          <w:color w:val="auto"/>
        </w:rPr>
      </w:pPr>
      <w:r>
        <w:rPr>
          <w:rFonts w:ascii="Arial" w:cs="Arial" w:eastAsia="Arial" w:hAnsi="Arial"/>
          <w:sz w:val="18"/>
          <w:szCs w:val="18"/>
          <w:b w:val="1"/>
          <w:bCs w:val="1"/>
          <w:color w:val="auto"/>
        </w:rPr>
        <w:t xml:space="preserve">THIS MULTIPLE ADVANCE TERM PROMISSORY NOTE </w:t>
      </w:r>
      <w:r>
        <w:rPr>
          <w:rFonts w:ascii="Arial" w:cs="Arial" w:eastAsia="Arial" w:hAnsi="Arial"/>
          <w:sz w:val="18"/>
          <w:szCs w:val="18"/>
          <w:color w:val="auto"/>
        </w:rPr>
        <w:t>(this</w:t>
      </w:r>
      <w:r>
        <w:rPr>
          <w:rFonts w:ascii="Arial" w:cs="Arial" w:eastAsia="Arial" w:hAnsi="Arial"/>
          <w:sz w:val="18"/>
          <w:szCs w:val="18"/>
          <w:b w:val="1"/>
          <w:bCs w:val="1"/>
          <w:color w:val="auto"/>
        </w:rPr>
        <w:t xml:space="preserve"> "Promissory Note") </w:t>
      </w:r>
      <w:r>
        <w:rPr>
          <w:rFonts w:ascii="Arial" w:cs="Arial" w:eastAsia="Arial" w:hAnsi="Arial"/>
          <w:sz w:val="18"/>
          <w:szCs w:val="18"/>
          <w:color w:val="auto"/>
        </w:rPr>
        <w:t>to the Credit Agreement dated May 22, 2023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as may be amended, hereinafter referred to as the </w:t>
      </w:r>
      <w:r>
        <w:rPr>
          <w:rFonts w:ascii="Arial" w:cs="Arial" w:eastAsia="Arial" w:hAnsi="Arial"/>
          <w:sz w:val="18"/>
          <w:szCs w:val="18"/>
          <w:b w:val="1"/>
          <w:bCs w:val="1"/>
          <w:color w:val="5B5B5B"/>
        </w:rPr>
        <w:t>"</w:t>
      </w:r>
      <w:r>
        <w:rPr>
          <w:rFonts w:ascii="Arial" w:cs="Arial" w:eastAsia="Arial" w:hAnsi="Arial"/>
          <w:sz w:val="18"/>
          <w:szCs w:val="18"/>
          <w:b w:val="1"/>
          <w:bCs w:val="1"/>
          <w:color w:val="auto"/>
        </w:rPr>
        <w:t>Credit Agreement"),</w:t>
      </w:r>
      <w:r>
        <w:rPr>
          <w:rFonts w:ascii="Arial" w:cs="Arial" w:eastAsia="Arial" w:hAnsi="Arial"/>
          <w:sz w:val="18"/>
          <w:szCs w:val="18"/>
          <w:color w:val="auto"/>
        </w:rPr>
        <w:t xml:space="preserve"> is entered into as of May 22, 2023 between </w:t>
      </w:r>
      <w:r>
        <w:rPr>
          <w:rFonts w:ascii="Arial" w:cs="Arial" w:eastAsia="Arial" w:hAnsi="Arial"/>
          <w:sz w:val="18"/>
          <w:szCs w:val="18"/>
          <w:b w:val="1"/>
          <w:bCs w:val="1"/>
          <w:color w:val="auto"/>
        </w:rPr>
        <w:t>COBANK, ACB,</w:t>
      </w:r>
      <w:r>
        <w:rPr>
          <w:rFonts w:ascii="Arial" w:cs="Arial" w:eastAsia="Arial" w:hAnsi="Arial"/>
          <w:sz w:val="18"/>
          <w:szCs w:val="18"/>
          <w:color w:val="auto"/>
        </w:rPr>
        <w:t xml:space="preserve"> a federally-chartered instrumentality of the United States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PINELANDS WATER COMPANY</w:t>
      </w:r>
      <w:r>
        <w:rPr>
          <w:rFonts w:ascii="Arial" w:cs="Arial" w:eastAsia="Arial" w:hAnsi="Arial"/>
          <w:sz w:val="18"/>
          <w:szCs w:val="18"/>
          <w:b w:val="1"/>
          <w:bCs w:val="1"/>
          <w:color w:val="5B5B5B"/>
        </w:rPr>
        <w:t>,</w:t>
      </w:r>
      <w:r>
        <w:rPr>
          <w:rFonts w:ascii="Arial" w:cs="Arial" w:eastAsia="Arial" w:hAnsi="Arial"/>
          <w:sz w:val="18"/>
          <w:szCs w:val="18"/>
          <w:color w:val="auto"/>
        </w:rPr>
        <w:t xml:space="preserve"> Iselin, New Jersey, a corporation (together with its permitted successors and assigns,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Capitalized terms not otherwise defined in this Promissory Note will have the meanings set forth in the Credit Agreement</w:t>
      </w:r>
      <w:r>
        <w:rPr>
          <w:rFonts w:ascii="Arial" w:cs="Arial" w:eastAsia="Arial" w:hAnsi="Arial"/>
          <w:sz w:val="18"/>
          <w:szCs w:val="18"/>
          <w:color w:val="727272"/>
        </w:rPr>
        <w:t>.</w:t>
      </w:r>
    </w:p>
    <w:p>
      <w:pPr>
        <w:spacing w:after="0" w:line="197" w:lineRule="exact"/>
        <w:rPr>
          <w:sz w:val="20"/>
          <w:szCs w:val="20"/>
          <w:color w:val="auto"/>
        </w:rPr>
      </w:pPr>
    </w:p>
    <w:p>
      <w:pPr>
        <w:jc w:val="both"/>
        <w:ind w:hanging="1"/>
        <w:spacing w:after="0" w:line="266" w:lineRule="auto"/>
        <w:rPr>
          <w:sz w:val="20"/>
          <w:szCs w:val="20"/>
          <w:color w:val="auto"/>
        </w:rPr>
      </w:pPr>
      <w:r>
        <w:rPr>
          <w:rFonts w:ascii="Arial" w:cs="Arial" w:eastAsia="Arial" w:hAnsi="Arial"/>
          <w:sz w:val="18"/>
          <w:szCs w:val="18"/>
          <w:b w:val="1"/>
          <w:bCs w:val="1"/>
          <w:color w:val="auto"/>
        </w:rPr>
        <w:t>SECTION 1.</w:t>
      </w:r>
      <w:r>
        <w:rPr>
          <w:sz w:val="20"/>
          <w:szCs w:val="20"/>
          <w:color w:val="auto"/>
        </w:rPr>
        <w:t xml:space="preserve"> </w:t>
      </w:r>
      <w:r>
        <w:rPr>
          <w:rFonts w:ascii="Arial" w:cs="Arial" w:eastAsia="Arial" w:hAnsi="Arial"/>
          <w:sz w:val="18"/>
          <w:szCs w:val="18"/>
          <w:b w:val="1"/>
          <w:bCs w:val="1"/>
          <w:color w:val="auto"/>
        </w:rPr>
        <w:t xml:space="preserve">MULTIPLE ADVANCE TERM COMMITMENT. </w:t>
      </w:r>
      <w:r>
        <w:rPr>
          <w:rFonts w:ascii="Arial" w:cs="Arial" w:eastAsia="Arial" w:hAnsi="Arial"/>
          <w:sz w:val="18"/>
          <w:szCs w:val="18"/>
          <w:color w:val="auto"/>
        </w:rPr>
        <w:t>On the terms and conditions set forth in the Credit Agreement and this Promissory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Note, Lender agrees to make loans to the Borrower from time to time during the period set forth below in an aggregate principal amount not to exceed a$3,900,000.00 (the </w:t>
      </w:r>
      <w:r>
        <w:rPr>
          <w:rFonts w:ascii="Arial" w:cs="Arial" w:eastAsia="Arial" w:hAnsi="Arial"/>
          <w:sz w:val="18"/>
          <w:szCs w:val="18"/>
          <w:b w:val="1"/>
          <w:bCs w:val="1"/>
          <w:color w:val="auto"/>
        </w:rPr>
        <w:t>"Commitment").</w:t>
      </w:r>
      <w:r>
        <w:rPr>
          <w:rFonts w:ascii="Arial" w:cs="Arial" w:eastAsia="Arial" w:hAnsi="Arial"/>
          <w:sz w:val="18"/>
          <w:szCs w:val="18"/>
          <w:color w:val="auto"/>
        </w:rPr>
        <w:t xml:space="preserve"> Under the Commitment, amounts borrowed and later repaid may not be re-borrowed.</w:t>
      </w:r>
    </w:p>
    <w:p>
      <w:pPr>
        <w:spacing w:after="0" w:line="176" w:lineRule="exact"/>
        <w:rPr>
          <w:sz w:val="20"/>
          <w:szCs w:val="20"/>
          <w:color w:val="auto"/>
        </w:rPr>
      </w:pPr>
    </w:p>
    <w:p>
      <w:pPr>
        <w:jc w:val="both"/>
        <w:ind w:hanging="3"/>
        <w:spacing w:after="0" w:line="282" w:lineRule="auto"/>
        <w:rPr>
          <w:sz w:val="20"/>
          <w:szCs w:val="20"/>
          <w:color w:val="auto"/>
        </w:rPr>
      </w:pPr>
      <w:r>
        <w:rPr>
          <w:rFonts w:ascii="Arial" w:cs="Arial" w:eastAsia="Arial" w:hAnsi="Arial"/>
          <w:sz w:val="18"/>
          <w:szCs w:val="18"/>
          <w:b w:val="1"/>
          <w:bCs w:val="1"/>
          <w:color w:val="auto"/>
        </w:rPr>
        <w:t>SECTION 2.</w:t>
      </w:r>
      <w:r>
        <w:rPr>
          <w:sz w:val="20"/>
          <w:szCs w:val="20"/>
          <w:color w:val="auto"/>
        </w:rPr>
        <w:t xml:space="preserve"> </w:t>
      </w: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Commitment is to finance capital expenditures and closing costs, and refinance intercompany debt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payables.</w:t>
      </w:r>
    </w:p>
    <w:p>
      <w:pPr>
        <w:spacing w:after="0" w:line="162" w:lineRule="exact"/>
        <w:rPr>
          <w:sz w:val="20"/>
          <w:szCs w:val="20"/>
          <w:color w:val="auto"/>
        </w:rPr>
      </w:pPr>
    </w:p>
    <w:p>
      <w:pPr>
        <w:jc w:val="both"/>
        <w:ind w:firstLine="2"/>
        <w:spacing w:after="0" w:line="282" w:lineRule="auto"/>
        <w:rPr>
          <w:sz w:val="20"/>
          <w:szCs w:val="20"/>
          <w:color w:val="auto"/>
        </w:rPr>
      </w:pPr>
      <w:r>
        <w:rPr>
          <w:rFonts w:ascii="Arial" w:cs="Arial" w:eastAsia="Arial" w:hAnsi="Arial"/>
          <w:sz w:val="18"/>
          <w:szCs w:val="18"/>
          <w:b w:val="1"/>
          <w:bCs w:val="1"/>
          <w:color w:val="auto"/>
        </w:rPr>
        <w:t xml:space="preserve">SECTION 3. TERM. </w:t>
      </w:r>
      <w:r>
        <w:rPr>
          <w:rFonts w:ascii="Arial" w:cs="Arial" w:eastAsia="Arial" w:hAnsi="Arial"/>
          <w:sz w:val="18"/>
          <w:szCs w:val="18"/>
          <w:color w:val="auto"/>
        </w:rPr>
        <w:t>The term of the Commitment will be from the date hereof, up to 12:00 p</w:t>
      </w:r>
      <w:r>
        <w:rPr>
          <w:rFonts w:ascii="Arial" w:cs="Arial" w:eastAsia="Arial" w:hAnsi="Arial"/>
          <w:sz w:val="18"/>
          <w:szCs w:val="18"/>
          <w:color w:val="0E0E0E"/>
        </w:rPr>
        <w:t>.</w:t>
      </w:r>
      <w:r>
        <w:rPr>
          <w:rFonts w:ascii="Arial" w:cs="Arial" w:eastAsia="Arial" w:hAnsi="Arial"/>
          <w:sz w:val="18"/>
          <w:szCs w:val="18"/>
          <w:color w:val="auto"/>
        </w:rPr>
        <w:t>m. Denver, Colorado time on October 20, 2023, or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later date as Lender may, in its sole discretion, authorize in writing (the </w:t>
      </w:r>
      <w:r>
        <w:rPr>
          <w:rFonts w:ascii="Arial" w:cs="Arial" w:eastAsia="Arial" w:hAnsi="Arial"/>
          <w:sz w:val="18"/>
          <w:szCs w:val="18"/>
          <w:b w:val="1"/>
          <w:bCs w:val="1"/>
          <w:color w:val="auto"/>
        </w:rPr>
        <w:t>"Term Expiration Date").</w:t>
      </w:r>
    </w:p>
    <w:p>
      <w:pPr>
        <w:spacing w:after="0" w:line="162" w:lineRule="exact"/>
        <w:rPr>
          <w:sz w:val="20"/>
          <w:szCs w:val="20"/>
          <w:color w:val="auto"/>
        </w:rPr>
      </w:pPr>
    </w:p>
    <w:p>
      <w:pPr>
        <w:jc w:val="both"/>
        <w:ind w:firstLine="590"/>
        <w:spacing w:after="0" w:line="282" w:lineRule="auto"/>
        <w:rPr>
          <w:sz w:val="20"/>
          <w:szCs w:val="20"/>
          <w:color w:val="auto"/>
        </w:rPr>
      </w:pPr>
      <w:r>
        <w:rPr>
          <w:rFonts w:ascii="Arial" w:cs="Arial" w:eastAsia="Arial" w:hAnsi="Arial"/>
          <w:sz w:val="18"/>
          <w:szCs w:val="18"/>
          <w:b w:val="1"/>
          <w:bCs w:val="1"/>
          <w:color w:val="auto"/>
        </w:rPr>
        <w:t xml:space="preserve">SECTION 4. LIMITS ON ADVANCES, AVAILABILITY, ETC. </w:t>
      </w:r>
      <w:r>
        <w:rPr>
          <w:rFonts w:ascii="Arial" w:cs="Arial" w:eastAsia="Arial" w:hAnsi="Arial"/>
          <w:sz w:val="18"/>
          <w:szCs w:val="18"/>
          <w:color w:val="auto"/>
        </w:rPr>
        <w:t>The loans will be made available as provided in Article 2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75" w:lineRule="exact"/>
        <w:rPr>
          <w:sz w:val="20"/>
          <w:szCs w:val="20"/>
          <w:color w:val="auto"/>
        </w:rPr>
      </w:pPr>
    </w:p>
    <w:p>
      <w:pPr>
        <w:jc w:val="both"/>
        <w:ind w:hanging="3"/>
        <w:spacing w:after="0" w:line="261" w:lineRule="auto"/>
        <w:rPr>
          <w:sz w:val="20"/>
          <w:szCs w:val="20"/>
          <w:color w:val="auto"/>
        </w:rPr>
      </w:pPr>
      <w:r>
        <w:rPr>
          <w:rFonts w:ascii="Arial" w:cs="Arial" w:eastAsia="Arial" w:hAnsi="Arial"/>
          <w:sz w:val="18"/>
          <w:szCs w:val="18"/>
          <w:b w:val="1"/>
          <w:bCs w:val="1"/>
          <w:color w:val="auto"/>
        </w:rPr>
        <w:t>SECTION 5.</w:t>
      </w:r>
      <w:r>
        <w:rPr>
          <w:sz w:val="20"/>
          <w:szCs w:val="20"/>
          <w:color w:val="auto"/>
        </w:rPr>
        <w:t xml:space="preserve"> </w:t>
      </w:r>
      <w:r>
        <w:rPr>
          <w:rFonts w:ascii="Arial" w:cs="Arial" w:eastAsia="Arial" w:hAnsi="Arial"/>
          <w:sz w:val="18"/>
          <w:szCs w:val="18"/>
          <w:b w:val="1"/>
          <w:bCs w:val="1"/>
          <w:color w:val="auto"/>
        </w:rPr>
        <w:t xml:space="preserve">INTEREST. </w:t>
      </w:r>
      <w:r>
        <w:rPr>
          <w:rFonts w:ascii="Arial" w:cs="Arial" w:eastAsia="Arial" w:hAnsi="Arial"/>
          <w:sz w:val="18"/>
          <w:szCs w:val="18"/>
          <w:color w:val="auto"/>
        </w:rPr>
        <w:t>The Borrower agrees to pay interest on the unpaid balance of the loan(s) in accordance with the following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w:t>
      </w:r>
    </w:p>
    <w:p>
      <w:pPr>
        <w:spacing w:after="0" w:line="200" w:lineRule="exact"/>
        <w:rPr>
          <w:sz w:val="20"/>
          <w:szCs w:val="20"/>
          <w:color w:val="auto"/>
        </w:rPr>
      </w:pPr>
    </w:p>
    <w:p>
      <w:pPr>
        <w:spacing w:after="0" w:line="214" w:lineRule="exact"/>
        <w:rPr>
          <w:sz w:val="20"/>
          <w:szCs w:val="20"/>
          <w:color w:val="auto"/>
        </w:rPr>
      </w:pPr>
    </w:p>
    <w:p>
      <w:pPr>
        <w:jc w:val="both"/>
        <w:ind w:firstLine="598"/>
        <w:spacing w:after="0" w:line="289" w:lineRule="auto"/>
        <w:tabs>
          <w:tab w:leader="none" w:pos="123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Weekly Quoted Variable Rate. </w:t>
      </w:r>
      <w:r>
        <w:rPr>
          <w:rFonts w:ascii="Arial" w:cs="Arial" w:eastAsia="Arial" w:hAnsi="Arial"/>
          <w:sz w:val="17"/>
          <w:szCs w:val="17"/>
          <w:color w:val="auto"/>
        </w:rPr>
        <w:t>At a rate per annum equal at all times to the rate of interest established by Lender on the first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Day of each week. The rate established by Lender will be effective until the first Business Day of the next week. Each change in the rate will be applicable to all balances subject to this option and information about the then current rate will be made available upon telephonic request.</w:t>
      </w:r>
    </w:p>
    <w:p>
      <w:pPr>
        <w:spacing w:after="0" w:line="157" w:lineRule="exact"/>
        <w:rPr>
          <w:rFonts w:ascii="Arial" w:cs="Arial" w:eastAsia="Arial" w:hAnsi="Arial"/>
          <w:sz w:val="17"/>
          <w:szCs w:val="17"/>
          <w:b w:val="1"/>
          <w:bCs w:val="1"/>
          <w:color w:val="auto"/>
        </w:rPr>
      </w:pPr>
    </w:p>
    <w:p>
      <w:pPr>
        <w:jc w:val="both"/>
        <w:ind w:firstLine="604"/>
        <w:spacing w:after="0" w:line="261" w:lineRule="auto"/>
        <w:tabs>
          <w:tab w:leader="none" w:pos="115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Quoted Rate. </w:t>
      </w:r>
      <w:r>
        <w:rPr>
          <w:rFonts w:ascii="Arial" w:cs="Arial" w:eastAsia="Arial" w:hAnsi="Arial"/>
          <w:sz w:val="18"/>
          <w:szCs w:val="18"/>
          <w:color w:val="auto"/>
        </w:rPr>
        <w:t>At a fixed rate per annum to be quoted by Lender in its sole discretion in each instance. Under this option, rates may be fixed</w:t>
      </w:r>
      <w:r>
        <w:rPr>
          <w:rFonts w:ascii="Arial" w:cs="Arial" w:eastAsia="Arial" w:hAnsi="Arial"/>
          <w:sz w:val="18"/>
          <w:szCs w:val="18"/>
          <w:b w:val="1"/>
          <w:bCs w:val="1"/>
          <w:color w:val="auto"/>
        </w:rPr>
        <w:t xml:space="preserve"> </w:t>
      </w:r>
      <w:r>
        <w:rPr>
          <w:rFonts w:ascii="Arial" w:cs="Arial" w:eastAsia="Arial" w:hAnsi="Arial"/>
          <w:sz w:val="18"/>
          <w:szCs w:val="18"/>
          <w:color w:val="auto"/>
        </w:rPr>
        <w:t>on such balances and for such periods, as may be agreeable to Lender in its sole discretion in each instance, provided that: (1) the minimum fixed period will be 365 days; (2) amounts may be fixed in an amount not less than $100,000.00; and (3) the maximum number of fixes in place at any one time will be five.</w:t>
      </w:r>
    </w:p>
    <w:p>
      <w:pPr>
        <w:spacing w:after="0" w:line="184" w:lineRule="exact"/>
        <w:rPr>
          <w:sz w:val="20"/>
          <w:szCs w:val="20"/>
          <w:color w:val="auto"/>
        </w:rPr>
      </w:pPr>
    </w:p>
    <w:p>
      <w:pPr>
        <w:jc w:val="both"/>
        <w:ind w:firstLine="3"/>
        <w:spacing w:after="0" w:line="263" w:lineRule="auto"/>
        <w:rPr>
          <w:sz w:val="20"/>
          <w:szCs w:val="20"/>
          <w:color w:val="auto"/>
        </w:rPr>
      </w:pPr>
      <w:r>
        <w:rPr>
          <w:rFonts w:ascii="Arial" w:cs="Arial" w:eastAsia="Arial" w:hAnsi="Arial"/>
          <w:sz w:val="18"/>
          <w:szCs w:val="18"/>
          <w:color w:val="auto"/>
        </w:rPr>
        <w:t>The Borrower will select the applicable rate option at the time it requests a loan hereunder and may, subject to the limitations set forth above, elect to convert balances bearing interest at the variable rate option to one of the fixed rate options. If the Borrower fails to elect an interest rate option, interest will accrue at the variab</w:t>
      </w:r>
      <w:r>
        <w:rPr>
          <w:rFonts w:ascii="Arial" w:cs="Arial" w:eastAsia="Arial" w:hAnsi="Arial"/>
          <w:sz w:val="18"/>
          <w:szCs w:val="18"/>
          <w:color w:val="0E0E0E"/>
        </w:rPr>
        <w:t>l</w:t>
      </w:r>
      <w:r>
        <w:rPr>
          <w:rFonts w:ascii="Arial" w:cs="Arial" w:eastAsia="Arial" w:hAnsi="Arial"/>
          <w:sz w:val="18"/>
          <w:szCs w:val="18"/>
          <w:color w:val="auto"/>
        </w:rPr>
        <w:t>e interest rate option. Upon the expiration of any fixed rate period, interest will</w:t>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PINELANDS WATER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Promissory Note No. </w:t>
      </w:r>
      <w:r>
        <w:rPr>
          <w:rFonts w:ascii="Arial" w:cs="Arial" w:eastAsia="Arial" w:hAnsi="Arial"/>
          <w:sz w:val="18"/>
          <w:szCs w:val="18"/>
          <w:color w:val="auto"/>
        </w:rPr>
        <w:t>00148003T01</w:t>
      </w:r>
    </w:p>
    <w:p>
      <w:pPr>
        <w:spacing w:after="0" w:line="200" w:lineRule="exact"/>
        <w:rPr>
          <w:sz w:val="20"/>
          <w:szCs w:val="20"/>
          <w:color w:val="auto"/>
        </w:rPr>
      </w:pP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automatically accrue at the variable rate option unless the amount fixed is repaid or fixed for an additional period in accordance with the terms hereof. Notwithstanding the foregoing, rates may not be fixed for periods expiring after the maturity date of the loans and rates may not be fixed in such a manner as to cause the Borrower to have to break any fixed rate balance in order to pay any installment of principal. All elections provided for herein will be made telephonically or in writing and must be received by 12:00</w:t>
      </w:r>
    </w:p>
    <w:p>
      <w:pPr>
        <w:spacing w:after="0" w:line="2" w:lineRule="exact"/>
        <w:rPr>
          <w:sz w:val="20"/>
          <w:szCs w:val="20"/>
          <w:color w:val="auto"/>
        </w:rPr>
      </w:pPr>
    </w:p>
    <w:p>
      <w:pPr>
        <w:jc w:val="both"/>
        <w:ind w:firstLine="6"/>
        <w:spacing w:after="0" w:line="255" w:lineRule="auto"/>
        <w:rPr>
          <w:sz w:val="20"/>
          <w:szCs w:val="20"/>
          <w:color w:val="auto"/>
        </w:rPr>
      </w:pPr>
      <w:r>
        <w:rPr>
          <w:rFonts w:ascii="Arial" w:cs="Arial" w:eastAsia="Arial" w:hAnsi="Arial"/>
          <w:sz w:val="18"/>
          <w:szCs w:val="18"/>
          <w:color w:val="auto"/>
        </w:rPr>
        <w:t xml:space="preserve">p.m. Denver, Colorado time. Interest will be calculated on the actual number of days each loan is outstanding on the basis of a year consisting of 360 days and will be payable monthly in arrears by the 20th day of the fol1owing month or on such other day as Lender will require in a written notice to the Borrower </w:t>
      </w:r>
      <w:r>
        <w:rPr>
          <w:rFonts w:ascii="Arial" w:cs="Arial" w:eastAsia="Arial" w:hAnsi="Arial"/>
          <w:sz w:val="18"/>
          <w:szCs w:val="18"/>
          <w:b w:val="1"/>
          <w:bCs w:val="1"/>
          <w:color w:val="auto"/>
        </w:rPr>
        <w:t>("Interest Payment Date").</w:t>
      </w:r>
    </w:p>
    <w:p>
      <w:pPr>
        <w:spacing w:after="0" w:line="199" w:lineRule="exact"/>
        <w:rPr>
          <w:sz w:val="20"/>
          <w:szCs w:val="20"/>
          <w:color w:val="auto"/>
        </w:rPr>
      </w:pPr>
    </w:p>
    <w:p>
      <w:pPr>
        <w:jc w:val="both"/>
        <w:ind w:firstLine="5"/>
        <w:spacing w:after="0" w:line="298" w:lineRule="auto"/>
        <w:rPr>
          <w:sz w:val="20"/>
          <w:szCs w:val="20"/>
          <w:color w:val="auto"/>
        </w:rPr>
      </w:pPr>
      <w:r>
        <w:rPr>
          <w:rFonts w:ascii="Arial" w:cs="Arial" w:eastAsia="Arial" w:hAnsi="Arial"/>
          <w:sz w:val="16"/>
          <w:szCs w:val="16"/>
          <w:b w:val="1"/>
          <w:bCs w:val="1"/>
          <w:color w:val="auto"/>
        </w:rPr>
        <w:t xml:space="preserve">SECTION 6. PROMISSORY NOTE. </w:t>
      </w:r>
      <w:r>
        <w:rPr>
          <w:rFonts w:ascii="Arial" w:cs="Arial" w:eastAsia="Arial" w:hAnsi="Arial"/>
          <w:sz w:val="16"/>
          <w:szCs w:val="16"/>
          <w:color w:val="auto"/>
        </w:rPr>
        <w:t>The Borrower promises to repay the unpaid principal balance of the loans in 228 consecutive,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payable on the 20th day of each month, with the first installment due on May 20, 2024, and the last installment due on April 20, 2043. The amount of each installment will be the same principal amount that would be required to be repaid if the loan(s) were scheduled to be repaid in level payments of principal and interest and such schedule was calculated utilizing the rate of interest in effect on the Term Expiration Date. Principal due on the first payment date will constitute a month's amortization, regardless of any partial month's interest due in accordance with the provisions set forth herein.</w:t>
      </w:r>
    </w:p>
    <w:p>
      <w:pPr>
        <w:spacing w:after="0" w:line="158" w:lineRule="exact"/>
        <w:rPr>
          <w:sz w:val="20"/>
          <w:szCs w:val="20"/>
          <w:color w:val="auto"/>
        </w:rPr>
      </w:pPr>
    </w:p>
    <w:p>
      <w:pPr>
        <w:jc w:val="both"/>
        <w:ind w:firstLine="1"/>
        <w:spacing w:after="0" w:line="277" w:lineRule="auto"/>
        <w:rPr>
          <w:sz w:val="20"/>
          <w:szCs w:val="20"/>
          <w:color w:val="auto"/>
        </w:rPr>
      </w:pPr>
      <w:r>
        <w:rPr>
          <w:rFonts w:ascii="Arial" w:cs="Arial" w:eastAsia="Arial" w:hAnsi="Arial"/>
          <w:sz w:val="18"/>
          <w:szCs w:val="18"/>
          <w:color w:val="auto"/>
        </w:rPr>
        <w:t>In addition to the above, the Borrower promises to pay interest on the unpaid principal balance of the loans at the times and in accordance with the provisions set forth herein.</w:t>
      </w:r>
    </w:p>
    <w:p>
      <w:pPr>
        <w:spacing w:after="0" w:line="180" w:lineRule="exact"/>
        <w:rPr>
          <w:sz w:val="20"/>
          <w:szCs w:val="20"/>
          <w:color w:val="auto"/>
        </w:rPr>
      </w:pPr>
    </w:p>
    <w:p>
      <w:pPr>
        <w:jc w:val="both"/>
        <w:ind w:firstLine="1"/>
        <w:spacing w:after="0" w:line="266" w:lineRule="auto"/>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18"/>
          <w:szCs w:val="18"/>
          <w:color w:val="auto"/>
        </w:rPr>
        <w:t>7.</w:t>
      </w:r>
      <w:r>
        <w:rPr>
          <w:rFonts w:ascii="Arial" w:cs="Arial" w:eastAsia="Arial" w:hAnsi="Arial"/>
          <w:sz w:val="18"/>
          <w:szCs w:val="18"/>
          <w:b w:val="1"/>
          <w:bCs w:val="1"/>
          <w:color w:val="auto"/>
        </w:rPr>
        <w:t xml:space="preserve"> PREPAYMENT. </w:t>
      </w:r>
      <w:r>
        <w:rPr>
          <w:rFonts w:ascii="Arial" w:cs="Arial" w:eastAsia="Arial" w:hAnsi="Arial"/>
          <w:sz w:val="18"/>
          <w:szCs w:val="18"/>
          <w:color w:val="auto"/>
        </w:rPr>
        <w:t>Subject to the broken funding surcharge provision of the Credit Agreement, the Borrower may, on one Business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written notice, prepay all or any portion of the loan(s). Unless otherwise agreed by Lender, all prepayments will be applied to principal installments in the inverse order of their maturity and to such balances, fixed or variable, as Lender will specify.</w:t>
      </w:r>
    </w:p>
    <w:p>
      <w:pPr>
        <w:spacing w:after="0" w:line="176" w:lineRule="exact"/>
        <w:rPr>
          <w:sz w:val="20"/>
          <w:szCs w:val="20"/>
          <w:color w:val="auto"/>
        </w:rPr>
      </w:pPr>
    </w:p>
    <w:p>
      <w:pPr>
        <w:jc w:val="both"/>
        <w:ind w:right="20" w:hanging="3"/>
        <w:spacing w:after="0" w:line="282" w:lineRule="auto"/>
        <w:rPr>
          <w:sz w:val="20"/>
          <w:szCs w:val="20"/>
          <w:color w:val="auto"/>
        </w:rPr>
      </w:pPr>
      <w:r>
        <w:rPr>
          <w:rFonts w:ascii="Arial" w:cs="Arial" w:eastAsia="Arial" w:hAnsi="Arial"/>
          <w:sz w:val="18"/>
          <w:szCs w:val="18"/>
          <w:b w:val="1"/>
          <w:bCs w:val="1"/>
          <w:color w:val="auto"/>
        </w:rPr>
        <w:t>SECTION 8.</w:t>
      </w:r>
      <w:r>
        <w:rPr>
          <w:sz w:val="20"/>
          <w:szCs w:val="20"/>
          <w:color w:val="auto"/>
        </w:rPr>
        <w:t xml:space="preserve"> </w:t>
      </w:r>
      <w:r>
        <w:rPr>
          <w:rFonts w:ascii="Arial" w:cs="Arial" w:eastAsia="Arial" w:hAnsi="Arial"/>
          <w:sz w:val="18"/>
          <w:szCs w:val="18"/>
          <w:b w:val="1"/>
          <w:bCs w:val="1"/>
          <w:color w:val="auto"/>
        </w:rPr>
        <w:t xml:space="preserve">SECURITY. </w:t>
      </w:r>
      <w:r>
        <w:rPr>
          <w:rFonts w:ascii="Arial" w:cs="Arial" w:eastAsia="Arial" w:hAnsi="Arial"/>
          <w:sz w:val="18"/>
          <w:szCs w:val="18"/>
          <w:color w:val="auto"/>
        </w:rPr>
        <w:t>The Borrower's obligations hereunder and, to the extent related hereto, under the Credit Agreement, will be secured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2.3 of the Credit Agreement.</w:t>
      </w:r>
    </w:p>
    <w:p>
      <w:pPr>
        <w:spacing w:after="0" w:line="17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FEES.</w:t>
      </w:r>
    </w:p>
    <w:p>
      <w:pPr>
        <w:spacing w:after="0" w:line="225" w:lineRule="exact"/>
        <w:rPr>
          <w:sz w:val="20"/>
          <w:szCs w:val="20"/>
          <w:color w:val="auto"/>
        </w:rPr>
      </w:pPr>
    </w:p>
    <w:p>
      <w:pPr>
        <w:jc w:val="both"/>
        <w:ind w:firstLine="601"/>
        <w:spacing w:after="0" w:line="314" w:lineRule="auto"/>
        <w:tabs>
          <w:tab w:leader="none" w:pos="1264"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 Fee. </w:t>
      </w:r>
      <w:r>
        <w:rPr>
          <w:rFonts w:ascii="Arial" w:cs="Arial" w:eastAsia="Arial" w:hAnsi="Arial"/>
          <w:sz w:val="16"/>
          <w:szCs w:val="16"/>
          <w:color w:val="auto"/>
        </w:rPr>
        <w:t>In consideration of the Commitment, the Borrower agrees to pay to Lender a commitment fee on the average daily</w:t>
      </w:r>
      <w:r>
        <w:rPr>
          <w:rFonts w:ascii="Arial" w:cs="Arial" w:eastAsia="Arial" w:hAnsi="Arial"/>
          <w:sz w:val="16"/>
          <w:szCs w:val="16"/>
          <w:b w:val="1"/>
          <w:bCs w:val="1"/>
          <w:color w:val="auto"/>
        </w:rPr>
        <w:t xml:space="preserve"> </w:t>
      </w:r>
      <w:r>
        <w:rPr>
          <w:rFonts w:ascii="Arial" w:cs="Arial" w:eastAsia="Arial" w:hAnsi="Arial"/>
          <w:sz w:val="16"/>
          <w:szCs w:val="16"/>
          <w:color w:val="auto"/>
        </w:rPr>
        <w:t>unused available portion of the Commitment at the rate of 0.150% per annum (calculated on a 360-day basis), payable monthly in arrears by the 20th day following each month. Such fee will be payable for each month (or portion thereof) occurring during the original or any extended term of the Commitment.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PINELANDS WATER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Promissory Note No. </w:t>
      </w:r>
      <w:r>
        <w:rPr>
          <w:rFonts w:ascii="Arial" w:cs="Arial" w:eastAsia="Arial" w:hAnsi="Arial"/>
          <w:sz w:val="18"/>
          <w:szCs w:val="18"/>
          <w:color w:val="auto"/>
        </w:rPr>
        <w:t>00148003T01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PROMISSORY NOTE</w:t>
      </w:r>
    </w:p>
    <w:p>
      <w:pPr>
        <w:spacing w:after="0" w:line="225" w:lineRule="exact"/>
        <w:rPr>
          <w:sz w:val="20"/>
          <w:szCs w:val="20"/>
          <w:color w:val="auto"/>
        </w:rPr>
      </w:pPr>
    </w:p>
    <w:p>
      <w:pPr>
        <w:ind w:right="660" w:firstLine="586"/>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Promissory Note to the Credit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62"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auto"/>
        </w:rPr>
        <w:t>PINELANDS WATER COMPANY</w:t>
      </w:r>
    </w:p>
    <w:p>
      <w:pPr>
        <w:spacing w:after="0" w:line="229" w:lineRule="exact"/>
        <w:rPr>
          <w:sz w:val="20"/>
          <w:szCs w:val="20"/>
          <w:color w:val="auto"/>
        </w:rPr>
      </w:pPr>
    </w:p>
    <w:tbl>
      <w:tblPr>
        <w:tblLayout w:type="fixed"/>
        <w:tblInd w:w="8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Capko</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J. Capko</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Controller</w:t>
            </w:r>
          </w:p>
        </w:tc>
      </w:tr>
    </w:tbl>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ind w:left="140"/>
        <w:spacing w:after="0"/>
        <w:rPr>
          <w:sz w:val="20"/>
          <w:szCs w:val="20"/>
          <w:color w:val="auto"/>
        </w:rPr>
      </w:pPr>
      <w:r>
        <w:rPr>
          <w:rFonts w:ascii="Arial" w:cs="Arial" w:eastAsia="Arial" w:hAnsi="Arial"/>
          <w:sz w:val="18"/>
          <w:szCs w:val="18"/>
          <w:b w:val="1"/>
          <w:bCs w:val="1"/>
          <w:color w:val="auto"/>
        </w:rPr>
        <w:t>PINELANDS WATER COMPANY</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Promissory Note No. </w:t>
      </w:r>
      <w:r>
        <w:rPr>
          <w:rFonts w:ascii="Arial" w:cs="Arial" w:eastAsia="Arial" w:hAnsi="Arial"/>
          <w:sz w:val="18"/>
          <w:szCs w:val="18"/>
          <w:color w:val="auto"/>
        </w:rPr>
        <w:t>00148003T01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PROMISSORY NOTE</w:t>
      </w:r>
    </w:p>
    <w:p>
      <w:pPr>
        <w:spacing w:after="0" w:line="225" w:lineRule="exact"/>
        <w:rPr>
          <w:sz w:val="20"/>
          <w:szCs w:val="20"/>
          <w:color w:val="auto"/>
        </w:rPr>
      </w:pPr>
    </w:p>
    <w:p>
      <w:pPr>
        <w:ind w:right="660" w:firstLine="586"/>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Promissory Note to the Credit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39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COBANK,ACB</w:t>
      </w:r>
    </w:p>
    <w:p>
      <w:pPr>
        <w:spacing w:after="0" w:line="229" w:lineRule="exact"/>
        <w:rPr>
          <w:sz w:val="20"/>
          <w:szCs w:val="20"/>
          <w:color w:val="auto"/>
        </w:rPr>
      </w:pPr>
    </w:p>
    <w:tbl>
      <w:tblPr>
        <w:tblLayout w:type="fixed"/>
        <w:tblInd w:w="8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Christen Spencer</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Christen Spencer</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10.54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Loan No. 00147994T01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MULTIPLE ADVANCE TERM PROMISSORY NOTE</w:t>
      </w:r>
    </w:p>
    <w:p>
      <w:pPr>
        <w:spacing w:after="0" w:line="225" w:lineRule="exact"/>
        <w:rPr>
          <w:sz w:val="20"/>
          <w:szCs w:val="20"/>
          <w:color w:val="auto"/>
        </w:rPr>
      </w:pPr>
    </w:p>
    <w:p>
      <w:pPr>
        <w:jc w:val="both"/>
        <w:ind w:firstLine="590"/>
        <w:spacing w:after="0" w:line="258" w:lineRule="auto"/>
        <w:rPr>
          <w:sz w:val="20"/>
          <w:szCs w:val="20"/>
          <w:color w:val="auto"/>
        </w:rPr>
      </w:pPr>
      <w:r>
        <w:rPr>
          <w:rFonts w:ascii="Arial" w:cs="Arial" w:eastAsia="Arial" w:hAnsi="Arial"/>
          <w:sz w:val="18"/>
          <w:szCs w:val="18"/>
          <w:b w:val="1"/>
          <w:bCs w:val="1"/>
          <w:color w:val="auto"/>
        </w:rPr>
        <w:t xml:space="preserve">THIS MULTIPLE ADVANCE TERM PROMISSORY NOTE </w:t>
      </w:r>
      <w:r>
        <w:rPr>
          <w:rFonts w:ascii="Arial" w:cs="Arial" w:eastAsia="Arial" w:hAnsi="Arial"/>
          <w:sz w:val="18"/>
          <w:szCs w:val="18"/>
          <w:color w:val="auto"/>
        </w:rPr>
        <w:t>(this</w:t>
      </w:r>
      <w:r>
        <w:rPr>
          <w:rFonts w:ascii="Arial" w:cs="Arial" w:eastAsia="Arial" w:hAnsi="Arial"/>
          <w:sz w:val="18"/>
          <w:szCs w:val="18"/>
          <w:b w:val="1"/>
          <w:bCs w:val="1"/>
          <w:color w:val="auto"/>
        </w:rPr>
        <w:t xml:space="preserve"> "Promissory Note") </w:t>
      </w:r>
      <w:r>
        <w:rPr>
          <w:rFonts w:ascii="Arial" w:cs="Arial" w:eastAsia="Arial" w:hAnsi="Arial"/>
          <w:sz w:val="18"/>
          <w:szCs w:val="18"/>
          <w:color w:val="auto"/>
        </w:rPr>
        <w:t>to the Credit Agreement dated May 22, 2023.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as may be amended, hereinafter referred to as the </w:t>
      </w:r>
      <w:r>
        <w:rPr>
          <w:rFonts w:ascii="Arial" w:cs="Arial" w:eastAsia="Arial" w:hAnsi="Arial"/>
          <w:sz w:val="18"/>
          <w:szCs w:val="18"/>
          <w:b w:val="1"/>
          <w:bCs w:val="1"/>
          <w:color w:val="auto"/>
        </w:rPr>
        <w:t>"Credit Agreement"),</w:t>
      </w:r>
      <w:r>
        <w:rPr>
          <w:rFonts w:ascii="Arial" w:cs="Arial" w:eastAsia="Arial" w:hAnsi="Arial"/>
          <w:sz w:val="18"/>
          <w:szCs w:val="18"/>
          <w:color w:val="auto"/>
        </w:rPr>
        <w:t xml:space="preserve"> is entered into as of May 22, 2023. between </w:t>
      </w:r>
      <w:r>
        <w:rPr>
          <w:rFonts w:ascii="Arial" w:cs="Arial" w:eastAsia="Arial" w:hAnsi="Arial"/>
          <w:sz w:val="18"/>
          <w:szCs w:val="18"/>
          <w:b w:val="1"/>
          <w:bCs w:val="1"/>
          <w:color w:val="auto"/>
        </w:rPr>
        <w:t>COBANK, ACB,</w:t>
      </w:r>
      <w:r>
        <w:rPr>
          <w:rFonts w:ascii="Arial" w:cs="Arial" w:eastAsia="Arial" w:hAnsi="Arial"/>
          <w:sz w:val="18"/>
          <w:szCs w:val="18"/>
          <w:color w:val="auto"/>
        </w:rPr>
        <w:t xml:space="preserve"> a federally-chartered instrumentality of the United States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PINELANDS WASTEWATER COMPANY,</w:t>
      </w:r>
      <w:r>
        <w:rPr>
          <w:rFonts w:ascii="Arial" w:cs="Arial" w:eastAsia="Arial" w:hAnsi="Arial"/>
          <w:sz w:val="18"/>
          <w:szCs w:val="18"/>
          <w:color w:val="auto"/>
        </w:rPr>
        <w:t xml:space="preserve"> lselin, New Jersey, a corporation (together with its permitted successors and assigns,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Capitalized terms not otherwise defined in this Promissory Note will have the meanings set forth in the Credit Agreement.</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1. MULTIPLE ADVANCE TERM COMMITMENT. </w:t>
      </w:r>
      <w:r>
        <w:rPr>
          <w:rFonts w:ascii="Arial" w:cs="Arial" w:eastAsia="Arial" w:hAnsi="Arial"/>
          <w:sz w:val="17"/>
          <w:szCs w:val="17"/>
          <w:color w:val="auto"/>
        </w:rPr>
        <w:t>On the terms and conditions set forth in the Credit Agreement and this Promissory</w:t>
      </w:r>
      <w:r>
        <w:rPr>
          <w:rFonts w:ascii="Arial" w:cs="Arial" w:eastAsia="Arial" w:hAnsi="Arial"/>
          <w:sz w:val="17"/>
          <w:szCs w:val="17"/>
          <w:b w:val="1"/>
          <w:bCs w:val="1"/>
          <w:color w:val="auto"/>
        </w:rPr>
        <w:t xml:space="preserve"> </w:t>
      </w:r>
      <w:r>
        <w:rPr>
          <w:rFonts w:ascii="Arial" w:cs="Arial" w:eastAsia="Arial" w:hAnsi="Arial"/>
          <w:sz w:val="17"/>
          <w:szCs w:val="17"/>
          <w:color w:val="auto"/>
        </w:rPr>
        <w:t>Note</w:t>
      </w:r>
      <w:r>
        <w:rPr>
          <w:rFonts w:ascii="Arial" w:cs="Arial" w:eastAsia="Arial" w:hAnsi="Arial"/>
          <w:sz w:val="17"/>
          <w:szCs w:val="17"/>
          <w:color w:val="626262"/>
        </w:rPr>
        <w:t>,</w:t>
      </w:r>
      <w:r>
        <w:rPr>
          <w:rFonts w:ascii="Arial" w:cs="Arial" w:eastAsia="Arial" w:hAnsi="Arial"/>
          <w:sz w:val="17"/>
          <w:szCs w:val="17"/>
          <w:color w:val="auto"/>
        </w:rPr>
        <w:t xml:space="preserve"> Lender agrees to make loans to the Borrower from time to time during the period set forth below in an aggregate principal amount not to exceed $3,600,000.00 (the </w:t>
      </w:r>
      <w:r>
        <w:rPr>
          <w:rFonts w:ascii="Arial" w:cs="Arial" w:eastAsia="Arial" w:hAnsi="Arial"/>
          <w:sz w:val="17"/>
          <w:szCs w:val="17"/>
          <w:b w:val="1"/>
          <w:bCs w:val="1"/>
          <w:color w:val="auto"/>
        </w:rPr>
        <w:t>"Commitment").</w:t>
      </w:r>
      <w:r>
        <w:rPr>
          <w:rFonts w:ascii="Arial" w:cs="Arial" w:eastAsia="Arial" w:hAnsi="Arial"/>
          <w:sz w:val="17"/>
          <w:szCs w:val="17"/>
          <w:color w:val="auto"/>
        </w:rPr>
        <w:t xml:space="preserve"> Under the Commitment, amounts borrowed and later repaid may not be re-borrowed.</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 PURPOSE. </w:t>
      </w:r>
      <w:r>
        <w:rPr>
          <w:rFonts w:ascii="Arial" w:cs="Arial" w:eastAsia="Arial" w:hAnsi="Arial"/>
          <w:sz w:val="18"/>
          <w:szCs w:val="18"/>
          <w:color w:val="auto"/>
        </w:rPr>
        <w:t>The purpose of the Commitment is to finance capital expenditures and closing costs, and refinance intercompany debt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3. TERM. </w:t>
      </w:r>
      <w:r>
        <w:rPr>
          <w:rFonts w:ascii="Arial" w:cs="Arial" w:eastAsia="Arial" w:hAnsi="Arial"/>
          <w:sz w:val="18"/>
          <w:szCs w:val="18"/>
          <w:color w:val="auto"/>
        </w:rPr>
        <w:t>The term of the Commitment will be from the date hereof, up to 12:00 p.m. Denver, Colorado time on October 20, 2023, or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later date as Lender may, in its sole discretion, authorize in writing (the </w:t>
      </w:r>
      <w:r>
        <w:rPr>
          <w:rFonts w:ascii="Arial" w:cs="Arial" w:eastAsia="Arial" w:hAnsi="Arial"/>
          <w:sz w:val="18"/>
          <w:szCs w:val="18"/>
          <w:b w:val="1"/>
          <w:bCs w:val="1"/>
          <w:color w:val="auto"/>
        </w:rPr>
        <w:t>"Term Expiration Date").</w:t>
      </w:r>
    </w:p>
    <w:p>
      <w:pPr>
        <w:spacing w:after="0" w:line="17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 xml:space="preserve">LIMITS ON ADVANCES, AVAILABILITY, ETC. </w:t>
      </w:r>
      <w:r>
        <w:rPr>
          <w:rFonts w:ascii="Arial" w:cs="Arial" w:eastAsia="Arial" w:hAnsi="Arial"/>
          <w:sz w:val="17"/>
          <w:szCs w:val="17"/>
          <w:color w:val="auto"/>
        </w:rPr>
        <w:t>The loans will be made available as provided in Article 2 of the Credit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5. INTEREST. </w:t>
      </w:r>
      <w:r>
        <w:rPr>
          <w:rFonts w:ascii="Arial" w:cs="Arial" w:eastAsia="Arial" w:hAnsi="Arial"/>
          <w:sz w:val="18"/>
          <w:szCs w:val="18"/>
          <w:color w:val="auto"/>
        </w:rPr>
        <w:t>The Borrower agrees to pay interest on the unpaid balance of the loan(s) in accordance with the following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w:t>
      </w:r>
    </w:p>
    <w:p>
      <w:pPr>
        <w:spacing w:after="0" w:line="175" w:lineRule="exact"/>
        <w:rPr>
          <w:sz w:val="20"/>
          <w:szCs w:val="20"/>
          <w:color w:val="auto"/>
        </w:rPr>
      </w:pPr>
    </w:p>
    <w:p>
      <w:pPr>
        <w:jc w:val="both"/>
        <w:ind w:firstLine="599"/>
        <w:spacing w:after="0" w:line="289" w:lineRule="auto"/>
        <w:tabs>
          <w:tab w:leader="none" w:pos="1111"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Weekly Quoted Variable Rate. </w:t>
      </w:r>
      <w:r>
        <w:rPr>
          <w:rFonts w:ascii="Arial" w:cs="Arial" w:eastAsia="Arial" w:hAnsi="Arial"/>
          <w:sz w:val="17"/>
          <w:szCs w:val="17"/>
          <w:color w:val="auto"/>
        </w:rPr>
        <w:t>At a rate per annum equal at all times to the rate of interest established by Lender on the first Business Day</w:t>
      </w:r>
      <w:r>
        <w:rPr>
          <w:rFonts w:ascii="Arial" w:cs="Arial" w:eastAsia="Arial" w:hAnsi="Arial"/>
          <w:sz w:val="17"/>
          <w:szCs w:val="17"/>
          <w:b w:val="1"/>
          <w:bCs w:val="1"/>
          <w:color w:val="auto"/>
        </w:rPr>
        <w:t xml:space="preserve"> </w:t>
      </w:r>
      <w:r>
        <w:rPr>
          <w:rFonts w:ascii="Arial" w:cs="Arial" w:eastAsia="Arial" w:hAnsi="Arial"/>
          <w:sz w:val="17"/>
          <w:szCs w:val="17"/>
          <w:color w:val="auto"/>
        </w:rPr>
        <w:t>of each week. The rate established by Lender will be effective until the first Business Day of the next week. Each change in the rate will be applicable to all balances subject to this option and information about the then current rate will be made available upon telephonic request.</w:t>
      </w:r>
    </w:p>
    <w:p>
      <w:pPr>
        <w:spacing w:after="0" w:line="157" w:lineRule="exact"/>
        <w:rPr>
          <w:rFonts w:ascii="Arial" w:cs="Arial" w:eastAsia="Arial" w:hAnsi="Arial"/>
          <w:sz w:val="17"/>
          <w:szCs w:val="17"/>
          <w:b w:val="1"/>
          <w:bCs w:val="1"/>
          <w:color w:val="auto"/>
        </w:rPr>
      </w:pPr>
    </w:p>
    <w:p>
      <w:pPr>
        <w:jc w:val="both"/>
        <w:ind w:firstLine="599"/>
        <w:spacing w:after="0" w:line="261" w:lineRule="auto"/>
        <w:tabs>
          <w:tab w:leader="none" w:pos="1101"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Quoted Rate. </w:t>
      </w:r>
      <w:r>
        <w:rPr>
          <w:rFonts w:ascii="Arial" w:cs="Arial" w:eastAsia="Arial" w:hAnsi="Arial"/>
          <w:sz w:val="18"/>
          <w:szCs w:val="18"/>
          <w:color w:val="auto"/>
        </w:rPr>
        <w:t>At a fixed rate per annum to be quoted by Lender in its sole discretion in each instance. Under this option, rates may be fixed</w:t>
      </w:r>
      <w:r>
        <w:rPr>
          <w:rFonts w:ascii="Arial" w:cs="Arial" w:eastAsia="Arial" w:hAnsi="Arial"/>
          <w:sz w:val="18"/>
          <w:szCs w:val="18"/>
          <w:b w:val="1"/>
          <w:bCs w:val="1"/>
          <w:color w:val="auto"/>
        </w:rPr>
        <w:t xml:space="preserve"> </w:t>
      </w:r>
      <w:r>
        <w:rPr>
          <w:rFonts w:ascii="Arial" w:cs="Arial" w:eastAsia="Arial" w:hAnsi="Arial"/>
          <w:sz w:val="18"/>
          <w:szCs w:val="18"/>
          <w:color w:val="auto"/>
        </w:rPr>
        <w:t>on such balances and for such periods, as may be agreeable to Lender in its sole discretion in each instance, provided that: (1) the minimum fixed period will be 365 days; (2) amounts may be fixed in an amount not less than $100,000.00; and (3) the maximum number of fixes in place at any one time will be five.</w:t>
      </w:r>
    </w:p>
    <w:p>
      <w:pPr>
        <w:spacing w:after="0" w:line="197" w:lineRule="exact"/>
        <w:rPr>
          <w:sz w:val="20"/>
          <w:szCs w:val="20"/>
          <w:color w:val="auto"/>
        </w:rPr>
      </w:pPr>
    </w:p>
    <w:p>
      <w:pPr>
        <w:jc w:val="both"/>
        <w:ind w:hanging="4"/>
        <w:spacing w:after="0" w:line="263" w:lineRule="auto"/>
        <w:rPr>
          <w:sz w:val="20"/>
          <w:szCs w:val="20"/>
          <w:color w:val="auto"/>
        </w:rPr>
      </w:pPr>
      <w:r>
        <w:rPr>
          <w:rFonts w:ascii="Arial" w:cs="Arial" w:eastAsia="Arial" w:hAnsi="Arial"/>
          <w:sz w:val="18"/>
          <w:szCs w:val="18"/>
          <w:color w:val="auto"/>
        </w:rPr>
        <w:t>The Borrower will select the applicable rate option at the time it requests a loan hereunder and may</w:t>
      </w:r>
      <w:r>
        <w:rPr>
          <w:rFonts w:ascii="Arial" w:cs="Arial" w:eastAsia="Arial" w:hAnsi="Arial"/>
          <w:sz w:val="18"/>
          <w:szCs w:val="18"/>
          <w:color w:val="727272"/>
        </w:rPr>
        <w:t>,</w:t>
      </w:r>
      <w:r>
        <w:rPr>
          <w:rFonts w:ascii="Arial" w:cs="Arial" w:eastAsia="Arial" w:hAnsi="Arial"/>
          <w:sz w:val="18"/>
          <w:szCs w:val="18"/>
          <w:color w:val="auto"/>
        </w:rPr>
        <w:t xml:space="preserve"> subject to the limitations set forth above, elect to convert balances bearing interest at the variable rate option to one of the fixed rate options. If the Borrower fails to elect an interest rate option, interest will accrue at the variable interest rate option. Upon the expiration of any fixed rate period, interest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0C0C0C"/>
        </w:rPr>
        <w:t>PINELANDS WASTEWATER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C0C0C"/>
        </w:rPr>
        <w:t>lselin,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 xml:space="preserve">Promissory Note No. </w:t>
      </w:r>
      <w:r>
        <w:rPr>
          <w:rFonts w:ascii="Arial" w:cs="Arial" w:eastAsia="Arial" w:hAnsi="Arial"/>
          <w:sz w:val="18"/>
          <w:szCs w:val="18"/>
          <w:color w:val="0C0C0C"/>
        </w:rPr>
        <w:t>00147994T01</w:t>
      </w:r>
    </w:p>
    <w:p>
      <w:pPr>
        <w:spacing w:after="0" w:line="200" w:lineRule="exact"/>
        <w:rPr>
          <w:sz w:val="20"/>
          <w:szCs w:val="20"/>
          <w:color w:val="auto"/>
        </w:rPr>
      </w:pPr>
    </w:p>
    <w:p>
      <w:pPr>
        <w:spacing w:after="0" w:line="227" w:lineRule="exact"/>
        <w:rPr>
          <w:sz w:val="20"/>
          <w:szCs w:val="20"/>
          <w:color w:val="auto"/>
        </w:rPr>
      </w:pPr>
    </w:p>
    <w:p>
      <w:pPr>
        <w:jc w:val="both"/>
        <w:ind w:hanging="3"/>
        <w:spacing w:after="0" w:line="273" w:lineRule="auto"/>
        <w:rPr>
          <w:sz w:val="20"/>
          <w:szCs w:val="20"/>
          <w:color w:val="auto"/>
        </w:rPr>
      </w:pPr>
      <w:r>
        <w:rPr>
          <w:rFonts w:ascii="Arial" w:cs="Arial" w:eastAsia="Arial" w:hAnsi="Arial"/>
          <w:sz w:val="17"/>
          <w:szCs w:val="17"/>
          <w:color w:val="0C0C0C"/>
        </w:rPr>
        <w:t xml:space="preserve">automatically accrue at </w:t>
      </w:r>
      <w:r>
        <w:rPr>
          <w:rFonts w:ascii="Arial" w:cs="Arial" w:eastAsia="Arial" w:hAnsi="Arial"/>
          <w:sz w:val="17"/>
          <w:szCs w:val="17"/>
          <w:color w:val="1F1F1F"/>
        </w:rPr>
        <w:t>the</w:t>
      </w:r>
      <w:r>
        <w:rPr>
          <w:rFonts w:ascii="Arial" w:cs="Arial" w:eastAsia="Arial" w:hAnsi="Arial"/>
          <w:sz w:val="17"/>
          <w:szCs w:val="17"/>
          <w:color w:val="0C0C0C"/>
        </w:rPr>
        <w:t xml:space="preserve"> variable rate option unless the amount fixed is repaid or fixed for an additional period in accordance with the terms hereof. Notwithstanding the foregoing, rates may not be fixed for periods expiring after the maturity date of the loans </w:t>
      </w:r>
      <w:r>
        <w:rPr>
          <w:rFonts w:ascii="Arial" w:cs="Arial" w:eastAsia="Arial" w:hAnsi="Arial"/>
          <w:sz w:val="17"/>
          <w:szCs w:val="17"/>
          <w:color w:val="1F1F1F"/>
        </w:rPr>
        <w:t>and</w:t>
      </w:r>
      <w:r>
        <w:rPr>
          <w:rFonts w:ascii="Arial" w:cs="Arial" w:eastAsia="Arial" w:hAnsi="Arial"/>
          <w:sz w:val="17"/>
          <w:szCs w:val="17"/>
          <w:color w:val="0C0C0C"/>
        </w:rPr>
        <w:t xml:space="preserve"> rates may not be fixed in such a manner as to cause the Borrower to have to break any fixed rate balance in order to pay any installment of principal. All elections provided for herein will be made telephonically or in writing and must be received by 12:00 </w:t>
      </w:r>
      <w:r>
        <w:rPr>
          <w:rFonts w:ascii="Arial" w:cs="Arial" w:eastAsia="Arial" w:hAnsi="Arial"/>
          <w:sz w:val="17"/>
          <w:szCs w:val="17"/>
          <w:color w:val="000000"/>
        </w:rPr>
        <w:t>p.m. Denver, Colorado</w:t>
      </w:r>
      <w:r>
        <w:rPr>
          <w:rFonts w:ascii="Arial" w:cs="Arial" w:eastAsia="Arial" w:hAnsi="Arial"/>
          <w:sz w:val="17"/>
          <w:szCs w:val="17"/>
          <w:color w:val="0C0C0C"/>
        </w:rPr>
        <w:t xml:space="preserve"> </w:t>
      </w:r>
      <w:r>
        <w:rPr>
          <w:rFonts w:ascii="Arial" w:cs="Arial" w:eastAsia="Arial" w:hAnsi="Arial"/>
          <w:sz w:val="17"/>
          <w:szCs w:val="17"/>
          <w:color w:val="1F1F1F"/>
        </w:rPr>
        <w:t>time.</w:t>
      </w:r>
      <w:r>
        <w:rPr>
          <w:rFonts w:ascii="Arial" w:cs="Arial" w:eastAsia="Arial" w:hAnsi="Arial"/>
          <w:sz w:val="17"/>
          <w:szCs w:val="17"/>
          <w:color w:val="0C0C0C"/>
        </w:rPr>
        <w:t xml:space="preserve"> Interest will be calculated on the actual number of days each loan is outstanding on the basis of a year consisting of 360 </w:t>
      </w:r>
      <w:r>
        <w:rPr>
          <w:rFonts w:ascii="Arial" w:cs="Arial" w:eastAsia="Arial" w:hAnsi="Arial"/>
          <w:sz w:val="17"/>
          <w:szCs w:val="17"/>
          <w:color w:val="1F1F1F"/>
        </w:rPr>
        <w:t>days</w:t>
      </w:r>
      <w:r>
        <w:rPr>
          <w:rFonts w:ascii="Arial" w:cs="Arial" w:eastAsia="Arial" w:hAnsi="Arial"/>
          <w:sz w:val="17"/>
          <w:szCs w:val="17"/>
          <w:color w:val="0C0C0C"/>
        </w:rPr>
        <w:t xml:space="preserve"> and will be payable monthly in arrears by the 20th day of the </w:t>
      </w:r>
      <w:r>
        <w:rPr>
          <w:rFonts w:ascii="Arial" w:cs="Arial" w:eastAsia="Arial" w:hAnsi="Arial"/>
          <w:sz w:val="17"/>
          <w:szCs w:val="17"/>
          <w:color w:val="1F1F1F"/>
        </w:rPr>
        <w:t>following</w:t>
      </w:r>
      <w:r>
        <w:rPr>
          <w:rFonts w:ascii="Arial" w:cs="Arial" w:eastAsia="Arial" w:hAnsi="Arial"/>
          <w:sz w:val="17"/>
          <w:szCs w:val="17"/>
          <w:color w:val="0C0C0C"/>
        </w:rPr>
        <w:t xml:space="preserve"> month or on such other day as Lender will require in a </w:t>
      </w:r>
      <w:r>
        <w:rPr>
          <w:rFonts w:ascii="Arial" w:cs="Arial" w:eastAsia="Arial" w:hAnsi="Arial"/>
          <w:sz w:val="17"/>
          <w:szCs w:val="17"/>
          <w:color w:val="1F1F1F"/>
        </w:rPr>
        <w:t>written</w:t>
      </w:r>
      <w:r>
        <w:rPr>
          <w:rFonts w:ascii="Arial" w:cs="Arial" w:eastAsia="Arial" w:hAnsi="Arial"/>
          <w:sz w:val="17"/>
          <w:szCs w:val="17"/>
          <w:color w:val="0C0C0C"/>
        </w:rPr>
        <w:t xml:space="preserve"> notice to the Borrower </w:t>
      </w:r>
      <w:r>
        <w:rPr>
          <w:rFonts w:ascii="Arial" w:cs="Arial" w:eastAsia="Arial" w:hAnsi="Arial"/>
          <w:sz w:val="17"/>
          <w:szCs w:val="17"/>
          <w:b w:val="1"/>
          <w:bCs w:val="1"/>
          <w:color w:val="0C0C0C"/>
        </w:rPr>
        <w:t>("Interest Payment Date").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0C0C0C"/>
        </w:rPr>
        <w:t xml:space="preserve">SECTION 6. PROMISSORY NOTE. </w:t>
      </w:r>
      <w:r>
        <w:rPr>
          <w:rFonts w:ascii="Arial" w:cs="Arial" w:eastAsia="Arial" w:hAnsi="Arial"/>
          <w:sz w:val="16"/>
          <w:szCs w:val="16"/>
          <w:color w:val="0C0C0C"/>
        </w:rPr>
        <w:t>The Borrower promises to repay the unpaid principal balance of the loans</w:t>
      </w:r>
      <w:r>
        <w:rPr>
          <w:rFonts w:ascii="Arial" w:cs="Arial" w:eastAsia="Arial" w:hAnsi="Arial"/>
          <w:sz w:val="16"/>
          <w:szCs w:val="16"/>
          <w:b w:val="1"/>
          <w:bCs w:val="1"/>
          <w:color w:val="0C0C0C"/>
        </w:rPr>
        <w:t xml:space="preserve"> </w:t>
      </w:r>
      <w:r>
        <w:rPr>
          <w:rFonts w:ascii="Arial" w:cs="Arial" w:eastAsia="Arial" w:hAnsi="Arial"/>
          <w:sz w:val="16"/>
          <w:szCs w:val="16"/>
          <w:color w:val="1F1F1F"/>
        </w:rPr>
        <w:t>in</w:t>
      </w:r>
      <w:r>
        <w:rPr>
          <w:rFonts w:ascii="Arial" w:cs="Arial" w:eastAsia="Arial" w:hAnsi="Arial"/>
          <w:sz w:val="16"/>
          <w:szCs w:val="16"/>
          <w:b w:val="1"/>
          <w:bCs w:val="1"/>
          <w:color w:val="0C0C0C"/>
        </w:rPr>
        <w:t xml:space="preserve"> </w:t>
      </w:r>
      <w:r>
        <w:rPr>
          <w:rFonts w:ascii="Arial" w:cs="Arial" w:eastAsia="Arial" w:hAnsi="Arial"/>
          <w:sz w:val="16"/>
          <w:szCs w:val="16"/>
          <w:color w:val="0C0C0C"/>
        </w:rPr>
        <w:t>228 consecutive, monthly</w:t>
      </w:r>
      <w:r>
        <w:rPr>
          <w:rFonts w:ascii="Arial" w:cs="Arial" w:eastAsia="Arial" w:hAnsi="Arial"/>
          <w:sz w:val="16"/>
          <w:szCs w:val="16"/>
          <w:b w:val="1"/>
          <w:bCs w:val="1"/>
          <w:color w:val="0C0C0C"/>
        </w:rPr>
        <w:t xml:space="preserve"> </w:t>
      </w:r>
      <w:r>
        <w:rPr>
          <w:rFonts w:ascii="Arial" w:cs="Arial" w:eastAsia="Arial" w:hAnsi="Arial"/>
          <w:sz w:val="16"/>
          <w:szCs w:val="16"/>
          <w:color w:val="0C0C0C"/>
        </w:rPr>
        <w:t xml:space="preserve">installments, payable on the 20th day of each month, with the first installment due on May 20, 2024, and the last installment due on April 20, 2043. The amount of each installment will be the same principal amount that would be required to be repaid if the loan(s) were scheduled to be repaid in level payments of principal and interest and such schedule was calculated utilizing the </w:t>
      </w:r>
      <w:r>
        <w:rPr>
          <w:rFonts w:ascii="Arial" w:cs="Arial" w:eastAsia="Arial" w:hAnsi="Arial"/>
          <w:sz w:val="16"/>
          <w:szCs w:val="16"/>
          <w:color w:val="1F1F1F"/>
        </w:rPr>
        <w:t>rate</w:t>
      </w:r>
      <w:r>
        <w:rPr>
          <w:rFonts w:ascii="Arial" w:cs="Arial" w:eastAsia="Arial" w:hAnsi="Arial"/>
          <w:sz w:val="16"/>
          <w:szCs w:val="16"/>
          <w:color w:val="0C0C0C"/>
        </w:rPr>
        <w:t xml:space="preserve"> of interest in effect on the Term Expiration Date. Principal due on the first payment date will constitute a month's amortization, regardless of any partial month's interest due in accordance with the provisions set forth herein.</w:t>
      </w:r>
    </w:p>
    <w:p>
      <w:pPr>
        <w:spacing w:after="0" w:line="171" w:lineRule="exact"/>
        <w:rPr>
          <w:sz w:val="20"/>
          <w:szCs w:val="20"/>
          <w:color w:val="auto"/>
        </w:rPr>
      </w:pPr>
    </w:p>
    <w:p>
      <w:pPr>
        <w:jc w:val="both"/>
        <w:ind w:hanging="7"/>
        <w:spacing w:after="0" w:line="277" w:lineRule="auto"/>
        <w:rPr>
          <w:sz w:val="20"/>
          <w:szCs w:val="20"/>
          <w:color w:val="auto"/>
        </w:rPr>
      </w:pPr>
      <w:r>
        <w:rPr>
          <w:rFonts w:ascii="Arial" w:cs="Arial" w:eastAsia="Arial" w:hAnsi="Arial"/>
          <w:sz w:val="18"/>
          <w:szCs w:val="18"/>
          <w:color w:val="0C0C0C"/>
        </w:rPr>
        <w:t xml:space="preserve">In addition to the above, the Borrower promises to pay interest on the unpaid principal balance of the loans at the times and in accordance with the provisions </w:t>
      </w:r>
      <w:r>
        <w:rPr>
          <w:rFonts w:ascii="Arial" w:cs="Arial" w:eastAsia="Arial" w:hAnsi="Arial"/>
          <w:sz w:val="18"/>
          <w:szCs w:val="18"/>
          <w:color w:val="1F1F1F"/>
        </w:rPr>
        <w:t>set</w:t>
      </w:r>
      <w:r>
        <w:rPr>
          <w:rFonts w:ascii="Arial" w:cs="Arial" w:eastAsia="Arial" w:hAnsi="Arial"/>
          <w:sz w:val="18"/>
          <w:szCs w:val="18"/>
          <w:color w:val="0C0C0C"/>
        </w:rPr>
        <w:t xml:space="preserve"> forth herein.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0C0C0C"/>
        </w:rPr>
        <w:t xml:space="preserve">SECTION </w:t>
      </w:r>
      <w:r>
        <w:rPr>
          <w:rFonts w:ascii="Arial" w:cs="Arial" w:eastAsia="Arial" w:hAnsi="Arial"/>
          <w:sz w:val="18"/>
          <w:szCs w:val="18"/>
          <w:color w:val="0C0C0C"/>
        </w:rPr>
        <w:t>7.</w:t>
      </w:r>
      <w:r>
        <w:rPr>
          <w:rFonts w:ascii="Arial" w:cs="Arial" w:eastAsia="Arial" w:hAnsi="Arial"/>
          <w:sz w:val="18"/>
          <w:szCs w:val="18"/>
          <w:b w:val="1"/>
          <w:bCs w:val="1"/>
          <w:color w:val="0C0C0C"/>
        </w:rPr>
        <w:t xml:space="preserve"> PREPAYMENT. </w:t>
      </w:r>
      <w:r>
        <w:rPr>
          <w:rFonts w:ascii="Arial" w:cs="Arial" w:eastAsia="Arial" w:hAnsi="Arial"/>
          <w:sz w:val="18"/>
          <w:szCs w:val="18"/>
          <w:color w:val="0C0C0C"/>
        </w:rPr>
        <w:t>Subject</w:t>
      </w:r>
      <w:r>
        <w:rPr>
          <w:rFonts w:ascii="Arial" w:cs="Arial" w:eastAsia="Arial" w:hAnsi="Arial"/>
          <w:sz w:val="18"/>
          <w:szCs w:val="18"/>
          <w:b w:val="1"/>
          <w:bCs w:val="1"/>
          <w:color w:val="0C0C0C"/>
        </w:rPr>
        <w:t xml:space="preserve"> </w:t>
      </w:r>
      <w:r>
        <w:rPr>
          <w:rFonts w:ascii="Arial" w:cs="Arial" w:eastAsia="Arial" w:hAnsi="Arial"/>
          <w:sz w:val="18"/>
          <w:szCs w:val="18"/>
          <w:i w:val="1"/>
          <w:iCs w:val="1"/>
          <w:color w:val="0C0C0C"/>
        </w:rPr>
        <w:t>to</w:t>
      </w:r>
      <w:r>
        <w:rPr>
          <w:rFonts w:ascii="Arial" w:cs="Arial" w:eastAsia="Arial" w:hAnsi="Arial"/>
          <w:sz w:val="18"/>
          <w:szCs w:val="18"/>
          <w:b w:val="1"/>
          <w:bCs w:val="1"/>
          <w:color w:val="0C0C0C"/>
        </w:rPr>
        <w:t xml:space="preserve"> </w:t>
      </w:r>
      <w:r>
        <w:rPr>
          <w:rFonts w:ascii="Arial" w:cs="Arial" w:eastAsia="Arial" w:hAnsi="Arial"/>
          <w:sz w:val="18"/>
          <w:szCs w:val="18"/>
          <w:color w:val="0C0C0C"/>
        </w:rPr>
        <w:t>the broken funding surcharge provision of the Credit Agreement, the Borrower may, on one Business Day's</w:t>
      </w:r>
      <w:r>
        <w:rPr>
          <w:rFonts w:ascii="Arial" w:cs="Arial" w:eastAsia="Arial" w:hAnsi="Arial"/>
          <w:sz w:val="18"/>
          <w:szCs w:val="18"/>
          <w:b w:val="1"/>
          <w:bCs w:val="1"/>
          <w:color w:val="0C0C0C"/>
        </w:rPr>
        <w:t xml:space="preserve"> </w:t>
      </w:r>
      <w:r>
        <w:rPr>
          <w:rFonts w:ascii="Arial" w:cs="Arial" w:eastAsia="Arial" w:hAnsi="Arial"/>
          <w:sz w:val="18"/>
          <w:szCs w:val="18"/>
          <w:color w:val="0C0C0C"/>
        </w:rPr>
        <w:t xml:space="preserve">prior written notice, prepay all or any portion of the loan(s). Unless otherwise agreed by Lender, all prepayments will be applied to principal installments in the inverse </w:t>
      </w:r>
      <w:r>
        <w:rPr>
          <w:rFonts w:ascii="Arial" w:cs="Arial" w:eastAsia="Arial" w:hAnsi="Arial"/>
          <w:sz w:val="18"/>
          <w:szCs w:val="18"/>
          <w:color w:val="1F1F1F"/>
        </w:rPr>
        <w:t>order of</w:t>
      </w:r>
      <w:r>
        <w:rPr>
          <w:rFonts w:ascii="Arial" w:cs="Arial" w:eastAsia="Arial" w:hAnsi="Arial"/>
          <w:sz w:val="18"/>
          <w:szCs w:val="18"/>
          <w:color w:val="0C0C0C"/>
        </w:rPr>
        <w:t xml:space="preserve"> their maturity and to such balances, fixed or variable, as Lender will specify.</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8. SECURITY. </w:t>
      </w:r>
      <w:r>
        <w:rPr>
          <w:rFonts w:ascii="Arial" w:cs="Arial" w:eastAsia="Arial" w:hAnsi="Arial"/>
          <w:sz w:val="18"/>
          <w:szCs w:val="18"/>
          <w:color w:val="auto"/>
        </w:rPr>
        <w:t>The Borrower's obligations hereunder and, to the extent related hereto, under the Credit Agreement, will be secured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2.3 of the Credit Agreement.</w:t>
      </w:r>
    </w:p>
    <w:p>
      <w:pPr>
        <w:spacing w:after="0" w:line="17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FEES.</w:t>
      </w:r>
    </w:p>
    <w:p>
      <w:pPr>
        <w:spacing w:after="0" w:line="225" w:lineRule="exact"/>
        <w:rPr>
          <w:sz w:val="20"/>
          <w:szCs w:val="20"/>
          <w:color w:val="auto"/>
        </w:rPr>
      </w:pPr>
    </w:p>
    <w:p>
      <w:pPr>
        <w:jc w:val="both"/>
        <w:ind w:firstLine="601"/>
        <w:spacing w:after="0" w:line="314" w:lineRule="auto"/>
        <w:tabs>
          <w:tab w:leader="none" w:pos="1481" w:val="left"/>
        </w:tabs>
        <w:numPr>
          <w:ilvl w:val="0"/>
          <w:numId w:val="29"/>
        </w:numPr>
        <w:rPr>
          <w:rFonts w:ascii="Arial" w:cs="Arial" w:eastAsia="Arial" w:hAnsi="Arial"/>
          <w:sz w:val="16"/>
          <w:szCs w:val="16"/>
          <w:b w:val="1"/>
          <w:bCs w:val="1"/>
          <w:color w:val="0C0C0C"/>
        </w:rPr>
      </w:pPr>
      <w:r>
        <w:rPr>
          <w:rFonts w:ascii="Arial" w:cs="Arial" w:eastAsia="Arial" w:hAnsi="Arial"/>
          <w:sz w:val="16"/>
          <w:szCs w:val="16"/>
          <w:b w:val="1"/>
          <w:bCs w:val="1"/>
          <w:color w:val="0C0C0C"/>
        </w:rPr>
        <w:t xml:space="preserve">Commitment Fee. </w:t>
      </w:r>
      <w:r>
        <w:rPr>
          <w:rFonts w:ascii="Arial" w:cs="Arial" w:eastAsia="Arial" w:hAnsi="Arial"/>
          <w:sz w:val="16"/>
          <w:szCs w:val="16"/>
          <w:color w:val="0C0C0C"/>
        </w:rPr>
        <w:t>In consideration of the Commitment, the Borrower agrees to pay to Lender a commitment</w:t>
      </w:r>
      <w:r>
        <w:rPr>
          <w:rFonts w:ascii="Arial" w:cs="Arial" w:eastAsia="Arial" w:hAnsi="Arial"/>
          <w:sz w:val="16"/>
          <w:szCs w:val="16"/>
          <w:b w:val="1"/>
          <w:bCs w:val="1"/>
          <w:color w:val="0C0C0C"/>
        </w:rPr>
        <w:t xml:space="preserve"> </w:t>
      </w:r>
      <w:r>
        <w:rPr>
          <w:rFonts w:ascii="Arial" w:cs="Arial" w:eastAsia="Arial" w:hAnsi="Arial"/>
          <w:sz w:val="16"/>
          <w:szCs w:val="16"/>
          <w:color w:val="1F1F1F"/>
        </w:rPr>
        <w:t>fee</w:t>
      </w:r>
      <w:r>
        <w:rPr>
          <w:rFonts w:ascii="Arial" w:cs="Arial" w:eastAsia="Arial" w:hAnsi="Arial"/>
          <w:sz w:val="16"/>
          <w:szCs w:val="16"/>
          <w:b w:val="1"/>
          <w:bCs w:val="1"/>
          <w:color w:val="0C0C0C"/>
        </w:rPr>
        <w:t xml:space="preserve"> </w:t>
      </w:r>
      <w:r>
        <w:rPr>
          <w:rFonts w:ascii="Arial" w:cs="Arial" w:eastAsia="Arial" w:hAnsi="Arial"/>
          <w:sz w:val="16"/>
          <w:szCs w:val="16"/>
          <w:color w:val="0C0C0C"/>
        </w:rPr>
        <w:t>on the average daily</w:t>
      </w:r>
      <w:r>
        <w:rPr>
          <w:rFonts w:ascii="Arial" w:cs="Arial" w:eastAsia="Arial" w:hAnsi="Arial"/>
          <w:sz w:val="16"/>
          <w:szCs w:val="16"/>
          <w:b w:val="1"/>
          <w:bCs w:val="1"/>
          <w:color w:val="0C0C0C"/>
        </w:rPr>
        <w:t xml:space="preserve"> </w:t>
      </w:r>
      <w:r>
        <w:rPr>
          <w:rFonts w:ascii="Arial" w:cs="Arial" w:eastAsia="Arial" w:hAnsi="Arial"/>
          <w:sz w:val="16"/>
          <w:szCs w:val="16"/>
          <w:color w:val="0C0C0C"/>
        </w:rPr>
        <w:t xml:space="preserve">unused available portion of the Commitment at the rate of 0.150% per annum </w:t>
      </w:r>
      <w:r>
        <w:rPr>
          <w:rFonts w:ascii="Arial" w:cs="Arial" w:eastAsia="Arial" w:hAnsi="Arial"/>
          <w:sz w:val="16"/>
          <w:szCs w:val="16"/>
          <w:color w:val="1F1F1F"/>
        </w:rPr>
        <w:t>(calculated</w:t>
      </w:r>
      <w:r>
        <w:rPr>
          <w:rFonts w:ascii="Arial" w:cs="Arial" w:eastAsia="Arial" w:hAnsi="Arial"/>
          <w:sz w:val="16"/>
          <w:szCs w:val="16"/>
          <w:color w:val="0C0C0C"/>
        </w:rPr>
        <w:t xml:space="preserve"> on a 360-day basis), payable monthly in arrears by the 20th day following each month. Such fee will be payable for each month (or portion thereof) occurring during the original or any extended term of </w:t>
      </w:r>
      <w:r>
        <w:rPr>
          <w:rFonts w:ascii="Arial" w:cs="Arial" w:eastAsia="Arial" w:hAnsi="Arial"/>
          <w:sz w:val="16"/>
          <w:szCs w:val="16"/>
          <w:color w:val="1F1F1F"/>
        </w:rPr>
        <w:t>the</w:t>
      </w:r>
      <w:r>
        <w:rPr>
          <w:rFonts w:ascii="Arial" w:cs="Arial" w:eastAsia="Arial" w:hAnsi="Arial"/>
          <w:sz w:val="16"/>
          <w:szCs w:val="16"/>
          <w:color w:val="0C0C0C"/>
        </w:rPr>
        <w:t xml:space="preserve"> Commitment.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C0C0C"/>
        </w:rPr>
        <w:t>SIGNATURE PAGE FOLLOWS</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050505"/>
        </w:rPr>
        <w:t>PINELANDS WASTEWATER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0505"/>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050505"/>
        </w:rPr>
        <w:t xml:space="preserve">Promissory Note No. </w:t>
      </w:r>
      <w:r>
        <w:rPr>
          <w:rFonts w:ascii="Arial" w:cs="Arial" w:eastAsia="Arial" w:hAnsi="Arial"/>
          <w:sz w:val="18"/>
          <w:szCs w:val="18"/>
          <w:color w:val="050505"/>
        </w:rPr>
        <w:t>00147994T01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50505"/>
        </w:rPr>
        <w:t>SIGNATURE PAGE TO PROMISSORY NOTE</w:t>
      </w:r>
    </w:p>
    <w:p>
      <w:pPr>
        <w:spacing w:after="0" w:line="225" w:lineRule="exact"/>
        <w:rPr>
          <w:sz w:val="20"/>
          <w:szCs w:val="20"/>
          <w:color w:val="auto"/>
        </w:rPr>
      </w:pPr>
    </w:p>
    <w:p>
      <w:pPr>
        <w:ind w:right="660" w:firstLine="590"/>
        <w:spacing w:after="0" w:line="282" w:lineRule="auto"/>
        <w:rPr>
          <w:sz w:val="20"/>
          <w:szCs w:val="20"/>
          <w:color w:val="auto"/>
        </w:rPr>
      </w:pPr>
      <w:r>
        <w:rPr>
          <w:rFonts w:ascii="Arial" w:cs="Arial" w:eastAsia="Arial" w:hAnsi="Arial"/>
          <w:sz w:val="18"/>
          <w:szCs w:val="18"/>
          <w:b w:val="1"/>
          <w:bCs w:val="1"/>
          <w:color w:val="050505"/>
        </w:rPr>
        <w:t xml:space="preserve">IN WITNESS WHEREOF, </w:t>
      </w:r>
      <w:r>
        <w:rPr>
          <w:rFonts w:ascii="Arial" w:cs="Arial" w:eastAsia="Arial" w:hAnsi="Arial"/>
          <w:sz w:val="18"/>
          <w:szCs w:val="18"/>
          <w:color w:val="050505"/>
        </w:rPr>
        <w:t>the parties have caused this Promissory Note to the Credit Agreement to be executed by their duly authorized</w:t>
      </w:r>
      <w:r>
        <w:rPr>
          <w:rFonts w:ascii="Arial" w:cs="Arial" w:eastAsia="Arial" w:hAnsi="Arial"/>
          <w:sz w:val="18"/>
          <w:szCs w:val="18"/>
          <w:b w:val="1"/>
          <w:bCs w:val="1"/>
          <w:color w:val="050505"/>
        </w:rPr>
        <w:t xml:space="preserve"> </w:t>
      </w:r>
      <w:r>
        <w:rPr>
          <w:rFonts w:ascii="Arial" w:cs="Arial" w:eastAsia="Arial" w:hAnsi="Arial"/>
          <w:sz w:val="18"/>
          <w:szCs w:val="18"/>
          <w:color w:val="050505"/>
        </w:rPr>
        <w:t>officer(s).</w:t>
      </w:r>
    </w:p>
    <w:p>
      <w:pPr>
        <w:spacing w:after="0" w:line="391"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auto"/>
        </w:rPr>
        <w:t>PINELANDS WATER COMPANY</w:t>
      </w:r>
    </w:p>
    <w:p>
      <w:pPr>
        <w:spacing w:after="0" w:line="229" w:lineRule="exact"/>
        <w:rPr>
          <w:sz w:val="20"/>
          <w:szCs w:val="20"/>
          <w:color w:val="auto"/>
        </w:rPr>
      </w:pPr>
    </w:p>
    <w:tbl>
      <w:tblPr>
        <w:tblLayout w:type="fixed"/>
        <w:tblInd w:w="8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Capko</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J. Capko</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Controller</w:t>
            </w:r>
          </w:p>
        </w:tc>
      </w:tr>
    </w:tbl>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050505"/>
        </w:rPr>
        <w:t>PINELANDS WASTEWATER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0505"/>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050505"/>
        </w:rPr>
        <w:t xml:space="preserve">Promissory Note No. </w:t>
      </w:r>
      <w:r>
        <w:rPr>
          <w:rFonts w:ascii="Arial" w:cs="Arial" w:eastAsia="Arial" w:hAnsi="Arial"/>
          <w:sz w:val="18"/>
          <w:szCs w:val="18"/>
          <w:color w:val="050505"/>
        </w:rPr>
        <w:t>00147994TOI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50505"/>
        </w:rPr>
        <w:t>SIGNATURE PAGE TO PROMISSORY NOTE</w:t>
      </w:r>
    </w:p>
    <w:p>
      <w:pPr>
        <w:spacing w:after="0" w:line="225" w:lineRule="exact"/>
        <w:rPr>
          <w:sz w:val="20"/>
          <w:szCs w:val="20"/>
          <w:color w:val="auto"/>
        </w:rPr>
      </w:pPr>
    </w:p>
    <w:p>
      <w:pPr>
        <w:ind w:right="660" w:firstLine="589"/>
        <w:spacing w:after="0" w:line="282" w:lineRule="auto"/>
        <w:rPr>
          <w:sz w:val="20"/>
          <w:szCs w:val="20"/>
          <w:color w:val="auto"/>
        </w:rPr>
      </w:pPr>
      <w:r>
        <w:rPr>
          <w:rFonts w:ascii="Arial" w:cs="Arial" w:eastAsia="Arial" w:hAnsi="Arial"/>
          <w:sz w:val="18"/>
          <w:szCs w:val="18"/>
          <w:b w:val="1"/>
          <w:bCs w:val="1"/>
          <w:color w:val="050505"/>
        </w:rPr>
        <w:t xml:space="preserve">IN WITNESS WHEREOF, </w:t>
      </w:r>
      <w:r>
        <w:rPr>
          <w:rFonts w:ascii="Arial" w:cs="Arial" w:eastAsia="Arial" w:hAnsi="Arial"/>
          <w:sz w:val="18"/>
          <w:szCs w:val="18"/>
          <w:color w:val="050505"/>
        </w:rPr>
        <w:t>the parties have caused this Promissory Note to the Credit Agreement to be executed by their duly authorized</w:t>
      </w:r>
      <w:r>
        <w:rPr>
          <w:rFonts w:ascii="Arial" w:cs="Arial" w:eastAsia="Arial" w:hAnsi="Arial"/>
          <w:sz w:val="18"/>
          <w:szCs w:val="18"/>
          <w:b w:val="1"/>
          <w:bCs w:val="1"/>
          <w:color w:val="050505"/>
        </w:rPr>
        <w:t xml:space="preserve"> </w:t>
      </w:r>
      <w:r>
        <w:rPr>
          <w:rFonts w:ascii="Arial" w:cs="Arial" w:eastAsia="Arial" w:hAnsi="Arial"/>
          <w:sz w:val="18"/>
          <w:szCs w:val="18"/>
          <w:color w:val="050505"/>
        </w:rPr>
        <w:t>officer(s).</w:t>
      </w:r>
    </w:p>
    <w:p>
      <w:pPr>
        <w:spacing w:after="0" w:line="39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COBANK,ACB</w:t>
      </w:r>
    </w:p>
    <w:p>
      <w:pPr>
        <w:spacing w:after="0" w:line="229" w:lineRule="exact"/>
        <w:rPr>
          <w:sz w:val="20"/>
          <w:szCs w:val="20"/>
          <w:color w:val="auto"/>
        </w:rPr>
      </w:pPr>
    </w:p>
    <w:tbl>
      <w:tblPr>
        <w:tblLayout w:type="fixed"/>
        <w:tblInd w:w="8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Christen Spencer</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Christen Spencer</w:t>
            </w: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Corporate Secretary</w:t>
            </w:r>
          </w:p>
        </w:tc>
      </w:tr>
    </w:tbl>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color w:val="auto"/>
        </w:rPr>
        <w:t>Exhibit 10.55</w:t>
      </w:r>
    </w:p>
    <w:p>
      <w:pPr>
        <w:spacing w:after="0" w:line="304"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u w:val="single" w:color="auto"/>
          <w:color w:val="auto"/>
        </w:rPr>
        <w:t>CERTAIN INFORMATION IDENTIFIED IN THIS DOCUMENT, MARKED BY [*], HAS BEEN EXCLUDED FROM THE EXHIBIT BECAUSE IT IS BOTH (I) NOT MATERIAL AND (II) IS THE TYPE OF INFORMATION THE REGISTRANT TREATS AS PRIVATE AND CONFIDENTIAL</w:t>
      </w: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SETTLEMENT AGREEMENT</w:t>
      </w:r>
    </w:p>
    <w:p>
      <w:pPr>
        <w:spacing w:after="0" w:line="341" w:lineRule="exact"/>
        <w:rPr>
          <w:sz w:val="20"/>
          <w:szCs w:val="20"/>
          <w:color w:val="auto"/>
        </w:rPr>
      </w:pPr>
    </w:p>
    <w:p>
      <w:pPr>
        <w:ind w:left="60" w:right="100" w:firstLine="648"/>
        <w:spacing w:after="0" w:line="302" w:lineRule="auto"/>
        <w:rPr>
          <w:sz w:val="20"/>
          <w:szCs w:val="20"/>
          <w:color w:val="auto"/>
        </w:rPr>
      </w:pPr>
      <w:r>
        <w:rPr>
          <w:rFonts w:ascii="Arial" w:cs="Arial" w:eastAsia="Arial" w:hAnsi="Arial"/>
          <w:sz w:val="18"/>
          <w:szCs w:val="18"/>
          <w:color w:val="auto"/>
        </w:rPr>
        <w:t>THIS SETTLEMENT AGREEMENT is entered into as of the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2023, by and between Plaintiff MWC (as defined below) and Defendant 3M (as defined below).</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RECITALS</w:t>
      </w:r>
    </w:p>
    <w:p>
      <w:pPr>
        <w:spacing w:after="0" w:line="297" w:lineRule="exact"/>
        <w:rPr>
          <w:sz w:val="20"/>
          <w:szCs w:val="20"/>
          <w:color w:val="auto"/>
        </w:rPr>
      </w:pPr>
    </w:p>
    <w:p>
      <w:pPr>
        <w:ind w:left="60" w:right="120" w:firstLine="648"/>
        <w:spacing w:after="0" w:line="414" w:lineRule="auto"/>
        <w:rPr>
          <w:sz w:val="20"/>
          <w:szCs w:val="20"/>
          <w:color w:val="auto"/>
        </w:rPr>
      </w:pPr>
      <w:r>
        <w:rPr>
          <w:rFonts w:ascii="Arial" w:cs="Arial" w:eastAsia="Arial" w:hAnsi="Arial"/>
          <w:sz w:val="18"/>
          <w:szCs w:val="18"/>
          <w:color w:val="auto"/>
        </w:rPr>
        <w:t>WHEREAS, MWC has asserted claims against 3M in the Action (as defined below) in connection with 3M’s manufacture, sale and discharge of PFAS (as defined below) and products containing PFAS;</w:t>
      </w:r>
    </w:p>
    <w:p>
      <w:pPr>
        <w:spacing w:after="0" w:line="1" w:lineRule="exact"/>
        <w:rPr>
          <w:sz w:val="20"/>
          <w:szCs w:val="20"/>
          <w:color w:val="auto"/>
        </w:rPr>
      </w:pPr>
    </w:p>
    <w:p>
      <w:pPr>
        <w:ind w:left="60" w:right="100" w:firstLine="648"/>
        <w:spacing w:after="0" w:line="475" w:lineRule="auto"/>
        <w:rPr>
          <w:sz w:val="20"/>
          <w:szCs w:val="20"/>
          <w:color w:val="auto"/>
        </w:rPr>
      </w:pPr>
      <w:r>
        <w:rPr>
          <w:rFonts w:ascii="Arial" w:cs="Arial" w:eastAsia="Arial" w:hAnsi="Arial"/>
          <w:sz w:val="16"/>
          <w:szCs w:val="16"/>
          <w:color w:val="auto"/>
        </w:rPr>
        <w:t>WHEREAS, MWC’s claims in the Action allege in substance that PFAS from products manufactured or sold by 3M have contaminated groundwater wells used by MWC to supply water to its Park Avenue Water Treatment Plant in South Plainfield, New Jersey (the “Park Avenue Plant”);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WHEREAS, [*];</w:t>
      </w:r>
    </w:p>
    <w:p>
      <w:pPr>
        <w:spacing w:after="0" w:line="144" w:lineRule="exact"/>
        <w:rPr>
          <w:sz w:val="20"/>
          <w:szCs w:val="20"/>
          <w:color w:val="auto"/>
        </w:rPr>
      </w:pPr>
    </w:p>
    <w:p>
      <w:pPr>
        <w:ind w:left="60" w:right="120" w:firstLine="648"/>
        <w:spacing w:after="0" w:line="475" w:lineRule="auto"/>
        <w:rPr>
          <w:sz w:val="20"/>
          <w:szCs w:val="20"/>
          <w:color w:val="auto"/>
        </w:rPr>
      </w:pPr>
      <w:r>
        <w:rPr>
          <w:rFonts w:ascii="Arial" w:cs="Arial" w:eastAsia="Arial" w:hAnsi="Arial"/>
          <w:sz w:val="16"/>
          <w:szCs w:val="16"/>
          <w:color w:val="auto"/>
        </w:rPr>
        <w:t>WHEREAS, 3M denies and continues to deny any wrongdoing in connection with all claims and allegations of wrongdoing alleged by MWC in the Action, and specifically denies and disputes the purported scientific, medical, factual, and other bases for MWC’s claims and allegations;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WHEREAS, the Parties desire to settle MWC’s claims against 3M in the Action on the terms and conditions stated herein;</w:t>
      </w:r>
    </w:p>
    <w:p>
      <w:pPr>
        <w:spacing w:after="0" w:line="144" w:lineRule="exact"/>
        <w:rPr>
          <w:sz w:val="20"/>
          <w:szCs w:val="20"/>
          <w:color w:val="auto"/>
        </w:rPr>
      </w:pPr>
    </w:p>
    <w:p>
      <w:pPr>
        <w:ind w:left="60" w:right="100" w:firstLine="648"/>
        <w:spacing w:after="0" w:line="472" w:lineRule="auto"/>
        <w:rPr>
          <w:sz w:val="20"/>
          <w:szCs w:val="20"/>
          <w:color w:val="auto"/>
        </w:rPr>
      </w:pPr>
      <w:r>
        <w:rPr>
          <w:rFonts w:ascii="Arial" w:cs="Arial" w:eastAsia="Arial" w:hAnsi="Arial"/>
          <w:sz w:val="17"/>
          <w:szCs w:val="17"/>
          <w:color w:val="auto"/>
        </w:rPr>
        <w:t xml:space="preserve">WHEREAS, this Agreement is being executed in parallel with the Settlement Agreement Between Public Water Systems and 3M Company (“Class Settlement Agreement”) (see </w:t>
      </w:r>
      <w:r>
        <w:rPr>
          <w:rFonts w:ascii="Arial" w:cs="Arial" w:eastAsia="Arial" w:hAnsi="Arial"/>
          <w:sz w:val="17"/>
          <w:szCs w:val="17"/>
          <w:u w:val="single" w:color="auto"/>
          <w:color w:val="0562C1"/>
        </w:rPr>
        <w:t>www.PFASwatersettlement.com</w:t>
      </w:r>
      <w:r>
        <w:rPr>
          <w:rFonts w:ascii="Arial" w:cs="Arial" w:eastAsia="Arial" w:hAnsi="Arial"/>
          <w:sz w:val="17"/>
          <w:szCs w:val="17"/>
          <w:color w:val="auto"/>
        </w:rPr>
        <w:t>) in the AFFF MDL, pursuant to which MWC will remain a Class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77" w:right="339" w:bottom="1440" w:gutter="0" w:footer="0" w:header="0"/>
        </w:sectPr>
      </w:pPr>
    </w:p>
    <w:bookmarkStart w:id="71" w:name="page72"/>
    <w:bookmarkEnd w:id="71"/>
    <w:p>
      <w:pPr>
        <w:ind w:left="10140"/>
        <w:spacing w:after="0"/>
        <w:rPr>
          <w:sz w:val="20"/>
          <w:szCs w:val="20"/>
          <w:color w:val="auto"/>
        </w:rPr>
      </w:pPr>
      <w:r>
        <w:rPr>
          <w:rFonts w:ascii="Arial" w:cs="Arial" w:eastAsia="Arial" w:hAnsi="Arial"/>
          <w:sz w:val="16"/>
          <w:szCs w:val="16"/>
          <w:color w:val="auto"/>
        </w:rPr>
        <w:t>Exhibit 10.55</w:t>
      </w:r>
    </w:p>
    <w:p>
      <w:pPr>
        <w:spacing w:after="0" w:line="208" w:lineRule="exact"/>
        <w:rPr>
          <w:sz w:val="20"/>
          <w:szCs w:val="20"/>
          <w:color w:val="auto"/>
        </w:rPr>
      </w:pPr>
    </w:p>
    <w:p>
      <w:pPr>
        <w:ind w:right="120"/>
        <w:spacing w:after="0" w:line="414" w:lineRule="auto"/>
        <w:rPr>
          <w:sz w:val="20"/>
          <w:szCs w:val="20"/>
          <w:color w:val="auto"/>
        </w:rPr>
      </w:pPr>
      <w:r>
        <w:rPr>
          <w:rFonts w:ascii="Arial" w:cs="Arial" w:eastAsia="Arial" w:hAnsi="Arial"/>
          <w:sz w:val="18"/>
          <w:szCs w:val="18"/>
          <w:color w:val="auto"/>
        </w:rPr>
        <w:t>Member and be allocated its share of the Settlement Funds, including any additional claim MWC may submit with respect to the CJO Plant, and 3M will receive a payment credit for the full amount of 3M’s payments to MWC under this Agreement; and</w:t>
      </w:r>
    </w:p>
    <w:p>
      <w:pPr>
        <w:spacing w:after="0" w:line="1" w:lineRule="exact"/>
        <w:rPr>
          <w:sz w:val="20"/>
          <w:szCs w:val="20"/>
          <w:color w:val="auto"/>
        </w:rPr>
      </w:pPr>
    </w:p>
    <w:p>
      <w:pPr>
        <w:ind w:right="120" w:firstLine="648"/>
        <w:spacing w:after="0" w:line="422" w:lineRule="auto"/>
        <w:rPr>
          <w:sz w:val="20"/>
          <w:szCs w:val="20"/>
          <w:color w:val="auto"/>
        </w:rPr>
      </w:pPr>
      <w:r>
        <w:rPr>
          <w:rFonts w:ascii="Arial" w:cs="Arial" w:eastAsia="Arial" w:hAnsi="Arial"/>
          <w:sz w:val="18"/>
          <w:szCs w:val="18"/>
          <w:color w:val="auto"/>
        </w:rPr>
        <w:t>WHEREAS, in consideration of the promises and the mutual covenants hereinafter set forth, the Parties, acting by and through counsel, have entered into this Agreement.</w:t>
      </w:r>
    </w:p>
    <w:p>
      <w:pPr>
        <w:spacing w:after="0" w:line="1" w:lineRule="exact"/>
        <w:rPr>
          <w:sz w:val="20"/>
          <w:szCs w:val="20"/>
          <w:color w:val="auto"/>
        </w:rPr>
      </w:pPr>
    </w:p>
    <w:p>
      <w:pPr>
        <w:ind w:right="120" w:firstLine="648"/>
        <w:spacing w:after="0" w:line="373" w:lineRule="auto"/>
        <w:rPr>
          <w:sz w:val="20"/>
          <w:szCs w:val="20"/>
          <w:color w:val="auto"/>
        </w:rPr>
      </w:pPr>
      <w:r>
        <w:rPr>
          <w:rFonts w:ascii="Arial" w:cs="Arial" w:eastAsia="Arial" w:hAnsi="Arial"/>
          <w:sz w:val="18"/>
          <w:szCs w:val="18"/>
          <w:color w:val="auto"/>
        </w:rPr>
        <w:t>THEREFORE, for good and valuable consideration, the receipt and sufficiency of which are hereby acknowledged by each of the Parties hereto, IT IS HEREBY AGREED by the Parties as follows:</w:t>
      </w:r>
    </w:p>
    <w:p>
      <w:pPr>
        <w:spacing w:after="0" w:line="1" w:lineRule="exact"/>
        <w:rPr>
          <w:sz w:val="20"/>
          <w:szCs w:val="20"/>
          <w:color w:val="auto"/>
        </w:rPr>
      </w:pPr>
    </w:p>
    <w:p>
      <w:pPr>
        <w:ind w:left="960" w:hanging="316"/>
        <w:spacing w:after="0"/>
        <w:tabs>
          <w:tab w:leader="none" w:pos="9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this Agreement, the following terms shall have the meanings set forth below: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“3M” means 3M Company.</w:t>
      </w:r>
    </w:p>
    <w:p>
      <w:pPr>
        <w:spacing w:after="0" w:line="293" w:lineRule="exact"/>
        <w:rPr>
          <w:sz w:val="20"/>
          <w:szCs w:val="20"/>
          <w:color w:val="auto"/>
        </w:rPr>
      </w:pPr>
    </w:p>
    <w:p>
      <w:pPr>
        <w:jc w:val="both"/>
        <w:ind w:right="100" w:firstLine="648"/>
        <w:spacing w:after="0" w:line="417" w:lineRule="auto"/>
        <w:rPr>
          <w:sz w:val="20"/>
          <w:szCs w:val="20"/>
          <w:color w:val="auto"/>
        </w:rPr>
      </w:pPr>
      <w:r>
        <w:rPr>
          <w:rFonts w:ascii="Arial" w:cs="Arial" w:eastAsia="Arial" w:hAnsi="Arial"/>
          <w:sz w:val="18"/>
          <w:szCs w:val="18"/>
          <w:color w:val="auto"/>
        </w:rPr>
        <w:t>“3M PFAS” means, solely for the purposes of this agreement, any PFAS or PFAS- containing item or substance manufactured, sold, or disposed of by a Released Party or any PFAS or PFAS-containing item or substance derived, emanating, or originating from any PFAS or PFAS- containing item or substance manufactured, sold, or disposed of by a Released Party.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“AFFF MDL” means </w:t>
      </w:r>
      <w:r>
        <w:rPr>
          <w:rFonts w:ascii="Arial" w:cs="Arial" w:eastAsia="Arial" w:hAnsi="Arial"/>
          <w:sz w:val="18"/>
          <w:szCs w:val="18"/>
          <w:i w:val="1"/>
          <w:iCs w:val="1"/>
          <w:color w:val="auto"/>
        </w:rPr>
        <w:t>In re: Aqueous Film-Forming Forming Foams Products Liability Litigation</w:t>
      </w:r>
      <w:r>
        <w:rPr>
          <w:rFonts w:ascii="Arial" w:cs="Arial" w:eastAsia="Arial" w:hAnsi="Arial"/>
          <w:sz w:val="18"/>
          <w:szCs w:val="18"/>
          <w:color w:val="auto"/>
        </w:rPr>
        <w:t>, MDL No. 2:18-mn-2873-RMG, Hon.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Richard M. Gergel presiding.</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“Action” means the civil action </w:t>
      </w:r>
      <w:r>
        <w:rPr>
          <w:rFonts w:ascii="Arial" w:cs="Arial" w:eastAsia="Arial" w:hAnsi="Arial"/>
          <w:sz w:val="18"/>
          <w:szCs w:val="18"/>
          <w:i w:val="1"/>
          <w:iCs w:val="1"/>
          <w:color w:val="auto"/>
        </w:rPr>
        <w:t>Middlesex Water Company v. 3M Company,</w:t>
      </w:r>
      <w:r>
        <w:rPr>
          <w:rFonts w:ascii="Arial" w:cs="Arial" w:eastAsia="Arial" w:hAnsi="Arial"/>
          <w:sz w:val="18"/>
          <w:szCs w:val="18"/>
          <w:color w:val="auto"/>
        </w:rPr>
        <w:t xml:space="preserve"> No. 2:18-cv- 15366 (D.N.J.).</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“Agreement” means this Settlement Agreement.</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“Class Member” shall have the same meaning as set forth in the Class Settlement Agreement.</w:t>
      </w:r>
    </w:p>
    <w:p>
      <w:pPr>
        <w:spacing w:after="0" w:line="19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2" w:name="page73"/>
    <w:bookmarkEnd w:id="72"/>
    <w:p>
      <w:pPr>
        <w:ind w:left="10140"/>
        <w:spacing w:after="0"/>
        <w:rPr>
          <w:sz w:val="20"/>
          <w:szCs w:val="20"/>
          <w:color w:val="auto"/>
        </w:rPr>
      </w:pPr>
      <w:r>
        <w:rPr>
          <w:rFonts w:ascii="Arial" w:cs="Arial" w:eastAsia="Arial" w:hAnsi="Arial"/>
          <w:sz w:val="16"/>
          <w:szCs w:val="16"/>
          <w:color w:val="auto"/>
        </w:rPr>
        <w:t>Exhibit 10.55</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“Court” means the United States District Court for the District of New Jersey. “Effective Date” means the date on which this Agreement is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executed by both Parties. “Parties” means 3M and MWC.</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“Party” means 3M or MWC.</w:t>
      </w:r>
    </w:p>
    <w:p>
      <w:pPr>
        <w:spacing w:after="0" w:line="306" w:lineRule="exact"/>
        <w:rPr>
          <w:sz w:val="20"/>
          <w:szCs w:val="20"/>
          <w:color w:val="auto"/>
        </w:rPr>
      </w:pPr>
    </w:p>
    <w:p>
      <w:pPr>
        <w:jc w:val="both"/>
        <w:ind w:right="120" w:firstLine="648"/>
        <w:spacing w:after="0" w:line="417" w:lineRule="auto"/>
        <w:rPr>
          <w:sz w:val="20"/>
          <w:szCs w:val="20"/>
          <w:color w:val="auto"/>
        </w:rPr>
      </w:pPr>
      <w:r>
        <w:rPr>
          <w:rFonts w:ascii="Arial" w:cs="Arial" w:eastAsia="Arial" w:hAnsi="Arial"/>
          <w:sz w:val="18"/>
          <w:szCs w:val="18"/>
          <w:color w:val="auto"/>
        </w:rPr>
        <w:t>“PFAS” means, solely for purposes of this Agreement, any per- or poly-fluoroalkyl substance that contains at least one fully fluorinated methyl or methylene carbon atom (without any hydrogen, chlorine, bromine, or iodine atom attached to it). It is the intention of this Agreement that the definition of “PFAS” be as broad, expansive, and inclusive as possible.</w:t>
      </w:r>
    </w:p>
    <w:p>
      <w:pPr>
        <w:spacing w:after="0" w:line="1" w:lineRule="exact"/>
        <w:rPr>
          <w:sz w:val="20"/>
          <w:szCs w:val="20"/>
          <w:color w:val="auto"/>
        </w:rPr>
      </w:pPr>
    </w:p>
    <w:p>
      <w:pPr>
        <w:ind w:left="640" w:right="100"/>
        <w:spacing w:after="0" w:line="414" w:lineRule="auto"/>
        <w:rPr>
          <w:sz w:val="20"/>
          <w:szCs w:val="20"/>
          <w:color w:val="auto"/>
        </w:rPr>
      </w:pPr>
      <w:r>
        <w:rPr>
          <w:rFonts w:ascii="Arial" w:cs="Arial" w:eastAsia="Arial" w:hAnsi="Arial"/>
          <w:sz w:val="18"/>
          <w:szCs w:val="18"/>
          <w:color w:val="auto"/>
        </w:rPr>
        <w:t>“Released Claims” means all claims that are released in Paragraph 5 of this Agreement. “Released Parties” means 3M and its respective past, present or future administrators,</w:t>
      </w:r>
    </w:p>
    <w:p>
      <w:pPr>
        <w:spacing w:after="0" w:line="1" w:lineRule="exact"/>
        <w:rPr>
          <w:sz w:val="20"/>
          <w:szCs w:val="20"/>
          <w:color w:val="auto"/>
        </w:rPr>
      </w:pPr>
    </w:p>
    <w:p>
      <w:pPr>
        <w:jc w:val="both"/>
        <w:ind w:right="100"/>
        <w:spacing w:after="0" w:line="406" w:lineRule="auto"/>
        <w:rPr>
          <w:sz w:val="20"/>
          <w:szCs w:val="20"/>
          <w:color w:val="auto"/>
        </w:rPr>
      </w:pPr>
      <w:r>
        <w:rPr>
          <w:rFonts w:ascii="Arial" w:cs="Arial" w:eastAsia="Arial" w:hAnsi="Arial"/>
          <w:sz w:val="18"/>
          <w:szCs w:val="18"/>
          <w:color w:val="auto"/>
        </w:rPr>
        <w:t>advisors, affiliated business entities, affiliates, agents, assigns, attorneys, constituent corporations or entities (including constituents of constituents) absorbed by 3M in a consolidation or merger, counsel, customers (only to the extent they used or released 3M PFAS), directors, divisions, employee benefit plans, employee benefit plan participants or beneficiaries, employees, executors, heirs, insurers, managers, members, officers, owners, parents, partners, partnerships, predecessors, principals, resulting corporation or entity, servants, shareholders, subrogees, subsidiaries, successors, trustees, trusts, and any other representatives, individually or in their corporate or personal capacity, and anyone acting on their behalf, including in a representative or derivative capacity. It is the intention of this Agreement that the definition of Released Parties be as broad, expansive, and inclusive as possible.</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“Settlement” means the settlement described in this Agreement.</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“Settlement Funds” shall have the same meaning as set forth in the Class Settlement Agreement.</w:t>
      </w:r>
    </w:p>
    <w:p>
      <w:pPr>
        <w:spacing w:after="0" w:line="19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10.55</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“MWC” means the Middlesex Water Company, a corporation organized and existing under the laws of the state of New Jersey.</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 PAYMENT BY 3M PURSUANT TO THIS AGREEMENT</w:t>
      </w:r>
    </w:p>
    <w:p>
      <w:pPr>
        <w:spacing w:after="0" w:line="297" w:lineRule="exact"/>
        <w:rPr>
          <w:sz w:val="20"/>
          <w:szCs w:val="20"/>
          <w:color w:val="auto"/>
        </w:rPr>
      </w:pPr>
    </w:p>
    <w:p>
      <w:pPr>
        <w:jc w:val="both"/>
        <w:ind w:right="100" w:firstLine="644"/>
        <w:spacing w:after="0" w:line="417" w:lineRule="auto"/>
        <w:tabs>
          <w:tab w:leader="none" w:pos="11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consideration of all the promises, covenants, representations, and warranties set forth in this Agreement, including without limitation the dismissal of the claims asserted in the Action and the release of the Released Claims against the Released Parties, 3M shall pay MWC the total amount of Ninety-Three Million One Hundred Sixty-Two Thousand Six Hundred Twenty and 00/100 Dollars ($93,162,620.00). 3M shall make an initial payment of Twenty-Three Million Two Hundred Ninety Thousand Six Hundred Fifty-Five and 00/100 Dollars ($23,290,655.00) to MWC by December 15, 2023. 3M shall make a second payment of Sixty-Nine Million Eight Hundred Seventy-One Thousand Nine Hundred Sixty-Five and 00/100 Dollars ($69,871,965.00) to MWC by July 15, 2024.</w:t>
      </w:r>
    </w:p>
    <w:p>
      <w:pPr>
        <w:spacing w:after="0" w:line="2" w:lineRule="exact"/>
        <w:rPr>
          <w:rFonts w:ascii="Arial" w:cs="Arial" w:eastAsia="Arial" w:hAnsi="Arial"/>
          <w:sz w:val="18"/>
          <w:szCs w:val="18"/>
          <w:color w:val="auto"/>
        </w:rPr>
      </w:pPr>
    </w:p>
    <w:p>
      <w:pPr>
        <w:jc w:val="both"/>
        <w:ind w:right="100" w:firstLine="644"/>
        <w:spacing w:after="0" w:line="417" w:lineRule="auto"/>
        <w:tabs>
          <w:tab w:leader="none" w:pos="11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MWC will remain a Class Member and be allocated its share of the Settlement Funds, including any additional claim MWC may submit with respect to the CJO Plant. MWC’s submission of any claim for Settlement Funds, including with respect to the CJO, shall not result in any additional payment by 3M.</w:t>
      </w:r>
    </w:p>
    <w:p>
      <w:pPr>
        <w:spacing w:after="0" w:line="1" w:lineRule="exact"/>
        <w:rPr>
          <w:rFonts w:ascii="Arial" w:cs="Arial" w:eastAsia="Arial" w:hAnsi="Arial"/>
          <w:sz w:val="18"/>
          <w:szCs w:val="18"/>
          <w:color w:val="auto"/>
        </w:rPr>
      </w:pPr>
    </w:p>
    <w:p>
      <w:pPr>
        <w:jc w:val="both"/>
        <w:ind w:right="100" w:firstLine="644"/>
        <w:spacing w:after="0" w:line="425"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amount of all payments described in Paragraph 2.a of this Agreement shall be credited against 3M’s payments due under the Class Settlement Agreement pursuant to Paragraphs 6.7.2, 6.8.6, and Exhibit K therein. The precise timing of the credit shall be determined by 3M, which shall apply the credit in a manner that generally is equitable with respect to Phase One and Phase Two payments. 3M shall exercise its discretion reasonably and in good faith in consultation with Class Counsel. However, nothing in this Paragraph shall release 3M of its obligations under Paragraph 2.a of this Agreement in the event that the Class Settlement</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10.55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Agreement is terminated for any reason.</w:t>
      </w:r>
    </w:p>
    <w:p>
      <w:pPr>
        <w:spacing w:after="0" w:line="306" w:lineRule="exact"/>
        <w:rPr>
          <w:sz w:val="20"/>
          <w:szCs w:val="20"/>
          <w:color w:val="auto"/>
        </w:rPr>
      </w:pPr>
    </w:p>
    <w:p>
      <w:pPr>
        <w:jc w:val="both"/>
        <w:ind w:right="100" w:firstLine="644"/>
        <w:spacing w:after="0" w:line="469" w:lineRule="auto"/>
        <w:tabs>
          <w:tab w:leader="none" w:pos="11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amounts paid pursuant to this Settlement are in relation to the violation of any civil or criminal law or the investigation or inquiry by any government or governmental entity into the potential violation of any civil or criminal law, within the meaning of Section 162(f)(1) of the Internal Revenue Code of 1986, as amended, and section 1.162-21(a) of the Treasury Regulations thereunder. All amounts paid pursuant to this Settlement are intended for restitution or remediation (including treatment) of PFAS contamination. If a determination were made that a portion of such amounts are in relation to a violation or potential violation of law, that portion constitutes restitution or remediation within the meaning of Section 162(f)(2)(A) of the Internal Revenue Code of 1986, as amended and section 1.162-21(a) of the Treasury Regulations thereunder. MWC shall bear its own costs, including all legal expenses and attorneys’ fees. All legal expenses and attorneys’ fees of MWC will be paid from amounts paid for restitution or remediation. No portion of any amount paid under this Agreement constitutes the payment of a fine, penalty, or punitive damages, the disgorgement of profits, reimbursement for litigation or investigation costs or attorneys’ fees or costs, or an amount paid in settlement of any claim for any of the foregoing; and</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if a determination were made to the contrary, the amounts paid would qualify under the exceptions in paragraphs (2) and (3) of Section 162(f).</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  CONFIDENTIALITY AND NONDISPARAGEMENT</w:t>
      </w:r>
    </w:p>
    <w:p>
      <w:pPr>
        <w:spacing w:after="0" w:line="297" w:lineRule="exact"/>
        <w:rPr>
          <w:sz w:val="20"/>
          <w:szCs w:val="20"/>
          <w:color w:val="auto"/>
        </w:rPr>
      </w:pPr>
    </w:p>
    <w:p>
      <w:pPr>
        <w:jc w:val="both"/>
        <w:ind w:right="120" w:firstLine="644"/>
        <w:spacing w:after="0" w:line="426" w:lineRule="auto"/>
        <w:tabs>
          <w:tab w:leader="none" w:pos="12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earlier disclosure is required under any applicable laws and/or regulations, the terms of the Settlement shall be maintained as strictly confidential by the Parties to the fullest extent permitted by law. Such laws and/or regulations include filings with the United States Securities &amp; Exchange Commission (SEC) where in the sole judgement of the filing party, disclosure of any or all settlement terms is necessary to ensure compliance. The Parties understand</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5" w:name="page76"/>
    <w:bookmarkEnd w:id="75"/>
    <w:p>
      <w:pPr>
        <w:ind w:left="10140"/>
        <w:spacing w:after="0"/>
        <w:rPr>
          <w:sz w:val="20"/>
          <w:szCs w:val="20"/>
          <w:color w:val="auto"/>
        </w:rPr>
      </w:pPr>
      <w:r>
        <w:rPr>
          <w:rFonts w:ascii="Arial" w:cs="Arial" w:eastAsia="Arial" w:hAnsi="Arial"/>
          <w:sz w:val="16"/>
          <w:szCs w:val="16"/>
          <w:color w:val="auto"/>
        </w:rPr>
        <w:t>Exhibit 10.55</w:t>
      </w:r>
    </w:p>
    <w:p>
      <w:pPr>
        <w:spacing w:after="0" w:line="208" w:lineRule="exact"/>
        <w:rPr>
          <w:sz w:val="20"/>
          <w:szCs w:val="20"/>
          <w:color w:val="auto"/>
        </w:rPr>
      </w:pPr>
    </w:p>
    <w:p>
      <w:pPr>
        <w:jc w:val="both"/>
        <w:ind w:right="100"/>
        <w:spacing w:after="0" w:line="417" w:lineRule="auto"/>
        <w:rPr>
          <w:sz w:val="20"/>
          <w:szCs w:val="20"/>
          <w:color w:val="auto"/>
        </w:rPr>
      </w:pPr>
      <w:r>
        <w:rPr>
          <w:rFonts w:ascii="Arial" w:cs="Arial" w:eastAsia="Arial" w:hAnsi="Arial"/>
          <w:sz w:val="18"/>
          <w:szCs w:val="18"/>
          <w:color w:val="auto"/>
        </w:rPr>
        <w:t>and agree that MWC and 3M are authorized to disclose the Settlement terms and this Agreement to the Parties’ financial or legal representatives to the extent necessary for the rendering of financial or legal services to the Parties, as well as any insurers, but only upon agreement by such representatives or insurers to honor the provisions of this Paragraph 3.</w:t>
      </w:r>
    </w:p>
    <w:p>
      <w:pPr>
        <w:spacing w:after="0" w:line="1" w:lineRule="exact"/>
        <w:rPr>
          <w:sz w:val="20"/>
          <w:szCs w:val="20"/>
          <w:color w:val="auto"/>
        </w:rPr>
      </w:pPr>
    </w:p>
    <w:p>
      <w:pPr>
        <w:ind w:right="120" w:firstLine="644"/>
        <w:spacing w:after="0" w:line="414" w:lineRule="auto"/>
        <w:tabs>
          <w:tab w:leader="none" w:pos="12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consideration being paid for the confidentiality required by the foregoing subparagraphs is One Hundred Dollars and Zero Cents ($100.00), which is included in the first payment made by 3M under Paragraph 2.a of this Agreement.</w:t>
      </w:r>
    </w:p>
    <w:p>
      <w:pPr>
        <w:spacing w:after="0" w:line="1" w:lineRule="exact"/>
        <w:rPr>
          <w:rFonts w:ascii="Arial" w:cs="Arial" w:eastAsia="Arial" w:hAnsi="Arial"/>
          <w:sz w:val="18"/>
          <w:szCs w:val="18"/>
          <w:color w:val="auto"/>
        </w:rPr>
      </w:pPr>
    </w:p>
    <w:p>
      <w:pPr>
        <w:jc w:val="both"/>
        <w:ind w:right="100" w:firstLine="644"/>
        <w:spacing w:after="0" w:line="471" w:lineRule="auto"/>
        <w:tabs>
          <w:tab w:leader="none" w:pos="124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Parties will cooperate in good faith on communication issues related to the Settlement, and each Party will provide any planned press release or public statement concerning the Settlement or any aspect of it to the other for review not less than forty-eight (48) hours before publication. Each Party agrees not to disparage the other Party or its business or environmental practices in any public forum, including media and public meetings. Each Party further agrees not to incite or induce the media or any other entity or individual to disparage the other Party or its business</w:t>
      </w:r>
    </w:p>
    <w:p>
      <w:pPr>
        <w:spacing w:after="0"/>
        <w:rPr>
          <w:sz w:val="20"/>
          <w:szCs w:val="20"/>
          <w:color w:val="auto"/>
        </w:rPr>
      </w:pPr>
      <w:r>
        <w:rPr>
          <w:rFonts w:ascii="Arial" w:cs="Arial" w:eastAsia="Arial" w:hAnsi="Arial"/>
          <w:sz w:val="18"/>
          <w:szCs w:val="18"/>
          <w:color w:val="auto"/>
        </w:rPr>
        <w:t>or environmental practices.</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 TERMINATING MWC’S CLAIMS AGAINST 3M</w:t>
      </w:r>
    </w:p>
    <w:p>
      <w:pPr>
        <w:spacing w:after="0" w:line="297" w:lineRule="exact"/>
        <w:rPr>
          <w:sz w:val="20"/>
          <w:szCs w:val="20"/>
          <w:color w:val="auto"/>
        </w:rPr>
      </w:pPr>
    </w:p>
    <w:p>
      <w:pPr>
        <w:jc w:val="both"/>
        <w:ind w:right="100" w:firstLine="648"/>
        <w:spacing w:after="0" w:line="412" w:lineRule="auto"/>
        <w:rPr>
          <w:sz w:val="20"/>
          <w:szCs w:val="20"/>
          <w:color w:val="auto"/>
        </w:rPr>
      </w:pPr>
      <w:r>
        <w:rPr>
          <w:rFonts w:ascii="Arial" w:cs="Arial" w:eastAsia="Arial" w:hAnsi="Arial"/>
          <w:sz w:val="17"/>
          <w:szCs w:val="17"/>
          <w:color w:val="auto"/>
        </w:rPr>
        <w:t>Within fourteen (14) days after the Effective Date, MWC shall provide 3M a signed stipulation of dismissal with prejudice of all claims against 3M in the Action, as well as any cross- claims or third party claims in [*] actions (“Stipulation”). 3M may file the Stipulation at its reasonable discretion. Each Party shall bear its own costs and attorneys’ fees, with the exception on what is set forth in Paragraph 9, below.</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5. RELEASE BY MWC</w:t>
      </w:r>
    </w:p>
    <w:p>
      <w:pPr>
        <w:spacing w:after="0" w:line="297" w:lineRule="exact"/>
        <w:rPr>
          <w:sz w:val="20"/>
          <w:szCs w:val="20"/>
          <w:color w:val="auto"/>
        </w:rPr>
      </w:pPr>
    </w:p>
    <w:p>
      <w:pPr>
        <w:jc w:val="both"/>
        <w:ind w:right="100" w:firstLine="648"/>
        <w:spacing w:after="0" w:line="434" w:lineRule="auto"/>
        <w:rPr>
          <w:sz w:val="20"/>
          <w:szCs w:val="20"/>
          <w:color w:val="auto"/>
        </w:rPr>
      </w:pPr>
      <w:r>
        <w:rPr>
          <w:rFonts w:ascii="Arial" w:cs="Arial" w:eastAsia="Arial" w:hAnsi="Arial"/>
          <w:sz w:val="18"/>
          <w:szCs w:val="18"/>
          <w:color w:val="auto"/>
        </w:rPr>
        <w:t>MWC hereby releases and forever discharges each of the Released Parties from any and all past, present, or future claims, crossclaims, third-party claims, losses, damages (whether</w:t>
      </w:r>
    </w:p>
    <w:p>
      <w:pPr>
        <w:spacing w:after="0" w:line="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6" w:name="page77"/>
    <w:bookmarkEnd w:id="76"/>
    <w:p>
      <w:pPr>
        <w:ind w:left="10140"/>
        <w:spacing w:after="0"/>
        <w:rPr>
          <w:sz w:val="20"/>
          <w:szCs w:val="20"/>
          <w:color w:val="auto"/>
        </w:rPr>
      </w:pPr>
      <w:r>
        <w:rPr>
          <w:rFonts w:ascii="Arial" w:cs="Arial" w:eastAsia="Arial" w:hAnsi="Arial"/>
          <w:sz w:val="16"/>
          <w:szCs w:val="16"/>
          <w:color w:val="auto"/>
        </w:rPr>
        <w:t>Exhibit 10.55</w:t>
      </w:r>
    </w:p>
    <w:p>
      <w:pPr>
        <w:spacing w:after="0" w:line="208" w:lineRule="exact"/>
        <w:rPr>
          <w:sz w:val="20"/>
          <w:szCs w:val="20"/>
          <w:color w:val="auto"/>
        </w:rPr>
      </w:pPr>
    </w:p>
    <w:p>
      <w:pPr>
        <w:jc w:val="both"/>
        <w:ind w:right="100"/>
        <w:spacing w:after="0" w:line="449" w:lineRule="auto"/>
        <w:rPr>
          <w:sz w:val="20"/>
          <w:szCs w:val="20"/>
          <w:color w:val="auto"/>
        </w:rPr>
      </w:pPr>
      <w:r>
        <w:rPr>
          <w:rFonts w:ascii="Arial" w:cs="Arial" w:eastAsia="Arial" w:hAnsi="Arial"/>
          <w:sz w:val="16"/>
          <w:szCs w:val="16"/>
          <w:color w:val="auto"/>
        </w:rPr>
        <w:t>compensatory, statutory, punitive, or otherwise), attorneys’ fees, costs, and expenses, whether asserted or not, accrued or not, known or unknown, legal or equitable, monetary or injunctive or declaratory, that have arisen or may arise at any time in the future, out of, or relate in any way to, the presence of any AFFF, any PFAS product, any PFAS, and any 3M PFAS, including in or around or associated with MWC, and without limitation in, around or from any water or property owned, operated, or used by MWC, MWC’s public water system, or from disposal or arranging for disposal that may in any way be attributable to 3M. It is the intention of this Agreement that this release of the Released Parties be as broad, expansive and inclusive as possible.</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6. COVENANT NOT TO SUE</w:t>
      </w:r>
    </w:p>
    <w:p>
      <w:pPr>
        <w:spacing w:after="0" w:line="297" w:lineRule="exact"/>
        <w:rPr>
          <w:sz w:val="20"/>
          <w:szCs w:val="20"/>
          <w:color w:val="auto"/>
        </w:rPr>
      </w:pPr>
    </w:p>
    <w:p>
      <w:pPr>
        <w:ind w:right="420" w:firstLine="648"/>
        <w:spacing w:after="0" w:line="381" w:lineRule="auto"/>
        <w:rPr>
          <w:sz w:val="20"/>
          <w:szCs w:val="20"/>
          <w:color w:val="auto"/>
        </w:rPr>
      </w:pPr>
      <w:r>
        <w:rPr>
          <w:rFonts w:ascii="Arial" w:cs="Arial" w:eastAsia="Arial" w:hAnsi="Arial"/>
          <w:sz w:val="18"/>
          <w:szCs w:val="18"/>
          <w:color w:val="auto"/>
        </w:rPr>
        <w:t>MWC shall not commence, prosecute, or cause to be commenced or prosecuted any action or other proceedings against any of the Released Parties based upon the Released Claims.</w:t>
      </w:r>
    </w:p>
    <w:p>
      <w:pPr>
        <w:ind w:left="640"/>
        <w:spacing w:after="0"/>
        <w:rPr>
          <w:sz w:val="20"/>
          <w:szCs w:val="20"/>
          <w:color w:val="auto"/>
        </w:rPr>
      </w:pPr>
      <w:r>
        <w:rPr>
          <w:rFonts w:ascii="Arial" w:cs="Arial" w:eastAsia="Arial" w:hAnsi="Arial"/>
          <w:sz w:val="18"/>
          <w:szCs w:val="18"/>
          <w:b w:val="1"/>
          <w:bCs w:val="1"/>
          <w:color w:val="auto"/>
        </w:rPr>
        <w:t>7. NO ADMISSION OF WRONGDOING OR LIABILITY</w:t>
      </w:r>
    </w:p>
    <w:p>
      <w:pPr>
        <w:spacing w:after="0" w:line="297" w:lineRule="exact"/>
        <w:rPr>
          <w:sz w:val="20"/>
          <w:szCs w:val="20"/>
          <w:color w:val="auto"/>
        </w:rPr>
      </w:pPr>
    </w:p>
    <w:p>
      <w:pPr>
        <w:jc w:val="both"/>
        <w:ind w:right="100" w:firstLine="644"/>
        <w:spacing w:after="0" w:line="475" w:lineRule="auto"/>
        <w:tabs>
          <w:tab w:leader="none" w:pos="1214"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Nothing in this Agreement, or in any order of dismissal entered in the Action pursuant to this Agreement, constitutes an admission or concession of any liability or wrongdoing by the Released Parties or an admission or concession by the Released Parties that there is any validity to any claim or allegation in the Action. The Released Parties have not admitted or conceded any liability or wrongdoing, acknowledged any validity to the claims or allegations in the Action, or acknowledged any weakness in 3M’s defenses in the Action. The Released Parties denied and continue to deny any wrongdoing alleged in connection with the manufacture, sale, or disposal of 3M PFAS, and specifically deny and dispute the scientific, medical, factual, and other bases alleged to support MWC’s claims. Nothing contained in this Agreement or any documents filed in connection with it is intended to be nor shall be interpreted by anyone as in any way suggesting anything to the contrary in this Action or in any other action.</w:t>
      </w:r>
    </w:p>
    <w:p>
      <w:pPr>
        <w:spacing w:after="0" w:line="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10.55</w:t>
      </w:r>
    </w:p>
    <w:p>
      <w:pPr>
        <w:spacing w:after="0" w:line="185" w:lineRule="exact"/>
        <w:rPr>
          <w:sz w:val="20"/>
          <w:szCs w:val="20"/>
          <w:color w:val="auto"/>
        </w:rPr>
      </w:pPr>
    </w:p>
    <w:p>
      <w:pPr>
        <w:jc w:val="both"/>
        <w:ind w:right="100" w:firstLine="644"/>
        <w:spacing w:after="0" w:line="469" w:lineRule="auto"/>
        <w:tabs>
          <w:tab w:leader="none" w:pos="11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Neither this Agreement nor any information or materials related to the Settlement or Settlement negotiations shall be offered or received in evidence against any of the Parties for any purpose in any proceeding other than in such proceedings as may be necessary to consummate or enforce this Agreement or to assert its effect in connection with a defense of res judicata, collateral estoppel, release, or other theory of claim preclusion, issue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preclusion, or similar defense.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8.  RATE INCREASES</w:t>
      </w:r>
    </w:p>
    <w:p>
      <w:pPr>
        <w:spacing w:after="0" w:line="297" w:lineRule="exact"/>
        <w:rPr>
          <w:sz w:val="20"/>
          <w:szCs w:val="20"/>
          <w:color w:val="auto"/>
        </w:rPr>
      </w:pPr>
    </w:p>
    <w:p>
      <w:pPr>
        <w:jc w:val="both"/>
        <w:ind w:right="100" w:firstLine="648"/>
        <w:spacing w:after="0" w:line="426" w:lineRule="auto"/>
        <w:rPr>
          <w:sz w:val="20"/>
          <w:szCs w:val="20"/>
          <w:color w:val="auto"/>
        </w:rPr>
      </w:pPr>
      <w:r>
        <w:rPr>
          <w:rFonts w:ascii="Arial" w:cs="Arial" w:eastAsia="Arial" w:hAnsi="Arial"/>
          <w:sz w:val="17"/>
          <w:szCs w:val="17"/>
          <w:color w:val="auto"/>
        </w:rPr>
        <w:t>MWC represents and warrants that (i) this Settlement has fully compensated it for PFAS allegedly attributable to 3M and (ii) future additions, modifications, or improvements to its Public Water System due to PFAS will be the sole responsibility of MWC and not the Released Parties. MWC shall not assert that any future rate increase request was caused by the Released Parties’ development, manufacture, formulation, distribution, sale, transportation, storage, loading, mixing, application, or use of PFAS or any product manufactured with or containing PFAS. MWC reserves the right to change its rates for any reason, so long as MWC does not attribute the change to the Released Parties.</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9.  MEDIATION OF [*] ACTIONS.</w:t>
      </w:r>
    </w:p>
    <w:p>
      <w:pPr>
        <w:spacing w:after="0" w:line="297" w:lineRule="exact"/>
        <w:rPr>
          <w:sz w:val="20"/>
          <w:szCs w:val="20"/>
          <w:color w:val="auto"/>
        </w:rPr>
      </w:pPr>
    </w:p>
    <w:p>
      <w:pPr>
        <w:ind w:left="1120" w:hanging="476"/>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Parties agree to joint mediation of the claims brought by plaintiffs in [*].</w:t>
      </w:r>
    </w:p>
    <w:p>
      <w:pPr>
        <w:spacing w:after="0" w:line="144" w:lineRule="exact"/>
        <w:rPr>
          <w:rFonts w:ascii="Arial" w:cs="Arial" w:eastAsia="Arial" w:hAnsi="Arial"/>
          <w:sz w:val="18"/>
          <w:szCs w:val="18"/>
          <w:color w:val="auto"/>
        </w:rPr>
      </w:pPr>
    </w:p>
    <w:p>
      <w:pPr>
        <w:ind w:right="100" w:firstLine="644"/>
        <w:spacing w:after="0" w:line="446" w:lineRule="auto"/>
        <w:tabs>
          <w:tab w:leader="none" w:pos="11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Parties reach a joint agreement to settle plaintiffs’ claims in the [*] actions, and net of insurance that may be reasonably available to MWC, MWC agrees to pay or cause to be paid [*]. 3M agrees to pay or</w:t>
      </w: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10.55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cause to be paid [*].</w:t>
      </w:r>
    </w:p>
    <w:p>
      <w:pPr>
        <w:spacing w:after="0" w:line="158" w:lineRule="exact"/>
        <w:rPr>
          <w:sz w:val="20"/>
          <w:szCs w:val="20"/>
          <w:color w:val="auto"/>
        </w:rPr>
      </w:pPr>
    </w:p>
    <w:p>
      <w:pPr>
        <w:jc w:val="both"/>
        <w:ind w:right="100" w:firstLine="643"/>
        <w:spacing w:after="0" w:line="417" w:lineRule="auto"/>
        <w:tabs>
          <w:tab w:leader="none" w:pos="11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provisions of Paragraph 9.b above shall apply only if both 3M and MWC agree to the terms of a joint settlement agreement with the plaintiffs in the [*] actions, resulting in a release with prejudice of plaintiffs’ claims against both 3M and MWC. However, nothing in this Agreement shall be construed to require 3M and/or MWC to agree to any settlement of the [*] actions.</w:t>
      </w:r>
    </w:p>
    <w:p>
      <w:pPr>
        <w:spacing w:after="0" w:line="1" w:lineRule="exact"/>
        <w:rPr>
          <w:rFonts w:ascii="Arial" w:cs="Arial" w:eastAsia="Arial" w:hAnsi="Arial"/>
          <w:sz w:val="18"/>
          <w:szCs w:val="18"/>
          <w:color w:val="auto"/>
        </w:rPr>
      </w:pPr>
    </w:p>
    <w:p>
      <w:pPr>
        <w:ind w:left="1240" w:hanging="597"/>
        <w:spacing w:after="0"/>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addition to the amounts set forth in Paragraphs 2.a and 9.b above, 3M shall pay [*] of attorney’s fees incurred by or on behalf of</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MWC for the services of [*] in connection with the [*] actions, up to a maximum payment by 3M of [*].</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10. REPRESENTATIONS AND WARRANTIES</w:t>
      </w:r>
    </w:p>
    <w:p>
      <w:pPr>
        <w:spacing w:after="0" w:line="297" w:lineRule="exact"/>
        <w:rPr>
          <w:sz w:val="20"/>
          <w:szCs w:val="20"/>
          <w:color w:val="auto"/>
        </w:rPr>
      </w:pPr>
    </w:p>
    <w:p>
      <w:pPr>
        <w:jc w:val="both"/>
        <w:ind w:right="100" w:firstLine="643"/>
        <w:spacing w:after="0" w:line="417" w:lineRule="auto"/>
        <w:tabs>
          <w:tab w:leader="none" w:pos="11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Parties represent and warrant they are voluntarily entering into this Agreement as a result of arms-length negotiations among their counsel; that in executing this Agreement, they are relying solely upon their own judgment, belief and knowledge, and the advice and recommendations of their own independently-selected counsel, concerning the nature, extent and duration of their rights and claims hereunder and regarding all matters which relate in any way to the subject matter hereof. Each Party acknowledges that it has not been influenced to any extent whatsoever in executing this Agreement by any promise, representation, statement, or omission by the other Party, except those expressly stated in this Agreement. Each Party assumes the risk of mistakes as to facts or law.</w:t>
      </w:r>
    </w:p>
    <w:p>
      <w:pPr>
        <w:spacing w:after="0" w:line="2" w:lineRule="exact"/>
        <w:rPr>
          <w:rFonts w:ascii="Arial" w:cs="Arial" w:eastAsia="Arial" w:hAnsi="Arial"/>
          <w:sz w:val="18"/>
          <w:szCs w:val="18"/>
          <w:color w:val="auto"/>
        </w:rPr>
      </w:pPr>
    </w:p>
    <w:p>
      <w:pPr>
        <w:ind w:right="120" w:firstLine="643"/>
        <w:spacing w:after="0" w:line="438" w:lineRule="auto"/>
        <w:tabs>
          <w:tab w:leader="none" w:pos="11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Party represents and warrants that it has carefully read the contents of this Agreement, and that this Agreement is signed freely by each individual executing this Agreement</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79" w:name="page80"/>
    <w:bookmarkEnd w:id="79"/>
    <w:p>
      <w:pPr>
        <w:ind w:left="10140"/>
        <w:spacing w:after="0"/>
        <w:rPr>
          <w:sz w:val="20"/>
          <w:szCs w:val="20"/>
          <w:color w:val="auto"/>
        </w:rPr>
      </w:pPr>
      <w:r>
        <w:rPr>
          <w:rFonts w:ascii="Arial" w:cs="Arial" w:eastAsia="Arial" w:hAnsi="Arial"/>
          <w:sz w:val="16"/>
          <w:szCs w:val="16"/>
          <w:color w:val="auto"/>
        </w:rPr>
        <w:t>Exhibit 10.55</w:t>
      </w:r>
    </w:p>
    <w:p>
      <w:pPr>
        <w:spacing w:after="0" w:line="208" w:lineRule="exact"/>
        <w:rPr>
          <w:sz w:val="20"/>
          <w:szCs w:val="20"/>
          <w:color w:val="auto"/>
        </w:rPr>
      </w:pPr>
    </w:p>
    <w:p>
      <w:pPr>
        <w:ind w:right="100"/>
        <w:spacing w:after="0" w:line="414" w:lineRule="auto"/>
        <w:rPr>
          <w:sz w:val="20"/>
          <w:szCs w:val="20"/>
          <w:color w:val="auto"/>
        </w:rPr>
      </w:pPr>
      <w:r>
        <w:rPr>
          <w:rFonts w:ascii="Arial" w:cs="Arial" w:eastAsia="Arial" w:hAnsi="Arial"/>
          <w:sz w:val="18"/>
          <w:szCs w:val="18"/>
          <w:color w:val="auto"/>
        </w:rPr>
        <w:t>on behalf of the Party. Each Party further represents and warrants that it has made such investigation of the facts, law, and other matters pertaining to the Settlement and this Agreement as it deems necessary.</w:t>
      </w:r>
    </w:p>
    <w:p>
      <w:pPr>
        <w:spacing w:after="0" w:line="1" w:lineRule="exact"/>
        <w:rPr>
          <w:sz w:val="20"/>
          <w:szCs w:val="20"/>
          <w:color w:val="auto"/>
        </w:rPr>
      </w:pPr>
    </w:p>
    <w:p>
      <w:pPr>
        <w:ind w:left="1160" w:hanging="516"/>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MWC represents and warrants that it has not assigned, transferred, or conveyed any portion of the Released Claims to any other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 entity.</w:t>
      </w:r>
    </w:p>
    <w:p>
      <w:pPr>
        <w:spacing w:after="0" w:line="158" w:lineRule="exact"/>
        <w:rPr>
          <w:sz w:val="20"/>
          <w:szCs w:val="20"/>
          <w:color w:val="auto"/>
        </w:rPr>
      </w:pPr>
    </w:p>
    <w:p>
      <w:pPr>
        <w:ind w:left="1140" w:hanging="496"/>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MWC represents and warrants that it will not object to or opt-out of the Class Settlement Agreement.</w:t>
      </w:r>
    </w:p>
    <w:p>
      <w:pPr>
        <w:spacing w:after="0" w:line="144" w:lineRule="exact"/>
        <w:rPr>
          <w:rFonts w:ascii="Arial" w:cs="Arial" w:eastAsia="Arial" w:hAnsi="Arial"/>
          <w:sz w:val="18"/>
          <w:szCs w:val="18"/>
          <w:color w:val="auto"/>
        </w:rPr>
      </w:pPr>
    </w:p>
    <w:p>
      <w:pPr>
        <w:ind w:right="120" w:firstLine="644"/>
        <w:spacing w:after="0" w:line="422" w:lineRule="auto"/>
        <w:tabs>
          <w:tab w:leader="none" w:pos="11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Party represents and warrants that its execution, delivery and performance of this Agreement does not violate the terms, conditions or provisions of any charter, by laws or other organizational document of the Party.</w:t>
      </w:r>
    </w:p>
    <w:p>
      <w:pPr>
        <w:spacing w:after="0" w:line="1" w:lineRule="exact"/>
        <w:rPr>
          <w:rFonts w:ascii="Arial" w:cs="Arial" w:eastAsia="Arial" w:hAnsi="Arial"/>
          <w:sz w:val="18"/>
          <w:szCs w:val="18"/>
          <w:color w:val="auto"/>
        </w:rPr>
      </w:pPr>
    </w:p>
    <w:p>
      <w:pPr>
        <w:ind w:left="1280" w:hanging="636"/>
        <w:spacing w:after="0"/>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Party represents and warrants that it has obtained all necessary corporate or governmental approvals to permit the undersigned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each Party to bind the Party by executing this Agreement.</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11. MISCELLANEOUS</w:t>
      </w:r>
    </w:p>
    <w:p>
      <w:pPr>
        <w:spacing w:after="0" w:line="297" w:lineRule="exact"/>
        <w:rPr>
          <w:sz w:val="20"/>
          <w:szCs w:val="20"/>
          <w:color w:val="auto"/>
        </w:rPr>
      </w:pPr>
    </w:p>
    <w:p>
      <w:pPr>
        <w:jc w:val="both"/>
        <w:ind w:right="120" w:firstLine="644"/>
        <w:spacing w:after="0" w:line="41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Class Membership</w:t>
      </w:r>
      <w:r>
        <w:rPr>
          <w:rFonts w:ascii="Arial" w:cs="Arial" w:eastAsia="Arial" w:hAnsi="Arial"/>
          <w:sz w:val="18"/>
          <w:szCs w:val="18"/>
          <w:color w:val="auto"/>
        </w:rPr>
        <w:t>. Notwithstanding anything in this Agreement, MWC remains a Class Member for purposes of the Class Settlement Agreement. Neither 3M’s payment obligations nor the credit it receives toward its payments due under the Class Settlement Agreement will change regardless of MWC’s ultimate allocation pursuant to the Class Settlement Agreement.</w:t>
      </w:r>
    </w:p>
    <w:p>
      <w:pPr>
        <w:spacing w:after="0" w:line="1" w:lineRule="exact"/>
        <w:rPr>
          <w:rFonts w:ascii="Arial" w:cs="Arial" w:eastAsia="Arial" w:hAnsi="Arial"/>
          <w:sz w:val="18"/>
          <w:szCs w:val="18"/>
          <w:color w:val="auto"/>
        </w:rPr>
      </w:pPr>
    </w:p>
    <w:p>
      <w:pPr>
        <w:ind w:right="120" w:firstLine="644"/>
        <w:spacing w:after="0" w:line="466" w:lineRule="auto"/>
        <w:tabs>
          <w:tab w:leader="none" w:pos="121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acknowledge that this Agreement was jointly drafted, andt hey agree that if any of its terms are ambiguous, then the rule of construction construing the ambiguity against the drafting party shall not be employed in the interpretation of this Agreement.</w:t>
      </w:r>
    </w:p>
    <w:p>
      <w:pPr>
        <w:spacing w:after="0" w:line="1" w:lineRule="exact"/>
        <w:rPr>
          <w:rFonts w:ascii="Arial" w:cs="Arial" w:eastAsia="Arial" w:hAnsi="Arial"/>
          <w:sz w:val="16"/>
          <w:szCs w:val="16"/>
          <w:color w:val="auto"/>
        </w:rPr>
      </w:pPr>
    </w:p>
    <w:p>
      <w:pPr>
        <w:ind w:right="120" w:firstLine="644"/>
        <w:spacing w:after="0" w:line="446" w:lineRule="auto"/>
        <w:tabs>
          <w:tab w:leader="none" w:pos="113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Agreement shall be governed by and construed pursuant tot he law of the State of South Carolina, without regard to any otherwise applicable principles of</w:t>
      </w: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80" w:name="page81"/>
    <w:bookmarkEnd w:id="80"/>
    <w:p>
      <w:pPr>
        <w:ind w:left="10140"/>
        <w:spacing w:after="0"/>
        <w:rPr>
          <w:sz w:val="20"/>
          <w:szCs w:val="20"/>
          <w:color w:val="auto"/>
        </w:rPr>
      </w:pPr>
      <w:r>
        <w:rPr>
          <w:rFonts w:ascii="Arial" w:cs="Arial" w:eastAsia="Arial" w:hAnsi="Arial"/>
          <w:sz w:val="16"/>
          <w:szCs w:val="16"/>
          <w:color w:val="auto"/>
        </w:rPr>
        <w:t>Exhibit 10.55</w:t>
      </w:r>
    </w:p>
    <w:p>
      <w:pPr>
        <w:spacing w:after="0" w:line="208" w:lineRule="exact"/>
        <w:rPr>
          <w:sz w:val="20"/>
          <w:szCs w:val="20"/>
          <w:color w:val="auto"/>
        </w:rPr>
      </w:pPr>
    </w:p>
    <w:p>
      <w:pPr>
        <w:ind w:right="100"/>
        <w:spacing w:after="0" w:line="414" w:lineRule="auto"/>
        <w:rPr>
          <w:sz w:val="20"/>
          <w:szCs w:val="20"/>
          <w:color w:val="auto"/>
        </w:rPr>
      </w:pPr>
      <w:r>
        <w:rPr>
          <w:rFonts w:ascii="Arial" w:cs="Arial" w:eastAsia="Arial" w:hAnsi="Arial"/>
          <w:sz w:val="18"/>
          <w:szCs w:val="18"/>
          <w:color w:val="auto"/>
        </w:rPr>
        <w:t>conflicts of law or choice-of-law rules (whether of the State of New Jersey or any other jurisdiction) that would result in the application of the substantive or procedural rules or law of any other jurisdiction.</w:t>
      </w:r>
    </w:p>
    <w:p>
      <w:pPr>
        <w:spacing w:after="0" w:line="1" w:lineRule="exact"/>
        <w:rPr>
          <w:sz w:val="20"/>
          <w:szCs w:val="20"/>
          <w:color w:val="auto"/>
        </w:rPr>
      </w:pPr>
    </w:p>
    <w:p>
      <w:pPr>
        <w:ind w:right="120" w:firstLine="644"/>
        <w:spacing w:after="0" w:line="422" w:lineRule="auto"/>
        <w:tabs>
          <w:tab w:leader="none" w:pos="13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Jurisdiction and Venue.</w:t>
      </w:r>
      <w:r>
        <w:rPr>
          <w:rFonts w:ascii="Arial" w:cs="Arial" w:eastAsia="Arial" w:hAnsi="Arial"/>
          <w:sz w:val="18"/>
          <w:szCs w:val="18"/>
          <w:color w:val="auto"/>
        </w:rPr>
        <w:t xml:space="preserve"> The AFFF MDL shall be the exclusive jurisdiction and venue for all proceedings in connection with the Agreement or arising as a result of any matter relating to this Settlement or addressed in the Agreement.</w:t>
      </w:r>
    </w:p>
    <w:p>
      <w:pPr>
        <w:spacing w:after="0" w:line="1" w:lineRule="exact"/>
        <w:rPr>
          <w:rFonts w:ascii="Arial" w:cs="Arial" w:eastAsia="Arial" w:hAnsi="Arial"/>
          <w:sz w:val="18"/>
          <w:szCs w:val="18"/>
          <w:color w:val="auto"/>
        </w:rPr>
      </w:pPr>
    </w:p>
    <w:p>
      <w:pPr>
        <w:ind w:left="1160" w:hanging="516"/>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Reasonable Extensions</w:t>
      </w:r>
      <w:r>
        <w:rPr>
          <w:rFonts w:ascii="Arial" w:cs="Arial" w:eastAsia="Arial" w:hAnsi="Arial"/>
          <w:sz w:val="16"/>
          <w:szCs w:val="16"/>
          <w:color w:val="auto"/>
        </w:rPr>
        <w:t>. The Settling Parties may agree in writing to reasonable extensions of time to carry out any of the provisions of</w:t>
      </w:r>
    </w:p>
    <w:p>
      <w:pPr>
        <w:spacing w:after="0" w:line="1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Agreement.</w:t>
      </w:r>
    </w:p>
    <w:p>
      <w:pPr>
        <w:spacing w:after="0" w:line="373" w:lineRule="exact"/>
        <w:rPr>
          <w:rFonts w:ascii="Arial" w:cs="Arial" w:eastAsia="Arial" w:hAnsi="Arial"/>
          <w:sz w:val="16"/>
          <w:szCs w:val="16"/>
          <w:color w:val="auto"/>
        </w:rPr>
      </w:pPr>
    </w:p>
    <w:p>
      <w:pPr>
        <w:ind w:left="1100" w:hanging="45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writing executed by allP arties hereto.</w:t>
      </w:r>
    </w:p>
    <w:p>
      <w:pPr>
        <w:spacing w:after="0" w:line="373" w:lineRule="exact"/>
        <w:rPr>
          <w:rFonts w:ascii="Arial" w:cs="Arial" w:eastAsia="Arial" w:hAnsi="Arial"/>
          <w:sz w:val="18"/>
          <w:szCs w:val="18"/>
          <w:color w:val="auto"/>
        </w:rPr>
      </w:pPr>
    </w:p>
    <w:p>
      <w:pPr>
        <w:ind w:right="120" w:firstLine="644"/>
        <w:spacing w:after="0" w:line="414" w:lineRule="auto"/>
        <w:tabs>
          <w:tab w:leader="none" w:pos="119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is declared or deemed to be invalid or unenforceable, such invalidity or unenforceability shall not affect the validity or enforceability of the remaining provisions of this Agreement.</w:t>
      </w:r>
    </w:p>
    <w:p>
      <w:pPr>
        <w:spacing w:after="0" w:line="1" w:lineRule="exact"/>
        <w:rPr>
          <w:rFonts w:ascii="Arial" w:cs="Arial" w:eastAsia="Arial" w:hAnsi="Arial"/>
          <w:sz w:val="18"/>
          <w:szCs w:val="18"/>
          <w:color w:val="auto"/>
        </w:rPr>
      </w:pPr>
    </w:p>
    <w:p>
      <w:pPr>
        <w:jc w:val="both"/>
        <w:ind w:right="100" w:firstLine="644"/>
        <w:spacing w:after="0" w:line="417" w:lineRule="auto"/>
        <w:tabs>
          <w:tab w:leader="none" w:pos="122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provisions of this Agreement may be waived only by written agreement signed by the waiving Party. The waiver by any Party of any breach of this Agreement shall not be deemed to be or construed as a waiver of any other breach, whether prior to, subsequent to, or contemporaneous with this Agreement.</w:t>
      </w:r>
    </w:p>
    <w:p>
      <w:pPr>
        <w:spacing w:after="0" w:line="1" w:lineRule="exact"/>
        <w:rPr>
          <w:rFonts w:ascii="Arial" w:cs="Arial" w:eastAsia="Arial" w:hAnsi="Arial"/>
          <w:sz w:val="18"/>
          <w:szCs w:val="18"/>
          <w:color w:val="auto"/>
        </w:rPr>
      </w:pPr>
    </w:p>
    <w:p>
      <w:pPr>
        <w:ind w:right="120" w:firstLine="644"/>
        <w:spacing w:after="0" w:line="414" w:lineRule="auto"/>
        <w:tabs>
          <w:tab w:leader="none" w:pos="127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agents, employees, representatives, successors, and assigns.</w:t>
      </w:r>
    </w:p>
    <w:p>
      <w:pPr>
        <w:spacing w:after="0" w:line="1" w:lineRule="exact"/>
        <w:rPr>
          <w:rFonts w:ascii="Arial" w:cs="Arial" w:eastAsia="Arial" w:hAnsi="Arial"/>
          <w:sz w:val="18"/>
          <w:szCs w:val="18"/>
          <w:color w:val="auto"/>
        </w:rPr>
      </w:pPr>
    </w:p>
    <w:p>
      <w:pPr>
        <w:ind w:left="1100" w:hanging="456"/>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xml:space="preserve"> This Agreement does not create any third-party beneficiaries except the Released Parties.</w:t>
      </w:r>
    </w:p>
    <w:p>
      <w:pPr>
        <w:spacing w:after="0" w:line="157" w:lineRule="exact"/>
        <w:rPr>
          <w:rFonts w:ascii="Arial" w:cs="Arial" w:eastAsia="Arial" w:hAnsi="Arial"/>
          <w:sz w:val="18"/>
          <w:szCs w:val="18"/>
          <w:color w:val="auto"/>
        </w:rPr>
      </w:pPr>
    </w:p>
    <w:p>
      <w:pPr>
        <w:ind w:left="1140" w:hanging="496"/>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xml:space="preserve"> This Agreement may be executed in counterparts and, upon the</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shall be binding upon the Parties executing this or any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PLAINTIFF MIDDLESEX WATER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Jay L. Kooper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24688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Jay L. Kooper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24688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24688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w:t>
      </w:r>
      <w:r>
        <w:rPr>
          <w:rFonts w:ascii="Arial" w:cs="Arial" w:eastAsia="Arial" w:hAnsi="Arial"/>
          <w:sz w:val="18"/>
          <w:szCs w:val="18"/>
          <w:u w:val="single" w:color="auto"/>
          <w:color w:val="auto"/>
        </w:rPr>
        <w:t>August 29</w:t>
      </w:r>
      <w:r>
        <w:rPr>
          <w:rFonts w:ascii="Arial" w:cs="Arial" w:eastAsia="Arial" w:hAnsi="Arial"/>
          <w:sz w:val="18"/>
          <w:szCs w:val="18"/>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FOR DEFENDANT 3M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/s/Steven F.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24688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Steven F. Reich Executive Vice President 3M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3M Center, 0220-09W-15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 Paul, Minnesota 55144-1000 Executed: </w:t>
      </w:r>
      <w:r>
        <w:rPr>
          <w:rFonts w:ascii="Arial" w:cs="Arial" w:eastAsia="Arial" w:hAnsi="Arial"/>
          <w:sz w:val="18"/>
          <w:szCs w:val="18"/>
          <w:u w:val="single" w:color="auto"/>
          <w:color w:val="auto"/>
        </w:rPr>
        <w:t>August 29</w:t>
      </w:r>
      <w:r>
        <w:rPr>
          <w:rFonts w:ascii="Arial" w:cs="Arial" w:eastAsia="Arial" w:hAnsi="Arial"/>
          <w:sz w:val="18"/>
          <w:szCs w:val="18"/>
          <w:color w:val="auto"/>
        </w:rPr>
        <w:t>, 2023</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233"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225" w:lineRule="exact"/>
        <w:rPr>
          <w:sz w:val="20"/>
          <w:szCs w:val="20"/>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-10160</wp:posOffset>
            </wp:positionV>
            <wp:extent cx="9893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3"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634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3" w:lineRule="auto"/>
        <w:tabs>
          <w:tab w:leader="none" w:pos="9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-10160</wp:posOffset>
            </wp:positionV>
            <wp:extent cx="11550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3"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Date: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3" w:lineRule="exact"/>
        <w:rPr>
          <w:sz w:val="20"/>
          <w:szCs w:val="20"/>
          <w:color w:val="auto"/>
        </w:rPr>
      </w:pPr>
    </w:p>
    <w:p>
      <w:pPr>
        <w:jc w:val="right"/>
        <w:ind w:right="318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-10160</wp:posOffset>
            </wp:positionV>
            <wp:extent cx="1017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3"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680"/>
        <w:spacing w:after="0"/>
        <w:rPr>
          <w:sz w:val="20"/>
          <w:szCs w:val="20"/>
          <w:color w:val="auto"/>
        </w:rPr>
      </w:pPr>
      <w:r>
        <w:rPr>
          <w:rFonts w:ascii="Arial" w:cs="Arial" w:eastAsia="Arial" w:hAnsi="Arial"/>
          <w:sz w:val="18"/>
          <w:szCs w:val="18"/>
          <w:u w:val="single" w:color="auto"/>
          <w:color w:val="auto"/>
        </w:rPr>
        <w:t>/s/ A. Bruce O’Connor</w:t>
      </w:r>
    </w:p>
    <w:p>
      <w:pPr>
        <w:spacing w:after="0" w:line="23"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decimal"/>
      <w:start w:val="104"/>
    </w:lvl>
    <w:lvl w:ilvl="1">
      <w:lvlJc w:val="left"/>
      <w:lvlText w:val="*"/>
      <w:numFmt w:val="bullet"/>
      <w:start w:val="1"/>
    </w:lvl>
  </w:abstractNum>
  <w:abstractNum w:abstractNumId="16">
    <w:nsid w:val="7C3DBD3D"/>
    <w:multiLevelType w:val="hybridMultilevel"/>
    <w:lvl w:ilvl="0">
      <w:lvlJc w:val="left"/>
      <w:lvlText w:val="(%1)"/>
      <w:numFmt w:val="upperLetter"/>
      <w:start w:val="2"/>
    </w:lvl>
  </w:abstractNum>
  <w:abstractNum w:abstractNumId="17">
    <w:nsid w:val="737B8DDC"/>
    <w:multiLevelType w:val="hybridMultilevel"/>
    <w:lvl w:ilvl="0">
      <w:lvlJc w:val="left"/>
      <w:lvlText w:val="(%1)"/>
      <w:numFmt w:val="upperLetter"/>
      <w:start w:val="1"/>
    </w:lvl>
    <w:lvl w:ilvl="1">
      <w:lvlJc w:val="left"/>
      <w:lvlText w:val="(%2)"/>
      <w:numFmt w:val="decimal"/>
      <w:start w:val="1"/>
    </w:lvl>
  </w:abstractNum>
  <w:abstractNum w:abstractNumId="18">
    <w:nsid w:val="6CEAF087"/>
    <w:multiLevelType w:val="hybridMultilevel"/>
    <w:lvl w:ilvl="0">
      <w:lvlJc w:val="left"/>
      <w:lvlText w:val="(%1)"/>
      <w:numFmt w:val="upperLetter"/>
      <w:start w:val="1"/>
    </w:lvl>
  </w:abstractNum>
  <w:abstractNum w:abstractNumId="19">
    <w:nsid w:val="22221A70"/>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0">
    <w:nsid w:val="4516DDE9"/>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abstractNum>
  <w:abstractNum w:abstractNumId="21">
    <w:nsid w:val="3006C83E"/>
    <w:multiLevelType w:val="hybridMultilevel"/>
    <w:lvl w:ilvl="0">
      <w:lvlJc w:val="left"/>
      <w:lvlText w:val="%1."/>
      <w:numFmt w:val="decimal"/>
      <w:start w:val="1"/>
    </w:lvl>
    <w:lvl w:ilvl="1">
      <w:lvlJc w:val="left"/>
      <w:lvlText w:val="(%2)"/>
      <w:numFmt w:val="upperLetter"/>
      <w:start w:val="8"/>
    </w:lvl>
    <w:lvl w:ilvl="2">
      <w:lvlJc w:val="left"/>
      <w:lvlText w:val="(%3)"/>
      <w:numFmt w:val="upperLetter"/>
      <w:start w:val="1"/>
    </w:lvl>
  </w:abstractNum>
  <w:abstractNum w:abstractNumId="22">
    <w:nsid w:val="614FD4A1"/>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0"/>
    </w:lvl>
  </w:abstractNum>
  <w:abstractNum w:abstractNumId="23">
    <w:nsid w:val="419AC241"/>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24">
    <w:nsid w:val="5577F8E1"/>
    <w:multiLevelType w:val="hybridMultilevel"/>
    <w:lvl w:ilvl="0">
      <w:lvlJc w:val="left"/>
      <w:lvlText w:val="%1."/>
      <w:numFmt w:val="decimal"/>
      <w:start w:val="1"/>
    </w:lvl>
    <w:lvl w:ilvl="1">
      <w:lvlJc w:val="left"/>
      <w:lvlText w:val="(%2)"/>
      <w:numFmt w:val="upperLetter"/>
      <w:start w:val="1"/>
    </w:lvl>
  </w:abstractNum>
  <w:abstractNum w:abstractNumId="25">
    <w:nsid w:val="440BADFC"/>
    <w:multiLevelType w:val="hybridMultilevel"/>
    <w:lvl w:ilvl="0">
      <w:lvlJc w:val="left"/>
      <w:lvlText w:val="(%1)"/>
      <w:numFmt w:val="upperLetter"/>
      <w:start w:val="1"/>
    </w:lvl>
  </w:abstractNum>
  <w:abstractNum w:abstractNumId="26">
    <w:nsid w:val="5072367"/>
    <w:multiLevelType w:val="hybridMultilevel"/>
    <w:lvl w:ilvl="0">
      <w:lvlJc w:val="left"/>
      <w:lvlText w:val="(%1)"/>
      <w:numFmt w:val="upperLetter"/>
      <w:start w:val="1"/>
    </w:lvl>
  </w:abstractNum>
  <w:abstractNum w:abstractNumId="27">
    <w:nsid w:val="3804823E"/>
    <w:multiLevelType w:val="hybridMultilevel"/>
    <w:lvl w:ilvl="0">
      <w:lvlJc w:val="left"/>
      <w:lvlText w:val="(%1)"/>
      <w:numFmt w:val="upperLetter"/>
      <w:start w:val="1"/>
    </w:lvl>
  </w:abstractNum>
  <w:abstractNum w:abstractNumId="28">
    <w:nsid w:val="77465F01"/>
    <w:multiLevelType w:val="hybridMultilevel"/>
    <w:lvl w:ilvl="0">
      <w:lvlJc w:val="left"/>
      <w:lvlText w:val="(%1)"/>
      <w:numFmt w:val="upperLetter"/>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4"/>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2"/>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3"/>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3"/>
    </w:lvl>
  </w:abstractNum>
  <w:abstractNum w:abstractNumId="40">
    <w:nsid w:val="2A487CB0"/>
    <w:multiLevelType w:val="hybridMultilevel"/>
    <w:lvl w:ilvl="0">
      <w:lvlJc w:val="left"/>
      <w:lvlText w:val="%1."/>
      <w:numFmt w:val="lowerLetter"/>
      <w:start w:val="4"/>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4"/>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2023-11-09T10:37:34Z</dcterms:created>
  <dcterms:modified xsi:type="dcterms:W3CDTF">2023-11-09T10:37:34Z</dcterms:modified>
</cp:coreProperties>
</file>