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caps w:val="false"/>
          <w:smallCaps w:val="false"/>
          <w:bdr w:val="single" w:sz="18" w:space="1" w:color="000000"/>
        </w:rPr>
      </w:pPr>
      <w:bookmarkStart w:id="0" w:name="msex-20250630.htm"/>
      <w:bookmarkStart w:id="1" w:name="ksmsex20250630"/>
      <w:bookmarkEnd w:id="0"/>
      <w:bookmarkEnd w:id="1"/>
      <w:r>
        <w:rPr>
          <w:caps w:val="false"/>
          <w:smallCaps w:val="false"/>
          <w:bdr w:val="single" w:sz="1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ind w:left="90" w:right="90" w:hanging="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9715" w:type="dxa"/>
        <w:jc w:val="left"/>
        <w:tblInd w:w="0" w:type="dxa"/>
        <w:tblLayout w:type="fixed"/>
        <w:tblCellMar>
          <w:top w:w="0" w:type="dxa"/>
          <w:left w:w="0" w:type="dxa"/>
          <w:bottom w:w="0" w:type="dxa"/>
          <w:right w:w="0" w:type="dxa"/>
        </w:tblCellMar>
      </w:tblPr>
      <w:tblGrid>
        <w:gridCol w:w="275"/>
        <w:gridCol w:w="9440"/>
      </w:tblGrid>
      <w:tr>
        <w:trPr/>
        <w:tc>
          <w:tcPr>
            <w:tcW w:w="275" w:type="dxa"/>
            <w:tcBorders/>
            <w:vAlign w:val="center"/>
          </w:tcPr>
          <w:p>
            <w:pPr>
              <w:pStyle w:val="TableContents"/>
              <w:bidi w:val="0"/>
              <w:spacing w:before="0" w:after="283"/>
              <w:jc w:val="center"/>
              <w:rPr/>
            </w:pPr>
            <w:r>
              <w:rPr/>
              <w:t>☑</w:t>
            </w:r>
          </w:p>
        </w:tc>
        <w:tc>
          <w:tcPr>
            <w:tcW w:w="9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2025</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ind w:left="90" w:right="90" w:hanging="0"/>
        <w:jc w:val="center"/>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75"/>
        <w:gridCol w:w="9410"/>
      </w:tblGrid>
      <w:tr>
        <w:trPr/>
        <w:tc>
          <w:tcPr>
            <w:tcW w:w="275" w:type="dxa"/>
            <w:tcBorders/>
            <w:vAlign w:val="center"/>
          </w:tcPr>
          <w:p>
            <w:pPr>
              <w:pStyle w:val="TableContents"/>
              <w:bidi w:val="0"/>
              <w:spacing w:before="0" w:after="283"/>
              <w:jc w:val="center"/>
              <w:rPr/>
            </w:pPr>
            <w:r>
              <w:rPr/>
              <w:t>☐</w:t>
            </w:r>
          </w:p>
        </w:tc>
        <w:tc>
          <w:tcPr>
            <w:tcW w:w="9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_________________ to______________________</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0-422</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MIDDLESEX WATER COMPANY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ind w:left="90" w:right="90" w:hanging="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045"/>
        <w:gridCol w:w="2780"/>
      </w:tblGrid>
      <w:tr>
        <w:trPr/>
        <w:tc>
          <w:tcPr>
            <w:tcW w:w="20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 Jersey</w:t>
            </w:r>
          </w:p>
        </w:tc>
        <w:tc>
          <w:tcPr>
            <w:tcW w:w="27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22-1114430</w:t>
            </w:r>
          </w:p>
        </w:tc>
      </w:tr>
      <w:tr>
        <w:trPr/>
        <w:tc>
          <w:tcPr>
            <w:tcW w:w="20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of incorporation)</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485C Route One South, Iselin, New Jersey 08830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634-1500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ind w:left="90" w:right="9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ind w:left="90" w:right="9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520"/>
        <w:gridCol w:w="1565"/>
        <w:gridCol w:w="3650"/>
      </w:tblGrid>
      <w:tr>
        <w:trPr/>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MSEX</w:t>
            </w:r>
          </w:p>
        </w:tc>
        <w:tc>
          <w:tcPr>
            <w:tcW w:w="3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r>
    </w:tbl>
    <w:p>
      <w:pPr>
        <w:pStyle w:val="TextBody"/>
        <w:bidi w:val="0"/>
        <w:ind w:left="90" w:right="90" w:hanging="0"/>
        <w:jc w:val="center"/>
        <w:rPr>
          <w:caps w:val="false"/>
          <w:smallCaps w:val="false"/>
        </w:rPr>
      </w:pPr>
      <w:r>
        <w:rPr>
          <w:caps w:val="false"/>
          <w:smallCaps w:val="false"/>
        </w:rPr>
        <w:t> </w:t>
      </w:r>
    </w:p>
    <w:p>
      <w:pPr>
        <w:pStyle w:val="TextBody"/>
        <w:bidi w:val="0"/>
        <w:ind w:left="90" w:right="9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w:t>
      </w:r>
    </w:p>
    <w:p>
      <w:pPr>
        <w:pStyle w:val="TextBody"/>
        <w:bidi w:val="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12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6630" w:type="dxa"/>
        <w:jc w:val="left"/>
        <w:tblInd w:w="0" w:type="dxa"/>
        <w:tblLayout w:type="fixed"/>
        <w:tblCellMar>
          <w:top w:w="0" w:type="dxa"/>
          <w:left w:w="0" w:type="dxa"/>
          <w:bottom w:w="0" w:type="dxa"/>
          <w:right w:w="0" w:type="dxa"/>
        </w:tblCellMar>
      </w:tblPr>
      <w:tblGrid>
        <w:gridCol w:w="2495"/>
        <w:gridCol w:w="1610"/>
        <w:gridCol w:w="2525"/>
      </w:tblGrid>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16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r>
      <w:tr>
        <w:trPr/>
        <w:tc>
          <w:tcPr>
            <w:tcW w:w="24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Smaller reporting company ☐</w:t>
            </w:r>
          </w:p>
        </w:tc>
        <w:tc>
          <w:tcPr>
            <w:tcW w:w="161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ind w:left="86" w:right="8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each of the registrant's classes of common stock, as July 29, 2025: Common Stock, No Par Value: 18,016,640 shares outstanding.</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86" w:right="8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w:t>
      </w:r>
    </w:p>
    <w:p>
      <w:pPr>
        <w:pStyle w:val="TextBody"/>
        <w:bidi w:val="0"/>
        <w:jc w:val="left"/>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830"/>
        <w:gridCol w:w="7280"/>
        <w:gridCol w:w="63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w:t>
            </w:r>
          </w:p>
        </w:tc>
        <w:tc>
          <w:tcPr>
            <w:tcW w:w="7280" w:type="dxa"/>
            <w:tcBorders/>
            <w:vAlign w:val="center"/>
          </w:tcPr>
          <w:p>
            <w:pPr>
              <w:pStyle w:val="TableContents"/>
              <w:bidi w:val="0"/>
              <w:spacing w:before="0" w:after="283"/>
              <w:jc w:val="left"/>
              <w:rPr/>
            </w:pPr>
            <w:hyperlink w:anchor="a_001">
              <w:r>
                <w:rPr>
                  <w:rStyle w:val="InternetLink"/>
                  <w:rFonts w:ascii="Times New Roman;Times;Serif" w:hAnsi="Times New Roman;Times;Serif"/>
                  <w:b/>
                  <w:sz w:val="20"/>
                </w:rPr>
                <w:t>FINANCIAL INFORMATION</w:t>
              </w:r>
            </w:hyperlink>
          </w:p>
        </w:tc>
        <w:tc>
          <w:tcPr>
            <w:tcW w:w="63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PAGE</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Statements (Unaudited):</w:t>
              </w:r>
            </w:hyperlink>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Condensed Consolidated Statements of Income</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Balance Sheets</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Statements of Cash Flows</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Capital Stock and Long-Term Debt</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Common Stockholders’ Equity</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Notes to Unaudited Condensed Consolidated Financial Statements</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Quantitative and Qualitative Disclosures of Market Risk</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Controls and Procedures</w:t>
              </w:r>
            </w:hyperlink>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II.</w:t>
            </w:r>
          </w:p>
        </w:tc>
        <w:tc>
          <w:tcPr>
            <w:tcW w:w="7280" w:type="dxa"/>
            <w:tcBorders/>
            <w:vAlign w:val="center"/>
          </w:tcPr>
          <w:p>
            <w:pPr>
              <w:pStyle w:val="TableContents"/>
              <w:bidi w:val="0"/>
              <w:spacing w:before="0" w:after="283"/>
              <w:jc w:val="left"/>
              <w:rPr/>
            </w:pPr>
            <w:hyperlink w:anchor="a_010">
              <w:r>
                <w:rPr>
                  <w:rStyle w:val="InternetLink"/>
                  <w:rFonts w:ascii="Times New Roman;Times;Serif" w:hAnsi="Times New Roman;Times;Serif"/>
                  <w:b/>
                  <w:sz w:val="20"/>
                </w:rPr>
                <w:t>OTHER INFORMATION</w:t>
              </w:r>
            </w:hyperlink>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Legal Proceedings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Risk Factors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Defaults upon Senior Securities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Mine Safety Disclosures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Other Information</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Exhibits</w:t>
              </w:r>
            </w:hyperlink>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83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81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SIGNATURES</w:t>
            </w:r>
          </w:p>
        </w:tc>
        <w:tc>
          <w:tcPr>
            <w:tcW w:w="6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CONDENSED CONSOLIDATED STATEMENTS OF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4"/>
        <w:gridCol w:w="90"/>
        <w:gridCol w:w="252"/>
        <w:gridCol w:w="1053"/>
        <w:gridCol w:w="132"/>
        <w:gridCol w:w="132"/>
        <w:gridCol w:w="252"/>
        <w:gridCol w:w="1053"/>
        <w:gridCol w:w="132"/>
        <w:gridCol w:w="90"/>
        <w:gridCol w:w="228"/>
        <w:gridCol w:w="956"/>
        <w:gridCol w:w="120"/>
        <w:gridCol w:w="120"/>
        <w:gridCol w:w="228"/>
        <w:gridCol w:w="956"/>
        <w:gridCol w:w="187"/>
      </w:tblGrid>
      <w:tr>
        <w:trPr/>
        <w:tc>
          <w:tcPr>
            <w:tcW w:w="422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3006" w:type="dxa"/>
            <w:gridSpan w:val="7"/>
            <w:tcBorders/>
            <w:vAlign w:val="center"/>
          </w:tcPr>
          <w:p>
            <w:pPr>
              <w:pStyle w:val="TableContents"/>
              <w:bidi w:val="0"/>
              <w:spacing w:before="0" w:after="283"/>
              <w:jc w:val="center"/>
              <w:rPr>
                <w:b/>
              </w:rPr>
            </w:pPr>
            <w:r>
              <w:rPr>
                <w:b/>
              </w:rPr>
              <w:t>Three Months Ended June 30,</w:t>
            </w:r>
          </w:p>
        </w:tc>
        <w:tc>
          <w:tcPr>
            <w:tcW w:w="90" w:type="dxa"/>
            <w:tcBorders/>
            <w:vAlign w:val="center"/>
          </w:tcPr>
          <w:p>
            <w:pPr>
              <w:pStyle w:val="TableContents"/>
              <w:bidi w:val="0"/>
              <w:spacing w:before="0" w:after="283"/>
              <w:jc w:val="left"/>
              <w:rPr/>
            </w:pPr>
            <w:r>
              <w:rPr/>
              <w:t> </w:t>
            </w:r>
          </w:p>
        </w:tc>
        <w:tc>
          <w:tcPr>
            <w:tcW w:w="2795" w:type="dxa"/>
            <w:gridSpan w:val="7"/>
            <w:tcBorders/>
            <w:vAlign w:val="center"/>
          </w:tcPr>
          <w:p>
            <w:pPr>
              <w:pStyle w:val="TableContents"/>
              <w:bidi w:val="0"/>
              <w:spacing w:before="0" w:after="283"/>
              <w:jc w:val="center"/>
              <w:rPr>
                <w:b/>
              </w:rPr>
            </w:pPr>
            <w:r>
              <w:rPr>
                <w:b/>
              </w:rPr>
              <w:t>Six Months Ended June 30,</w:t>
            </w:r>
          </w:p>
        </w:tc>
      </w:tr>
      <w:tr>
        <w:trPr/>
        <w:tc>
          <w:tcPr>
            <w:tcW w:w="4224"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43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422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37" w:type="dxa"/>
            <w:gridSpan w:val="3"/>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1437"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304" w:type="dxa"/>
            <w:gridSpan w:val="3"/>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371" w:type="dxa"/>
            <w:gridSpan w:val="3"/>
            <w:tcBorders/>
            <w:vAlign w:val="center"/>
          </w:tcPr>
          <w:p>
            <w:pPr>
              <w:pStyle w:val="TableContents"/>
              <w:bidi w:val="0"/>
              <w:spacing w:before="0" w:after="283"/>
              <w:jc w:val="right"/>
              <w:rPr/>
            </w:pPr>
            <w:r>
              <w:rPr/>
              <w:t> </w:t>
            </w:r>
          </w:p>
        </w:tc>
      </w:tr>
      <w:tr>
        <w:trPr/>
        <w:tc>
          <w:tcPr>
            <w:tcW w:w="4224" w:type="dxa"/>
            <w:tcBorders>
              <w:bottom w:val="single" w:sz="8" w:space="0" w:color="000000"/>
            </w:tcBorders>
            <w:shd w:fill="CCEEFF" w:val="clear"/>
            <w:tcMar>
              <w:bottom w:w="28" w:type="dxa"/>
            </w:tcMar>
            <w:vAlign w:val="center"/>
          </w:tcPr>
          <w:p>
            <w:pPr>
              <w:pStyle w:val="TableContents"/>
              <w:bidi w:val="0"/>
              <w:spacing w:before="0" w:after="283"/>
              <w:jc w:val="left"/>
              <w:rPr/>
            </w:pPr>
            <w:r>
              <w:rPr/>
              <w:t>Operating Revenues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49,323</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49,146</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93,624</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pPr>
            <w:r>
              <w:rPr/>
              <w:t>89,670</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Operations and Maintenance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b/>
              </w:rPr>
            </w:pPr>
            <w:r>
              <w:rPr>
                <w:b/>
              </w:rPr>
              <w:t>23,066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21,825</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b/>
              </w:rPr>
            </w:pPr>
            <w:r>
              <w:rPr>
                <w:b/>
              </w:rPr>
              <w:t>44,175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42,290</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b/>
              </w:rPr>
            </w:pPr>
            <w:r>
              <w:rPr>
                <w:b/>
              </w:rPr>
              <w:t>6,703</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6,305</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13,230</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11,701</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Other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5,642</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5,701</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10,750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10,499</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Total Operating Expenses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35,411</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33,831</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68,155</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64,490</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Operating Income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13,912</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15,315</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25,469</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25,180</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Allowance for Funds Used During Construction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b/>
              </w:rPr>
            </w:pPr>
            <w:r>
              <w:rPr>
                <w:b/>
              </w:rPr>
              <w:t>413</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257</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786</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433</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Other Income (Expense), net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1,485</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2,399</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2,910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7,588</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Total Other Income, net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1,898</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2,656</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3,696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8,021</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Interest Charges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3,623</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4,041</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6,336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7,310</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Income before Income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12,187</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13,930</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22,829</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25,891</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Income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1,409</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3,384</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2,571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4,663</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b/>
              </w:rPr>
            </w:pPr>
            <w:r>
              <w:rPr>
                <w:b/>
              </w:rPr>
              <w:t>10,778</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10,546</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b/>
              </w:rPr>
            </w:pPr>
            <w:r>
              <w:rPr>
                <w:b/>
              </w:rPr>
              <w:t>20,258</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21,228</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Preferred Stock Dividend Requirements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19</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30</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41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pPr>
            <w:r>
              <w:rPr/>
              <w:t>60</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bottom w:val="single" w:sz="8" w:space="0" w:color="000000"/>
            </w:tcBorders>
            <w:tcMar>
              <w:bottom w:w="28" w:type="dxa"/>
            </w:tcMar>
            <w:vAlign w:val="center"/>
          </w:tcPr>
          <w:p>
            <w:pPr>
              <w:pStyle w:val="TableContents"/>
              <w:bidi w:val="0"/>
              <w:spacing w:before="0" w:after="283"/>
              <w:jc w:val="left"/>
              <w:rPr/>
            </w:pPr>
            <w:r>
              <w:rPr/>
              <w:t>Earnings Applicable to Common Stock</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53" w:type="dxa"/>
            <w:tcBorders>
              <w:bottom w:val="single" w:sz="8" w:space="0" w:color="000000"/>
            </w:tcBorders>
            <w:tcMar>
              <w:bottom w:w="28" w:type="dxa"/>
            </w:tcMar>
            <w:vAlign w:val="center"/>
          </w:tcPr>
          <w:p>
            <w:pPr>
              <w:pStyle w:val="TableContents"/>
              <w:bidi w:val="0"/>
              <w:spacing w:before="0" w:after="283"/>
              <w:jc w:val="right"/>
              <w:rPr>
                <w:b/>
              </w:rPr>
            </w:pPr>
            <w:r>
              <w:rPr>
                <w:b/>
              </w:rPr>
              <w:t>10,759</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tcMar>
              <w:bottom w:w="28" w:type="dxa"/>
            </w:tcMar>
            <w:vAlign w:val="center"/>
          </w:tcPr>
          <w:p>
            <w:pPr>
              <w:pStyle w:val="TableContents"/>
              <w:bidi w:val="0"/>
              <w:spacing w:before="0" w:after="283"/>
              <w:jc w:val="left"/>
              <w:rPr/>
            </w:pPr>
            <w:r>
              <w:rPr/>
              <w:t>$</w:t>
            </w:r>
          </w:p>
        </w:tc>
        <w:tc>
          <w:tcPr>
            <w:tcW w:w="1053" w:type="dxa"/>
            <w:tcBorders>
              <w:bottom w:val="single" w:sz="8" w:space="0" w:color="000000"/>
            </w:tcBorders>
            <w:tcMar>
              <w:bottom w:w="28" w:type="dxa"/>
            </w:tcMar>
            <w:vAlign w:val="center"/>
          </w:tcPr>
          <w:p>
            <w:pPr>
              <w:pStyle w:val="TableContents"/>
              <w:bidi w:val="0"/>
              <w:spacing w:before="0" w:after="283"/>
              <w:jc w:val="right"/>
              <w:rPr/>
            </w:pPr>
            <w:r>
              <w:rPr/>
              <w:t>10,516</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56" w:type="dxa"/>
            <w:tcBorders>
              <w:bottom w:val="single" w:sz="8" w:space="0" w:color="000000"/>
            </w:tcBorders>
            <w:tcMar>
              <w:bottom w:w="28" w:type="dxa"/>
            </w:tcMar>
            <w:vAlign w:val="center"/>
          </w:tcPr>
          <w:p>
            <w:pPr>
              <w:pStyle w:val="TableContents"/>
              <w:bidi w:val="0"/>
              <w:spacing w:before="0" w:after="283"/>
              <w:jc w:val="right"/>
              <w:rPr>
                <w:b/>
              </w:rPr>
            </w:pPr>
            <w:r>
              <w:rPr>
                <w:b/>
              </w:rPr>
              <w:t>20,217</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w:t>
            </w:r>
          </w:p>
        </w:tc>
        <w:tc>
          <w:tcPr>
            <w:tcW w:w="956" w:type="dxa"/>
            <w:tcBorders>
              <w:bottom w:val="single" w:sz="8" w:space="0" w:color="000000"/>
            </w:tcBorders>
            <w:tcMar>
              <w:bottom w:w="28" w:type="dxa"/>
            </w:tcMar>
            <w:vAlign w:val="center"/>
          </w:tcPr>
          <w:p>
            <w:pPr>
              <w:pStyle w:val="TableContents"/>
              <w:bidi w:val="0"/>
              <w:spacing w:before="0" w:after="283"/>
              <w:jc w:val="right"/>
              <w:rPr/>
            </w:pPr>
            <w:r>
              <w:rPr/>
              <w:t>21,168</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Earnings per share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b/>
              </w:rPr>
            </w:pPr>
            <w:r>
              <w:rPr>
                <w:b/>
              </w:rPr>
              <w:t>$</w:t>
            </w:r>
          </w:p>
        </w:tc>
        <w:tc>
          <w:tcPr>
            <w:tcW w:w="1053" w:type="dxa"/>
            <w:tcBorders/>
            <w:shd w:fill="CCEEFF" w:val="clear"/>
            <w:vAlign w:val="center"/>
          </w:tcPr>
          <w:p>
            <w:pPr>
              <w:pStyle w:val="TableContents"/>
              <w:bidi w:val="0"/>
              <w:spacing w:before="0" w:after="283"/>
              <w:jc w:val="right"/>
              <w:rPr>
                <w:b/>
              </w:rPr>
            </w:pPr>
            <w:r>
              <w:rPr>
                <w:b/>
              </w:rPr>
              <w:t>0.60</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0.59</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b/>
              </w:rPr>
            </w:pPr>
            <w:r>
              <w:rPr>
                <w:b/>
              </w:rPr>
              <w:t>$</w:t>
            </w:r>
          </w:p>
        </w:tc>
        <w:tc>
          <w:tcPr>
            <w:tcW w:w="956" w:type="dxa"/>
            <w:tcBorders/>
            <w:shd w:fill="CCEEFF" w:val="clear"/>
            <w:vAlign w:val="center"/>
          </w:tcPr>
          <w:p>
            <w:pPr>
              <w:pStyle w:val="TableContents"/>
              <w:bidi w:val="0"/>
              <w:spacing w:before="0" w:after="283"/>
              <w:jc w:val="right"/>
              <w:rPr>
                <w:b/>
              </w:rPr>
            </w:pPr>
            <w:r>
              <w:rPr>
                <w:b/>
              </w:rPr>
              <w:t>1.13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1.19</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b/>
              </w:rPr>
            </w:pPr>
            <w:r>
              <w:rPr>
                <w:b/>
              </w:rPr>
              <w:t>$</w:t>
            </w:r>
          </w:p>
        </w:tc>
        <w:tc>
          <w:tcPr>
            <w:tcW w:w="1053" w:type="dxa"/>
            <w:tcBorders/>
            <w:vAlign w:val="center"/>
          </w:tcPr>
          <w:p>
            <w:pPr>
              <w:pStyle w:val="TableContents"/>
              <w:bidi w:val="0"/>
              <w:spacing w:before="0" w:after="283"/>
              <w:jc w:val="right"/>
              <w:rPr>
                <w:b/>
              </w:rPr>
            </w:pPr>
            <w:r>
              <w:rPr>
                <w:b/>
              </w:rPr>
              <w:t>0.60</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053" w:type="dxa"/>
            <w:tcBorders/>
            <w:vAlign w:val="center"/>
          </w:tcPr>
          <w:p>
            <w:pPr>
              <w:pStyle w:val="TableContents"/>
              <w:bidi w:val="0"/>
              <w:spacing w:before="0" w:after="283"/>
              <w:jc w:val="right"/>
              <w:rPr/>
            </w:pPr>
            <w:r>
              <w:rPr/>
              <w:t>0.59</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b/>
              </w:rPr>
            </w:pPr>
            <w:r>
              <w:rPr>
                <w:b/>
              </w:rPr>
              <w:t>$</w:t>
            </w:r>
          </w:p>
        </w:tc>
        <w:tc>
          <w:tcPr>
            <w:tcW w:w="956" w:type="dxa"/>
            <w:tcBorders/>
            <w:vAlign w:val="center"/>
          </w:tcPr>
          <w:p>
            <w:pPr>
              <w:pStyle w:val="TableContents"/>
              <w:bidi w:val="0"/>
              <w:spacing w:before="0" w:after="283"/>
              <w:jc w:val="right"/>
              <w:rPr>
                <w:b/>
              </w:rPr>
            </w:pPr>
            <w:r>
              <w:rPr>
                <w:b/>
              </w:rPr>
              <w:t>1.13</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56" w:type="dxa"/>
            <w:tcBorders/>
            <w:vAlign w:val="center"/>
          </w:tcPr>
          <w:p>
            <w:pPr>
              <w:pStyle w:val="TableContents"/>
              <w:bidi w:val="0"/>
              <w:spacing w:before="0" w:after="283"/>
              <w:jc w:val="right"/>
              <w:rPr/>
            </w:pPr>
            <w:r>
              <w:rPr/>
              <w:t>1.18</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Average Number of</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Common Shares Outstanding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b/>
              </w:rPr>
            </w:pPr>
            <w:r>
              <w:rPr>
                <w:b/>
              </w:rPr>
              <w:t>17,962</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17,829</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b/>
              </w:rPr>
            </w:pPr>
            <w:r>
              <w:rPr>
                <w:b/>
              </w:rPr>
              <w:t>17,926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17,824</w:t>
            </w:r>
          </w:p>
        </w:tc>
        <w:tc>
          <w:tcPr>
            <w:tcW w:w="187" w:type="dxa"/>
            <w:tcBorders/>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b/>
              </w:rPr>
            </w:pPr>
            <w:r>
              <w:rPr>
                <w:b/>
              </w:rPr>
              <w:t>17,993</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17,944</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rPr>
            </w:pPr>
            <w:r>
              <w:rPr>
                <w:b/>
              </w:rPr>
              <w:t>17,957</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17,939</w:t>
            </w:r>
          </w:p>
        </w:tc>
        <w:tc>
          <w:tcPr>
            <w:tcW w:w="1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bl>
      <w:tblPr>
        <w:tblW w:w="10205" w:type="dxa"/>
        <w:jc w:val="left"/>
        <w:tblInd w:w="0" w:type="dxa"/>
        <w:tblLayout w:type="fixed"/>
        <w:tblCellMar>
          <w:top w:w="0" w:type="dxa"/>
          <w:left w:w="0" w:type="dxa"/>
          <w:bottom w:w="0" w:type="dxa"/>
          <w:right w:w="0" w:type="dxa"/>
        </w:tblCellMar>
      </w:tblPr>
      <w:tblGrid>
        <w:gridCol w:w="2344"/>
        <w:gridCol w:w="90"/>
        <w:gridCol w:w="4945"/>
        <w:gridCol w:w="90"/>
        <w:gridCol w:w="170"/>
        <w:gridCol w:w="1010"/>
        <w:gridCol w:w="90"/>
        <w:gridCol w:w="90"/>
        <w:gridCol w:w="177"/>
        <w:gridCol w:w="1056"/>
        <w:gridCol w:w="143"/>
      </w:tblGrid>
      <w:tr>
        <w:trPr/>
        <w:tc>
          <w:tcPr>
            <w:tcW w:w="234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70" w:type="dxa"/>
            <w:gridSpan w:val="3"/>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376" w:type="dxa"/>
            <w:gridSpan w:val="3"/>
            <w:tcBorders/>
            <w:vAlign w:val="center"/>
          </w:tcPr>
          <w:p>
            <w:pPr>
              <w:pStyle w:val="TableContents"/>
              <w:bidi w:val="0"/>
              <w:spacing w:before="0" w:after="283"/>
              <w:jc w:val="center"/>
              <w:rPr>
                <w:b/>
              </w:rPr>
            </w:pPr>
            <w:r>
              <w:rPr>
                <w:b/>
              </w:rPr>
              <w:t>December 31,</w:t>
            </w:r>
          </w:p>
        </w:tc>
      </w:tr>
      <w:tr>
        <w:trPr/>
        <w:tc>
          <w:tcPr>
            <w:tcW w:w="234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ASSETS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2344" w:type="dxa"/>
            <w:tcBorders/>
            <w:shd w:fill="CCEEFF" w:val="clear"/>
            <w:vAlign w:val="center"/>
          </w:tcPr>
          <w:p>
            <w:pPr>
              <w:pStyle w:val="TableContents"/>
              <w:bidi w:val="0"/>
              <w:spacing w:before="0" w:after="283"/>
              <w:jc w:val="left"/>
              <w:rPr>
                <w:b/>
              </w:rPr>
            </w:pPr>
            <w:r>
              <w:rPr>
                <w:b/>
              </w:rPr>
              <w:t>UTILITY PLANT:</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Water Production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323,691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314,924</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Transmission and Distribution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890,445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855,497</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General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106,949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105,167</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Construction Work in Progress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43,615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34,209</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1,364,700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1,309,797</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Less Accumulated Depreciation</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264,521</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254,425</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UTILITY PLANT -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1,100,179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1,055,372</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b/>
              </w:rPr>
            </w:pPr>
            <w:r>
              <w:rPr>
                <w:b/>
              </w:rPr>
              <w:t>CURRENT ASSETS:</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2,560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4,226</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Accounts Receivable, net of allowance for credit losses of $2,101 and $2,695 in 2025 and 2024,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20,888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18,842</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Unbilled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10,764</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Materials and Supplies (at average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6,923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6,719</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left"/>
              <w:rPr/>
            </w:pPr>
            <w:r>
              <w:rPr/>
              <w:t>Prepayments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6,038</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2,422</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49,510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42,973</w:t>
            </w:r>
          </w:p>
        </w:tc>
        <w:tc>
          <w:tcPr>
            <w:tcW w:w="143" w:type="dxa"/>
            <w:tcBorders/>
            <w:vAlign w:val="center"/>
          </w:tcPr>
          <w:p>
            <w:pPr>
              <w:pStyle w:val="TableContents"/>
              <w:bidi w:val="0"/>
              <w:spacing w:before="0" w:after="283"/>
              <w:jc w:val="left"/>
              <w:rPr/>
            </w:pPr>
            <w:r>
              <w:rPr/>
              <w:t> </w:t>
            </w:r>
          </w:p>
        </w:tc>
      </w:tr>
      <w:tr>
        <w:trPr/>
        <w:tc>
          <w:tcPr>
            <w:tcW w:w="23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b/>
              </w:rPr>
            </w:pPr>
            <w:r>
              <w:rPr>
                <w:b/>
              </w:rPr>
              <w:t>OTHER ASSETS:</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Operating Lease Right of 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2,567</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Regulatory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105,448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101,783</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Non-utility Assets -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12,061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11,760</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Employee Benefit Plans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39,274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36,856</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left"/>
              <w:rPr/>
            </w:pPr>
            <w:r>
              <w:rPr/>
              <w:t>Other</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5,475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3,863</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TOTAL OTHER ASSETS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166,201</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156,829</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left"/>
              <w:rPr/>
            </w:pPr>
            <w:r>
              <w:rPr/>
              <w:t>TOTAL ASSETS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1,315,890</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1,255,174</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r>
      <w:tr>
        <w:trPr/>
        <w:tc>
          <w:tcPr>
            <w:tcW w:w="7379" w:type="dxa"/>
            <w:gridSpan w:val="3"/>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CAPITALIZATION AND LIABILITIES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0"/>
              <w:jc w:val="left"/>
              <w:rPr>
                <w:b/>
              </w:rPr>
            </w:pPr>
            <w:r>
              <w:rPr>
                <w:b/>
              </w:rPr>
              <w:t>CAPITALIZATION:</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Common Stock, No Par Value, authorized 40,000, issued 18,016 and 17,887 in 2025 and 2024,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252,688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248,202</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left"/>
              <w:rPr/>
            </w:pPr>
            <w:r>
              <w:rPr/>
              <w:t>Retained Earnings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205,095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197,061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TOTAL COMMON EQUITY</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457,783</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445,263</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Preferred Stock, No Par Value; authorized  120; issued 13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1,635</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Long-term Debt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351,084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352,822</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TOTAL CAPITALIZATION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810,219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799,720</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b/>
              </w:rPr>
            </w:pPr>
            <w:r>
              <w:rPr>
                <w:b/>
              </w:rPr>
              <w:t>CURRENT</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Current Portion of Long-term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7,633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7,711</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Notes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55,200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23,000</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30,779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28,050</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Accrued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15,371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11,976</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Accrued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2,916</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Unearned Revenues and Advanced Service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1,476</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left"/>
              <w:rPr/>
            </w:pPr>
            <w:r>
              <w:rPr/>
              <w:t>Other</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7,588</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7,759</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121,482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82,888</w:t>
            </w:r>
          </w:p>
        </w:tc>
        <w:tc>
          <w:tcPr>
            <w:tcW w:w="143" w:type="dxa"/>
            <w:tcBorders/>
            <w:vAlign w:val="center"/>
          </w:tcPr>
          <w:p>
            <w:pPr>
              <w:pStyle w:val="TableContents"/>
              <w:bidi w:val="0"/>
              <w:spacing w:before="0" w:after="283"/>
              <w:jc w:val="left"/>
              <w:rPr/>
            </w:pPr>
            <w:r>
              <w:rPr/>
              <w:t> </w:t>
            </w:r>
          </w:p>
        </w:tc>
      </w:tr>
      <w:tr>
        <w:trPr/>
        <w:tc>
          <w:tcPr>
            <w:tcW w:w="23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79" w:type="dxa"/>
            <w:gridSpan w:val="3"/>
            <w:tcBorders/>
            <w:vAlign w:val="center"/>
          </w:tcPr>
          <w:p>
            <w:pPr>
              <w:pStyle w:val="TableContents"/>
              <w:bidi w:val="0"/>
              <w:spacing w:before="0" w:after="283"/>
              <w:jc w:val="left"/>
              <w:rPr>
                <w:b/>
              </w:rPr>
            </w:pPr>
            <w:r>
              <w:rPr>
                <w:b/>
              </w:rPr>
              <w:t>COMMITMENTS AND CONTINGENT LIABILITIES (Note 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0"/>
              <w:jc w:val="right"/>
              <w:rPr/>
            </w:pPr>
            <w:r>
              <w:rPr/>
              <w:t> </w:t>
            </w:r>
          </w:p>
        </w:tc>
        <w:tc>
          <w:tcPr>
            <w:tcW w:w="143" w:type="dxa"/>
            <w:tcBorders/>
            <w:vAlign w:val="center"/>
          </w:tcPr>
          <w:p>
            <w:pPr>
              <w:pStyle w:val="TableContents"/>
              <w:bidi w:val="0"/>
              <w:spacing w:before="0" w:after="283"/>
              <w:jc w:val="left"/>
              <w:rPr/>
            </w:pPr>
            <w:r>
              <w:rPr/>
              <w:t> </w:t>
            </w:r>
          </w:p>
        </w:tc>
      </w:tr>
      <w:tr>
        <w:trPr/>
        <w:tc>
          <w:tcPr>
            <w:tcW w:w="23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left"/>
              <w:rPr>
                <w:b/>
              </w:rPr>
            </w:pPr>
            <w:r>
              <w:rPr>
                <w:b/>
              </w:rPr>
              <w:t>OTHER LIABILITIES:</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Advances for Construction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23,447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22,629</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2,116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2,432</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4945" w:type="dxa"/>
            <w:tcBorders/>
            <w:vAlign w:val="center"/>
          </w:tcPr>
          <w:p>
            <w:pPr>
              <w:pStyle w:val="TableContents"/>
              <w:bidi w:val="0"/>
              <w:spacing w:before="0" w:after="283"/>
              <w:jc w:val="left"/>
              <w:rPr/>
            </w:pPr>
            <w:r>
              <w:rPr/>
              <w:t>Accumulated 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107,321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101,235</w:t>
            </w:r>
          </w:p>
        </w:tc>
        <w:tc>
          <w:tcPr>
            <w:tcW w:w="143" w:type="dxa"/>
            <w:tcBorders/>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Regulatory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63,836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64,557</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left"/>
              <w:rPr/>
            </w:pPr>
            <w:r>
              <w:rPr/>
              <w:t>Other</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b/>
              </w:rPr>
            </w:pPr>
            <w:r>
              <w:rPr>
                <w:b/>
              </w:rPr>
              <w:t>286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344</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4945" w:type="dxa"/>
            <w:tcBorders/>
            <w:shd w:fill="CCEEFF" w:val="clear"/>
            <w:vAlign w:val="center"/>
          </w:tcPr>
          <w:p>
            <w:pPr>
              <w:pStyle w:val="TableContents"/>
              <w:bidi w:val="0"/>
              <w:spacing w:before="0" w:after="283"/>
              <w:jc w:val="left"/>
              <w:rPr/>
            </w:pPr>
            <w:r>
              <w:rPr/>
              <w:t>TOTAL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197,006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191,197</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945"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379" w:type="dxa"/>
            <w:gridSpan w:val="3"/>
            <w:tcBorders/>
            <w:shd w:fill="CCEEFF" w:val="clear"/>
            <w:vAlign w:val="center"/>
          </w:tcPr>
          <w:p>
            <w:pPr>
              <w:pStyle w:val="TableContents"/>
              <w:bidi w:val="0"/>
              <w:spacing w:before="0" w:after="283"/>
              <w:jc w:val="left"/>
              <w:rPr>
                <w:b/>
              </w:rPr>
            </w:pPr>
            <w:r>
              <w:rPr>
                <w:b/>
              </w:rPr>
              <w:t>CONTRIBUTIONS IN AID OF CONSTRUCTION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187,183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181,369</w:t>
            </w:r>
          </w:p>
        </w:tc>
        <w:tc>
          <w:tcPr>
            <w:tcW w:w="143" w:type="dxa"/>
            <w:tcBorders/>
            <w:shd w:fill="CCEEFF" w:val="clear"/>
            <w:vAlign w:val="center"/>
          </w:tcPr>
          <w:p>
            <w:pPr>
              <w:pStyle w:val="TableContents"/>
              <w:bidi w:val="0"/>
              <w:spacing w:before="0" w:after="283"/>
              <w:jc w:val="left"/>
              <w:rPr/>
            </w:pPr>
            <w:r>
              <w:rPr/>
              <w:t> </w:t>
            </w:r>
          </w:p>
        </w:tc>
      </w:tr>
      <w:tr>
        <w:trPr/>
        <w:tc>
          <w:tcPr>
            <w:tcW w:w="2344" w:type="dxa"/>
            <w:tcBorders/>
            <w:vAlign w:val="center"/>
          </w:tcPr>
          <w:p>
            <w:pPr>
              <w:pStyle w:val="TableContents"/>
              <w:bidi w:val="0"/>
              <w:spacing w:before="0" w:after="283"/>
              <w:jc w:val="right"/>
              <w:rPr/>
            </w:pPr>
            <w:r>
              <w:rPr/>
              <w:t> </w:t>
            </w:r>
          </w:p>
        </w:tc>
        <w:tc>
          <w:tcPr>
            <w:tcW w:w="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494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TOTAL CAPITALIZATION AND LIABILITIES</w:t>
            </w:r>
          </w:p>
        </w:tc>
        <w:tc>
          <w:tcPr>
            <w:tcW w:w="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7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b/>
              </w:rPr>
            </w:pPr>
            <w:r>
              <w:rPr>
                <w:b/>
              </w:rPr>
              <w:t>$</w:t>
            </w:r>
          </w:p>
        </w:tc>
        <w:tc>
          <w:tcPr>
            <w:tcW w:w="10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rPr>
            </w:pPr>
            <w:r>
              <w:rPr>
                <w:b/>
              </w:rPr>
              <w:t>1,315,890</w:t>
            </w:r>
          </w:p>
        </w:tc>
        <w:tc>
          <w:tcPr>
            <w:tcW w:w="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7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105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1,255,174</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bl>
      <w:tblPr>
        <w:tblW w:w="10205" w:type="dxa"/>
        <w:jc w:val="left"/>
        <w:tblInd w:w="0" w:type="dxa"/>
        <w:tblLayout w:type="fixed"/>
        <w:tblCellMar>
          <w:top w:w="0" w:type="dxa"/>
          <w:left w:w="0" w:type="dxa"/>
          <w:bottom w:w="0" w:type="dxa"/>
          <w:right w:w="0" w:type="dxa"/>
        </w:tblCellMar>
      </w:tblPr>
      <w:tblGrid>
        <w:gridCol w:w="7378"/>
        <w:gridCol w:w="90"/>
        <w:gridCol w:w="202"/>
        <w:gridCol w:w="936"/>
        <w:gridCol w:w="148"/>
        <w:gridCol w:w="106"/>
        <w:gridCol w:w="202"/>
        <w:gridCol w:w="936"/>
        <w:gridCol w:w="207"/>
      </w:tblGrid>
      <w:tr>
        <w:trPr/>
        <w:tc>
          <w:tcPr>
            <w:tcW w:w="7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7" w:type="dxa"/>
            <w:gridSpan w:val="7"/>
            <w:tcBorders/>
            <w:vAlign w:val="center"/>
          </w:tcPr>
          <w:p>
            <w:pPr>
              <w:pStyle w:val="TableContents"/>
              <w:bidi w:val="0"/>
              <w:spacing w:before="0" w:after="283"/>
              <w:jc w:val="center"/>
              <w:rPr>
                <w:b/>
              </w:rPr>
            </w:pPr>
            <w:r>
              <w:rPr>
                <w:b/>
              </w:rPr>
              <w:t>Six Months Ended June 30,</w:t>
            </w:r>
          </w:p>
        </w:tc>
      </w:tr>
      <w:tr>
        <w:trPr/>
        <w:tc>
          <w:tcPr>
            <w:tcW w:w="7378"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7378" w:type="dxa"/>
            <w:tcBorders/>
            <w:shd w:fill="CCEEFF" w:val="clear"/>
            <w:vAlign w:val="center"/>
          </w:tcPr>
          <w:p>
            <w:pPr>
              <w:pStyle w:val="TableContents"/>
              <w:bidi w:val="0"/>
              <w:spacing w:before="0" w:after="283"/>
              <w:jc w:val="left"/>
              <w:rPr/>
            </w:pPr>
            <w:r>
              <w:rPr/>
              <w:t>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b/>
              </w:rPr>
            </w:pPr>
            <w:r>
              <w:rPr>
                <w:b/>
              </w:rPr>
              <w:t>$</w:t>
            </w:r>
          </w:p>
        </w:tc>
        <w:tc>
          <w:tcPr>
            <w:tcW w:w="936" w:type="dxa"/>
            <w:tcBorders/>
            <w:vAlign w:val="center"/>
          </w:tcPr>
          <w:p>
            <w:pPr>
              <w:pStyle w:val="TableContents"/>
              <w:bidi w:val="0"/>
              <w:spacing w:before="0" w:after="283"/>
              <w:jc w:val="right"/>
              <w:rPr>
                <w:b/>
              </w:rPr>
            </w:pPr>
            <w:r>
              <w:rPr>
                <w:b/>
              </w:rPr>
              <w:t>20,258</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21,228</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Adjustments to Reconcile Net Income to</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Net Cash Provided by Operating Activities: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15,457</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13,008</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Provision for Deferred Income Taxes and Investment Tax Credits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(3,084</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1,722</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Equity Portion of Allowance for Funds Used During Construction (AFUDC)</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(468</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(253</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Cash Surrender Value of Life Insurance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(149</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(199</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Stock Compensation Expense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958</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Changes in Assets and Liabilities: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(2,046</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(2,001</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Unbilled Revenues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(2,337</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(3,233</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Materials &amp; Supplies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(204</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495</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Prepayments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(3,616</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(2,092</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8,326</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(2,396</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Accrued Taxes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3,395</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3,706</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Accrued Interest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154</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114</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Employee Benefit Plans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(2,699</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(4,457</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Unearned Revenue &amp; Advanced Service Fees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365</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299</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Recovered Costs-Environmental Litigation Settlement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right"/>
              <w:rPr/>
            </w:pPr>
            <w:r>
              <w:rPr/>
              <w:t>—</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(8,003</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Other Assets and Liabilities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(2,224</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(1,131</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 </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OPERATING ACTIVITIES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32,086</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17,879</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Utility Plant Expenditures, Including AFUDC-Debt of $318 in 2025 and $180 in 2024</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(50,635</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(28,737</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Acquisition of Water Systems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(4,607</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right"/>
              <w:rPr/>
            </w:pPr>
            <w:r>
              <w:rPr/>
              <w:t>—</w:t>
            </w:r>
          </w:p>
        </w:tc>
        <w:tc>
          <w:tcPr>
            <w:tcW w:w="207" w:type="dxa"/>
            <w:tcBorders/>
            <w:vAlign w:val="center"/>
          </w:tcPr>
          <w:p>
            <w:pPr>
              <w:pStyle w:val="TableContents"/>
              <w:bidi w:val="0"/>
              <w:spacing w:before="0" w:after="283"/>
              <w:jc w:val="left"/>
              <w:rPr/>
            </w:pPr>
            <w:r>
              <w:rPr/>
              <w:t> </w:t>
            </w:r>
          </w:p>
        </w:tc>
      </w:tr>
      <w:tr>
        <w:trPr/>
        <w:tc>
          <w:tcPr>
            <w:tcW w:w="7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NET CASH USED IN INVESTING ACTIVITIES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b/>
              </w:rPr>
            </w:pPr>
            <w:r>
              <w:rPr>
                <w:b/>
              </w:rPr>
              <w:t>(55,242</w:t>
            </w:r>
          </w:p>
        </w:tc>
        <w:tc>
          <w:tcPr>
            <w:tcW w:w="148"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(28,737</w:t>
            </w:r>
          </w:p>
        </w:tc>
        <w:tc>
          <w:tcPr>
            <w:tcW w:w="207"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Redemption of Long-term Debt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(2,707</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(2,493</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Proceeds from Issuance of Long-term Debt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886</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561</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Net Short-term Bank Borrowings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32,200</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29,500</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Deferred Debt Issuance Expense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Payment of Grantee Withholding Taxes in Exchange for Restricted Stock</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(379</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(1,328</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4,054</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505</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Common Stock Issuance Expense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(431</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0"/>
              <w:jc w:val="right"/>
              <w:rPr/>
            </w:pPr>
            <w:r>
              <w:rPr/>
              <w:t>—</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Payment of Common Dividends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(12,182</w:t>
            </w:r>
          </w:p>
        </w:tc>
        <w:tc>
          <w:tcPr>
            <w:tcW w:w="14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(11,531</w:t>
            </w:r>
          </w:p>
        </w:tc>
        <w:tc>
          <w:tcPr>
            <w:tcW w:w="207" w:type="dxa"/>
            <w:tcBorders/>
            <w:shd w:fill="CCEEFF" w:val="clear"/>
            <w:vAlign w:val="center"/>
          </w:tcPr>
          <w:p>
            <w:pPr>
              <w:pStyle w:val="TableContents"/>
              <w:bidi w:val="0"/>
              <w:spacing w:before="0" w:after="283"/>
              <w:jc w:val="left"/>
              <w:rPr/>
            </w:pPr>
            <w:r>
              <w:rPr/>
              <w:t>)</w:t>
            </w:r>
          </w:p>
        </w:tc>
      </w:tr>
      <w:tr>
        <w:trPr/>
        <w:tc>
          <w:tcPr>
            <w:tcW w:w="7378" w:type="dxa"/>
            <w:tcBorders/>
            <w:vAlign w:val="center"/>
          </w:tcPr>
          <w:p>
            <w:pPr>
              <w:pStyle w:val="TableContents"/>
              <w:bidi w:val="0"/>
              <w:spacing w:before="0" w:after="283"/>
              <w:jc w:val="left"/>
              <w:rPr/>
            </w:pPr>
            <w:r>
              <w:rPr/>
              <w:t>Payment of Preferred Dividends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b/>
              </w:rPr>
            </w:pPr>
            <w:r>
              <w:rPr>
                <w:b/>
              </w:rPr>
              <w:t>(41</w:t>
            </w:r>
          </w:p>
        </w:tc>
        <w:tc>
          <w:tcPr>
            <w:tcW w:w="148" w:type="dxa"/>
            <w:tcBorders/>
            <w:vAlign w:val="center"/>
          </w:tcPr>
          <w:p>
            <w:pPr>
              <w:pStyle w:val="TableContents"/>
              <w:bidi w:val="0"/>
              <w:spacing w:before="0" w:after="283"/>
              <w:jc w:val="left"/>
              <w:rPr>
                <w:b/>
              </w:rPr>
            </w:pPr>
            <w:r>
              <w:rPr>
                <w:b/>
              </w:rPr>
              <w:t>)</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(60</w:t>
            </w:r>
          </w:p>
        </w:tc>
        <w:tc>
          <w:tcPr>
            <w:tcW w:w="207" w:type="dxa"/>
            <w:tcBorders/>
            <w:vAlign w:val="center"/>
          </w:tcPr>
          <w:p>
            <w:pPr>
              <w:pStyle w:val="TableContents"/>
              <w:bidi w:val="0"/>
              <w:spacing w:before="0" w:after="283"/>
              <w:jc w:val="left"/>
              <w:rPr/>
            </w:pPr>
            <w:r>
              <w:rPr/>
              <w:t>)</w:t>
            </w:r>
          </w:p>
        </w:tc>
      </w:tr>
      <w:tr>
        <w:trPr/>
        <w:tc>
          <w:tcPr>
            <w:tcW w:w="7378" w:type="dxa"/>
            <w:tcBorders/>
            <w:shd w:fill="CCEEFF" w:val="clear"/>
            <w:vAlign w:val="center"/>
          </w:tcPr>
          <w:p>
            <w:pPr>
              <w:pStyle w:val="TableContents"/>
              <w:bidi w:val="0"/>
              <w:spacing w:before="0" w:after="283"/>
              <w:jc w:val="left"/>
              <w:rPr/>
            </w:pPr>
            <w:r>
              <w:rPr/>
              <w:t>Construction Advances and Contributions-Net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b/>
              </w:rPr>
            </w:pPr>
            <w:r>
              <w:rPr>
                <w:b/>
              </w:rPr>
              <w:t>1,765</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1,380</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 </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FINANCING ACTIVITIES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23,165</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16,493</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NET CHANGES IN CASH, CASH EQUIVALENTS AND RESTRICTED CASH</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b/>
              </w:rPr>
            </w:pPr>
            <w:r>
              <w:rPr>
                <w:b/>
              </w:rPr>
              <w:t>9</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tcMar>
              <w:bottom w:w="28" w:type="dxa"/>
            </w:tcMar>
            <w:vAlign w:val="center"/>
          </w:tcPr>
          <w:p>
            <w:pPr>
              <w:pStyle w:val="TableContents"/>
              <w:bidi w:val="0"/>
              <w:spacing w:before="0" w:after="283"/>
              <w:jc w:val="right"/>
              <w:rPr/>
            </w:pPr>
            <w:r>
              <w:rPr/>
              <w:t>5,635</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shd w:fill="CCEEFF" w:val="clear"/>
            <w:tcMar>
              <w:bottom w:w="28" w:type="dxa"/>
            </w:tcMar>
            <w:vAlign w:val="center"/>
          </w:tcPr>
          <w:p>
            <w:pPr>
              <w:pStyle w:val="TableContents"/>
              <w:bidi w:val="0"/>
              <w:spacing w:before="0" w:after="283"/>
              <w:jc w:val="left"/>
              <w:rPr/>
            </w:pPr>
            <w:r>
              <w:rPr/>
              <w:t>CASH, CASH EQUIVALENTS AND RESTRICTED CASH AT BEGINNING OF PERIOD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4,226</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2,390</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CASH, CASH EQUIVALENTS AND RESTRICTED CASH AT END OF PERIOD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36" w:type="dxa"/>
            <w:tcBorders>
              <w:bottom w:val="single" w:sz="8" w:space="0" w:color="000000"/>
            </w:tcBorders>
            <w:tcMar>
              <w:bottom w:w="28" w:type="dxa"/>
            </w:tcMar>
            <w:vAlign w:val="center"/>
          </w:tcPr>
          <w:p>
            <w:pPr>
              <w:pStyle w:val="TableContents"/>
              <w:bidi w:val="0"/>
              <w:spacing w:before="0" w:after="283"/>
              <w:jc w:val="right"/>
              <w:rPr>
                <w:b/>
              </w:rPr>
            </w:pPr>
            <w:r>
              <w:rPr>
                <w:b/>
              </w:rPr>
              <w:t>4,235</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w:t>
            </w:r>
          </w:p>
        </w:tc>
        <w:tc>
          <w:tcPr>
            <w:tcW w:w="936" w:type="dxa"/>
            <w:tcBorders>
              <w:bottom w:val="single" w:sz="8" w:space="0" w:color="000000"/>
            </w:tcBorders>
            <w:tcMar>
              <w:bottom w:w="28" w:type="dxa"/>
            </w:tcMar>
            <w:vAlign w:val="center"/>
          </w:tcPr>
          <w:p>
            <w:pPr>
              <w:pStyle w:val="TableContents"/>
              <w:bidi w:val="0"/>
              <w:spacing w:before="0" w:after="283"/>
              <w:jc w:val="right"/>
              <w:rPr/>
            </w:pPr>
            <w:r>
              <w:rPr/>
              <w:t>8,025</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SUPPLEMENTAL DISCLOSURE OF NON-CASH ACTIVITY:</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Utility Plant received as Construction Advances and Contributions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b/>
              </w:rPr>
            </w:pPr>
            <w:r>
              <w:rPr>
                <w:b/>
              </w:rPr>
              <w:t>$</w:t>
            </w:r>
          </w:p>
        </w:tc>
        <w:tc>
          <w:tcPr>
            <w:tcW w:w="936" w:type="dxa"/>
            <w:tcBorders/>
            <w:vAlign w:val="center"/>
          </w:tcPr>
          <w:p>
            <w:pPr>
              <w:pStyle w:val="TableContents"/>
              <w:bidi w:val="0"/>
              <w:spacing w:before="0" w:after="283"/>
              <w:jc w:val="right"/>
              <w:rPr>
                <w:b/>
              </w:rPr>
            </w:pPr>
            <w:r>
              <w:rPr>
                <w:b/>
              </w:rPr>
              <w:t>4,865</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4,461</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Accrued Payables for Utility Plant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936" w:type="dxa"/>
            <w:tcBorders/>
            <w:shd w:fill="CCEEFF" w:val="clear"/>
            <w:vAlign w:val="center"/>
          </w:tcPr>
          <w:p>
            <w:pPr>
              <w:pStyle w:val="TableContents"/>
              <w:bidi w:val="0"/>
              <w:spacing w:before="0" w:after="283"/>
              <w:jc w:val="right"/>
              <w:rPr>
                <w:b/>
              </w:rPr>
            </w:pPr>
            <w:r>
              <w:rPr>
                <w:b/>
              </w:rPr>
              <w:t>2,918</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4,520</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Conversion of Preferred Stock into Common Stock</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b/>
              </w:rPr>
            </w:pPr>
            <w:r>
              <w:rPr>
                <w:b/>
              </w:rPr>
              <w:t>$</w:t>
            </w:r>
          </w:p>
        </w:tc>
        <w:tc>
          <w:tcPr>
            <w:tcW w:w="936" w:type="dxa"/>
            <w:tcBorders/>
            <w:vAlign w:val="center"/>
          </w:tcPr>
          <w:p>
            <w:pPr>
              <w:pStyle w:val="TableContents"/>
              <w:bidi w:val="0"/>
              <w:spacing w:before="0" w:after="283"/>
              <w:jc w:val="right"/>
              <w:rPr>
                <w:b/>
              </w:rPr>
            </w:pPr>
            <w:r>
              <w:rPr>
                <w:b/>
              </w:rPr>
              <w:t>283</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0"/>
              <w:jc w:val="right"/>
              <w:rPr/>
            </w:pPr>
            <w:r>
              <w:rPr/>
              <w:t>—</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SUPPLEMENTAL DISCLOSURE OF CASH FLOWS INFORMATION:</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Cash Paid During the Period for:</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vAlign w:val="center"/>
          </w:tcPr>
          <w:p>
            <w:pPr>
              <w:pStyle w:val="TableContents"/>
              <w:bidi w:val="0"/>
              <w:spacing w:before="0" w:after="283"/>
              <w:jc w:val="left"/>
              <w:rPr/>
            </w:pPr>
            <w:r>
              <w:rPr/>
              <w:t>Interest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b/>
              </w:rPr>
            </w:pPr>
            <w:r>
              <w:rPr>
                <w:b/>
              </w:rPr>
              <w:t>$</w:t>
            </w:r>
          </w:p>
        </w:tc>
        <w:tc>
          <w:tcPr>
            <w:tcW w:w="936" w:type="dxa"/>
            <w:tcBorders/>
            <w:vAlign w:val="center"/>
          </w:tcPr>
          <w:p>
            <w:pPr>
              <w:pStyle w:val="TableContents"/>
              <w:bidi w:val="0"/>
              <w:spacing w:before="0" w:after="283"/>
              <w:jc w:val="right"/>
              <w:rPr>
                <w:b/>
              </w:rPr>
            </w:pPr>
            <w:r>
              <w:rPr>
                <w:b/>
              </w:rPr>
              <w:t>6,363</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7,417</w:t>
            </w:r>
          </w:p>
        </w:tc>
        <w:tc>
          <w:tcPr>
            <w:tcW w:w="207" w:type="dxa"/>
            <w:tcBorders/>
            <w:vAlign w:val="center"/>
          </w:tcPr>
          <w:p>
            <w:pPr>
              <w:pStyle w:val="TableContents"/>
              <w:bidi w:val="0"/>
              <w:spacing w:before="0" w:after="283"/>
              <w:jc w:val="left"/>
              <w:rPr/>
            </w:pPr>
            <w:r>
              <w:rPr/>
              <w:t> </w:t>
            </w:r>
          </w:p>
        </w:tc>
      </w:tr>
      <w:tr>
        <w:trPr/>
        <w:tc>
          <w:tcPr>
            <w:tcW w:w="7378" w:type="dxa"/>
            <w:tcBorders/>
            <w:shd w:fill="CCEEFF" w:val="clear"/>
            <w:vAlign w:val="center"/>
          </w:tcPr>
          <w:p>
            <w:pPr>
              <w:pStyle w:val="TableContents"/>
              <w:bidi w:val="0"/>
              <w:spacing w:before="0" w:after="283"/>
              <w:jc w:val="left"/>
              <w:rPr/>
            </w:pPr>
            <w:r>
              <w:rPr/>
              <w:t>Interest Capitalized</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b/>
              </w:rPr>
            </w:pPr>
            <w:r>
              <w:rPr>
                <w:b/>
              </w:rPr>
              <w:t>$</w:t>
            </w:r>
          </w:p>
        </w:tc>
        <w:tc>
          <w:tcPr>
            <w:tcW w:w="936" w:type="dxa"/>
            <w:tcBorders/>
            <w:shd w:fill="CCEEFF" w:val="clear"/>
            <w:vAlign w:val="center"/>
          </w:tcPr>
          <w:p>
            <w:pPr>
              <w:pStyle w:val="TableContents"/>
              <w:bidi w:val="0"/>
              <w:spacing w:before="0" w:after="283"/>
              <w:jc w:val="right"/>
              <w:rPr>
                <w:b/>
              </w:rPr>
            </w:pPr>
            <w:r>
              <w:rPr>
                <w:b/>
              </w:rPr>
              <w:t>318</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180</w:t>
            </w:r>
          </w:p>
        </w:tc>
        <w:tc>
          <w:tcPr>
            <w:tcW w:w="207" w:type="dxa"/>
            <w:tcBorders/>
            <w:shd w:fill="CCEEFF" w:val="clear"/>
            <w:vAlign w:val="center"/>
          </w:tcPr>
          <w:p>
            <w:pPr>
              <w:pStyle w:val="TableContents"/>
              <w:bidi w:val="0"/>
              <w:spacing w:before="0" w:after="283"/>
              <w:jc w:val="left"/>
              <w:rPr/>
            </w:pPr>
            <w:r>
              <w:rPr/>
              <w:t> </w:t>
            </w:r>
          </w:p>
        </w:tc>
      </w:tr>
      <w:tr>
        <w:trPr/>
        <w:tc>
          <w:tcPr>
            <w:tcW w:w="7378" w:type="dxa"/>
            <w:tcBorders>
              <w:bottom w:val="single" w:sz="8" w:space="0" w:color="000000"/>
            </w:tcBorders>
            <w:tcMar>
              <w:bottom w:w="28" w:type="dxa"/>
            </w:tcMar>
            <w:vAlign w:val="center"/>
          </w:tcPr>
          <w:p>
            <w:pPr>
              <w:pStyle w:val="TableContents"/>
              <w:bidi w:val="0"/>
              <w:spacing w:before="0" w:after="283"/>
              <w:jc w:val="left"/>
              <w:rPr/>
            </w:pPr>
            <w:r>
              <w:rPr/>
              <w:t>Income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36" w:type="dxa"/>
            <w:tcBorders>
              <w:bottom w:val="single" w:sz="8" w:space="0" w:color="000000"/>
            </w:tcBorders>
            <w:tcMar>
              <w:bottom w:w="28" w:type="dxa"/>
            </w:tcMar>
            <w:vAlign w:val="center"/>
          </w:tcPr>
          <w:p>
            <w:pPr>
              <w:pStyle w:val="TableContents"/>
              <w:bidi w:val="0"/>
              <w:spacing w:before="0" w:after="283"/>
              <w:jc w:val="right"/>
              <w:rPr>
                <w:b/>
              </w:rPr>
            </w:pPr>
            <w:r>
              <w:rPr>
                <w:b/>
              </w:rPr>
              <w:t>610</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w:t>
            </w:r>
          </w:p>
        </w:tc>
        <w:tc>
          <w:tcPr>
            <w:tcW w:w="936" w:type="dxa"/>
            <w:tcBorders>
              <w:bottom w:val="single" w:sz="8" w:space="0" w:color="000000"/>
            </w:tcBorders>
            <w:tcMar>
              <w:bottom w:w="28" w:type="dxa"/>
            </w:tcMar>
            <w:vAlign w:val="center"/>
          </w:tcPr>
          <w:p>
            <w:pPr>
              <w:pStyle w:val="TableContents"/>
              <w:bidi w:val="0"/>
              <w:spacing w:before="0" w:after="283"/>
              <w:jc w:val="right"/>
              <w:rPr/>
            </w:pPr>
            <w:r>
              <w:rPr/>
              <w:t>752</w:t>
            </w:r>
          </w:p>
        </w:tc>
        <w:tc>
          <w:tcPr>
            <w:tcW w:w="20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CAPITAL STOCK AND LONG-TERM DEBT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529" w:type="dxa"/>
        <w:jc w:val="left"/>
        <w:tblInd w:w="0" w:type="dxa"/>
        <w:tblLayout w:type="fixed"/>
        <w:tblCellMar>
          <w:top w:w="0" w:type="dxa"/>
          <w:left w:w="0" w:type="dxa"/>
          <w:bottom w:w="0" w:type="dxa"/>
          <w:right w:w="0" w:type="dxa"/>
        </w:tblCellMar>
      </w:tblPr>
      <w:tblGrid>
        <w:gridCol w:w="5735"/>
        <w:gridCol w:w="90"/>
        <w:gridCol w:w="170"/>
        <w:gridCol w:w="830"/>
        <w:gridCol w:w="125"/>
        <w:gridCol w:w="90"/>
        <w:gridCol w:w="216"/>
        <w:gridCol w:w="1057"/>
        <w:gridCol w:w="216"/>
      </w:tblGrid>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5" w:type="dxa"/>
            <w:gridSpan w:val="3"/>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489" w:type="dxa"/>
            <w:gridSpan w:val="3"/>
            <w:tcBorders/>
            <w:vAlign w:val="center"/>
          </w:tcPr>
          <w:p>
            <w:pPr>
              <w:pStyle w:val="TableContents"/>
              <w:bidi w:val="0"/>
              <w:spacing w:before="0" w:after="283"/>
              <w:jc w:val="center"/>
              <w:rPr>
                <w:b/>
              </w:rPr>
            </w:pPr>
            <w:r>
              <w:rPr>
                <w:b/>
              </w:rPr>
              <w:t>December 31,</w:t>
            </w:r>
          </w:p>
        </w:tc>
      </w:tr>
      <w:tr>
        <w:trPr/>
        <w:tc>
          <w:tcPr>
            <w:tcW w:w="573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735" w:type="dxa"/>
            <w:tcBorders/>
            <w:shd w:fill="CCEEFF" w:val="clear"/>
            <w:vAlign w:val="center"/>
          </w:tcPr>
          <w:p>
            <w:pPr>
              <w:pStyle w:val="TableContents"/>
              <w:bidi w:val="0"/>
              <w:spacing w:before="0" w:after="283"/>
              <w:jc w:val="left"/>
              <w:rPr/>
            </w:pPr>
            <w:r>
              <w:rPr/>
              <w:t>Common Stock, No Par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252,688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248,202</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bottom w:val="single" w:sz="8" w:space="0" w:color="000000"/>
            </w:tcBorders>
            <w:tcMar>
              <w:bottom w:w="28" w:type="dxa"/>
            </w:tcMar>
            <w:vAlign w:val="center"/>
          </w:tcPr>
          <w:p>
            <w:pPr>
              <w:pStyle w:val="TableContents"/>
              <w:bidi w:val="0"/>
              <w:spacing w:before="0" w:after="283"/>
              <w:jc w:val="left"/>
              <w:rPr/>
            </w:pPr>
            <w:r>
              <w:rPr/>
              <w:t>Retained Earnings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205,095</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197,061</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35" w:type="dxa"/>
            <w:tcBorders>
              <w:bottom w:val="single" w:sz="8" w:space="0" w:color="000000"/>
            </w:tcBorders>
            <w:shd w:fill="CCEEFF" w:val="clear"/>
            <w:tcMar>
              <w:bottom w:w="28" w:type="dxa"/>
            </w:tcMar>
            <w:vAlign w:val="center"/>
          </w:tcPr>
          <w:p>
            <w:pPr>
              <w:pStyle w:val="TableContents"/>
              <w:bidi w:val="0"/>
              <w:spacing w:before="0" w:after="283"/>
              <w:jc w:val="left"/>
              <w:rPr/>
            </w:pPr>
            <w:r>
              <w:rPr/>
              <w:t>TOTAL COMMON EQUITY</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457,783</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445,263</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Cumulative Preferred Stock, No Par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Convertible: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$7.00 Series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556</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Nonredeemable: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$7.00 Series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79</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bottom w:val="single" w:sz="8" w:space="0" w:color="000000"/>
            </w:tcBorders>
            <w:tcMar>
              <w:bottom w:w="28" w:type="dxa"/>
            </w:tcMar>
            <w:vAlign w:val="center"/>
          </w:tcPr>
          <w:p>
            <w:pPr>
              <w:pStyle w:val="TableContents"/>
              <w:bidi w:val="0"/>
              <w:spacing w:before="0" w:after="283"/>
              <w:jc w:val="left"/>
              <w:rPr/>
            </w:pPr>
            <w:r>
              <w:rPr/>
              <w:t>$4.75 Series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1,000</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1,000</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35" w:type="dxa"/>
            <w:tcBorders>
              <w:bottom w:val="single" w:sz="8" w:space="0" w:color="000000"/>
            </w:tcBorders>
            <w:shd w:fill="CCEEFF" w:val="clear"/>
            <w:tcMar>
              <w:bottom w:w="28" w:type="dxa"/>
            </w:tcMar>
            <w:vAlign w:val="center"/>
          </w:tcPr>
          <w:p>
            <w:pPr>
              <w:pStyle w:val="TableContents"/>
              <w:bidi w:val="0"/>
              <w:spacing w:before="0" w:after="283"/>
              <w:jc w:val="left"/>
              <w:rPr/>
            </w:pPr>
            <w:r>
              <w:rPr/>
              <w:t>TOTAL PREFERRED STOCK</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1,352</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1,635</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Long-term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First Mortgage Bonds, 0.00%-5.50%, due 2026-2059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273,856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right"/>
              <w:rPr/>
            </w:pPr>
            <w:r>
              <w:rPr/>
              <w:t>274,602</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Amortizing Secured Notes, 3.94%-7.05%, due 2028-2046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65,431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66,889</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bottom w:val="single" w:sz="8" w:space="0" w:color="000000"/>
            </w:tcBorders>
            <w:tcMar>
              <w:bottom w:w="28" w:type="dxa"/>
            </w:tcMar>
            <w:vAlign w:val="center"/>
          </w:tcPr>
          <w:p>
            <w:pPr>
              <w:pStyle w:val="TableContents"/>
              <w:bidi w:val="0"/>
              <w:spacing w:before="0" w:after="283"/>
              <w:jc w:val="left"/>
              <w:rPr/>
            </w:pPr>
            <w:r>
              <w:rPr/>
              <w:t>State Revolving Trust Notes, 0.00%-4.03%, due 2026-2044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18,277</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17,895</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SUBTOTAL LONG-TERM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357,564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359,386</w:t>
            </w:r>
          </w:p>
        </w:tc>
        <w:tc>
          <w:tcPr>
            <w:tcW w:w="216"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Add: Premium on Issuance of 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6,244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6,339</w:t>
            </w:r>
          </w:p>
        </w:tc>
        <w:tc>
          <w:tcPr>
            <w:tcW w:w="216"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Less: Unamortized Debt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(5,091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(5,192</w:t>
            </w:r>
          </w:p>
        </w:tc>
        <w:tc>
          <w:tcPr>
            <w:tcW w:w="216" w:type="dxa"/>
            <w:tcBorders/>
            <w:shd w:fill="CCEEFF" w:val="clear"/>
            <w:vAlign w:val="center"/>
          </w:tcPr>
          <w:p>
            <w:pPr>
              <w:pStyle w:val="TableContents"/>
              <w:bidi w:val="0"/>
              <w:spacing w:before="0" w:after="283"/>
              <w:jc w:val="left"/>
              <w:rPr/>
            </w:pPr>
            <w:r>
              <w:rPr/>
              <w:t>)</w:t>
            </w:r>
          </w:p>
        </w:tc>
      </w:tr>
      <w:tr>
        <w:trPr/>
        <w:tc>
          <w:tcPr>
            <w:tcW w:w="5735" w:type="dxa"/>
            <w:tcBorders>
              <w:bottom w:val="single" w:sz="8" w:space="0" w:color="000000"/>
            </w:tcBorders>
            <w:tcMar>
              <w:bottom w:w="28" w:type="dxa"/>
            </w:tcMar>
            <w:vAlign w:val="center"/>
          </w:tcPr>
          <w:p>
            <w:pPr>
              <w:pStyle w:val="TableContents"/>
              <w:bidi w:val="0"/>
              <w:spacing w:before="0" w:after="283"/>
              <w:jc w:val="left"/>
              <w:rPr/>
            </w:pPr>
            <w:r>
              <w:rPr/>
              <w:t>Less: Current Portion of Long-term Debt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rPr>
            </w:pPr>
            <w:r>
              <w:rPr>
                <w:b/>
              </w:rPr>
              <w:t>(7,633</w:t>
            </w:r>
          </w:p>
        </w:tc>
        <w:tc>
          <w:tcPr>
            <w:tcW w:w="12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right"/>
              <w:rPr/>
            </w:pPr>
            <w:r>
              <w:rPr/>
              <w:t>(7,711</w:t>
            </w:r>
          </w:p>
        </w:tc>
        <w:tc>
          <w:tcPr>
            <w:tcW w:w="216"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735" w:type="dxa"/>
            <w:tcBorders>
              <w:bottom w:val="single" w:sz="8" w:space="0" w:color="000000"/>
            </w:tcBorders>
            <w:shd w:fill="CCEEFF" w:val="clear"/>
            <w:tcMar>
              <w:bottom w:w="28" w:type="dxa"/>
            </w:tcMar>
            <w:vAlign w:val="center"/>
          </w:tcPr>
          <w:p>
            <w:pPr>
              <w:pStyle w:val="TableContents"/>
              <w:bidi w:val="0"/>
              <w:spacing w:before="0" w:after="283"/>
              <w:jc w:val="left"/>
              <w:rPr/>
            </w:pPr>
            <w:r>
              <w:rPr/>
              <w:t>TOTAL LONG-TERM DEBT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351,084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7" w:type="dxa"/>
            <w:tcBorders>
              <w:bottom w:val="single" w:sz="8" w:space="0" w:color="000000"/>
            </w:tcBorders>
            <w:shd w:fill="CCEEFF" w:val="clear"/>
            <w:tcMar>
              <w:bottom w:w="28" w:type="dxa"/>
            </w:tcMar>
            <w:vAlign w:val="center"/>
          </w:tcPr>
          <w:p>
            <w:pPr>
              <w:pStyle w:val="TableContents"/>
              <w:bidi w:val="0"/>
              <w:spacing w:before="0" w:after="283"/>
              <w:jc w:val="right"/>
              <w:rPr/>
            </w:pPr>
            <w:r>
              <w:rPr/>
              <w:t>352,822</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COMMON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5480"/>
        <w:gridCol w:w="90"/>
        <w:gridCol w:w="90"/>
        <w:gridCol w:w="710"/>
        <w:gridCol w:w="125"/>
        <w:gridCol w:w="90"/>
        <w:gridCol w:w="170"/>
        <w:gridCol w:w="830"/>
        <w:gridCol w:w="125"/>
        <w:gridCol w:w="90"/>
        <w:gridCol w:w="170"/>
        <w:gridCol w:w="830"/>
        <w:gridCol w:w="125"/>
        <w:gridCol w:w="90"/>
        <w:gridCol w:w="170"/>
        <w:gridCol w:w="830"/>
        <w:gridCol w:w="170"/>
      </w:tblGrid>
      <w:tr>
        <w:trPr/>
        <w:tc>
          <w:tcPr>
            <w:tcW w:w="548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Retained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7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Earnings</w:t>
            </w:r>
          </w:p>
        </w:tc>
        <w:tc>
          <w:tcPr>
            <w:tcW w:w="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70" w:type="dxa"/>
            <w:gridSpan w:val="3"/>
            <w:tcBorders/>
            <w:vAlign w:val="center"/>
          </w:tcPr>
          <w:p>
            <w:pPr>
              <w:pStyle w:val="TableContents"/>
              <w:bidi w:val="0"/>
              <w:spacing w:before="0" w:after="283"/>
              <w:jc w:val="right"/>
              <w:rPr/>
            </w:pPr>
            <w:r>
              <w:rPr/>
              <w:t> </w:t>
            </w:r>
          </w:p>
        </w:tc>
      </w:tr>
      <w:tr>
        <w:trPr/>
        <w:tc>
          <w:tcPr>
            <w:tcW w:w="5480" w:type="dxa"/>
            <w:tcBorders/>
            <w:shd w:fill="CCEEFF" w:val="clear"/>
            <w:vAlign w:val="center"/>
          </w:tcPr>
          <w:p>
            <w:pPr>
              <w:pStyle w:val="TableContents"/>
              <w:bidi w:val="0"/>
              <w:spacing w:before="0" w:after="283"/>
              <w:jc w:val="left"/>
              <w:rPr/>
            </w:pPr>
            <w:r>
              <w:rPr/>
              <w:t>Balance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17,821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246,764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176,227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422,991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10,682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10,682</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Dividend Reinvestment &amp; Common Stock Purchase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252</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Restricted Stock Award - Net - Employees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(465</w:t>
            </w:r>
          </w:p>
        </w:tc>
        <w:tc>
          <w:tcPr>
            <w:tcW w:w="17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Cash Dividends on Common Stock ($0.3250 per share)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(5,738</w:t>
            </w:r>
          </w:p>
        </w:tc>
        <w:tc>
          <w:tcPr>
            <w:tcW w:w="17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Cash Dividends on Preferred Stock</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Balance at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17,814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246,551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181,141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427,692</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10,546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10,546</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Dividend Reinvestment &amp; Common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Restricted Stock Award - Net - Employees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(187</w:t>
            </w:r>
          </w:p>
        </w:tc>
        <w:tc>
          <w:tcPr>
            <w:tcW w:w="17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Restricted Stock Award - Board of Directors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397</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Cash Dividends on Common Stock ($0.3250 per share)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(5,793</w:t>
            </w:r>
          </w:p>
        </w:tc>
        <w:tc>
          <w:tcPr>
            <w:tcW w:w="17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Cash Dividends on Preferred Stock</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(30</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Balance at June 30, 2024</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17,829</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247,014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185,864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432,878</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Balance at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17,887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248,202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197,061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445,263</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9,479</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Dividend Reinvestment &amp; Common Stock Purchase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Restricted Stock Award - Net - Employees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Conversion of $7 Preferred Stock to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Cash Dividends on Common Stock ($0.3400 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(6,081</w:t>
            </w:r>
          </w:p>
        </w:tc>
        <w:tc>
          <w:tcPr>
            <w:tcW w:w="17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Cash Dividends on Preferred Stock</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Balance at March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17,894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248,611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200,437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449,048</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10,778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10,778</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Dividend Reinvestment &amp; Common Stock Purchase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229</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Restricted Stock Award - Net - Employees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Restricted Stock Award - Board of Directors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366</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Conversion of $7 Preferred Stock to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262</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At-The-Market Program Common Stock Issuance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3,604</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Common Stock Issuance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(431</w:t>
            </w:r>
          </w:p>
        </w:tc>
        <w:tc>
          <w:tcPr>
            <w:tcW w:w="17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Cash Dividends on Common Stock ($0.3400 per share)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(6,101</w:t>
            </w:r>
          </w:p>
        </w:tc>
        <w:tc>
          <w:tcPr>
            <w:tcW w:w="17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Cash Dividends on Preferred Stock</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right"/>
              <w:rPr/>
            </w:pPr>
            <w:r>
              <w:rPr/>
              <w:t>—</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Balance at June 30, 2025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18,016</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252,688</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205,095</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457,783</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NOTES TO UNAUDITED CONDENSED CONSOLIDATED FINANCIAL STATEMENTS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 and Recent Developments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notes within the 2024 Annual Report on Form 10-K (the 2024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June 30, 2025, the results of operations for the three and six month periods ended June 30, 2025 and 2024 and cash flows for the six month periods ended June 30, 2025 and 2024. Information included in the Condensed Consolidated Balance Sheet as of December 31, 2024, has been derived from the Company’s December 31, 2024 audited financial statements included in the 2024 Form 10-K.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Developments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Acquisition of the Water Utility Assets of the Town of Ocean View, Delaware </w:t>
      </w:r>
      <w:r>
        <w:rPr>
          <w:rFonts w:ascii="Times New Roman;Times;Serif" w:hAnsi="Times New Roman;Times;Serif"/>
          <w:b w:val="false"/>
          <w:i w:val="false"/>
          <w:caps w:val="false"/>
          <w:smallCaps w:val="false"/>
          <w:sz w:val="20"/>
        </w:rPr>
        <w:t>- In April 2025, Tidewater completed the acquisition of the water utility assets of the Town of Ocean View, Delaware (Ocean View) for approximately $4.6 million. Ocean View serves approximately 900 customers in Sussex County, Delaware, who have been receiving water supply from Tidewater since the system was constructed in 2008. The pro forma effect of this acquisition is not material to the Company’s consolidated results of operations.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Environmental Protection Agency (USEPA) Issues Final Perfluoroalkyl Substances (PFAS) Regulations</w:t>
      </w:r>
      <w:r>
        <w:rPr>
          <w:rFonts w:ascii="Times New Roman;Times;Serif" w:hAnsi="Times New Roman;Times;Serif"/>
          <w:b w:val="false"/>
          <w:i w:val="false"/>
          <w:caps w:val="false"/>
          <w:smallCaps w:val="false"/>
          <w:sz w:val="20"/>
        </w:rPr>
        <w:t xml:space="preserve"> -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in Fall 2025 extending the compliance date to 2031.</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Guidance </w:t>
      </w:r>
    </w:p>
    <w:p>
      <w:pPr>
        <w:pStyle w:val="TextBody"/>
        <w:bidi w:val="0"/>
        <w:jc w:val="center"/>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recently issued accounting standards that have not yet been adopted by the Company as of June 30, 2025 are as follows:</w:t>
      </w:r>
    </w:p>
    <w:tbl>
      <w:tblPr>
        <w:tblW w:w="10205" w:type="dxa"/>
        <w:jc w:val="left"/>
        <w:tblInd w:w="0" w:type="dxa"/>
        <w:tblLayout w:type="fixed"/>
        <w:tblCellMar>
          <w:top w:w="0" w:type="dxa"/>
          <w:left w:w="0" w:type="dxa"/>
          <w:bottom w:w="0" w:type="dxa"/>
          <w:right w:w="0" w:type="dxa"/>
        </w:tblCellMar>
      </w:tblPr>
      <w:tblGrid>
        <w:gridCol w:w="1806"/>
        <w:gridCol w:w="90"/>
        <w:gridCol w:w="3676"/>
        <w:gridCol w:w="90"/>
        <w:gridCol w:w="1580"/>
        <w:gridCol w:w="90"/>
        <w:gridCol w:w="1313"/>
        <w:gridCol w:w="90"/>
        <w:gridCol w:w="1470"/>
      </w:tblGrid>
      <w:tr>
        <w:trPr/>
        <w:tc>
          <w:tcPr>
            <w:tcW w:w="18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Standard</w:t>
            </w:r>
          </w:p>
        </w:tc>
        <w:tc>
          <w:tcPr>
            <w:tcW w:w="90"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 Adoption</w:t>
            </w:r>
          </w:p>
        </w:tc>
        <w:tc>
          <w:tcPr>
            <w:tcW w:w="9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Application</w:t>
            </w:r>
          </w:p>
        </w:tc>
        <w:tc>
          <w:tcPr>
            <w:tcW w:w="9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Effect on the</w:t>
              <w:br/>
              <w:t>Condensed</w:t>
              <w:br/>
              <w:t xml:space="preserve">Consolidated </w:t>
              <w:br/>
              <w:t>Financial Statements</w:t>
            </w:r>
          </w:p>
        </w:tc>
      </w:tr>
      <w:tr>
        <w:trPr/>
        <w:tc>
          <w:tcPr>
            <w:tcW w:w="1806"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Standards Update (“ASU”) ASU 2024-03 “Disaggregation of Income Statement Expenses”</w:t>
            </w:r>
          </w:p>
        </w:tc>
        <w:tc>
          <w:tcPr>
            <w:tcW w:w="90" w:type="dxa"/>
            <w:tcBorders/>
            <w:shd w:fill="CCEEFF" w:val="clear"/>
            <w:vAlign w:val="center"/>
          </w:tcPr>
          <w:p>
            <w:pPr>
              <w:pStyle w:val="TableContents"/>
              <w:bidi w:val="0"/>
              <w:spacing w:before="0" w:after="283"/>
              <w:jc w:val="left"/>
              <w:rPr/>
            </w:pPr>
            <w:r>
              <w:rPr/>
              <w:t> </w:t>
            </w:r>
          </w:p>
        </w:tc>
        <w:tc>
          <w:tcPr>
            <w:tcW w:w="3676"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 </w:t>
            </w:r>
          </w:p>
        </w:tc>
        <w:tc>
          <w:tcPr>
            <w:tcW w:w="90" w:type="dxa"/>
            <w:tcBorders/>
            <w:shd w:fill="CCEEFF" w:val="clear"/>
            <w:vAlign w:val="center"/>
          </w:tcPr>
          <w:p>
            <w:pPr>
              <w:pStyle w:val="TableContents"/>
              <w:bidi w:val="0"/>
              <w:spacing w:before="0" w:after="283"/>
              <w:jc w:val="left"/>
              <w:rPr/>
            </w:pPr>
            <w:r>
              <w:rPr/>
              <w:t> </w:t>
            </w:r>
          </w:p>
        </w:tc>
        <w:tc>
          <w:tcPr>
            <w:tcW w:w="1580"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ASU is effective for the Company beginning with its annual financial statements for the year ended December 31, 2027. Early adoption is permitted.</w:t>
            </w:r>
          </w:p>
        </w:tc>
        <w:tc>
          <w:tcPr>
            <w:tcW w:w="90" w:type="dxa"/>
            <w:tcBorders/>
            <w:shd w:fill="CCEEFF" w:val="clear"/>
            <w:vAlign w:val="center"/>
          </w:tcPr>
          <w:p>
            <w:pPr>
              <w:pStyle w:val="TableContents"/>
              <w:bidi w:val="0"/>
              <w:spacing w:before="0" w:after="283"/>
              <w:jc w:val="left"/>
              <w:rPr/>
            </w:pPr>
            <w:r>
              <w:rPr/>
              <w:t> </w:t>
            </w:r>
          </w:p>
        </w:tc>
        <w:tc>
          <w:tcPr>
            <w:tcW w:w="1313"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Prospective, with retrospective application also permitted.</w:t>
            </w:r>
          </w:p>
        </w:tc>
        <w:tc>
          <w:tcPr>
            <w:tcW w:w="90" w:type="dxa"/>
            <w:tcBorders/>
            <w:shd w:fill="CCEEFF" w:val="clear"/>
            <w:vAlign w:val="center"/>
          </w:tcPr>
          <w:p>
            <w:pPr>
              <w:pStyle w:val="TableContents"/>
              <w:bidi w:val="0"/>
              <w:spacing w:before="0" w:after="283"/>
              <w:jc w:val="left"/>
              <w:rPr/>
            </w:pPr>
            <w:r>
              <w:rPr/>
              <w:t> </w:t>
            </w:r>
          </w:p>
        </w:tc>
        <w:tc>
          <w:tcPr>
            <w:tcW w:w="1470"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is currently evaluating the requirements of ASU 2024-03.</w:t>
            </w:r>
          </w:p>
        </w:tc>
      </w:tr>
      <w:tr>
        <w:trPr/>
        <w:tc>
          <w:tcPr>
            <w:tcW w:w="1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ASU 2023-09 “Improvements to Income Tax Disclosures”</w:t>
            </w:r>
          </w:p>
        </w:tc>
        <w:tc>
          <w:tcPr>
            <w:tcW w:w="90" w:type="dxa"/>
            <w:tcBorders/>
            <w:vAlign w:val="center"/>
          </w:tcPr>
          <w:p>
            <w:pPr>
              <w:pStyle w:val="TableContents"/>
              <w:bidi w:val="0"/>
              <w:spacing w:before="0" w:after="283"/>
              <w:jc w:val="left"/>
              <w:rPr/>
            </w:pPr>
            <w:r>
              <w:rPr/>
              <w:t> </w:t>
            </w:r>
          </w:p>
        </w:tc>
        <w:tc>
          <w:tcPr>
            <w:tcW w:w="3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ASU is effective for the Company beginning with its annual financial statements for the year ending December 31, 2025. Early adoption is permitted.</w:t>
            </w:r>
          </w:p>
        </w:tc>
        <w:tc>
          <w:tcPr>
            <w:tcW w:w="9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Prospective, with retrospective application also permitted.</w:t>
            </w:r>
          </w:p>
        </w:tc>
        <w:tc>
          <w:tcPr>
            <w:tcW w:w="9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is currently evaluating the requirements of ASU 2023-09.</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Rate and Regulatory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w:t>
      </w:r>
      <w:r>
        <w:rPr>
          <w:rFonts w:ascii="Times New Roman;Times;Serif" w:hAnsi="Times New Roman;Times;Serif"/>
          <w:b w:val="false"/>
          <w:i w:val="false"/>
          <w:caps w:val="false"/>
          <w:smallCaps w:val="false"/>
          <w:sz w:val="20"/>
        </w:rPr>
        <w:t>– In May 2025, Middlesex and its Pinelands wholly owned subsidiaries filed a joint petition with the New Jersey Board of Public Utilities (NJBPU) seeking permission for consolidation between the three entities by a corporate reorganization intended to combine the joint petitioning entities into Middlesex. The combination is expected to provide efficiency and benefits to our customers in various areas.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Middlesex and Pinelands filed a joint petition with the NJBPU to request an increase in annual base revenues by approximately $24.9 million or 19.3%. The request will allow Middlesex and Pinelands recovery of prudently-incurred investments made to meet water and wastewater quality and environmental regulations and to continue to provide safe and reliable water and wastewater service to its customers. Under New Jersey statute, the NJPBU must render a decision within nine months of filing a base rate change petition. If a decision is not rendered within nine months, Middlesex can implement interim rates up to the full amount of the requested increase.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Middlesex and Pinelands submitted a joint petition with the NJBPU seeking approval of a Resiliency and Environmental System Improvement Charge (RESIC) Foundational Filing for the recovery of certain costs of investments for the three-year period ending October 2028 related to compliance with requirements to address existing and emerging chemical elements or compound, installation of new plant or equipment or replacement of existing plant or equipment to further, maintain, enhance, or improve resiliency, health, safety or environmental protection for Middlesex and Pinelands’ customers, employees or the public and addressing treatment media and related equipment for both existing and emerging chemical elements and compounds. Under the RESIC program, Middlesex and Pinelands submit semi-annual surcharge filings to the NJBPU for qualifying capital investments completed every six-months to be recovered up to $3.8 million or 2.5% of total annual revenues included in their June 2025 base rate increase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Middlesex and Pinelands Water filed a joint petition with the NJBPU seeking approval of a Distribution System Improvement Charge (DSIC) Foundational Filing to recover investments in qualifying capital improvements to their water distribution system for the three-year period ending October 2028. Under the DSIC program, Middlesex and Pinelands Water submit semi-annual surcharge filings to the NJBPU for qualifying capital investments completed every six-months to be recovered up to $7.6 million or 5% of total annual revenues included in their June 2025 base rate increase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NJBPU approved a Middlesex DSIC rate, effective June 1, 2025, that is expected to result in $1.1 million of annual revenues starting June 2025, which is in addition to the existing $1.1 million of annual revenues from previous DSIC filings.  Middlesex expects to file for an additional DISC rate increase in October 2025.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became effective March 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NJBPU-approved Middlesex Lead Service Line Replacement (LSLR) Plan continues and Middlesex is currently recovering costs of $0.6 million for replacing customer-owned lead service lines incurred between July 2024 through December 2024, which will be recovered from March 2025 through August 2025. Costs of $0.3 million incurred between January 2025 through June 2025 are expected to be recovered between September 2025 and February 2026. The LSLR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w:t>
      </w:r>
      <w:r>
        <w:rPr>
          <w:rFonts w:ascii="Times New Roman;Times;Serif" w:hAnsi="Times New Roman;Times;Serif"/>
          <w:b w:val="false"/>
          <w:i w:val="false"/>
          <w:caps w:val="false"/>
          <w:smallCaps w:val="false"/>
          <w:sz w:val="20"/>
        </w:rPr>
        <w:t>– In July 2025, the Delaware Public Service Commission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53.50%. In addition, Tidewater will refund approximately $1.1 million of excess deferred income taxes associated with the Tax Cuts and Jobs Act of 2017 between July 2025 and December 2025, including $0.6 million of interest.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DEPSC approved Tidewater’s petition to recover up to $2.1 million of costs associated with Tidewater’s obligation to identify and inventory lead service lines throughout Tidewater’s service area, as required by federal law and Delaware regulations. Recovery of these costs began February 1, 2025 and is expected to continue through January 2028. Through June 30, 2025, Tidewater has spent $1.8 million to identify and inventory lead service lines.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Southern Shores </w:t>
      </w:r>
      <w:r>
        <w:rPr>
          <w:rFonts w:ascii="Times New Roman;Times;Serif" w:hAnsi="Times New Roman;Times;Serif"/>
          <w:b w:val="false"/>
          <w:i w:val="false"/>
          <w:caps w:val="false"/>
          <w:smallCaps w:val="false"/>
          <w:sz w:val="20"/>
        </w:rPr>
        <w:t>– Southern Shores provides water service to a 2,200 unit condominium community in Sussex County, Delaware under a DEPSC-approved agreement expiring December 31, 2029.  Under the agreement, rates are increased when there are unanticipated capital expenditures or regulatory related changes in operating expenses exceed certain thresholds. In 2024, capital expenditures did exceed the established threshold. In addition, rates are increased annually by the lesser of the regional Consumer Price Index or 3%. Effective January 1, 2025, Southern Shores rates were increased $0.1 million or 6.51%.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Capitalization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 During the six months ended June 30, 2025 and 2024, there were 8,130 common shares (approximately $0.4 million) and 9,683 common shares (approximately $0.5 million) respectively, issued under the Middlesex Water Company Investment Plan.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NJBPU to issue and sell up to 1.0 million shares of its common stock, without par value, through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Middlesex entered into an At -the-Market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Since the inception of the Equity Sales Agreement through June 30, 2025, the Company has issued and sold 63,955 shares of common stock at a weighted average price of $57.23 for a total net proceeds of $3.6 million and has $106.3 million of aggregate gross sales price of shares remaining to issue under the Equity Sales Agreement as of June 30, 2025.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Middlesex filed a petition with the NJBPU seeking approval to issue and sell up to 2.5 million shares of its common stock during the period January 2026 through December 2028, in one or more offerings through a traditional underwritten public offering and/or an ATM offering, in order to fund portions of its capital program and other funding requirements. The NJBPU is expected to render its decision on this petition in the third quarter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Debt –</w:t>
      </w:r>
      <w:r>
        <w:rPr>
          <w:rFonts w:ascii="Times New Roman;Times;Serif" w:hAnsi="Times New Roman;Times;Serif"/>
          <w:b w:val="false"/>
          <w:i w:val="false"/>
          <w:caps w:val="false"/>
          <w:smallCaps w:val="false"/>
          <w:sz w:val="20"/>
        </w:rPr>
        <w:t xml:space="preserve"> 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NJBPU to borrow up to $300.0 million from the New Jersey SRF Program, the New Jersey Economic Development Authority, private placement and other financial institutions as needed through December 31, 2025.</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Middlesex filed a petition with the NJBPU to borrow up to $260.0 million during the period January 2026 through December 2028, in one or more negotiated transactions in the form of notes and/or first mortgage bonds through loans from the New Jersey State Revolving Fund Program, the New Jersey Economic Development Authority, private placement and other financial institutions as needed in order to fund portions of its capital program and other funding requirements. The NJBPU is expected to render its decision on this petition in the third quarter of 2025.</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$1.7 million as of June 30, 2025 and expects that the requisitions will continue through the fourth quarter of 2025.</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$0.9 million on these loans as of June 30, 2025. Each project has its own construction timetable with the last spending set to occur in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June 30, 2025 and expects that the requisitions will continue through the fourth quarter of 2025.</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Fair Value of Financial Instruments –</w:t>
      </w:r>
      <w:r>
        <w:rPr>
          <w:rFonts w:ascii="Times New Roman;Times;Serif" w:hAnsi="Times New Roman;Times;Serif"/>
          <w:b w:val="false"/>
          <w:i w:val="false"/>
          <w:caps w:val="false"/>
          <w:smallCaps w:val="false"/>
          <w:sz w:val="20"/>
        </w:rPr>
        <w:t xml:space="preserve"> 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pStyle w:val="TextBody"/>
        <w:bidi w:val="0"/>
        <w:jc w:val="center"/>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665"/>
        <w:gridCol w:w="90"/>
        <w:gridCol w:w="170"/>
        <w:gridCol w:w="830"/>
        <w:gridCol w:w="90"/>
        <w:gridCol w:w="90"/>
        <w:gridCol w:w="170"/>
        <w:gridCol w:w="830"/>
        <w:gridCol w:w="90"/>
        <w:gridCol w:w="90"/>
        <w:gridCol w:w="170"/>
        <w:gridCol w:w="830"/>
        <w:gridCol w:w="90"/>
        <w:gridCol w:w="90"/>
        <w:gridCol w:w="170"/>
        <w:gridCol w:w="830"/>
        <w:gridCol w:w="135"/>
      </w:tblGrid>
      <w:tr>
        <w:trPr/>
        <w:tc>
          <w:tcPr>
            <w:tcW w:w="6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675" w:type="dxa"/>
            <w:gridSpan w:val="15"/>
            <w:tcBorders/>
            <w:vAlign w:val="center"/>
          </w:tcPr>
          <w:p>
            <w:pPr>
              <w:pStyle w:val="TableContents"/>
              <w:bidi w:val="0"/>
              <w:spacing w:before="0" w:after="283"/>
              <w:jc w:val="center"/>
              <w:rPr>
                <w:b/>
              </w:rPr>
            </w:pPr>
            <w:r>
              <w:rPr>
                <w:b/>
              </w:rPr>
              <w:t>(Thousands of Dollars)</w:t>
            </w:r>
          </w:p>
        </w:tc>
      </w:tr>
      <w:tr>
        <w:trPr/>
        <w:tc>
          <w:tcPr>
            <w:tcW w:w="665" w:type="dxa"/>
            <w:tcBorders/>
            <w:vAlign w:val="center"/>
          </w:tcPr>
          <w:p>
            <w:pPr>
              <w:pStyle w:val="TableContents"/>
              <w:bidi w:val="0"/>
              <w:spacing w:before="0" w:after="283"/>
              <w:jc w:val="center"/>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7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31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r>
      <w:tr>
        <w:trPr/>
        <w:tc>
          <w:tcPr>
            <w:tcW w:w="6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b/>
              </w:rPr>
            </w:pPr>
            <w:r>
              <w:rPr>
                <w:b/>
              </w:rPr>
              <w:t>Fair</w:t>
            </w:r>
          </w:p>
        </w:tc>
        <w:tc>
          <w:tcPr>
            <w:tcW w:w="9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b/>
              </w:rPr>
            </w:pPr>
            <w:r>
              <w:rPr>
                <w:b/>
              </w:rPr>
              <w:t>Carrying</w:t>
            </w:r>
          </w:p>
        </w:tc>
        <w:tc>
          <w:tcPr>
            <w:tcW w:w="90" w:type="dxa"/>
            <w:tcBorders/>
            <w:vAlign w:val="center"/>
          </w:tcPr>
          <w:p>
            <w:pPr>
              <w:pStyle w:val="TableContents"/>
              <w:bidi w:val="0"/>
              <w:spacing w:before="0" w:after="283"/>
              <w:jc w:val="left"/>
              <w:rPr/>
            </w:pPr>
            <w:r>
              <w:rPr/>
              <w:t> </w:t>
            </w:r>
          </w:p>
        </w:tc>
        <w:tc>
          <w:tcPr>
            <w:tcW w:w="1135" w:type="dxa"/>
            <w:gridSpan w:val="3"/>
            <w:tcBorders/>
            <w:vAlign w:val="center"/>
          </w:tcPr>
          <w:p>
            <w:pPr>
              <w:pStyle w:val="TableContents"/>
              <w:bidi w:val="0"/>
              <w:spacing w:before="0" w:after="283"/>
              <w:jc w:val="center"/>
              <w:rPr>
                <w:b/>
              </w:rPr>
            </w:pPr>
            <w:r>
              <w:rPr>
                <w:b/>
              </w:rPr>
              <w:t>Fair</w:t>
            </w:r>
          </w:p>
        </w:tc>
      </w:tr>
      <w:tr>
        <w:trPr/>
        <w:tc>
          <w:tcPr>
            <w:tcW w:w="66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Value</w:t>
            </w:r>
          </w:p>
        </w:tc>
      </w:tr>
      <w:tr>
        <w:trPr/>
        <w:tc>
          <w:tcPr>
            <w:tcW w:w="665" w:type="dxa"/>
            <w:tcBorders/>
            <w:shd w:fill="CCEEFF" w:val="clear"/>
            <w:vAlign w:val="center"/>
          </w:tcPr>
          <w:p>
            <w:pPr>
              <w:pStyle w:val="TableContents"/>
              <w:bidi w:val="0"/>
              <w:spacing w:before="0" w:after="283"/>
              <w:jc w:val="left"/>
              <w:rPr/>
            </w:pPr>
            <w:r>
              <w:rPr/>
              <w:t>FMBs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128,857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127,236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129,602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125,067</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$228.7 million and $229.8 million at June 30, 2025 and December 31, 2024, respectively. Advances for construction have carrying amounts of $23.4 million and $22.6 million at June 30, 2025 and December 31, 2024, respectively. Their relative fair values cannot be accurately estimated since future refund payments depend on several variables, including new customer connections, customer consumption levels and future rate increases.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 and restrictions.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Earnings Per Share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are computed on the basis of the weighted average number of shares outstanding during the period presented. Diluted EPS assumes the conversion of the Convertible Preferred Stock $7.00 Series.</w:t>
      </w:r>
    </w:p>
    <w:p>
      <w:pPr>
        <w:pStyle w:val="TextBody"/>
        <w:bidi w:val="0"/>
        <w:jc w:val="center"/>
        <w:rPr>
          <w:caps w:val="false"/>
          <w:smallCaps w:val="false"/>
        </w:rPr>
      </w:pPr>
      <w:r>
        <w:rPr>
          <w:caps w:val="false"/>
          <w:smallCaps w:val="false"/>
        </w:rPr>
        <w:t> </w:t>
      </w:r>
    </w:p>
    <w:tbl>
      <w:tblPr>
        <w:tblW w:w="9259" w:type="dxa"/>
        <w:jc w:val="left"/>
        <w:tblInd w:w="0" w:type="dxa"/>
        <w:tblLayout w:type="fixed"/>
        <w:tblCellMar>
          <w:top w:w="0" w:type="dxa"/>
          <w:left w:w="0" w:type="dxa"/>
          <w:bottom w:w="0" w:type="dxa"/>
          <w:right w:w="0" w:type="dxa"/>
        </w:tblCellMar>
      </w:tblPr>
      <w:tblGrid>
        <w:gridCol w:w="4700"/>
        <w:gridCol w:w="90"/>
        <w:gridCol w:w="185"/>
        <w:gridCol w:w="773"/>
        <w:gridCol w:w="136"/>
        <w:gridCol w:w="98"/>
        <w:gridCol w:w="98"/>
        <w:gridCol w:w="773"/>
        <w:gridCol w:w="98"/>
        <w:gridCol w:w="98"/>
        <w:gridCol w:w="185"/>
        <w:gridCol w:w="773"/>
        <w:gridCol w:w="136"/>
        <w:gridCol w:w="98"/>
        <w:gridCol w:w="98"/>
        <w:gridCol w:w="773"/>
        <w:gridCol w:w="147"/>
      </w:tblGrid>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9" w:type="dxa"/>
            <w:gridSpan w:val="15"/>
            <w:tcBorders/>
            <w:vAlign w:val="center"/>
          </w:tcPr>
          <w:p>
            <w:pPr>
              <w:pStyle w:val="TableContents"/>
              <w:bidi w:val="0"/>
              <w:spacing w:before="0" w:after="283"/>
              <w:jc w:val="center"/>
              <w:rPr>
                <w:b/>
              </w:rPr>
            </w:pPr>
            <w:r>
              <w:rPr>
                <w:b/>
              </w:rPr>
              <w:t>(In Thousands Except per Share Amounts)</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9" w:type="dxa"/>
            <w:gridSpan w:val="15"/>
            <w:tcBorders/>
            <w:vAlign w:val="center"/>
          </w:tcPr>
          <w:p>
            <w:pPr>
              <w:pStyle w:val="TableContents"/>
              <w:bidi w:val="0"/>
              <w:spacing w:before="0" w:after="283"/>
              <w:jc w:val="center"/>
              <w:rPr>
                <w:b/>
              </w:rPr>
            </w:pPr>
            <w:r>
              <w:rPr>
                <w:b/>
              </w:rPr>
              <w:t>Three Months Ended June 30,</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1" w:type="dxa"/>
            <w:gridSpan w:val="7"/>
            <w:tcBorders/>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2210" w:type="dxa"/>
            <w:gridSpan w:val="7"/>
            <w:tcBorders/>
            <w:vAlign w:val="center"/>
          </w:tcPr>
          <w:p>
            <w:pPr>
              <w:pStyle w:val="TableContents"/>
              <w:bidi w:val="0"/>
              <w:spacing w:before="0" w:after="283"/>
              <w:jc w:val="center"/>
              <w:rPr>
                <w:b/>
              </w:rPr>
            </w:pPr>
            <w:r>
              <w:rPr>
                <w:b/>
              </w:rPr>
              <w:t>2024</w:t>
            </w:r>
          </w:p>
        </w:tc>
      </w:tr>
      <w:tr>
        <w:trPr/>
        <w:tc>
          <w:tcPr>
            <w:tcW w:w="47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6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01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r>
      <w:tr>
        <w:trPr/>
        <w:tc>
          <w:tcPr>
            <w:tcW w:w="470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10,778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17,962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10,546</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17,829</w:t>
            </w:r>
          </w:p>
        </w:tc>
        <w:tc>
          <w:tcPr>
            <w:tcW w:w="147"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Preferred Dividend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(19</w:t>
            </w:r>
          </w:p>
        </w:tc>
        <w:tc>
          <w:tcPr>
            <w:tcW w:w="136" w:type="dxa"/>
            <w:tcBorders>
              <w:bottom w:val="single" w:sz="8" w:space="0" w:color="000000"/>
            </w:tcBorders>
            <w:tcMar>
              <w:bottom w:w="28" w:type="dxa"/>
            </w:tcMar>
            <w:vAlign w:val="center"/>
          </w:tcPr>
          <w:p>
            <w:pPr>
              <w:pStyle w:val="TableContents"/>
              <w:bidi w:val="0"/>
              <w:spacing w:before="0" w:after="283"/>
              <w:jc w:val="left"/>
              <w:rPr/>
            </w:pPr>
            <w:r>
              <w:rPr/>
              <w:t>)</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(30</w:t>
            </w:r>
          </w:p>
        </w:tc>
        <w:tc>
          <w:tcPr>
            <w:tcW w:w="136" w:type="dxa"/>
            <w:tcBorders>
              <w:bottom w:val="single" w:sz="8" w:space="0" w:color="000000"/>
            </w:tcBorders>
            <w:tcMar>
              <w:bottom w:w="28" w:type="dxa"/>
            </w:tcMar>
            <w:vAlign w:val="center"/>
          </w:tcPr>
          <w:p>
            <w:pPr>
              <w:pStyle w:val="TableContents"/>
              <w:bidi w:val="0"/>
              <w:spacing w:before="0" w:after="283"/>
              <w:jc w:val="left"/>
              <w:rPr/>
            </w:pPr>
            <w:r>
              <w:rPr/>
              <w:t>)</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Earnings Applicable to Common Stock</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10,759</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17,962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10,516</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17,829</w:t>
            </w:r>
          </w:p>
        </w:tc>
        <w:tc>
          <w:tcPr>
            <w:tcW w:w="147"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b/>
              </w:rPr>
            </w:pPr>
            <w:r>
              <w:rPr>
                <w:b/>
              </w:rPr>
              <w:t>Basic EPS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0.60</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0.59</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r>
        <w:trPr/>
        <w:tc>
          <w:tcPr>
            <w:tcW w:w="470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Earnings Applicable to Common Stock</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10,759</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17,962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10,516</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17,829</w:t>
            </w:r>
          </w:p>
        </w:tc>
        <w:tc>
          <w:tcPr>
            <w:tcW w:w="147"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$7.00 Series Preferred Dividend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Adjusted Earnings Applicable to Common Stock</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10,766</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17,993</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10,533</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17,944</w:t>
            </w:r>
          </w:p>
        </w:tc>
        <w:tc>
          <w:tcPr>
            <w:tcW w:w="147"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b/>
              </w:rPr>
            </w:pPr>
            <w:r>
              <w:rPr>
                <w:b/>
              </w:rPr>
              <w:t>Diluted EPS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0.60</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0.59</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319" w:type="dxa"/>
        <w:jc w:val="left"/>
        <w:tblInd w:w="0" w:type="dxa"/>
        <w:tblLayout w:type="fixed"/>
        <w:tblCellMar>
          <w:top w:w="0" w:type="dxa"/>
          <w:left w:w="0" w:type="dxa"/>
          <w:bottom w:w="0" w:type="dxa"/>
          <w:right w:w="0" w:type="dxa"/>
        </w:tblCellMar>
      </w:tblPr>
      <w:tblGrid>
        <w:gridCol w:w="4760"/>
        <w:gridCol w:w="90"/>
        <w:gridCol w:w="185"/>
        <w:gridCol w:w="773"/>
        <w:gridCol w:w="136"/>
        <w:gridCol w:w="98"/>
        <w:gridCol w:w="98"/>
        <w:gridCol w:w="773"/>
        <w:gridCol w:w="98"/>
        <w:gridCol w:w="98"/>
        <w:gridCol w:w="185"/>
        <w:gridCol w:w="773"/>
        <w:gridCol w:w="136"/>
        <w:gridCol w:w="98"/>
        <w:gridCol w:w="98"/>
        <w:gridCol w:w="773"/>
        <w:gridCol w:w="147"/>
      </w:tblGrid>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9" w:type="dxa"/>
            <w:gridSpan w:val="15"/>
            <w:tcBorders/>
            <w:vAlign w:val="center"/>
          </w:tcPr>
          <w:p>
            <w:pPr>
              <w:pStyle w:val="TableContents"/>
              <w:bidi w:val="0"/>
              <w:spacing w:before="0" w:after="283"/>
              <w:jc w:val="center"/>
              <w:rPr>
                <w:b/>
              </w:rPr>
            </w:pPr>
            <w:r>
              <w:rPr>
                <w:b/>
              </w:rPr>
              <w:t>(In Thousands Except per Share Amounts)</w:t>
            </w:r>
          </w:p>
        </w:tc>
      </w:tr>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9" w:type="dxa"/>
            <w:gridSpan w:val="15"/>
            <w:tcBorders/>
            <w:vAlign w:val="center"/>
          </w:tcPr>
          <w:p>
            <w:pPr>
              <w:pStyle w:val="TableContents"/>
              <w:bidi w:val="0"/>
              <w:spacing w:before="0" w:after="283"/>
              <w:jc w:val="center"/>
              <w:rPr>
                <w:b/>
              </w:rPr>
            </w:pPr>
            <w:r>
              <w:rPr>
                <w:b/>
              </w:rPr>
              <w:t>Six Months Ended June 30,</w:t>
            </w:r>
          </w:p>
        </w:tc>
      </w:tr>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1" w:type="dxa"/>
            <w:gridSpan w:val="7"/>
            <w:tcBorders/>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2210" w:type="dxa"/>
            <w:gridSpan w:val="7"/>
            <w:tcBorders/>
            <w:vAlign w:val="center"/>
          </w:tcPr>
          <w:p>
            <w:pPr>
              <w:pStyle w:val="TableContents"/>
              <w:bidi w:val="0"/>
              <w:spacing w:before="0" w:after="283"/>
              <w:jc w:val="center"/>
              <w:rPr>
                <w:b/>
              </w:rPr>
            </w:pPr>
            <w:r>
              <w:rPr>
                <w:b/>
              </w:rPr>
              <w:t>2024</w:t>
            </w:r>
          </w:p>
        </w:tc>
      </w:tr>
      <w:tr>
        <w:trPr/>
        <w:tc>
          <w:tcPr>
            <w:tcW w:w="47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6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09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01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r>
      <w:tr>
        <w:trPr/>
        <w:tc>
          <w:tcPr>
            <w:tcW w:w="476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20,258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17,926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21,228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17,824</w:t>
            </w:r>
          </w:p>
        </w:tc>
        <w:tc>
          <w:tcPr>
            <w:tcW w:w="147"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Preferred Dividend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(41</w:t>
            </w:r>
          </w:p>
        </w:tc>
        <w:tc>
          <w:tcPr>
            <w:tcW w:w="136" w:type="dxa"/>
            <w:tcBorders>
              <w:bottom w:val="single" w:sz="8" w:space="0" w:color="000000"/>
            </w:tcBorders>
            <w:tcMar>
              <w:bottom w:w="28" w:type="dxa"/>
            </w:tcMar>
            <w:vAlign w:val="center"/>
          </w:tcPr>
          <w:p>
            <w:pPr>
              <w:pStyle w:val="TableContents"/>
              <w:bidi w:val="0"/>
              <w:spacing w:before="0" w:after="283"/>
              <w:jc w:val="left"/>
              <w:rPr/>
            </w:pPr>
            <w:r>
              <w:rPr/>
              <w:t>)</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(60</w:t>
            </w:r>
          </w:p>
        </w:tc>
        <w:tc>
          <w:tcPr>
            <w:tcW w:w="136" w:type="dxa"/>
            <w:tcBorders>
              <w:bottom w:val="single" w:sz="8" w:space="0" w:color="000000"/>
            </w:tcBorders>
            <w:tcMar>
              <w:bottom w:w="28" w:type="dxa"/>
            </w:tcMar>
            <w:vAlign w:val="center"/>
          </w:tcPr>
          <w:p>
            <w:pPr>
              <w:pStyle w:val="TableContents"/>
              <w:bidi w:val="0"/>
              <w:spacing w:before="0" w:after="283"/>
              <w:jc w:val="left"/>
              <w:rPr/>
            </w:pPr>
            <w:r>
              <w:rPr/>
              <w:t>)</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tcMar>
              <w:bottom w:w="28" w:type="dxa"/>
            </w:tcMar>
            <w:vAlign w:val="center"/>
          </w:tcPr>
          <w:p>
            <w:pPr>
              <w:pStyle w:val="TableContents"/>
              <w:bidi w:val="0"/>
              <w:spacing w:before="0" w:after="283"/>
              <w:jc w:val="righ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Earnings Applicable to Common Stock</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20,217</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17,926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21,168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17,824</w:t>
            </w:r>
          </w:p>
        </w:tc>
        <w:tc>
          <w:tcPr>
            <w:tcW w:w="147"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b/>
              </w:rPr>
            </w:pPr>
            <w:r>
              <w:rPr>
                <w:b/>
              </w:rPr>
              <w:t>Basic EPS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1.13</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1.19</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r>
        <w:trPr/>
        <w:tc>
          <w:tcPr>
            <w:tcW w:w="476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Earnings Applicable to Common Stock</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20,217</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21,168</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17,824</w:t>
            </w:r>
          </w:p>
        </w:tc>
        <w:tc>
          <w:tcPr>
            <w:tcW w:w="147"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$7.00 Series Preferred Dividend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Adjusted Earnings Applicable to  Common Stock</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20,235</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17,957</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21,202</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17,939</w:t>
            </w:r>
          </w:p>
        </w:tc>
        <w:tc>
          <w:tcPr>
            <w:tcW w:w="147"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b/>
              </w:rPr>
            </w:pPr>
            <w:r>
              <w:rPr>
                <w:b/>
              </w:rPr>
              <w:t>Diluted EPS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1.13</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right"/>
              <w:rPr/>
            </w:pPr>
            <w:r>
              <w:rPr/>
              <w:t>1.18</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Business Segment Data</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timely and effective response to changing conditions. For the regulated segment, the CODM uses this assessment to determine whether the segment is achieving its regulatory authorized rate of return.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segments follow the same accounting policies as described in Note 1 – Organization, Summary of Significant Accounting Policies and Recent Developments of the 2024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Water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2"/>
        <w:gridCol w:w="90"/>
        <w:gridCol w:w="180"/>
        <w:gridCol w:w="756"/>
        <w:gridCol w:w="132"/>
        <w:gridCol w:w="95"/>
        <w:gridCol w:w="180"/>
        <w:gridCol w:w="756"/>
        <w:gridCol w:w="132"/>
        <w:gridCol w:w="90"/>
        <w:gridCol w:w="170"/>
        <w:gridCol w:w="710"/>
        <w:gridCol w:w="125"/>
        <w:gridCol w:w="90"/>
        <w:gridCol w:w="170"/>
        <w:gridCol w:w="710"/>
        <w:gridCol w:w="177"/>
      </w:tblGrid>
      <w:tr>
        <w:trPr/>
        <w:tc>
          <w:tcPr>
            <w:tcW w:w="564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73" w:type="dxa"/>
            <w:gridSpan w:val="15"/>
            <w:tcBorders/>
            <w:vAlign w:val="center"/>
          </w:tcPr>
          <w:p>
            <w:pPr>
              <w:pStyle w:val="TableContents"/>
              <w:bidi w:val="0"/>
              <w:spacing w:before="0" w:after="283"/>
              <w:jc w:val="center"/>
              <w:rPr>
                <w:b/>
              </w:rPr>
            </w:pPr>
            <w:r>
              <w:rPr>
                <w:b/>
              </w:rPr>
              <w:t>(In Thousands)</w:t>
            </w:r>
          </w:p>
        </w:tc>
      </w:tr>
      <w:tr>
        <w:trPr/>
        <w:tc>
          <w:tcPr>
            <w:tcW w:w="564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152" w:type="dxa"/>
            <w:gridSpan w:val="7"/>
            <w:tcBorders/>
            <w:vAlign w:val="center"/>
          </w:tcPr>
          <w:p>
            <w:pPr>
              <w:pStyle w:val="TableContents"/>
              <w:bidi w:val="0"/>
              <w:spacing w:before="0" w:after="283"/>
              <w:jc w:val="center"/>
              <w:rPr>
                <w:b/>
              </w:rPr>
            </w:pPr>
            <w:r>
              <w:rPr>
                <w:b/>
              </w:rPr>
              <w:t>Six Month Ended</w:t>
            </w:r>
          </w:p>
        </w:tc>
      </w:tr>
      <w:tr>
        <w:trPr/>
        <w:tc>
          <w:tcPr>
            <w:tcW w:w="56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1"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152" w:type="dxa"/>
            <w:gridSpan w:val="7"/>
            <w:tcBorders/>
            <w:vAlign w:val="center"/>
          </w:tcPr>
          <w:p>
            <w:pPr>
              <w:pStyle w:val="TableContents"/>
              <w:bidi w:val="0"/>
              <w:spacing w:before="0" w:after="283"/>
              <w:jc w:val="center"/>
              <w:rPr>
                <w:b/>
              </w:rPr>
            </w:pPr>
            <w:r>
              <w:rPr>
                <w:b/>
              </w:rPr>
              <w:t>June 30,</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0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642" w:type="dxa"/>
            <w:tcBorders/>
            <w:shd w:fill="CCEEFF" w:val="clear"/>
            <w:vAlign w:val="center"/>
          </w:tcPr>
          <w:p>
            <w:pPr>
              <w:pStyle w:val="TableContents"/>
              <w:bidi w:val="0"/>
              <w:spacing w:before="0" w:after="283"/>
              <w:jc w:val="left"/>
              <w:rPr>
                <w:b/>
              </w:rPr>
            </w:pPr>
            <w:r>
              <w:rPr>
                <w:b/>
              </w:rPr>
              <w:t>Operation by Segments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46,267</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45,966</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87,763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83,431</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Non – 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3,251</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3,410</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6,204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6,614</w:t>
            </w:r>
          </w:p>
        </w:tc>
        <w:tc>
          <w:tcPr>
            <w:tcW w:w="177" w:type="dxa"/>
            <w:tcBorders/>
            <w:vAlign w:val="center"/>
          </w:tcPr>
          <w:p>
            <w:pPr>
              <w:pStyle w:val="TableContents"/>
              <w:bidi w:val="0"/>
              <w:spacing w:before="0" w:after="283"/>
              <w:jc w:val="left"/>
              <w:rPr/>
            </w:pPr>
            <w:r>
              <w:rPr/>
              <w:t> </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(343</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Consolidated Revenues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49,323</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49,146</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93,624</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89,670</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Purchased Water:</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2,078</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1,967</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3,985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3,753</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Non – Regulated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(74</w:t>
            </w:r>
          </w:p>
        </w:tc>
        <w:tc>
          <w:tcPr>
            <w:tcW w:w="132" w:type="dxa"/>
            <w:tcBorders>
              <w:bottom w:val="single" w:sz="8" w:space="0" w:color="000000"/>
            </w:tcBorders>
            <w:tcMar>
              <w:bottom w:w="28" w:type="dxa"/>
            </w:tcMar>
            <w:vAlign w:val="center"/>
          </w:tcPr>
          <w:p>
            <w:pPr>
              <w:pStyle w:val="TableContents"/>
              <w:bidi w:val="0"/>
              <w:spacing w:before="0" w:after="283"/>
              <w:jc w:val="left"/>
              <w:rPr/>
            </w:pPr>
            <w:r>
              <w:rPr/>
              <w:t>)</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(114</w:t>
            </w:r>
          </w:p>
        </w:tc>
        <w:tc>
          <w:tcPr>
            <w:tcW w:w="132"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(103</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(141</w:t>
            </w:r>
          </w:p>
        </w:tc>
        <w:tc>
          <w:tcPr>
            <w:tcW w:w="177"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Purchased Water</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2,004</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1,853</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3,882</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3,612</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Other Operations and Maintenance Expenses: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19,152</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17,923</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36,646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34,645</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Non – Regulated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2,031</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2,165</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4,267</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(121</w:t>
            </w:r>
          </w:p>
        </w:tc>
        <w:tc>
          <w:tcPr>
            <w:tcW w:w="132" w:type="dxa"/>
            <w:tcBorders>
              <w:bottom w:val="single" w:sz="8" w:space="0" w:color="000000"/>
            </w:tcBorders>
            <w:tcMar>
              <w:bottom w:w="28" w:type="dxa"/>
            </w:tcMar>
            <w:vAlign w:val="center"/>
          </w:tcPr>
          <w:p>
            <w:pPr>
              <w:pStyle w:val="TableContents"/>
              <w:bidi w:val="0"/>
              <w:spacing w:before="0" w:after="283"/>
              <w:jc w:val="left"/>
              <w:rPr/>
            </w:pPr>
            <w:r>
              <w:rPr/>
              <w:t>)</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(116</w:t>
            </w:r>
          </w:p>
        </w:tc>
        <w:tc>
          <w:tcPr>
            <w:tcW w:w="132"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(240</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(234</w:t>
            </w:r>
          </w:p>
        </w:tc>
        <w:tc>
          <w:tcPr>
            <w:tcW w:w="177"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Other Operations and Maintenance Expenses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21,062</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19,972</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40,293</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38,678</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Other Taxes: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5,576</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5,640</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10,383</w:t>
            </w:r>
          </w:p>
        </w:tc>
        <w:tc>
          <w:tcPr>
            <w:tcW w:w="177" w:type="dxa"/>
            <w:tcBorders/>
            <w:vAlign w:val="center"/>
          </w:tcPr>
          <w:p>
            <w:pPr>
              <w:pStyle w:val="TableContents"/>
              <w:bidi w:val="0"/>
              <w:spacing w:before="0" w:after="283"/>
              <w:jc w:val="left"/>
              <w:rPr/>
            </w:pPr>
            <w:r>
              <w:rPr/>
              <w:t> </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124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Consolidated Other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5,642</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5,701</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10,750</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10,499</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6,638</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6,239</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13,102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11,568</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65</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right"/>
              <w:rPr/>
            </w:pPr>
            <w:r>
              <w:rPr/>
              <w:t>66</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128</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133</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Depreciation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6,703</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6,305</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13,230</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11,701</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Operating Income: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12,943</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756" w:type="dxa"/>
            <w:tcBorders/>
            <w:vAlign w:val="center"/>
          </w:tcPr>
          <w:p>
            <w:pPr>
              <w:pStyle w:val="TableContents"/>
              <w:bidi w:val="0"/>
              <w:spacing w:before="0" w:after="283"/>
              <w:jc w:val="right"/>
              <w:rPr/>
            </w:pPr>
            <w:r>
              <w:rPr/>
              <w:t>14,314</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23,644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23,315</w:t>
            </w:r>
          </w:p>
        </w:tc>
        <w:tc>
          <w:tcPr>
            <w:tcW w:w="177" w:type="dxa"/>
            <w:tcBorders/>
            <w:vAlign w:val="center"/>
          </w:tcPr>
          <w:p>
            <w:pPr>
              <w:pStyle w:val="TableContents"/>
              <w:bidi w:val="0"/>
              <w:spacing w:before="0" w:after="283"/>
              <w:jc w:val="left"/>
              <w:rPr/>
            </w:pPr>
            <w:r>
              <w:rPr/>
              <w:t> </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969</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1,001</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1,825</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1,865</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Consolidated Operating Income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13,912</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15,315</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25,469</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25,180</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642"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2,019</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2,653</w:t>
            </w:r>
          </w:p>
        </w:tc>
        <w:tc>
          <w:tcPr>
            <w:tcW w:w="1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8,008</w:t>
            </w:r>
          </w:p>
        </w:tc>
        <w:tc>
          <w:tcPr>
            <w:tcW w:w="177" w:type="dxa"/>
            <w:tcBorders/>
            <w:shd w:fill="CCEEFF" w:val="clear"/>
            <w:vAlign w:val="center"/>
          </w:tcPr>
          <w:p>
            <w:pPr>
              <w:pStyle w:val="TableContents"/>
              <w:bidi w:val="0"/>
              <w:spacing w:before="0" w:after="283"/>
              <w:jc w:val="left"/>
              <w:rPr/>
            </w:pPr>
            <w:r>
              <w:rPr/>
              <w:t> </w:t>
            </w:r>
          </w:p>
        </w:tc>
      </w:tr>
      <w:tr>
        <w:trPr/>
        <w:tc>
          <w:tcPr>
            <w:tcW w:w="5642" w:type="dxa"/>
            <w:tcBorders/>
            <w:vAlign w:val="center"/>
          </w:tcPr>
          <w:p>
            <w:pPr>
              <w:pStyle w:val="TableContents"/>
              <w:bidi w:val="0"/>
              <w:spacing w:before="0" w:after="283"/>
              <w:jc w:val="left"/>
              <w:rPr/>
            </w:pPr>
            <w:r>
              <w:rPr/>
              <w:t>Non – Regulated</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38</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50</w:t>
            </w:r>
          </w:p>
        </w:tc>
        <w:tc>
          <w:tcPr>
            <w:tcW w:w="1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109</w:t>
            </w:r>
          </w:p>
        </w:tc>
        <w:tc>
          <w:tcPr>
            <w:tcW w:w="177" w:type="dxa"/>
            <w:tcBorders/>
            <w:vAlign w:val="center"/>
          </w:tcPr>
          <w:p>
            <w:pPr>
              <w:pStyle w:val="TableContents"/>
              <w:bidi w:val="0"/>
              <w:spacing w:before="0" w:after="283"/>
              <w:jc w:val="left"/>
              <w:rPr/>
            </w:pPr>
            <w:r>
              <w:rPr/>
              <w:t> </w:t>
            </w:r>
          </w:p>
        </w:tc>
      </w:tr>
      <w:tr>
        <w:trPr/>
        <w:tc>
          <w:tcPr>
            <w:tcW w:w="5642" w:type="dxa"/>
            <w:tcBorders>
              <w:bottom w:val="single" w:sz="8" w:space="0" w:color="000000"/>
            </w:tcBorders>
            <w:shd w:fill="CCEEFF" w:val="clear"/>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(318</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642" w:type="dxa"/>
            <w:tcBorders>
              <w:bottom w:val="single" w:sz="8" w:space="0" w:color="000000"/>
            </w:tcBorders>
            <w:tcMar>
              <w:bottom w:w="28" w:type="dxa"/>
            </w:tcMar>
            <w:vAlign w:val="center"/>
          </w:tcPr>
          <w:p>
            <w:pPr>
              <w:pStyle w:val="TableContents"/>
              <w:bidi w:val="0"/>
              <w:spacing w:before="0" w:after="283"/>
              <w:jc w:val="left"/>
              <w:rPr/>
            </w:pPr>
            <w:r>
              <w:rPr/>
              <w:t>Consolidated Other Income, Net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1,898</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w:t>
            </w:r>
          </w:p>
        </w:tc>
        <w:tc>
          <w:tcPr>
            <w:tcW w:w="756" w:type="dxa"/>
            <w:tcBorders>
              <w:bottom w:val="single" w:sz="8" w:space="0" w:color="000000"/>
            </w:tcBorders>
            <w:tcMar>
              <w:bottom w:w="28" w:type="dxa"/>
            </w:tcMar>
            <w:vAlign w:val="center"/>
          </w:tcPr>
          <w:p>
            <w:pPr>
              <w:pStyle w:val="TableContents"/>
              <w:bidi w:val="0"/>
              <w:spacing w:before="0" w:after="283"/>
              <w:jc w:val="right"/>
              <w:rPr/>
            </w:pPr>
            <w:r>
              <w:rPr/>
              <w:t>2,656</w:t>
            </w:r>
          </w:p>
        </w:tc>
        <w:tc>
          <w:tcPr>
            <w:tcW w:w="13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3,696</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8,021</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tbl>
      <w:tblPr>
        <w:tblW w:w="8213" w:type="dxa"/>
        <w:jc w:val="left"/>
        <w:tblInd w:w="0" w:type="dxa"/>
        <w:tblLayout w:type="fixed"/>
        <w:tblCellMar>
          <w:top w:w="0" w:type="dxa"/>
          <w:left w:w="0" w:type="dxa"/>
          <w:bottom w:w="0" w:type="dxa"/>
          <w:right w:w="0" w:type="dxa"/>
        </w:tblCellMar>
      </w:tblPr>
      <w:tblGrid>
        <w:gridCol w:w="3650"/>
        <w:gridCol w:w="90"/>
        <w:gridCol w:w="181"/>
        <w:gridCol w:w="757"/>
        <w:gridCol w:w="133"/>
        <w:gridCol w:w="96"/>
        <w:gridCol w:w="181"/>
        <w:gridCol w:w="757"/>
        <w:gridCol w:w="133"/>
        <w:gridCol w:w="90"/>
        <w:gridCol w:w="170"/>
        <w:gridCol w:w="710"/>
        <w:gridCol w:w="125"/>
        <w:gridCol w:w="90"/>
        <w:gridCol w:w="170"/>
        <w:gridCol w:w="710"/>
        <w:gridCol w:w="170"/>
      </w:tblGrid>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73" w:type="dxa"/>
            <w:gridSpan w:val="15"/>
            <w:tcBorders/>
            <w:vAlign w:val="center"/>
          </w:tcPr>
          <w:p>
            <w:pPr>
              <w:pStyle w:val="TableContents"/>
              <w:bidi w:val="0"/>
              <w:spacing w:before="0" w:after="283"/>
              <w:jc w:val="center"/>
              <w:rPr>
                <w:b/>
              </w:rPr>
            </w:pPr>
            <w:r>
              <w:rPr>
                <w:b/>
              </w:rPr>
              <w:t>(In Thousands)</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145" w:type="dxa"/>
            <w:gridSpan w:val="7"/>
            <w:tcBorders/>
            <w:vAlign w:val="center"/>
          </w:tcPr>
          <w:p>
            <w:pPr>
              <w:pStyle w:val="TableContents"/>
              <w:bidi w:val="0"/>
              <w:spacing w:before="0" w:after="283"/>
              <w:jc w:val="center"/>
              <w:rPr>
                <w:b/>
              </w:rPr>
            </w:pPr>
            <w:r>
              <w:rPr>
                <w:b/>
              </w:rPr>
              <w:t>Six Months Ended</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145" w:type="dxa"/>
            <w:gridSpan w:val="7"/>
            <w:tcBorders/>
            <w:vAlign w:val="center"/>
          </w:tcPr>
          <w:p>
            <w:pPr>
              <w:pStyle w:val="TableContents"/>
              <w:bidi w:val="0"/>
              <w:spacing w:before="0" w:after="283"/>
              <w:jc w:val="center"/>
              <w:rPr>
                <w:b/>
              </w:rPr>
            </w:pPr>
            <w:r>
              <w:rPr>
                <w:b/>
              </w:rPr>
              <w:t>June 30,</w:t>
            </w:r>
          </w:p>
        </w:tc>
      </w:tr>
      <w:tr>
        <w:trPr/>
        <w:tc>
          <w:tcPr>
            <w:tcW w:w="365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07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3650" w:type="dxa"/>
            <w:tcBorders/>
            <w:shd w:fill="CCEEFF" w:val="clear"/>
            <w:vAlign w:val="center"/>
          </w:tcPr>
          <w:p>
            <w:pPr>
              <w:pStyle w:val="TableContents"/>
              <w:bidi w:val="0"/>
              <w:spacing w:before="0" w:after="283"/>
              <w:jc w:val="left"/>
              <w:rPr>
                <w:b/>
              </w:rPr>
            </w:pPr>
            <w:r>
              <w:rPr>
                <w:b/>
              </w:rPr>
              <w:t>Operation by Segments (continued)</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Interest Charges: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3,782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4,087</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6,654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7,406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Non – Regulated</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right"/>
              <w:rPr/>
            </w:pPr>
            <w:r>
              <w:rPr/>
              <w:t>—</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50" w:type="dxa"/>
            <w:tcBorders>
              <w:bottom w:val="single" w:sz="8" w:space="0" w:color="000000"/>
            </w:tcBorders>
            <w:shd w:fill="CCEEFF" w:val="clear"/>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(46</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(318</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(96</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650" w:type="dxa"/>
            <w:tcBorders>
              <w:bottom w:val="single" w:sz="8" w:space="0" w:color="000000"/>
            </w:tcBorders>
            <w:tcMar>
              <w:bottom w:w="28" w:type="dxa"/>
            </w:tcMar>
            <w:vAlign w:val="center"/>
          </w:tcPr>
          <w:p>
            <w:pPr>
              <w:pStyle w:val="TableContents"/>
              <w:bidi w:val="0"/>
              <w:spacing w:before="0" w:after="283"/>
              <w:jc w:val="left"/>
              <w:rPr/>
            </w:pPr>
            <w:r>
              <w:rPr/>
              <w:t>Consolidated Interest Charges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tcMar>
              <w:bottom w:w="28" w:type="dxa"/>
            </w:tcMar>
            <w:vAlign w:val="center"/>
          </w:tcPr>
          <w:p>
            <w:pPr>
              <w:pStyle w:val="TableContents"/>
              <w:bidi w:val="0"/>
              <w:spacing w:before="0" w:after="283"/>
              <w:jc w:val="right"/>
              <w:rPr/>
            </w:pPr>
            <w:r>
              <w:rPr/>
              <w:t>3,623</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tcMar>
              <w:bottom w:w="28" w:type="dxa"/>
            </w:tcMar>
            <w:vAlign w:val="center"/>
          </w:tcPr>
          <w:p>
            <w:pPr>
              <w:pStyle w:val="TableContents"/>
              <w:bidi w:val="0"/>
              <w:spacing w:before="0" w:after="283"/>
              <w:jc w:val="right"/>
              <w:rPr/>
            </w:pPr>
            <w:r>
              <w:rPr/>
              <w:t>4,041</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6,336</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7,310</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Income Taxes: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1,088</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3,053</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4,040</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bottom w:val="single" w:sz="8" w:space="0" w:color="000000"/>
            </w:tcBorders>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tcMar>
              <w:bottom w:w="28" w:type="dxa"/>
            </w:tcMar>
            <w:vAlign w:val="center"/>
          </w:tcPr>
          <w:p>
            <w:pPr>
              <w:pStyle w:val="TableContents"/>
              <w:bidi w:val="0"/>
              <w:spacing w:before="0" w:after="283"/>
              <w:jc w:val="right"/>
              <w:rPr/>
            </w:pPr>
            <w:r>
              <w:rPr/>
              <w:t>321</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tcMar>
              <w:bottom w:w="28" w:type="dxa"/>
            </w:tcMar>
            <w:vAlign w:val="center"/>
          </w:tcPr>
          <w:p>
            <w:pPr>
              <w:pStyle w:val="TableContents"/>
              <w:bidi w:val="0"/>
              <w:spacing w:before="0" w:after="283"/>
              <w:jc w:val="right"/>
              <w:rPr/>
            </w:pPr>
            <w:r>
              <w:rPr/>
              <w:t>331</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611</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623</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bottom w:val="single" w:sz="8" w:space="0" w:color="000000"/>
            </w:tcBorders>
            <w:shd w:fill="CCEEFF" w:val="clear"/>
            <w:tcMar>
              <w:bottom w:w="28" w:type="dxa"/>
            </w:tcMar>
            <w:vAlign w:val="center"/>
          </w:tcPr>
          <w:p>
            <w:pPr>
              <w:pStyle w:val="TableContents"/>
              <w:bidi w:val="0"/>
              <w:spacing w:before="0" w:after="283"/>
              <w:jc w:val="left"/>
              <w:rPr/>
            </w:pPr>
            <w:r>
              <w:rPr/>
              <w:t>Consolidated Income Taxes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1,409</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3,384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2,571</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4,663</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Regulated</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10,092</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9,826</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18,951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19,877</w:t>
            </w:r>
          </w:p>
        </w:tc>
        <w:tc>
          <w:tcPr>
            <w:tcW w:w="170" w:type="dxa"/>
            <w:tcBorders/>
            <w:vAlign w:val="center"/>
          </w:tcPr>
          <w:p>
            <w:pPr>
              <w:pStyle w:val="TableContents"/>
              <w:bidi w:val="0"/>
              <w:spacing w:before="0" w:after="283"/>
              <w:jc w:val="left"/>
              <w:rPr/>
            </w:pPr>
            <w:r>
              <w:rPr/>
              <w:t> </w:t>
            </w:r>
          </w:p>
        </w:tc>
      </w:tr>
      <w:tr>
        <w:trPr/>
        <w:tc>
          <w:tcPr>
            <w:tcW w:w="3650" w:type="dxa"/>
            <w:tcBorders>
              <w:bottom w:val="single" w:sz="8" w:space="0" w:color="000000"/>
            </w:tcBorders>
            <w:shd w:fill="CCEEFF" w:val="clear"/>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686</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720</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1,307</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1,351</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bottom w:val="single" w:sz="8" w:space="0" w:color="000000"/>
            </w:tcBorders>
            <w:tcMar>
              <w:bottom w:w="28" w:type="dxa"/>
            </w:tcMar>
            <w:vAlign w:val="center"/>
          </w:tcPr>
          <w:p>
            <w:pPr>
              <w:pStyle w:val="TableContents"/>
              <w:bidi w:val="0"/>
              <w:spacing w:before="0" w:after="283"/>
              <w:jc w:val="left"/>
              <w:rPr/>
            </w:pPr>
            <w:r>
              <w:rPr/>
              <w:t>Consolidated Net Income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tcMar>
              <w:bottom w:w="28" w:type="dxa"/>
            </w:tcMar>
            <w:vAlign w:val="center"/>
          </w:tcPr>
          <w:p>
            <w:pPr>
              <w:pStyle w:val="TableContents"/>
              <w:bidi w:val="0"/>
              <w:spacing w:before="0" w:after="283"/>
              <w:jc w:val="right"/>
              <w:rPr/>
            </w:pPr>
            <w:r>
              <w:rPr/>
              <w:t>10,778</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tcMar>
              <w:bottom w:w="28" w:type="dxa"/>
            </w:tcMar>
            <w:vAlign w:val="center"/>
          </w:tcPr>
          <w:p>
            <w:pPr>
              <w:pStyle w:val="TableContents"/>
              <w:bidi w:val="0"/>
              <w:spacing w:before="0" w:after="283"/>
              <w:jc w:val="right"/>
              <w:rPr/>
            </w:pPr>
            <w:r>
              <w:rPr/>
              <w:t>10,546</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20,258</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21,228</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Capital Expenditures: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31,696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14,325</w:t>
            </w:r>
          </w:p>
        </w:tc>
        <w:tc>
          <w:tcPr>
            <w:tcW w:w="1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50,549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28,701</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bottom w:val="single" w:sz="8" w:space="0" w:color="000000"/>
            </w:tcBorders>
            <w:tcMar>
              <w:bottom w:w="28" w:type="dxa"/>
            </w:tcMar>
            <w:vAlign w:val="center"/>
          </w:tcPr>
          <w:p>
            <w:pPr>
              <w:pStyle w:val="TableContents"/>
              <w:bidi w:val="0"/>
              <w:spacing w:before="0" w:after="283"/>
              <w:jc w:val="left"/>
              <w:rPr/>
            </w:pPr>
            <w:r>
              <w:rPr/>
              <w:t>Non – Regulated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tcMar>
              <w:bottom w:w="28" w:type="dxa"/>
            </w:tcMar>
            <w:vAlign w:val="center"/>
          </w:tcPr>
          <w:p>
            <w:pPr>
              <w:pStyle w:val="TableContents"/>
              <w:bidi w:val="0"/>
              <w:spacing w:before="0" w:after="283"/>
              <w:jc w:val="right"/>
              <w:rPr/>
            </w:pPr>
            <w:r>
              <w:rPr/>
              <w:t>28</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tcMar>
              <w:bottom w:w="28" w:type="dxa"/>
            </w:tcMar>
            <w:vAlign w:val="center"/>
          </w:tcPr>
          <w:p>
            <w:pPr>
              <w:pStyle w:val="TableContents"/>
              <w:bidi w:val="0"/>
              <w:spacing w:before="0" w:after="283"/>
              <w:jc w:val="right"/>
              <w:rPr/>
            </w:pPr>
            <w:r>
              <w:rPr/>
              <w:t>23</w:t>
            </w:r>
          </w:p>
        </w:tc>
        <w:tc>
          <w:tcPr>
            <w:tcW w:w="133"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86</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36</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50" w:type="dxa"/>
            <w:tcBorders>
              <w:bottom w:val="single" w:sz="8" w:space="0" w:color="000000"/>
            </w:tcBorders>
            <w:shd w:fill="CCEEFF" w:val="clear"/>
            <w:tcMar>
              <w:bottom w:w="28" w:type="dxa"/>
            </w:tcMar>
            <w:vAlign w:val="center"/>
          </w:tcPr>
          <w:p>
            <w:pPr>
              <w:pStyle w:val="TableContents"/>
              <w:bidi w:val="0"/>
              <w:spacing w:before="0" w:after="283"/>
              <w:jc w:val="left"/>
              <w:rPr/>
            </w:pPr>
            <w:r>
              <w:rPr/>
              <w:t>Total Capital Expenditures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31,724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14,348</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50,635</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28,737</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1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574" w:type="dxa"/>
        <w:jc w:val="left"/>
        <w:tblInd w:w="0" w:type="dxa"/>
        <w:tblLayout w:type="fixed"/>
        <w:tblCellMar>
          <w:top w:w="0" w:type="dxa"/>
          <w:left w:w="0" w:type="dxa"/>
          <w:bottom w:w="0" w:type="dxa"/>
          <w:right w:w="0" w:type="dxa"/>
        </w:tblCellMar>
      </w:tblPr>
      <w:tblGrid>
        <w:gridCol w:w="2510"/>
        <w:gridCol w:w="90"/>
        <w:gridCol w:w="170"/>
        <w:gridCol w:w="1010"/>
        <w:gridCol w:w="125"/>
        <w:gridCol w:w="90"/>
        <w:gridCol w:w="188"/>
        <w:gridCol w:w="1118"/>
        <w:gridCol w:w="138"/>
        <w:gridCol w:w="135"/>
      </w:tblGrid>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9" w:type="dxa"/>
            <w:gridSpan w:val="7"/>
            <w:tcBorders/>
            <w:vAlign w:val="center"/>
          </w:tcPr>
          <w:p>
            <w:pPr>
              <w:pStyle w:val="TableContents"/>
              <w:bidi w:val="0"/>
              <w:spacing w:before="0" w:after="283"/>
              <w:jc w:val="center"/>
              <w:rPr>
                <w:b/>
              </w:rPr>
            </w:pPr>
            <w:r>
              <w:rPr>
                <w:b/>
              </w:rPr>
              <w:t>(Thousands of Dollars)</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center"/>
              <w:rPr>
                <w:b/>
              </w:rPr>
            </w:pPr>
            <w:r>
              <w:rPr>
                <w:b/>
              </w:rPr>
              <w:t>As of</w:t>
            </w:r>
          </w:p>
        </w:tc>
        <w:tc>
          <w:tcPr>
            <w:tcW w:w="90" w:type="dxa"/>
            <w:tcBorders/>
            <w:vAlign w:val="center"/>
          </w:tcPr>
          <w:p>
            <w:pPr>
              <w:pStyle w:val="TableContents"/>
              <w:bidi w:val="0"/>
              <w:spacing w:before="0" w:after="283"/>
              <w:jc w:val="left"/>
              <w:rPr/>
            </w:pPr>
            <w:r>
              <w:rPr/>
              <w:t> </w:t>
            </w:r>
          </w:p>
        </w:tc>
        <w:tc>
          <w:tcPr>
            <w:tcW w:w="1444" w:type="dxa"/>
            <w:gridSpan w:val="3"/>
            <w:tcBorders/>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 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44" w:type="dxa"/>
            <w:gridSpan w:val="3"/>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Regulated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1,330,351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1,264,472</w:t>
            </w:r>
          </w:p>
        </w:tc>
        <w:tc>
          <w:tcPr>
            <w:tcW w:w="13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Non – Regulated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9,563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7,671</w:t>
            </w:r>
          </w:p>
        </w:tc>
        <w:tc>
          <w:tcPr>
            <w:tcW w:w="13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shd w:fill="CCEEFF" w:val="clear"/>
            <w:tcMar>
              <w:bottom w:w="28" w:type="dxa"/>
            </w:tcMar>
            <w:vAlign w:val="center"/>
          </w:tcPr>
          <w:p>
            <w:pPr>
              <w:pStyle w:val="TableContents"/>
              <w:bidi w:val="0"/>
              <w:spacing w:before="0" w:after="283"/>
              <w:jc w:val="left"/>
              <w:rPr/>
            </w:pPr>
            <w:r>
              <w:rPr/>
              <w:t>Inter-segment Elimination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(24,024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(16,969</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pPr>
            <w:r>
              <w:rPr/>
              <w:t>Consolidated Assets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1,315,890</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w:t>
            </w:r>
          </w:p>
        </w:tc>
        <w:tc>
          <w:tcPr>
            <w:tcW w:w="1118" w:type="dxa"/>
            <w:tcBorders>
              <w:bottom w:val="single" w:sz="8" w:space="0" w:color="000000"/>
            </w:tcBorders>
            <w:tcMar>
              <w:bottom w:w="28" w:type="dxa"/>
            </w:tcMar>
            <w:vAlign w:val="center"/>
          </w:tcPr>
          <w:p>
            <w:pPr>
              <w:pStyle w:val="TableContents"/>
              <w:bidi w:val="0"/>
              <w:spacing w:before="0" w:after="283"/>
              <w:jc w:val="right"/>
              <w:rPr/>
            </w:pPr>
            <w:r>
              <w:rPr/>
              <w:t>1,255,174</w:t>
            </w:r>
          </w:p>
        </w:tc>
        <w:tc>
          <w:tcPr>
            <w:tcW w:w="138"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Short-term Borrowings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lines of credit aggregating $140.0 million.</w:t>
      </w:r>
    </w:p>
    <w:p>
      <w:pPr>
        <w:pStyle w:val="TextBody"/>
        <w:bidi w:val="0"/>
        <w:jc w:val="both"/>
        <w:rPr>
          <w:caps w:val="false"/>
          <w:smallCaps w:val="false"/>
        </w:rPr>
      </w:pPr>
      <w:r>
        <w:rPr>
          <w:caps w:val="false"/>
          <w:smallCaps w:val="false"/>
        </w:rPr>
        <w:t> </w:t>
      </w:r>
    </w:p>
    <w:tbl>
      <w:tblPr>
        <w:tblW w:w="8667" w:type="dxa"/>
        <w:jc w:val="left"/>
        <w:tblInd w:w="0" w:type="dxa"/>
        <w:tblLayout w:type="fixed"/>
        <w:tblCellMar>
          <w:top w:w="0" w:type="dxa"/>
          <w:left w:w="0" w:type="dxa"/>
          <w:bottom w:w="0" w:type="dxa"/>
          <w:right w:w="0" w:type="dxa"/>
        </w:tblCellMar>
      </w:tblPr>
      <w:tblGrid>
        <w:gridCol w:w="1700"/>
        <w:gridCol w:w="90"/>
        <w:gridCol w:w="305"/>
        <w:gridCol w:w="843"/>
        <w:gridCol w:w="162"/>
        <w:gridCol w:w="117"/>
        <w:gridCol w:w="235"/>
        <w:gridCol w:w="650"/>
        <w:gridCol w:w="125"/>
        <w:gridCol w:w="90"/>
        <w:gridCol w:w="220"/>
        <w:gridCol w:w="763"/>
        <w:gridCol w:w="117"/>
        <w:gridCol w:w="90"/>
        <w:gridCol w:w="1340"/>
        <w:gridCol w:w="90"/>
        <w:gridCol w:w="1730"/>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7" w:type="dxa"/>
            <w:gridSpan w:val="7"/>
            <w:tcBorders/>
            <w:vAlign w:val="center"/>
          </w:tcPr>
          <w:p>
            <w:pPr>
              <w:pStyle w:val="TableContents"/>
              <w:bidi w:val="0"/>
              <w:spacing w:before="0" w:after="283"/>
              <w:jc w:val="center"/>
              <w:rPr>
                <w:b/>
              </w:rPr>
            </w:pPr>
            <w:r>
              <w:rPr>
                <w:b/>
              </w:rPr>
              <w:t>(Millions)</w:t>
            </w:r>
          </w:p>
        </w:tc>
        <w:tc>
          <w:tcPr>
            <w:tcW w:w="9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7" w:type="dxa"/>
            <w:gridSpan w:val="7"/>
            <w:tcBorders/>
            <w:vAlign w:val="center"/>
          </w:tcPr>
          <w:p>
            <w:pPr>
              <w:pStyle w:val="TableContents"/>
              <w:bidi w:val="0"/>
              <w:spacing w:before="0" w:after="283"/>
              <w:jc w:val="center"/>
              <w:rPr>
                <w:b/>
              </w:rPr>
            </w:pPr>
            <w:r>
              <w:rPr>
                <w:b/>
              </w:rPr>
              <w:t>As of June 30, 2025</w:t>
            </w:r>
          </w:p>
        </w:tc>
        <w:tc>
          <w:tcPr>
            <w:tcW w:w="9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170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Available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center"/>
              <w:rPr>
                <w:b/>
              </w:rPr>
            </w:pPr>
            <w:r>
              <w:rPr>
                <w:b/>
              </w:rPr>
              <w:t>Credit Type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center"/>
              <w:rPr>
                <w:b/>
              </w:rPr>
            </w:pPr>
            <w:r>
              <w:rPr>
                <w:b/>
              </w:rPr>
              <w:t>Renewal Date</w:t>
            </w:r>
          </w:p>
        </w:tc>
      </w:tr>
      <w:tr>
        <w:trPr/>
        <w:tc>
          <w:tcPr>
            <w:tcW w:w="1700" w:type="dxa"/>
            <w:tcBorders/>
            <w:shd w:fill="CCEEFF" w:val="clear"/>
            <w:vAlign w:val="center"/>
          </w:tcPr>
          <w:p>
            <w:pPr>
              <w:pStyle w:val="TableContents"/>
              <w:bidi w:val="0"/>
              <w:spacing w:before="0" w:after="283"/>
              <w:jc w:val="left"/>
              <w:rPr/>
            </w:pPr>
            <w:r>
              <w:rPr/>
              <w:t>Bank of America</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0"/>
              <w:jc w:val="right"/>
              <w:rPr/>
            </w:pPr>
            <w:r>
              <w:rPr/>
              <w:t>—</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60.0</w:t>
            </w:r>
          </w:p>
        </w:tc>
        <w:tc>
          <w:tcPr>
            <w:tcW w:w="11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Uncommitted</w:t>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January 23, 2026</w:t>
            </w:r>
          </w:p>
        </w:tc>
      </w:tr>
      <w:tr>
        <w:trPr/>
        <w:tc>
          <w:tcPr>
            <w:tcW w:w="1700" w:type="dxa"/>
            <w:tcBorders/>
            <w:vAlign w:val="center"/>
          </w:tcPr>
          <w:p>
            <w:pPr>
              <w:pStyle w:val="TableContents"/>
              <w:bidi w:val="0"/>
              <w:spacing w:before="0" w:after="283"/>
              <w:jc w:val="left"/>
              <w:rPr/>
            </w:pPr>
            <w:r>
              <w:rPr/>
              <w:t>PNC Bank</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44.6</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jc w:val="right"/>
              <w:rPr/>
            </w:pPr>
            <w:r>
              <w:rPr/>
              <w:t>23.4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68.0</w:t>
            </w:r>
          </w:p>
        </w:tc>
        <w:tc>
          <w:tcPr>
            <w:tcW w:w="1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Committed</w:t>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January 31, 2027</w:t>
            </w:r>
          </w:p>
        </w:tc>
      </w:tr>
      <w:tr>
        <w:trPr/>
        <w:tc>
          <w:tcPr>
            <w:tcW w:w="1700" w:type="dxa"/>
            <w:tcBorders/>
            <w:shd w:fill="CCEEFF" w:val="clear"/>
            <w:vAlign w:val="center"/>
          </w:tcPr>
          <w:p>
            <w:pPr>
              <w:pStyle w:val="TableContents"/>
              <w:bidi w:val="0"/>
              <w:spacing w:before="0" w:after="283"/>
              <w:jc w:val="left"/>
              <w:rPr/>
            </w:pPr>
            <w:r>
              <w:rPr/>
              <w:t>CoBank, ACB</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Committed</w:t>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May 20, 2026</w:t>
            </w:r>
          </w:p>
        </w:tc>
      </w:tr>
      <w:tr>
        <w:trPr/>
        <w:tc>
          <w:tcPr>
            <w:tcW w:w="170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305" w:type="dxa"/>
            <w:tcBorders>
              <w:bottom w:val="double" w:sz="6" w:space="0" w:color="000000"/>
            </w:tcBorders>
            <w:tcMar>
              <w:bottom w:w="28" w:type="dxa"/>
            </w:tcMar>
            <w:vAlign w:val="center"/>
          </w:tcPr>
          <w:p>
            <w:pPr>
              <w:pStyle w:val="TableContents"/>
              <w:bidi w:val="0"/>
              <w:spacing w:before="0" w:after="283"/>
              <w:jc w:val="left"/>
              <w:rPr/>
            </w:pPr>
            <w:r>
              <w:rPr/>
              <w:t>$</w:t>
            </w:r>
          </w:p>
        </w:tc>
        <w:tc>
          <w:tcPr>
            <w:tcW w:w="843" w:type="dxa"/>
            <w:tcBorders>
              <w:bottom w:val="double" w:sz="6" w:space="0" w:color="000000"/>
            </w:tcBorders>
            <w:tcMar>
              <w:bottom w:w="28" w:type="dxa"/>
            </w:tcMar>
            <w:vAlign w:val="center"/>
          </w:tcPr>
          <w:p>
            <w:pPr>
              <w:pStyle w:val="TableContents"/>
              <w:bidi w:val="0"/>
              <w:spacing w:before="0" w:after="283"/>
              <w:jc w:val="right"/>
              <w:rPr/>
            </w:pPr>
            <w:r>
              <w:rPr/>
              <w:t>55.2</w:t>
            </w:r>
          </w:p>
        </w:tc>
        <w:tc>
          <w:tcPr>
            <w:tcW w:w="162" w:type="dxa"/>
            <w:tcBorders>
              <w:bottom w:val="double" w:sz="6" w:space="0" w:color="000000"/>
            </w:tcBorders>
            <w:tcMar>
              <w:bottom w:w="28" w:type="dxa"/>
            </w:tcMar>
            <w:vAlign w:val="center"/>
          </w:tcPr>
          <w:p>
            <w:pPr>
              <w:pStyle w:val="TableContents"/>
              <w:bidi w:val="0"/>
              <w:spacing w:before="0" w:after="283"/>
              <w:jc w:val="left"/>
              <w:rPr/>
            </w:pPr>
            <w:r>
              <w:rPr/>
              <w:t> </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235" w:type="dxa"/>
            <w:tcBorders>
              <w:bottom w:val="double" w:sz="6" w:space="0" w:color="000000"/>
            </w:tcBorders>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tcMar>
              <w:bottom w:w="28" w:type="dxa"/>
            </w:tcMar>
            <w:vAlign w:val="center"/>
          </w:tcPr>
          <w:p>
            <w:pPr>
              <w:pStyle w:val="TableContents"/>
              <w:bidi w:val="0"/>
              <w:spacing w:before="0" w:after="283"/>
              <w:jc w:val="right"/>
              <w:rPr/>
            </w:pPr>
            <w:r>
              <w:rPr/>
              <w:t>84.8</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220" w:type="dxa"/>
            <w:tcBorders>
              <w:bottom w:val="double" w:sz="6" w:space="0" w:color="000000"/>
            </w:tcBorders>
            <w:tcMar>
              <w:bottom w:w="28" w:type="dxa"/>
            </w:tcMar>
            <w:vAlign w:val="center"/>
          </w:tcPr>
          <w:p>
            <w:pPr>
              <w:pStyle w:val="TableContents"/>
              <w:bidi w:val="0"/>
              <w:spacing w:before="0" w:after="283"/>
              <w:jc w:val="left"/>
              <w:rPr/>
            </w:pPr>
            <w:r>
              <w:rPr/>
              <w:t>$</w:t>
            </w:r>
          </w:p>
        </w:tc>
        <w:tc>
          <w:tcPr>
            <w:tcW w:w="763" w:type="dxa"/>
            <w:tcBorders>
              <w:bottom w:val="double" w:sz="6" w:space="0" w:color="000000"/>
            </w:tcBorders>
            <w:tcMar>
              <w:bottom w:w="28" w:type="dxa"/>
            </w:tcMar>
            <w:vAlign w:val="center"/>
          </w:tcPr>
          <w:p>
            <w:pPr>
              <w:pStyle w:val="TableContents"/>
              <w:bidi w:val="0"/>
              <w:spacing w:before="0" w:after="283"/>
              <w:jc w:val="right"/>
              <w:rPr/>
            </w:pPr>
            <w:r>
              <w:rPr/>
              <w:t>140.0</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Tidewater increased its line of credit with CoBank, ACB (CoBank) to $20.0 million and extended the renewal date to May 20, 2028.</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dates for the Notes Payable as of June 30, 2025 are extendable at the discretion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on the outstanding borrowings at June 30, 2025 under these credit lines is 5.51%.</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daily amounts of borrowings outstanding under these credit lines and the weighted average interest rates on those amounts were as follows:</w:t>
      </w:r>
    </w:p>
    <w:p>
      <w:pPr>
        <w:pStyle w:val="TextBody"/>
        <w:bidi w:val="0"/>
        <w:ind w:left="0" w:right="0" w:firstLine="720"/>
        <w:jc w:val="both"/>
        <w:rPr>
          <w:caps w:val="false"/>
          <w:smallCaps w:val="false"/>
        </w:rPr>
      </w:pPr>
      <w:r>
        <w:rPr>
          <w:caps w:val="false"/>
          <w:smallCaps w:val="false"/>
        </w:rPr>
        <w:t> </w:t>
      </w:r>
    </w:p>
    <w:tbl>
      <w:tblPr>
        <w:tblW w:w="8097" w:type="dxa"/>
        <w:jc w:val="left"/>
        <w:tblInd w:w="0" w:type="dxa"/>
        <w:tblLayout w:type="fixed"/>
        <w:tblCellMar>
          <w:top w:w="0" w:type="dxa"/>
          <w:left w:w="0" w:type="dxa"/>
          <w:bottom w:w="0" w:type="dxa"/>
          <w:right w:w="0" w:type="dxa"/>
        </w:tblCellMar>
      </w:tblPr>
      <w:tblGrid>
        <w:gridCol w:w="3605"/>
        <w:gridCol w:w="90"/>
        <w:gridCol w:w="187"/>
        <w:gridCol w:w="783"/>
        <w:gridCol w:w="99"/>
        <w:gridCol w:w="99"/>
        <w:gridCol w:w="187"/>
        <w:gridCol w:w="783"/>
        <w:gridCol w:w="99"/>
        <w:gridCol w:w="90"/>
        <w:gridCol w:w="170"/>
        <w:gridCol w:w="710"/>
        <w:gridCol w:w="90"/>
        <w:gridCol w:w="90"/>
        <w:gridCol w:w="170"/>
        <w:gridCol w:w="710"/>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02" w:type="dxa"/>
            <w:gridSpan w:val="15"/>
            <w:tcBorders/>
            <w:vAlign w:val="center"/>
          </w:tcPr>
          <w:p>
            <w:pPr>
              <w:pStyle w:val="TableContents"/>
              <w:bidi w:val="0"/>
              <w:spacing w:before="0" w:after="283"/>
              <w:jc w:val="center"/>
              <w:rPr>
                <w:b/>
              </w:rPr>
            </w:pPr>
            <w:r>
              <w:rPr>
                <w:b/>
              </w:rPr>
              <w:t>(In Thousands)</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75" w:type="dxa"/>
            <w:gridSpan w:val="7"/>
            <w:tcBorders/>
            <w:vAlign w:val="center"/>
          </w:tcPr>
          <w:p>
            <w:pPr>
              <w:pStyle w:val="TableContents"/>
              <w:bidi w:val="0"/>
              <w:spacing w:before="0" w:after="283"/>
              <w:jc w:val="center"/>
              <w:rPr>
                <w:b/>
              </w:rPr>
            </w:pPr>
            <w:r>
              <w:rPr>
                <w:b/>
              </w:rPr>
              <w:t>Six Months Ended</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075" w:type="dxa"/>
            <w:gridSpan w:val="7"/>
            <w:tcBorders/>
            <w:vAlign w:val="center"/>
          </w:tcPr>
          <w:p>
            <w:pPr>
              <w:pStyle w:val="TableContents"/>
              <w:bidi w:val="0"/>
              <w:spacing w:before="0" w:after="283"/>
              <w:jc w:val="center"/>
              <w:rPr>
                <w:b/>
              </w:rPr>
            </w:pPr>
            <w:r>
              <w:rPr>
                <w:b/>
              </w:rPr>
              <w:t>June 30,</w:t>
            </w:r>
          </w:p>
        </w:tc>
      </w:tr>
      <w:tr>
        <w:trPr/>
        <w:tc>
          <w:tcPr>
            <w:tcW w:w="3605"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06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3605" w:type="dxa"/>
            <w:tcBorders/>
            <w:shd w:fill="CCEEFF" w:val="clear"/>
            <w:vAlign w:val="center"/>
          </w:tcPr>
          <w:p>
            <w:pPr>
              <w:pStyle w:val="TableContents"/>
              <w:bidi w:val="0"/>
              <w:spacing w:before="0" w:after="283"/>
              <w:jc w:val="left"/>
              <w:rPr/>
            </w:pPr>
            <w:r>
              <w:rPr/>
              <w:t>Average Daily Amounts Outstanding</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47,018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62,934</w:t>
            </w:r>
          </w:p>
        </w:tc>
        <w:tc>
          <w:tcPr>
            <w:tcW w:w="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38,304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56,463</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Weighted Average Interest Rates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5.43%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6.43%</w:t>
            </w:r>
          </w:p>
        </w:tc>
        <w:tc>
          <w:tcPr>
            <w:tcW w:w="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6.42%</w:t>
            </w:r>
          </w:p>
        </w:tc>
        <w:tc>
          <w:tcPr>
            <w:tcW w:w="135"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Contingent Liabilities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Water Supply –</w:t>
      </w:r>
      <w:r>
        <w:rPr>
          <w:rFonts w:ascii="Times New Roman;Times;Serif" w:hAnsi="Times New Roman;Times;Serif"/>
          <w:b w:val="false"/>
          <w:i w:val="false"/>
          <w:caps w:val="false"/>
          <w:smallCaps w:val="false"/>
          <w:sz w:val="20"/>
        </w:rPr>
        <w:t xml:space="preserve"> Middlesex has an agreement with the New Jersey Water Supply Authority (NJWSA) for the purchase of untreated water through 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contracts with the City of Dover in Delaware to purchase treated water of up to 75.0 million gallons annually.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water costs are shown below:</w:t>
      </w:r>
    </w:p>
    <w:p>
      <w:pPr>
        <w:pStyle w:val="TextBody"/>
        <w:bidi w:val="0"/>
        <w:ind w:left="0" w:right="0" w:firstLine="720"/>
        <w:jc w:val="both"/>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1145"/>
        <w:gridCol w:w="90"/>
        <w:gridCol w:w="212"/>
        <w:gridCol w:w="738"/>
        <w:gridCol w:w="112"/>
        <w:gridCol w:w="112"/>
        <w:gridCol w:w="212"/>
        <w:gridCol w:w="738"/>
        <w:gridCol w:w="112"/>
        <w:gridCol w:w="90"/>
        <w:gridCol w:w="183"/>
        <w:gridCol w:w="638"/>
        <w:gridCol w:w="97"/>
        <w:gridCol w:w="97"/>
        <w:gridCol w:w="183"/>
        <w:gridCol w:w="638"/>
        <w:gridCol w:w="146"/>
      </w:tblGrid>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8" w:type="dxa"/>
            <w:gridSpan w:val="15"/>
            <w:tcBorders/>
            <w:vAlign w:val="center"/>
          </w:tcPr>
          <w:p>
            <w:pPr>
              <w:pStyle w:val="TableContents"/>
              <w:bidi w:val="0"/>
              <w:spacing w:before="0" w:after="283"/>
              <w:jc w:val="center"/>
              <w:rPr>
                <w:b/>
              </w:rPr>
            </w:pPr>
            <w:r>
              <w:rPr>
                <w:b/>
              </w:rPr>
              <w:t>(In Thousands)</w:t>
            </w:r>
          </w:p>
        </w:tc>
      </w:tr>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11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June 30,</w:t>
            </w:r>
          </w:p>
        </w:tc>
      </w:tr>
      <w:tr>
        <w:trPr/>
        <w:tc>
          <w:tcPr>
            <w:tcW w:w="1145"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062"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1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96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2" w:type="dxa"/>
            <w:gridSpan w:val="3"/>
            <w:tcBorders/>
            <w:vAlign w:val="center"/>
          </w:tcPr>
          <w:p>
            <w:pPr>
              <w:pStyle w:val="TableContents"/>
              <w:bidi w:val="0"/>
              <w:spacing w:before="0" w:after="283"/>
              <w:jc w:val="both"/>
              <w:rPr/>
            </w:pPr>
            <w:r>
              <w:rPr/>
              <w:t> </w:t>
            </w:r>
          </w:p>
        </w:tc>
        <w:tc>
          <w:tcPr>
            <w:tcW w:w="112" w:type="dxa"/>
            <w:tcBorders/>
            <w:vAlign w:val="center"/>
          </w:tcPr>
          <w:p>
            <w:pPr>
              <w:pStyle w:val="TableContents"/>
              <w:bidi w:val="0"/>
              <w:spacing w:before="0" w:after="283"/>
              <w:jc w:val="left"/>
              <w:rPr/>
            </w:pPr>
            <w:r>
              <w:rPr/>
              <w:t> </w:t>
            </w:r>
          </w:p>
        </w:tc>
        <w:tc>
          <w:tcPr>
            <w:tcW w:w="1062" w:type="dxa"/>
            <w:gridSpan w:val="3"/>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18" w:type="dxa"/>
            <w:gridSpan w:val="3"/>
            <w:tcBorders/>
            <w:vAlign w:val="center"/>
          </w:tcPr>
          <w:p>
            <w:pPr>
              <w:pStyle w:val="TableContents"/>
              <w:bidi w:val="0"/>
              <w:spacing w:before="0" w:after="283"/>
              <w:jc w:val="both"/>
              <w:rPr/>
            </w:pPr>
            <w:r>
              <w:rPr/>
              <w:t> </w:t>
            </w:r>
          </w:p>
        </w:tc>
        <w:tc>
          <w:tcPr>
            <w:tcW w:w="97" w:type="dxa"/>
            <w:tcBorders/>
            <w:vAlign w:val="center"/>
          </w:tcPr>
          <w:p>
            <w:pPr>
              <w:pStyle w:val="TableContents"/>
              <w:bidi w:val="0"/>
              <w:spacing w:before="0" w:after="283"/>
              <w:jc w:val="left"/>
              <w:rPr/>
            </w:pPr>
            <w:r>
              <w:rPr/>
              <w:t> </w:t>
            </w:r>
          </w:p>
        </w:tc>
        <w:tc>
          <w:tcPr>
            <w:tcW w:w="967" w:type="dxa"/>
            <w:gridSpan w:val="3"/>
            <w:tcBorders/>
            <w:vAlign w:val="center"/>
          </w:tcPr>
          <w:p>
            <w:pPr>
              <w:pStyle w:val="TableContents"/>
              <w:bidi w:val="0"/>
              <w:spacing w:before="0" w:after="283"/>
              <w:jc w:val="both"/>
              <w:rPr/>
            </w:pPr>
            <w:r>
              <w:rPr/>
              <w:t> </w:t>
            </w:r>
          </w:p>
        </w:tc>
      </w:tr>
      <w:tr>
        <w:trPr/>
        <w:tc>
          <w:tcPr>
            <w:tcW w:w="1145" w:type="dxa"/>
            <w:tcBorders/>
            <w:shd w:fill="CCEEFF" w:val="clear"/>
            <w:vAlign w:val="center"/>
          </w:tcPr>
          <w:p>
            <w:pPr>
              <w:pStyle w:val="TableContents"/>
              <w:bidi w:val="0"/>
              <w:spacing w:before="0" w:after="283"/>
              <w:jc w:val="left"/>
              <w:rPr/>
            </w:pPr>
            <w:r>
              <w:rPr/>
              <w:t>Treated</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1,107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992</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2,098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1,901</w:t>
            </w:r>
          </w:p>
        </w:tc>
        <w:tc>
          <w:tcPr>
            <w:tcW w:w="146"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Untreated</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897</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tcMar>
              <w:bottom w:w="28" w:type="dxa"/>
            </w:tcMar>
            <w:vAlign w:val="center"/>
          </w:tcPr>
          <w:p>
            <w:pPr>
              <w:pStyle w:val="TableContents"/>
              <w:bidi w:val="0"/>
              <w:spacing w:before="0" w:after="283"/>
              <w:jc w:val="right"/>
              <w:rPr/>
            </w:pPr>
            <w:r>
              <w:rPr/>
              <w:t>861</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tcMar>
              <w:bottom w:w="28" w:type="dxa"/>
            </w:tcMar>
            <w:vAlign w:val="center"/>
          </w:tcPr>
          <w:p>
            <w:pPr>
              <w:pStyle w:val="TableContents"/>
              <w:bidi w:val="0"/>
              <w:spacing w:before="0" w:after="283"/>
              <w:jc w:val="right"/>
              <w:rPr/>
            </w:pPr>
            <w:r>
              <w:rPr/>
              <w:t>1,784</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tcMar>
              <w:bottom w:w="28" w:type="dxa"/>
            </w:tcMar>
            <w:vAlign w:val="center"/>
          </w:tcPr>
          <w:p>
            <w:pPr>
              <w:pStyle w:val="TableContents"/>
              <w:bidi w:val="0"/>
              <w:spacing w:before="0" w:after="283"/>
              <w:jc w:val="right"/>
              <w:rPr/>
            </w:pPr>
            <w:r>
              <w:rPr/>
              <w:t>1,711</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Total Costs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2,004</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1,853</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pPr>
            <w:r>
              <w:rPr/>
              <w:t>3,882</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pPr>
            <w:r>
              <w:rPr/>
              <w:t>3,612</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Leases –</w:t>
      </w:r>
      <w:r>
        <w:rPr>
          <w:rFonts w:ascii="Times New Roman;Times;Serif" w:hAnsi="Times New Roman;Times;Serif"/>
          <w:b w:val="false"/>
          <w:i w:val="false"/>
          <w:caps w:val="false"/>
          <w:smallCaps w:val="false"/>
          <w:sz w:val="20"/>
        </w:rPr>
        <w:t xml:space="preserve"> The Company determines if an arrangement is a lease at inception. Generally, a lease agreement exists if the Company determines that the arrangement gives the Company control over the use of an identified asset and obtains substantially all of the benefits from the identified asset.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only significant operating lease is for office space for administrative purposes, which expires in January 2030. The Company has not entered into any finance leases. The exercise of a lease renewal option for the Company’s administrative offices is solely at the discretion of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impacts of accounting for regulated operations, and the resulting recognition of expense at the amounts recovered in customer rates, expenditures for operating leases are consistent with lease expense and were $0.2 million for each of the three months ended June 30, 2025 and 2024, respectively, and $0.4 million for each of the six months ended June 30, 2025 and 2024, respectively.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ROU assets and lease liabilities is as follows:</w:t>
      </w:r>
    </w:p>
    <w:p>
      <w:pPr>
        <w:pStyle w:val="TextBody"/>
        <w:bidi w:val="0"/>
        <w:ind w:left="0" w:right="0" w:firstLine="720"/>
        <w:jc w:val="both"/>
        <w:rPr>
          <w:caps w:val="false"/>
          <w:smallCaps w:val="false"/>
        </w:rPr>
      </w:pPr>
      <w:r>
        <w:rPr>
          <w:caps w:val="false"/>
          <w:smallCaps w:val="false"/>
        </w:rPr>
        <w:t> </w:t>
      </w:r>
    </w:p>
    <w:tbl>
      <w:tblPr>
        <w:tblW w:w="6611" w:type="dxa"/>
        <w:jc w:val="left"/>
        <w:tblInd w:w="0" w:type="dxa"/>
        <w:tblLayout w:type="fixed"/>
        <w:tblCellMar>
          <w:top w:w="0" w:type="dxa"/>
          <w:left w:w="0" w:type="dxa"/>
          <w:bottom w:w="0" w:type="dxa"/>
          <w:right w:w="0" w:type="dxa"/>
        </w:tblCellMar>
      </w:tblPr>
      <w:tblGrid>
        <w:gridCol w:w="2960"/>
        <w:gridCol w:w="90"/>
        <w:gridCol w:w="341"/>
        <w:gridCol w:w="852"/>
        <w:gridCol w:w="250"/>
        <w:gridCol w:w="90"/>
        <w:gridCol w:w="450"/>
        <w:gridCol w:w="1126"/>
        <w:gridCol w:w="452"/>
      </w:tblGrid>
      <w:tr>
        <w:trPr/>
        <w:tc>
          <w:tcPr>
            <w:tcW w:w="29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1" w:type="dxa"/>
            <w:gridSpan w:val="7"/>
            <w:tcBorders/>
            <w:vAlign w:val="center"/>
          </w:tcPr>
          <w:p>
            <w:pPr>
              <w:pStyle w:val="TableContents"/>
              <w:bidi w:val="0"/>
              <w:spacing w:before="0" w:after="283"/>
              <w:jc w:val="center"/>
              <w:rPr>
                <w:b/>
              </w:rPr>
            </w:pPr>
            <w:r>
              <w:rPr>
                <w:b/>
              </w:rPr>
              <w:t>(In Millions)</w:t>
            </w:r>
          </w:p>
        </w:tc>
      </w:tr>
      <w:tr>
        <w:trPr/>
        <w:tc>
          <w:tcPr>
            <w:tcW w:w="29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1" w:type="dxa"/>
            <w:gridSpan w:val="7"/>
            <w:tcBorders/>
            <w:vAlign w:val="center"/>
          </w:tcPr>
          <w:p>
            <w:pPr>
              <w:pStyle w:val="TableContents"/>
              <w:bidi w:val="0"/>
              <w:spacing w:before="0" w:after="283"/>
              <w:jc w:val="center"/>
              <w:rPr>
                <w:b/>
              </w:rPr>
            </w:pPr>
            <w:r>
              <w:rPr>
                <w:b/>
              </w:rPr>
              <w:t>As of</w:t>
            </w:r>
          </w:p>
        </w:tc>
      </w:tr>
      <w:tr>
        <w:trPr/>
        <w:tc>
          <w:tcPr>
            <w:tcW w:w="296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r>
      <w:tr>
        <w:trPr/>
        <w:tc>
          <w:tcPr>
            <w:tcW w:w="2960" w:type="dxa"/>
            <w:tcBorders/>
            <w:shd w:fill="CCEEFF" w:val="clear"/>
            <w:vAlign w:val="center"/>
          </w:tcPr>
          <w:p>
            <w:pPr>
              <w:pStyle w:val="TableContents"/>
              <w:bidi w:val="0"/>
              <w:spacing w:before="0" w:after="283"/>
              <w:jc w:val="left"/>
              <w:rPr/>
            </w:pPr>
            <w:r>
              <w:rPr/>
              <w:t>ROU Asset at Lease Inception</w:t>
            </w:r>
          </w:p>
        </w:tc>
        <w:tc>
          <w:tcPr>
            <w:tcW w:w="9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7.3</w:t>
            </w:r>
          </w:p>
        </w:tc>
        <w:tc>
          <w:tcPr>
            <w:tcW w:w="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7.3</w:t>
            </w:r>
          </w:p>
        </w:tc>
        <w:tc>
          <w:tcPr>
            <w:tcW w:w="452"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Accumulated Amortization</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341"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(5.0</w:t>
            </w:r>
          </w:p>
        </w:tc>
        <w:tc>
          <w:tcPr>
            <w:tcW w:w="250"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45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right"/>
              <w:rPr/>
            </w:pPr>
            <w:r>
              <w:rPr/>
              <w:t>(4.7</w:t>
            </w:r>
          </w:p>
        </w:tc>
        <w:tc>
          <w:tcPr>
            <w:tcW w:w="452"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ROU Asset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minimum operating lease commitments as of June 30, 2025 are as follows:</w:t>
      </w:r>
    </w:p>
    <w:p>
      <w:pPr>
        <w:pStyle w:val="TextBody"/>
        <w:bidi w:val="0"/>
        <w:ind w:left="0" w:right="0" w:firstLine="720"/>
        <w:jc w:val="both"/>
        <w:rPr>
          <w:caps w:val="false"/>
          <w:smallCaps w:val="false"/>
        </w:rPr>
      </w:pPr>
      <w:r>
        <w:rPr>
          <w:caps w:val="false"/>
          <w:smallCaps w:val="false"/>
        </w:rPr>
        <w:t> </w:t>
      </w:r>
    </w:p>
    <w:tbl>
      <w:tblPr>
        <w:tblW w:w="4659" w:type="dxa"/>
        <w:jc w:val="left"/>
        <w:tblInd w:w="0" w:type="dxa"/>
        <w:tblLayout w:type="fixed"/>
        <w:tblCellMar>
          <w:top w:w="0" w:type="dxa"/>
          <w:left w:w="0" w:type="dxa"/>
          <w:bottom w:w="0" w:type="dxa"/>
          <w:right w:w="0" w:type="dxa"/>
        </w:tblCellMar>
      </w:tblPr>
      <w:tblGrid>
        <w:gridCol w:w="3230"/>
        <w:gridCol w:w="90"/>
        <w:gridCol w:w="297"/>
        <w:gridCol w:w="743"/>
        <w:gridCol w:w="299"/>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3"/>
            <w:tcBorders/>
            <w:vAlign w:val="center"/>
          </w:tcPr>
          <w:p>
            <w:pPr>
              <w:pStyle w:val="TableContents"/>
              <w:bidi w:val="0"/>
              <w:spacing w:before="0" w:after="283"/>
              <w:jc w:val="center"/>
              <w:rPr>
                <w:b/>
              </w:rPr>
            </w:pPr>
            <w:r>
              <w:rPr>
                <w:b/>
              </w:rPr>
              <w:t>(In Millions)</w:t>
            </w:r>
          </w:p>
        </w:tc>
      </w:tr>
      <w:tr>
        <w:trPr/>
        <w:tc>
          <w:tcPr>
            <w:tcW w:w="3230" w:type="dxa"/>
            <w:tcBorders/>
            <w:shd w:fill="CCEEFF" w:val="clear"/>
            <w:vAlign w:val="center"/>
          </w:tcPr>
          <w:p>
            <w:pPr>
              <w:pStyle w:val="TableContents"/>
              <w:bidi w:val="0"/>
              <w:spacing w:before="0" w:after="283"/>
              <w:jc w:val="right"/>
              <w:rPr/>
            </w:pPr>
            <w:r>
              <w:rPr/>
              <w:t>2025</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0.3</w:t>
            </w:r>
          </w:p>
        </w:tc>
        <w:tc>
          <w:tcPr>
            <w:tcW w:w="299"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right"/>
              <w:rPr/>
            </w:pPr>
            <w:r>
              <w:rPr/>
              <w:t>2026</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0.9</w:t>
            </w:r>
          </w:p>
        </w:tc>
        <w:tc>
          <w:tcPr>
            <w:tcW w:w="299"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right"/>
              <w:rPr/>
            </w:pPr>
            <w:r>
              <w:rPr/>
              <w:t>2027</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0.9</w:t>
            </w:r>
          </w:p>
        </w:tc>
        <w:tc>
          <w:tcPr>
            <w:tcW w:w="299"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right"/>
              <w:rPr/>
            </w:pPr>
            <w:r>
              <w:rPr/>
              <w:t>2028</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0.9</w:t>
            </w:r>
          </w:p>
        </w:tc>
        <w:tc>
          <w:tcPr>
            <w:tcW w:w="299"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right"/>
              <w:rPr/>
            </w:pPr>
            <w:r>
              <w:rPr/>
              <w:t>2029</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0.9</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right"/>
              <w:rPr/>
            </w:pPr>
            <w:r>
              <w:rPr/>
              <w:t>Total Lease Payments</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743" w:type="dxa"/>
            <w:tcBorders/>
            <w:vAlign w:val="center"/>
          </w:tcPr>
          <w:p>
            <w:pPr>
              <w:pStyle w:val="TableContents"/>
              <w:bidi w:val="0"/>
              <w:spacing w:before="0" w:after="283"/>
              <w:jc w:val="right"/>
              <w:rPr/>
            </w:pPr>
            <w:r>
              <w:rPr/>
              <w:t>3.9</w:t>
            </w:r>
          </w:p>
        </w:tc>
        <w:tc>
          <w:tcPr>
            <w:tcW w:w="299"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right"/>
              <w:rPr/>
            </w:pPr>
            <w:r>
              <w:rPr/>
              <w:t>Imputed Interest</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right"/>
              <w:rPr/>
            </w:pPr>
            <w:r>
              <w:rPr/>
              <w:t>Present Value of Lease Payments</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2.7</w:t>
            </w:r>
          </w:p>
        </w:tc>
        <w:tc>
          <w:tcPr>
            <w:tcW w:w="299"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right"/>
              <w:rPr/>
            </w:pPr>
            <w:r>
              <w:rPr/>
              <w:t>Less Current Portion*</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pPr>
            <w:r>
              <w:rPr/>
              <w:t>(0.6</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right"/>
              <w:rPr/>
            </w:pPr>
            <w:r>
              <w:rPr/>
              <w:t>Non-Current Lease Liability</w:t>
            </w:r>
          </w:p>
        </w:tc>
        <w:tc>
          <w:tcPr>
            <w:tcW w:w="90" w:type="dxa"/>
            <w:tcBorders/>
            <w:vAlign w:val="center"/>
          </w:tcPr>
          <w:p>
            <w:pPr>
              <w:pStyle w:val="TableContents"/>
              <w:bidi w:val="0"/>
              <w:spacing w:before="0" w:after="283"/>
              <w:jc w:val="left"/>
              <w:rPr/>
            </w:pPr>
            <w:r>
              <w:rPr/>
              <w:t> </w:t>
            </w:r>
          </w:p>
        </w:tc>
        <w:tc>
          <w:tcPr>
            <w:tcW w:w="297" w:type="dxa"/>
            <w:tcBorders>
              <w:bottom w:val="single" w:sz="8" w:space="0" w:color="000000"/>
            </w:tcBorders>
            <w:tcMar>
              <w:bottom w:w="28" w:type="dxa"/>
            </w:tcMar>
            <w:vAlign w:val="center"/>
          </w:tcPr>
          <w:p>
            <w:pPr>
              <w:pStyle w:val="TableContents"/>
              <w:bidi w:val="0"/>
              <w:spacing w:before="0" w:after="283"/>
              <w:jc w:val="left"/>
              <w:rPr/>
            </w:pPr>
            <w:r>
              <w:rPr/>
              <w:t>$</w:t>
            </w:r>
          </w:p>
        </w:tc>
        <w:tc>
          <w:tcPr>
            <w:tcW w:w="743" w:type="dxa"/>
            <w:tcBorders>
              <w:bottom w:val="single" w:sz="8" w:space="0" w:color="000000"/>
            </w:tcBorders>
            <w:tcMar>
              <w:bottom w:w="28" w:type="dxa"/>
            </w:tcMar>
            <w:vAlign w:val="center"/>
          </w:tcPr>
          <w:p>
            <w:pPr>
              <w:pStyle w:val="TableContents"/>
              <w:bidi w:val="0"/>
              <w:spacing w:before="0" w:after="283"/>
              <w:jc w:val="right"/>
              <w:rPr/>
            </w:pPr>
            <w:r>
              <w:rPr/>
              <w:t>2.1</w:t>
            </w:r>
          </w:p>
        </w:tc>
        <w:tc>
          <w:tcPr>
            <w:tcW w:w="2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4659" w:type="dxa"/>
            <w:gridSpan w:val="5"/>
            <w:tcBorders/>
            <w:vAlign w:val="center"/>
          </w:tcPr>
          <w:p>
            <w:pPr>
              <w:pStyle w:val="TableContents"/>
              <w:bidi w:val="0"/>
              <w:spacing w:before="0" w:after="283"/>
              <w:jc w:val="left"/>
              <w:rPr/>
            </w:pPr>
            <w:r>
              <w:rPr/>
              <w:t>*Included in Other Current Liabilities</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Construction </w:t>
      </w:r>
      <w:r>
        <w:rPr>
          <w:rFonts w:ascii="Times New Roman;Times;Serif" w:hAnsi="Times New Roman;Times;Serif"/>
          <w:b w:val="false"/>
          <w:i w:val="false"/>
          <w:caps w:val="false"/>
          <w:smallCaps w:val="false"/>
          <w:sz w:val="20"/>
        </w:rPr>
        <w:t>– In connection with the Company’s planned capital expenditures, the Company has entered into several contractual construction agreements that total obligate it to expend an estimated $18.2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Contingencies –</w:t>
      </w:r>
      <w:r>
        <w:rPr>
          <w:rFonts w:ascii="Times New Roman;Times;Serif" w:hAnsi="Times New Roman;Times;Serif"/>
          <w:b w:val="false"/>
          <w:i w:val="false"/>
          <w:caps w:val="false"/>
          <w:smallCaps w:val="false"/>
          <w:sz w:val="20"/>
        </w:rPr>
        <w:t xml:space="preserve"> 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 Agreements –</w:t>
      </w:r>
      <w:r>
        <w:rPr>
          <w:rFonts w:ascii="Times New Roman;Times;Serif" w:hAnsi="Times New Roman;Times;Serif"/>
          <w:b w:val="false"/>
          <w:i w:val="false"/>
          <w:caps w:val="false"/>
          <w:smallCaps w:val="false"/>
          <w:sz w:val="20"/>
        </w:rPr>
        <w:t xml:space="preserve"> The Company has Change in Control Agreements with its executive officers that provide compensation and benefits in the event of termination of employment under certain conditions in connection with a change in control of the Company.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Employee Benefit Plans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Pension Benefits –</w:t>
      </w:r>
      <w:r>
        <w:rPr>
          <w:rFonts w:ascii="Times New Roman;Times;Serif" w:hAnsi="Times New Roman;Times;Serif"/>
          <w:b w:val="false"/>
          <w:i w:val="false"/>
          <w:caps w:val="false"/>
          <w:smallCaps w:val="false"/>
          <w:sz w:val="20"/>
        </w:rPr>
        <w:t xml:space="preserve"> 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June 30, 2025 and 2024, the Company did not make cash contributions to the Pension Plan. The Company expects to make cash contributions of approximately $0.9 million over the remainder of the current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Benefits –</w:t>
      </w:r>
      <w:r>
        <w:rPr>
          <w:rFonts w:ascii="Times New Roman;Times;Serif" w:hAnsi="Times New Roman;Times;Serif"/>
          <w:b w:val="false"/>
          <w:i w:val="false"/>
          <w:caps w:val="false"/>
          <w:smallCaps w:val="false"/>
          <w:sz w:val="20"/>
        </w:rPr>
        <w:t xml:space="preserve"> The Company’s Other Benefits Plan covers substantially all of its current retired employees. Employees hired after March 31, 2007 are not eligible to participate in this plan. Coverage includes healthcare and life insurance. For each of the three-month periods ended June 30, 2025 and 2024, the Company did not make cash contributions to its Other Benefits Plan. The Company expects to make additional Other Benefits Plan cash contributions of $1.0 million over the remainder of the current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relating to the Company’s periodic costs (benefit) for its employee retirement benefit plans:</w:t>
      </w:r>
    </w:p>
    <w:p>
      <w:pPr>
        <w:pStyle w:val="TextBody"/>
        <w:bidi w:val="0"/>
        <w:ind w:left="0" w:right="0" w:firstLine="720"/>
        <w:jc w:val="both"/>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4430"/>
        <w:gridCol w:w="90"/>
        <w:gridCol w:w="170"/>
        <w:gridCol w:w="665"/>
        <w:gridCol w:w="125"/>
        <w:gridCol w:w="90"/>
        <w:gridCol w:w="170"/>
        <w:gridCol w:w="665"/>
        <w:gridCol w:w="125"/>
        <w:gridCol w:w="90"/>
        <w:gridCol w:w="170"/>
        <w:gridCol w:w="485"/>
        <w:gridCol w:w="125"/>
        <w:gridCol w:w="90"/>
        <w:gridCol w:w="170"/>
        <w:gridCol w:w="485"/>
        <w:gridCol w:w="170"/>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5" w:type="dxa"/>
            <w:gridSpan w:val="15"/>
            <w:tcBorders/>
            <w:vAlign w:val="center"/>
          </w:tcPr>
          <w:p>
            <w:pPr>
              <w:pStyle w:val="TableContents"/>
              <w:bidi w:val="0"/>
              <w:spacing w:before="0" w:after="283"/>
              <w:jc w:val="center"/>
              <w:rPr>
                <w:b/>
              </w:rPr>
            </w:pPr>
            <w:r>
              <w:rPr>
                <w:b/>
              </w:rPr>
              <w:t>(In Thousands)</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Pension Benefits</w:t>
            </w:r>
          </w:p>
        </w:tc>
        <w:tc>
          <w:tcPr>
            <w:tcW w:w="90" w:type="dxa"/>
            <w:tcBorders/>
            <w:vAlign w:val="center"/>
          </w:tcPr>
          <w:p>
            <w:pPr>
              <w:pStyle w:val="TableContents"/>
              <w:bidi w:val="0"/>
              <w:spacing w:before="0" w:after="283"/>
              <w:jc w:val="left"/>
              <w:rPr/>
            </w:pPr>
            <w:r>
              <w:rPr/>
              <w:t> </w:t>
            </w:r>
          </w:p>
        </w:tc>
        <w:tc>
          <w:tcPr>
            <w:tcW w:w="169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Other Benefits</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95" w:type="dxa"/>
            <w:gridSpan w:val="15"/>
            <w:tcBorders/>
            <w:vAlign w:val="center"/>
          </w:tcPr>
          <w:p>
            <w:pPr>
              <w:pStyle w:val="TableContents"/>
              <w:bidi w:val="0"/>
              <w:spacing w:before="0" w:after="283"/>
              <w:jc w:val="center"/>
              <w:rPr>
                <w:b/>
              </w:rPr>
            </w:pPr>
            <w:r>
              <w:rPr>
                <w:b/>
              </w:rPr>
              <w:t>Three Months Ended June 30,</w:t>
            </w:r>
          </w:p>
        </w:tc>
      </w:tr>
      <w:tr>
        <w:trPr/>
        <w:tc>
          <w:tcPr>
            <w:tcW w:w="443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5" w:type="dxa"/>
            <w:gridSpan w:val="3"/>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Service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80</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Interest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328</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Expected Return on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(928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(846</w:t>
            </w:r>
          </w:p>
        </w:tc>
        <w:tc>
          <w:tcPr>
            <w:tcW w:w="17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Amortization of Unrecognized Losses (Gains)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12</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38</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pPr>
            <w:r>
              <w:rPr/>
              <w:t>(153</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pPr>
            <w:r>
              <w:rPr/>
              <w:t>(275</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Net Periodic Benefit*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(566</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(713</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4430"/>
        <w:gridCol w:w="90"/>
        <w:gridCol w:w="170"/>
        <w:gridCol w:w="665"/>
        <w:gridCol w:w="125"/>
        <w:gridCol w:w="90"/>
        <w:gridCol w:w="170"/>
        <w:gridCol w:w="665"/>
        <w:gridCol w:w="125"/>
        <w:gridCol w:w="90"/>
        <w:gridCol w:w="170"/>
        <w:gridCol w:w="665"/>
        <w:gridCol w:w="125"/>
        <w:gridCol w:w="90"/>
        <w:gridCol w:w="170"/>
        <w:gridCol w:w="665"/>
        <w:gridCol w:w="170"/>
      </w:tblGrid>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55" w:type="dxa"/>
            <w:gridSpan w:val="15"/>
            <w:tcBorders/>
            <w:vAlign w:val="center"/>
          </w:tcPr>
          <w:p>
            <w:pPr>
              <w:pStyle w:val="TableContents"/>
              <w:bidi w:val="0"/>
              <w:spacing w:before="0" w:after="283"/>
              <w:jc w:val="center"/>
              <w:rPr>
                <w:b/>
              </w:rPr>
            </w:pPr>
            <w:r>
              <w:rPr>
                <w:b/>
              </w:rPr>
              <w:t>(In Thousands)</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Pension Benefits</w:t>
            </w:r>
          </w:p>
        </w:tc>
        <w:tc>
          <w:tcPr>
            <w:tcW w:w="90" w:type="dxa"/>
            <w:tcBorders/>
            <w:vAlign w:val="center"/>
          </w:tcPr>
          <w:p>
            <w:pPr>
              <w:pStyle w:val="TableContents"/>
              <w:bidi w:val="0"/>
              <w:spacing w:before="0" w:after="283"/>
              <w:jc w:val="left"/>
              <w:rPr/>
            </w:pPr>
            <w:r>
              <w:rPr/>
              <w:t> </w:t>
            </w:r>
          </w:p>
        </w:tc>
        <w:tc>
          <w:tcPr>
            <w:tcW w:w="205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Other Benefits</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55" w:type="dxa"/>
            <w:gridSpan w:val="15"/>
            <w:tcBorders/>
            <w:vAlign w:val="center"/>
          </w:tcPr>
          <w:p>
            <w:pPr>
              <w:pStyle w:val="TableContents"/>
              <w:bidi w:val="0"/>
              <w:spacing w:before="0" w:after="283"/>
              <w:jc w:val="center"/>
              <w:rPr>
                <w:b/>
              </w:rPr>
            </w:pPr>
            <w:r>
              <w:rPr>
                <w:b/>
              </w:rPr>
              <w:t>Six Months Ended June 30,</w:t>
            </w:r>
          </w:p>
        </w:tc>
      </w:tr>
      <w:tr>
        <w:trPr/>
        <w:tc>
          <w:tcPr>
            <w:tcW w:w="443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4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5" w:type="dxa"/>
            <w:gridSpan w:val="3"/>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Service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483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160</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Interest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657</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Expected Return on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(3,161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(1,856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(1,692</w:t>
            </w:r>
          </w:p>
        </w:tc>
        <w:tc>
          <w:tcPr>
            <w:tcW w:w="170" w:type="dxa"/>
            <w:tcBorders/>
            <w:shd w:fill="CCEEFF" w:val="clear"/>
            <w:vAlign w:val="center"/>
          </w:tcPr>
          <w:p>
            <w:pPr>
              <w:pStyle w:val="TableContents"/>
              <w:bidi w:val="0"/>
              <w:spacing w:before="0" w:after="283"/>
              <w:jc w:val="left"/>
              <w:rPr/>
            </w:pPr>
            <w:r>
              <w:rPr/>
              <w:t>)</w:t>
            </w:r>
          </w:p>
        </w:tc>
      </w:tr>
      <w:tr>
        <w:trPr/>
        <w:tc>
          <w:tcPr>
            <w:tcW w:w="4430" w:type="dxa"/>
            <w:tcBorders/>
            <w:vAlign w:val="center"/>
          </w:tcPr>
          <w:p>
            <w:pPr>
              <w:pStyle w:val="TableContents"/>
              <w:bidi w:val="0"/>
              <w:spacing w:before="0" w:after="283"/>
              <w:jc w:val="left"/>
              <w:rPr/>
            </w:pPr>
            <w:r>
              <w:rPr/>
              <w:t>Amortization of Unrecognized Losses (Gains)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25</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76</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(307</w:t>
            </w:r>
          </w:p>
        </w:tc>
        <w:tc>
          <w:tcPr>
            <w:tcW w:w="125" w:type="dxa"/>
            <w:tcBorders>
              <w:bottom w:val="single" w:sz="8" w:space="0" w:color="000000"/>
            </w:tcBorders>
            <w:tcMar>
              <w:bottom w:w="28" w:type="dxa"/>
            </w:tcMar>
            <w:vAlign w:val="center"/>
          </w:tcPr>
          <w:p>
            <w:pPr>
              <w:pStyle w:val="TableContents"/>
              <w:bidi w:val="0"/>
              <w:spacing w:before="0" w:after="283"/>
              <w:jc w:val="left"/>
              <w:rPr/>
            </w:pPr>
            <w:r>
              <w:rPr/>
              <w:t>)</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(549</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left"/>
              <w:rPr/>
            </w:pPr>
            <w:r>
              <w:rPr/>
              <w:t>Net Periodic Benefit*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(548</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(310</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(1,133</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(1,424</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cost is included Operations and Maintenance expense on the consolidated statements of income; all other amounts are included in Other Income (Expense), net.</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Revenue Recognition from Contracts with Customers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regulated revenue results from tariff-based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amounts included in operating revenues and accounts receivable are from contracts with customers.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do not contain any significant financing components.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revenues are comprised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9"/>
        <w:gridCol w:w="90"/>
        <w:gridCol w:w="228"/>
        <w:gridCol w:w="958"/>
        <w:gridCol w:w="168"/>
        <w:gridCol w:w="120"/>
        <w:gridCol w:w="228"/>
        <w:gridCol w:w="958"/>
        <w:gridCol w:w="168"/>
        <w:gridCol w:w="90"/>
        <w:gridCol w:w="210"/>
        <w:gridCol w:w="881"/>
        <w:gridCol w:w="154"/>
        <w:gridCol w:w="111"/>
        <w:gridCol w:w="210"/>
        <w:gridCol w:w="881"/>
        <w:gridCol w:w="221"/>
      </w:tblGrid>
      <w:tr>
        <w:trPr/>
        <w:tc>
          <w:tcPr>
            <w:tcW w:w="45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86" w:type="dxa"/>
            <w:gridSpan w:val="15"/>
            <w:tcBorders/>
            <w:vAlign w:val="center"/>
          </w:tcPr>
          <w:p>
            <w:pPr>
              <w:pStyle w:val="TableContents"/>
              <w:bidi w:val="0"/>
              <w:spacing w:before="0" w:after="283"/>
              <w:jc w:val="center"/>
              <w:rPr/>
            </w:pPr>
            <w:r>
              <w:rPr/>
              <w:t>(In Thousands)</w:t>
            </w:r>
          </w:p>
        </w:tc>
      </w:tr>
      <w:tr>
        <w:trPr/>
        <w:tc>
          <w:tcPr>
            <w:tcW w:w="45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8" w:type="dxa"/>
            <w:gridSpan w:val="7"/>
            <w:tcBorders/>
            <w:vAlign w:val="center"/>
          </w:tcPr>
          <w:p>
            <w:pPr>
              <w:pStyle w:val="TableContents"/>
              <w:bidi w:val="0"/>
              <w:spacing w:before="0" w:after="283"/>
              <w:jc w:val="center"/>
              <w:rPr/>
            </w:pPr>
            <w:r>
              <w:rPr/>
              <w:t>Three Months Ended June 30,</w:t>
            </w:r>
          </w:p>
        </w:tc>
        <w:tc>
          <w:tcPr>
            <w:tcW w:w="90" w:type="dxa"/>
            <w:tcBorders/>
            <w:vAlign w:val="center"/>
          </w:tcPr>
          <w:p>
            <w:pPr>
              <w:pStyle w:val="TableContents"/>
              <w:bidi w:val="0"/>
              <w:spacing w:before="0" w:after="283"/>
              <w:jc w:val="left"/>
              <w:rPr/>
            </w:pPr>
            <w:r>
              <w:rPr/>
              <w:t> </w:t>
            </w:r>
          </w:p>
        </w:tc>
        <w:tc>
          <w:tcPr>
            <w:tcW w:w="2668" w:type="dxa"/>
            <w:gridSpan w:val="7"/>
            <w:tcBorders/>
            <w:vAlign w:val="center"/>
          </w:tcPr>
          <w:p>
            <w:pPr>
              <w:pStyle w:val="TableContents"/>
              <w:bidi w:val="0"/>
              <w:spacing w:before="0" w:after="283"/>
              <w:jc w:val="center"/>
              <w:rPr/>
            </w:pPr>
            <w:r>
              <w:rPr/>
              <w:t>Six Months Ended June 30,</w:t>
            </w:r>
          </w:p>
        </w:tc>
      </w:tr>
      <w:tr>
        <w:trPr/>
        <w:tc>
          <w:tcPr>
            <w:tcW w:w="4529"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4"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4"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5"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1312"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r>
      <w:tr>
        <w:trPr/>
        <w:tc>
          <w:tcPr>
            <w:tcW w:w="4529" w:type="dxa"/>
            <w:tcBorders/>
            <w:shd w:fill="CCEEFF" w:val="clear"/>
            <w:vAlign w:val="center"/>
          </w:tcPr>
          <w:p>
            <w:pPr>
              <w:pStyle w:val="TableContents"/>
              <w:bidi w:val="0"/>
              <w:spacing w:before="0" w:after="283"/>
              <w:jc w:val="left"/>
              <w:rPr>
                <w:b/>
              </w:rPr>
            </w:pPr>
            <w:r>
              <w:rPr>
                <w:b/>
              </w:rPr>
              <w:t>Regulated Tariff Sales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left"/>
              <w:rPr/>
            </w:pPr>
            <w:r>
              <w:rPr/>
              <w:t>Residential</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283"/>
              <w:jc w:val="right"/>
              <w:rPr/>
            </w:pPr>
            <w:r>
              <w:rPr/>
              <w:t>26,248</w:t>
            </w:r>
          </w:p>
        </w:tc>
        <w:tc>
          <w:tcPr>
            <w:tcW w:w="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283"/>
              <w:jc w:val="right"/>
              <w:rPr/>
            </w:pPr>
            <w:r>
              <w:rPr/>
              <w:t>24,736</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49,362</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45,066</w:t>
            </w:r>
          </w:p>
        </w:tc>
        <w:tc>
          <w:tcPr>
            <w:tcW w:w="221"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pPr>
            <w:r>
              <w:rPr/>
              <w:t>Commercial</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7,463</w:t>
            </w:r>
          </w:p>
        </w:tc>
        <w:tc>
          <w:tcPr>
            <w:tcW w:w="1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8,584</w:t>
            </w:r>
          </w:p>
        </w:tc>
        <w:tc>
          <w:tcPr>
            <w:tcW w:w="1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14,048</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14,559</w:t>
            </w:r>
          </w:p>
        </w:tc>
        <w:tc>
          <w:tcPr>
            <w:tcW w:w="221" w:type="dxa"/>
            <w:tcBorders/>
            <w:shd w:fill="CCEEFF" w:val="clear"/>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left"/>
              <w:rPr/>
            </w:pPr>
            <w:r>
              <w:rPr/>
              <w:t>Industrial</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3,404</w:t>
            </w:r>
          </w:p>
        </w:tc>
        <w:tc>
          <w:tcPr>
            <w:tcW w:w="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3,639</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6,403</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6,773</w:t>
            </w:r>
          </w:p>
        </w:tc>
        <w:tc>
          <w:tcPr>
            <w:tcW w:w="221"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pPr>
            <w:r>
              <w:rPr/>
              <w:t>Fire Protection</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3,998</w:t>
            </w:r>
          </w:p>
        </w:tc>
        <w:tc>
          <w:tcPr>
            <w:tcW w:w="1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3,656</w:t>
            </w:r>
          </w:p>
        </w:tc>
        <w:tc>
          <w:tcPr>
            <w:tcW w:w="1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7,720</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6,948</w:t>
            </w:r>
          </w:p>
        </w:tc>
        <w:tc>
          <w:tcPr>
            <w:tcW w:w="221" w:type="dxa"/>
            <w:tcBorders/>
            <w:shd w:fill="CCEEFF" w:val="clear"/>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left"/>
              <w:rPr/>
            </w:pPr>
            <w:r>
              <w:rPr/>
              <w:t>Wholesale</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5,047</w:t>
            </w:r>
          </w:p>
        </w:tc>
        <w:tc>
          <w:tcPr>
            <w:tcW w:w="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5,208</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10,061</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9,880</w:t>
            </w:r>
          </w:p>
        </w:tc>
        <w:tc>
          <w:tcPr>
            <w:tcW w:w="221"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b/>
              </w:rPr>
            </w:pPr>
            <w:r>
              <w:rPr>
                <w:b/>
              </w:rPr>
              <w:t>Non-Regulated Contract Operations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3,131</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3,293</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5,964</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6,381</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left"/>
              <w:rPr>
                <w:b/>
              </w:rPr>
            </w:pPr>
            <w:r>
              <w:rPr>
                <w:b/>
              </w:rPr>
              <w:t>Total Revenue from Contracts with Customers</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283"/>
              <w:jc w:val="right"/>
              <w:rPr/>
            </w:pPr>
            <w:r>
              <w:rPr/>
              <w:t>49,291</w:t>
            </w:r>
          </w:p>
        </w:tc>
        <w:tc>
          <w:tcPr>
            <w:tcW w:w="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958" w:type="dxa"/>
            <w:tcBorders/>
            <w:vAlign w:val="center"/>
          </w:tcPr>
          <w:p>
            <w:pPr>
              <w:pStyle w:val="TableContents"/>
              <w:bidi w:val="0"/>
              <w:spacing w:before="0" w:after="283"/>
              <w:jc w:val="right"/>
              <w:rPr/>
            </w:pPr>
            <w:r>
              <w:rPr/>
              <w:t>49,116</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93,558</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89,607</w:t>
            </w:r>
          </w:p>
        </w:tc>
        <w:tc>
          <w:tcPr>
            <w:tcW w:w="221"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pPr>
            <w:r>
              <w:rPr/>
              <w:t>Other Regulated Revenues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107</w:t>
            </w:r>
          </w:p>
        </w:tc>
        <w:tc>
          <w:tcPr>
            <w:tcW w:w="16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143</w:t>
            </w:r>
          </w:p>
        </w:tc>
        <w:tc>
          <w:tcPr>
            <w:tcW w:w="1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169</w:t>
            </w:r>
          </w:p>
        </w:tc>
        <w:tc>
          <w:tcPr>
            <w:tcW w:w="15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205</w:t>
            </w:r>
          </w:p>
        </w:tc>
        <w:tc>
          <w:tcPr>
            <w:tcW w:w="221" w:type="dxa"/>
            <w:tcBorders/>
            <w:shd w:fill="CCEEFF" w:val="clear"/>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left"/>
              <w:rPr/>
            </w:pPr>
            <w:r>
              <w:rPr/>
              <w:t>Other Non-Regulated Revenues</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120</w:t>
            </w:r>
          </w:p>
        </w:tc>
        <w:tc>
          <w:tcPr>
            <w:tcW w:w="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117</w:t>
            </w:r>
          </w:p>
        </w:tc>
        <w:tc>
          <w:tcPr>
            <w:tcW w:w="1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240</w:t>
            </w:r>
          </w:p>
        </w:tc>
        <w:tc>
          <w:tcPr>
            <w:tcW w:w="15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233</w:t>
            </w:r>
          </w:p>
        </w:tc>
        <w:tc>
          <w:tcPr>
            <w:tcW w:w="221"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pPr>
            <w:r>
              <w:rPr/>
              <w:t>Inter-segment Elimination</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(343</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529" w:type="dxa"/>
            <w:tcBorders/>
            <w:vAlign w:val="center"/>
          </w:tcPr>
          <w:p>
            <w:pPr>
              <w:pStyle w:val="TableContents"/>
              <w:bidi w:val="0"/>
              <w:spacing w:before="0" w:after="283"/>
              <w:jc w:val="left"/>
              <w:rPr>
                <w:b/>
              </w:rPr>
            </w:pPr>
            <w:r>
              <w:rPr>
                <w:b/>
              </w:rPr>
              <w:t>Total Revenue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w:t>
            </w:r>
          </w:p>
        </w:tc>
        <w:tc>
          <w:tcPr>
            <w:tcW w:w="958" w:type="dxa"/>
            <w:tcBorders>
              <w:bottom w:val="single" w:sz="8" w:space="0" w:color="000000"/>
            </w:tcBorders>
            <w:tcMar>
              <w:bottom w:w="28" w:type="dxa"/>
            </w:tcMar>
            <w:vAlign w:val="center"/>
          </w:tcPr>
          <w:p>
            <w:pPr>
              <w:pStyle w:val="TableContents"/>
              <w:bidi w:val="0"/>
              <w:spacing w:before="0" w:after="283"/>
              <w:jc w:val="right"/>
              <w:rPr/>
            </w:pPr>
            <w:r>
              <w:rPr/>
              <w:t>49,323</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w:t>
            </w:r>
          </w:p>
        </w:tc>
        <w:tc>
          <w:tcPr>
            <w:tcW w:w="958" w:type="dxa"/>
            <w:tcBorders>
              <w:bottom w:val="single" w:sz="8" w:space="0" w:color="000000"/>
            </w:tcBorders>
            <w:tcMar>
              <w:bottom w:w="28" w:type="dxa"/>
            </w:tcMar>
            <w:vAlign w:val="center"/>
          </w:tcPr>
          <w:p>
            <w:pPr>
              <w:pStyle w:val="TableContents"/>
              <w:bidi w:val="0"/>
              <w:spacing w:before="0" w:after="283"/>
              <w:jc w:val="right"/>
              <w:rPr/>
            </w:pPr>
            <w:r>
              <w:rPr/>
              <w:t>49,146</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tcMar>
              <w:bottom w:w="28" w:type="dxa"/>
            </w:tcMar>
            <w:vAlign w:val="center"/>
          </w:tcPr>
          <w:p>
            <w:pPr>
              <w:pStyle w:val="TableContents"/>
              <w:bidi w:val="0"/>
              <w:spacing w:before="0" w:after="283"/>
              <w:jc w:val="left"/>
              <w:rPr/>
            </w:pPr>
            <w:r>
              <w:rPr/>
              <w:t>$</w:t>
            </w:r>
          </w:p>
        </w:tc>
        <w:tc>
          <w:tcPr>
            <w:tcW w:w="881" w:type="dxa"/>
            <w:tcBorders>
              <w:bottom w:val="single" w:sz="8" w:space="0" w:color="000000"/>
            </w:tcBorders>
            <w:tcMar>
              <w:bottom w:w="28" w:type="dxa"/>
            </w:tcMar>
            <w:vAlign w:val="center"/>
          </w:tcPr>
          <w:p>
            <w:pPr>
              <w:pStyle w:val="TableContents"/>
              <w:bidi w:val="0"/>
              <w:spacing w:before="0" w:after="283"/>
              <w:jc w:val="right"/>
              <w:rPr/>
            </w:pPr>
            <w:r>
              <w:rPr/>
              <w:t>93,624</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210" w:type="dxa"/>
            <w:tcBorders>
              <w:bottom w:val="single" w:sz="8" w:space="0" w:color="000000"/>
            </w:tcBorders>
            <w:tcMar>
              <w:bottom w:w="28" w:type="dxa"/>
            </w:tcMar>
            <w:vAlign w:val="center"/>
          </w:tcPr>
          <w:p>
            <w:pPr>
              <w:pStyle w:val="TableContents"/>
              <w:bidi w:val="0"/>
              <w:spacing w:before="0" w:after="283"/>
              <w:jc w:val="left"/>
              <w:rPr/>
            </w:pPr>
            <w:r>
              <w:rPr/>
              <w:t>$</w:t>
            </w:r>
          </w:p>
        </w:tc>
        <w:tc>
          <w:tcPr>
            <w:tcW w:w="881" w:type="dxa"/>
            <w:tcBorders>
              <w:bottom w:val="single" w:sz="8" w:space="0" w:color="000000"/>
            </w:tcBorders>
            <w:tcMar>
              <w:bottom w:w="28" w:type="dxa"/>
            </w:tcMar>
            <w:vAlign w:val="center"/>
          </w:tcPr>
          <w:p>
            <w:pPr>
              <w:pStyle w:val="TableContents"/>
              <w:bidi w:val="0"/>
              <w:spacing w:before="0" w:after="283"/>
              <w:jc w:val="right"/>
              <w:rPr/>
            </w:pPr>
            <w:r>
              <w:rPr/>
              <w:t>89,670</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11.6% and 11.3% for the three and six months ended June 30, 2025, respectively, compared to 24.3% and 18.0% for the same periods in 2024. We evaluate and update our annual effective income tax rate on a quarterly basis based on current and forecasted operating results and tax laws. Income Taxes for the three months ended June 30, 2025 decreased by $2.0 million from the same period in 2024, primarily due to lower pre-tax income and higher income tax benefits associated with increased repair expenditures on tangible property in the Middlesex System. Income Taxes for the six months ended June 30, 2025 decreased by $2.1 million from the same period in 2024, primarily due to lower pretax income and higher income tax benefits associated with increased repair expenditures on tangible property in the Middlesex System offset by the 2024 recovery of income taxes on the taxable portion of the proceeds from a litigation agreement.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Federal tax rate is 21.0% for the three and six months ended June 30, 2025 and 2024. For states with a corporate net income tax, the state corporate net income tax rates range from 8.7% to 9.0% for all periods presented. Our effective tax rate differs from the federal statutory tax rate primarily due to the recognition of the income tax benefits for the immediate deduction of repair expenditures on tangible property in the Middlesex System as well as other permanent book-to-tax differences.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the One Big Beautiful Bill Act, which includes several changes to U.S. federal income tax law, including the temporary and permanent extension, of expiring provisions of the Tax Cuts and Jobs Act of 2017. The Company is assessing these impacts on its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financial condition, performance, prospects and earnings of the Company;</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plans for growth;</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and timing of rate increases and other regulatory matters, including the recovery of certain costs recorded as regulatory assets;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expected liquidity needs during the upcoming fiscal year and beyond and the sources and availability of funds to meet its liquidity needs;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customer rates, consumption volumes, service fees, revenues, margins, expenses and operating results;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projections;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amount of cash contributions to fund the Company’s retirement benefit plans, anticipated discount rates and rates of return on plan assets;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the Company to pay dividends;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compliance with environmental laws and regulations and estimations of the materiality of any related costs;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changes in federal and state regulations;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safety and reliability of the Company’s equipment, facilities and operations;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plans to renew municipal franchises and consents in the territories it serves; </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trends; and</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and quality of our water supply.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10"/>
        <w:gridCol w:w="999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effects of general economic conditions, including recently announced tariffs;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in competition for growth in non-franchised markets to be potentially served by the Company;</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of the Company to adequately control selected operating expenses which are necessary to maintain safe and proper utility services, and which may be beyond the Company’s control;</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adequate supplies of quality water;</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taken by government regulators, including decisions on rate increase requests;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or modified water quality standards and compliance with related legal and regulatory requirements;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weather variations, including climate variability, and other natural phenomena impacting utility operations;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and operating risks associated with acquisitions and/or privatizations;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acts of war or terrorism;</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cyber-attacks;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pace of new housing development;</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availability and cost of capital resources; </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timely availability of materials and supplies for operations and critical infrastructure projects;</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of internal control over financial reporting; and</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discussed elsewhere in this report.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additional discussion of factors that may affect the Company’s business and results of operations, see Item 1A. - Risk Factors in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Delaware subsidiaries, Tidewater and Southern Shores Water Company, LLC, provide water services to approximately 64,000 retail customers in New Castle, Kent and Sussex Counties, Delaware. Tidewater’s subsidiary, White Marsh, services approximately 3,300 households in Kent and Sussex Counties through various operations and maintenance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Acquisition of the Water Utility Assets of the Town of Ocean View, Delaware </w:t>
      </w:r>
      <w:r>
        <w:rPr>
          <w:rFonts w:ascii="Times New Roman;Times;Serif" w:hAnsi="Times New Roman;Times;Serif"/>
          <w:b w:val="false"/>
          <w:i w:val="false"/>
          <w:caps w:val="false"/>
          <w:smallCaps w:val="false"/>
          <w:sz w:val="20"/>
        </w:rPr>
        <w:t>- In April 2025, Tidewater completed the acquisition of the water utility assets of the Town of Ocean View, Delaware (Ocean View) for approximately $4.6 million. Ocean View serves approximately 900 customers in Sussex County, Delaware, who have been receiving water supply from Tidewater since the system was constructed in 2008.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Rates and Regulatory Activity – </w:t>
      </w:r>
      <w:r>
        <w:rPr>
          <w:rFonts w:ascii="Times New Roman;Times;Serif" w:hAnsi="Times New Roman;Times;Serif"/>
          <w:b w:val="false"/>
          <w:i w:val="false"/>
          <w:caps w:val="false"/>
          <w:smallCaps w:val="false"/>
          <w:sz w:val="20"/>
        </w:rPr>
        <w:t xml:space="preserve">In July 2025, Tidewater received a Delaware Public Service Commission (DEPSC) order approving the settlement agreement in our general base rate application between Tidewater, DEPSC Staff and the Delaware Division of the Public Advocate. In addition, in June 2025, Middlesex and Pinelands filed a Joint Application for general base rate increase. See Note 2, </w:t>
      </w:r>
      <w:r>
        <w:rPr>
          <w:rFonts w:ascii="Times New Roman;Times;Serif" w:hAnsi="Times New Roman;Times;Serif"/>
          <w:b w:val="false"/>
          <w:i/>
          <w:caps w:val="false"/>
          <w:smallCaps w:val="false"/>
          <w:sz w:val="20"/>
        </w:rPr>
        <w:t>Rate and Regulatory Matters</w:t>
      </w:r>
      <w:r>
        <w:rPr>
          <w:rFonts w:ascii="Times New Roman;Times;Serif" w:hAnsi="Times New Roman;Times;Serif"/>
          <w:b w:val="false"/>
          <w:i w:val="false"/>
          <w:caps w:val="false"/>
          <w:smallCaps w:val="false"/>
          <w:sz w:val="20"/>
        </w:rPr>
        <w:t xml:space="preserve"> for more details about our rates and regulatory activity in Delaware and New Jersey.</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Environmental Protection Agency (USEPA) Issues Final Perfluoroalkyl Substances (PFAS) Regulations</w:t>
      </w:r>
      <w:r>
        <w:rPr>
          <w:rFonts w:ascii="Times New Roman;Times;Serif" w:hAnsi="Times New Roman;Times;Serif"/>
          <w:b w:val="false"/>
          <w:i w:val="false"/>
          <w:caps w:val="false"/>
          <w:smallCaps w:val="false"/>
          <w:sz w:val="20"/>
        </w:rPr>
        <w:t xml:space="preserve"> -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in Fall 2025 extending the compliance date to 2031.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these new USEPA standards, in 2023, the Company began, and continues, implementing its strategy to meet these lower MCLs for Regulated PFAS and is currently performing preliminary engineering studies to ensure that effective PFAS treatment approaches are implemented.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Construction Program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Company’s multi-year capital construction program encompasses numerous projects designed to upgrade and replace utility infrastructure as well as enhance the integrity and reliability of assets to maintain and improve service for the current and future generations of water and wastewater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The Company plans to invest approximately $93 million in 2025 in connection with this plan for projects that include, but are not limited to:</w:t>
      </w:r>
    </w:p>
    <w:p>
      <w:pPr>
        <w:pStyle w:val="TextBody"/>
        <w:bidi w:val="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Replacement of 19,550 linear feet of cast iron main in Woodbridge Township in our Middlesex System;</w:t>
            </w:r>
          </w:p>
        </w:tc>
      </w:tr>
      <w:tr>
        <w:trPr/>
        <w:tc>
          <w:tcPr>
            <w:tcW w:w="1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 of new elevated water tanks in Delaware; and</w:t>
            </w:r>
          </w:p>
        </w:tc>
      </w:tr>
      <w:tr>
        <w:trPr/>
        <w:tc>
          <w:tcPr>
            <w:tcW w:w="1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Various water main replacements and improvements.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capital expenditures is dependent on project scheduling and refinement of engineering estimates for certain capital projects.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As operating costs are anticipated to increase in 2025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system infrastructure continue to grow significantly and our operating costs are anticipated to increase in 2025 and 2026 in a variety of categories. These factors, among others, required a base rate increase request by Middlesex and Pinelands in June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organic residential customer growth continues in our Tidewater system (approximately 3.5% in 2024). However, current and evolving economic market conditions may challenge that growth.</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selective and sustainable growth is focused on the following key areas:</w:t>
      </w:r>
    </w:p>
    <w:p>
      <w:pPr>
        <w:pStyle w:val="TextBody"/>
        <w:bidi w:val="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Invest in our utility infrastructure to build system resiliency and meet compliance requirements;</w:t>
      </w:r>
    </w:p>
    <w:p>
      <w:pPr>
        <w:pStyle w:val="TextBody"/>
        <w:bidi w:val="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Timely and adequate recovery of infrastructure investments and other costs to maintain and continually improve service quality;</w:t>
      </w:r>
    </w:p>
    <w:p>
      <w:pPr>
        <w:pStyle w:val="TextBody"/>
        <w:bidi w:val="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Selective acquisitions of investor and municipally-owned water and wastewater utilities; and</w:t>
      </w:r>
    </w:p>
    <w:p>
      <w:pPr>
        <w:pStyle w:val="TextBody"/>
        <w:bidi w:val="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Operation of municipal and industrial water and wastewater systems on a contract basis which meet our risk profile.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 by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bidi w:val="0"/>
        <w:ind w:left="0" w:right="0" w:firstLine="2355"/>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segments in the tables included below are comprised of the following companies: Regulated-Middlesex, Tidewater, Pinelands and Southern Shores; Non-Regulated-USA, USA-PA, and White Marsh.</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0"/>
        <w:gridCol w:w="90"/>
        <w:gridCol w:w="209"/>
        <w:gridCol w:w="876"/>
        <w:gridCol w:w="90"/>
        <w:gridCol w:w="90"/>
        <w:gridCol w:w="242"/>
        <w:gridCol w:w="843"/>
        <w:gridCol w:w="90"/>
        <w:gridCol w:w="90"/>
        <w:gridCol w:w="170"/>
        <w:gridCol w:w="710"/>
        <w:gridCol w:w="90"/>
        <w:gridCol w:w="90"/>
        <w:gridCol w:w="209"/>
        <w:gridCol w:w="876"/>
        <w:gridCol w:w="90"/>
        <w:gridCol w:w="90"/>
        <w:gridCol w:w="242"/>
        <w:gridCol w:w="843"/>
        <w:gridCol w:w="90"/>
        <w:gridCol w:w="90"/>
        <w:gridCol w:w="170"/>
        <w:gridCol w:w="710"/>
        <w:gridCol w:w="135"/>
      </w:tblGrid>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00" w:type="dxa"/>
            <w:gridSpan w:val="22"/>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000" w:type="dxa"/>
            <w:gridSpan w:val="22"/>
            <w:tcBorders/>
            <w:vAlign w:val="center"/>
          </w:tcPr>
          <w:p>
            <w:pPr>
              <w:pStyle w:val="TableContents"/>
              <w:bidi w:val="0"/>
              <w:spacing w:before="0" w:after="283"/>
              <w:jc w:val="center"/>
              <w:rPr>
                <w:b/>
              </w:rPr>
            </w:pPr>
            <w:r>
              <w:rPr>
                <w:b/>
              </w:rPr>
              <w:t>Three Months Ended June 30,</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Non-</w:t>
              <w:b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Non-</w:t>
              <w:b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46,192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3,131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49,323</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45,853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3,293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49,146</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Operations and Maintenance Expense</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21,035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2,031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23,066</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19,660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21,825</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6,638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6,703</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6,305</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Other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283"/>
              <w:jc w:val="right"/>
              <w:rPr/>
            </w:pPr>
            <w:r>
              <w:rPr/>
              <w:t>5,576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tcMar>
              <w:bottom w:w="28" w:type="dxa"/>
            </w:tcMar>
            <w:vAlign w:val="center"/>
          </w:tcPr>
          <w:p>
            <w:pPr>
              <w:pStyle w:val="TableContents"/>
              <w:bidi w:val="0"/>
              <w:spacing w:before="0" w:after="283"/>
              <w:jc w:val="right"/>
              <w:rPr/>
            </w:pPr>
            <w:r>
              <w:rPr/>
              <w:t>66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5,642</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283"/>
              <w:jc w:val="right"/>
              <w:rPr/>
            </w:pPr>
            <w:r>
              <w:rPr/>
              <w:t>5,640</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tcMar>
              <w:bottom w:w="28" w:type="dxa"/>
            </w:tcMar>
            <w:vAlign w:val="center"/>
          </w:tcPr>
          <w:p>
            <w:pPr>
              <w:pStyle w:val="TableContents"/>
              <w:bidi w:val="0"/>
              <w:spacing w:before="0" w:after="283"/>
              <w:jc w:val="right"/>
              <w:rPr/>
            </w:pPr>
            <w:r>
              <w:rPr/>
              <w:t>61</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5,701</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b/>
              </w:rPr>
            </w:pPr>
            <w:r>
              <w:rPr>
                <w:b/>
              </w:rPr>
              <w:t>Operating Income</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12,943</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969</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13,912</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14,314</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1,001</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15,315</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1,860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1,898</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2,606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2,656</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Interest Charges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3,623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3,623</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4,041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4,041</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Income Taxes</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1,088</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1,409</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3,053</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331</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3,384</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b/>
              </w:rPr>
            </w:pPr>
            <w:r>
              <w:rPr>
                <w:b/>
              </w:rPr>
              <w:t>Net Income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tcMar>
              <w:bottom w:w="28" w:type="dxa"/>
            </w:tcMar>
            <w:vAlign w:val="center"/>
          </w:tcPr>
          <w:p>
            <w:pPr>
              <w:pStyle w:val="TableContents"/>
              <w:bidi w:val="0"/>
              <w:spacing w:before="0" w:after="283"/>
              <w:jc w:val="right"/>
              <w:rPr/>
            </w:pPr>
            <w:r>
              <w:rPr/>
              <w:t>10,092</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tcMar>
              <w:bottom w:w="28" w:type="dxa"/>
            </w:tcMar>
            <w:vAlign w:val="center"/>
          </w:tcPr>
          <w:p>
            <w:pPr>
              <w:pStyle w:val="TableContents"/>
              <w:bidi w:val="0"/>
              <w:spacing w:before="0" w:after="283"/>
              <w:jc w:val="right"/>
              <w:rPr/>
            </w:pPr>
            <w:r>
              <w:rPr/>
              <w:t>686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10,778</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tcMar>
              <w:bottom w:w="28" w:type="dxa"/>
            </w:tcMar>
            <w:vAlign w:val="center"/>
          </w:tcPr>
          <w:p>
            <w:pPr>
              <w:pStyle w:val="TableContents"/>
              <w:bidi w:val="0"/>
              <w:spacing w:before="0" w:after="283"/>
              <w:jc w:val="right"/>
              <w:rPr/>
            </w:pPr>
            <w:r>
              <w:rPr/>
              <w:t>9,826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tcMar>
              <w:bottom w:w="28" w:type="dxa"/>
            </w:tcMar>
            <w:vAlign w:val="center"/>
          </w:tcPr>
          <w:p>
            <w:pPr>
              <w:pStyle w:val="TableContents"/>
              <w:bidi w:val="0"/>
              <w:spacing w:before="0" w:after="283"/>
              <w:jc w:val="right"/>
              <w:rPr/>
            </w:pPr>
            <w:r>
              <w:rPr/>
              <w:t>720</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10,546</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three months ended June 30, 2025 increased $0.2 million from the same period in 2024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 xml:space="preserve">Middlesex System revenues decreased $0.3 million due to lower customer consumption driven by unfavorable weather partially offset by increased DSIC and Lead Service Line (LSL) Recovery rate increases (see Note 2, </w:t>
            </w:r>
            <w:r>
              <w:rPr>
                <w:i/>
              </w:rPr>
              <w:t>Rate and Regulatory Matters</w:t>
            </w: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Tidewater System revenues increased $0.6 million due to customer growth and an interim rate increase effective November 1, 2024 partially offset by lower customer consumption driven by unfavorable weather;</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Non-regulated revenues decreased $0.2 million, primarily due to lower supplemental contract services; and</w:t>
            </w:r>
          </w:p>
        </w:tc>
      </w:tr>
    </w:tbl>
    <w:tbl>
      <w:tblPr>
        <w:tblW w:w="5000" w:type="pct"/>
        <w:jc w:val="left"/>
        <w:tblInd w:w="0" w:type="dxa"/>
        <w:tblLayout w:type="fixed"/>
        <w:tblCellMar>
          <w:top w:w="0" w:type="dxa"/>
          <w:left w:w="0" w:type="dxa"/>
          <w:bottom w:w="0" w:type="dxa"/>
          <w:right w:w="0" w:type="dxa"/>
        </w:tblCellMar>
      </w:tblPr>
      <w:tblGrid>
        <w:gridCol w:w="132"/>
        <w:gridCol w:w="391"/>
        <w:gridCol w:w="9682"/>
      </w:tblGrid>
      <w:tr>
        <w:trPr/>
        <w:tc>
          <w:tcPr>
            <w:tcW w:w="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both"/>
              <w:rPr/>
            </w:pPr>
            <w:r>
              <w:rPr/>
              <w:t>All other revenue categories increased $0.1 million.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Operations and Maintenance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 Expense for the three months ended June 30, 2025 increased $1.2 million from the same period in 2024 due to higher production costs from lower weather-driven water quality, increased weather-driven main break repair costs and higher labor cost due to wage and employee headcount increases partially offset by higher capitalizable costs.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2025 increased $0.4 million from the same period in 2024 due to higher average utility plant in service during the quarter.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three months ended June 30, 2025 decreased $0.1 million from the same period in 2024 primarily due to lower gross receipts taxes on lower revenue in our Middlesex system.</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three months ended June 30, 2025 decreased $0.8 million from the same period in 2024 due to lower actuarially-determined retirement benefit plans non-service benefit partially offset by higher Allowance for Funds Used During Construction from increased capital expenditures.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three months ended June 30, 2025 decreased $0.4 million from the same period in 2024 due to lower average debt outstanding and lower average interest rates.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three months ended June 30, 2025 decreased by $2.0 million from the same period in 2024, primarily due to lower pre-tax income and higher income tax benefits associated with increased repair expenditures on tangible property in the Middlesex System.</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2025</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0"/>
        <w:gridCol w:w="90"/>
        <w:gridCol w:w="209"/>
        <w:gridCol w:w="876"/>
        <w:gridCol w:w="90"/>
        <w:gridCol w:w="90"/>
        <w:gridCol w:w="242"/>
        <w:gridCol w:w="843"/>
        <w:gridCol w:w="90"/>
        <w:gridCol w:w="90"/>
        <w:gridCol w:w="170"/>
        <w:gridCol w:w="710"/>
        <w:gridCol w:w="90"/>
        <w:gridCol w:w="90"/>
        <w:gridCol w:w="209"/>
        <w:gridCol w:w="876"/>
        <w:gridCol w:w="90"/>
        <w:gridCol w:w="90"/>
        <w:gridCol w:w="242"/>
        <w:gridCol w:w="843"/>
        <w:gridCol w:w="90"/>
        <w:gridCol w:w="90"/>
        <w:gridCol w:w="170"/>
        <w:gridCol w:w="710"/>
        <w:gridCol w:w="135"/>
      </w:tblGrid>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00" w:type="dxa"/>
            <w:gridSpan w:val="22"/>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000" w:type="dxa"/>
            <w:gridSpan w:val="22"/>
            <w:tcBorders/>
            <w:vAlign w:val="center"/>
          </w:tcPr>
          <w:p>
            <w:pPr>
              <w:pStyle w:val="TableContents"/>
              <w:bidi w:val="0"/>
              <w:spacing w:before="0" w:after="283"/>
              <w:jc w:val="center"/>
              <w:rPr>
                <w:b/>
              </w:rPr>
            </w:pPr>
            <w:r>
              <w:rPr>
                <w:b/>
              </w:rPr>
              <w:t>Six Months Ended June 30,</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Non-</w:t>
              <w:b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Non-</w:t>
              <w:br/>
              <w:t>Regulated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87,660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5,964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93,624</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83,289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6,381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89,670</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Operations and Maintenance Expense</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40,288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3,887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44,175</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38,023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4,267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42,290</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13,102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13,230</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11,568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11,701</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Other Taxes</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283"/>
              <w:jc w:val="right"/>
              <w:rPr/>
            </w:pPr>
            <w:r>
              <w:rPr/>
              <w:t>10,626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tcMar>
              <w:bottom w:w="28" w:type="dxa"/>
            </w:tcMar>
            <w:vAlign w:val="center"/>
          </w:tcPr>
          <w:p>
            <w:pPr>
              <w:pStyle w:val="TableContents"/>
              <w:bidi w:val="0"/>
              <w:spacing w:before="0" w:after="283"/>
              <w:jc w:val="right"/>
              <w:rPr/>
            </w:pPr>
            <w:r>
              <w:rPr/>
              <w:t>124</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10,750</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283"/>
              <w:jc w:val="right"/>
              <w:rPr/>
            </w:pPr>
            <w:r>
              <w:rPr/>
              <w:t>10,383</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tcMar>
              <w:bottom w:w="28" w:type="dxa"/>
            </w:tcMar>
            <w:vAlign w:val="center"/>
          </w:tcPr>
          <w:p>
            <w:pPr>
              <w:pStyle w:val="TableContents"/>
              <w:bidi w:val="0"/>
              <w:spacing w:before="0" w:after="283"/>
              <w:jc w:val="right"/>
              <w:rPr/>
            </w:pPr>
            <w:r>
              <w:rPr/>
              <w:t>116</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10,499</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b/>
              </w:rPr>
            </w:pPr>
            <w:r>
              <w:rPr>
                <w:b/>
              </w:rPr>
              <w:t>Operating Income</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23,644</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1,825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25,469</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23,315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1,865</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25,180</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3,603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3,696</w:t>
            </w:r>
          </w:p>
        </w:tc>
        <w:tc>
          <w:tcPr>
            <w:tcW w:w="90" w:type="dxa"/>
            <w:tcBorders/>
            <w:shd w:fill="CCEEFF" w:val="clear"/>
            <w:vAlign w:val="center"/>
          </w:tcPr>
          <w:p>
            <w:pPr>
              <w:pStyle w:val="TableContents"/>
              <w:bidi w:val="0"/>
              <w:spacing w:before="0" w:after="283"/>
              <w:jc w:val="lef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7,912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8,021</w:t>
            </w:r>
          </w:p>
        </w:tc>
        <w:tc>
          <w:tcPr>
            <w:tcW w:w="135" w:type="dxa"/>
            <w:tcBorders/>
            <w:shd w:fill="CCEEFF" w:val="cle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pPr>
            <w:r>
              <w:rPr/>
              <w:t>Interest Charges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6,336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6,336</w:t>
            </w:r>
          </w:p>
        </w:tc>
        <w:tc>
          <w:tcPr>
            <w:tcW w:w="90" w:type="dxa"/>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7,310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7,310</w:t>
            </w:r>
          </w:p>
        </w:tc>
        <w:tc>
          <w:tcPr>
            <w:tcW w:w="135" w:type="dxa"/>
            <w:tcBorders/>
            <w:vAlign w:val="center"/>
          </w:tcPr>
          <w:p>
            <w:pPr>
              <w:pStyle w:val="TableContents"/>
              <w:bidi w:val="0"/>
              <w:spacing w:before="0" w:after="283"/>
              <w:jc w:val="left"/>
              <w:rPr/>
            </w:pPr>
            <w:r>
              <w:rPr/>
              <w:t> </w:t>
            </w:r>
          </w:p>
        </w:tc>
      </w:tr>
      <w:tr>
        <w:trPr/>
        <w:tc>
          <w:tcPr>
            <w:tcW w:w="2980" w:type="dxa"/>
            <w:tcBorders/>
            <w:shd w:fill="CCEEFF" w:val="clear"/>
            <w:vAlign w:val="center"/>
          </w:tcPr>
          <w:p>
            <w:pPr>
              <w:pStyle w:val="TableContents"/>
              <w:bidi w:val="0"/>
              <w:spacing w:before="0" w:after="283"/>
              <w:jc w:val="left"/>
              <w:rPr/>
            </w:pPr>
            <w:r>
              <w:rPr/>
              <w:t>Income Taxes Expense (Benefit)</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1,960</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611</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2,571</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4,040</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pPr>
            <w:r>
              <w:rPr/>
              <w:t>623</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4,663</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80" w:type="dxa"/>
            <w:tcBorders/>
            <w:vAlign w:val="center"/>
          </w:tcPr>
          <w:p>
            <w:pPr>
              <w:pStyle w:val="TableContents"/>
              <w:bidi w:val="0"/>
              <w:spacing w:before="0" w:after="283"/>
              <w:jc w:val="left"/>
              <w:rPr>
                <w:b/>
              </w:rPr>
            </w:pPr>
            <w:r>
              <w:rPr>
                <w:b/>
              </w:rPr>
              <w:t>Net Income</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tcMar>
              <w:bottom w:w="28" w:type="dxa"/>
            </w:tcMar>
            <w:vAlign w:val="center"/>
          </w:tcPr>
          <w:p>
            <w:pPr>
              <w:pStyle w:val="TableContents"/>
              <w:bidi w:val="0"/>
              <w:spacing w:before="0" w:after="283"/>
              <w:jc w:val="right"/>
              <w:rPr/>
            </w:pPr>
            <w:r>
              <w:rPr/>
              <w:t>18,951</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tcMar>
              <w:bottom w:w="28" w:type="dxa"/>
            </w:tcMar>
            <w:vAlign w:val="center"/>
          </w:tcPr>
          <w:p>
            <w:pPr>
              <w:pStyle w:val="TableContents"/>
              <w:bidi w:val="0"/>
              <w:spacing w:before="0" w:after="283"/>
              <w:jc w:val="right"/>
              <w:rPr/>
            </w:pPr>
            <w:r>
              <w:rPr/>
              <w:t>1,307</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20,258</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09" w:type="dxa"/>
            <w:tcBorders>
              <w:bottom w:val="single" w:sz="8" w:space="0" w:color="000000"/>
            </w:tcBorders>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tcMar>
              <w:bottom w:w="28" w:type="dxa"/>
            </w:tcMar>
            <w:vAlign w:val="center"/>
          </w:tcPr>
          <w:p>
            <w:pPr>
              <w:pStyle w:val="TableContents"/>
              <w:bidi w:val="0"/>
              <w:spacing w:before="0" w:after="283"/>
              <w:jc w:val="right"/>
              <w:rPr/>
            </w:pPr>
            <w:r>
              <w:rPr/>
              <w:t>19,877</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 w:type="dxa"/>
            <w:tcBorders>
              <w:bottom w:val="single" w:sz="8" w:space="0" w:color="000000"/>
            </w:tcBorders>
            <w:tcMar>
              <w:bottom w:w="28" w:type="dxa"/>
            </w:tcMar>
            <w:vAlign w:val="center"/>
          </w:tcPr>
          <w:p>
            <w:pPr>
              <w:pStyle w:val="TableContents"/>
              <w:bidi w:val="0"/>
              <w:spacing w:before="0" w:after="283"/>
              <w:jc w:val="left"/>
              <w:rPr/>
            </w:pPr>
            <w:r>
              <w:rPr/>
              <w:t>$</w:t>
            </w:r>
          </w:p>
        </w:tc>
        <w:tc>
          <w:tcPr>
            <w:tcW w:w="843" w:type="dxa"/>
            <w:tcBorders>
              <w:bottom w:val="single" w:sz="8" w:space="0" w:color="000000"/>
            </w:tcBorders>
            <w:tcMar>
              <w:bottom w:w="28" w:type="dxa"/>
            </w:tcMar>
            <w:vAlign w:val="center"/>
          </w:tcPr>
          <w:p>
            <w:pPr>
              <w:pStyle w:val="TableContents"/>
              <w:bidi w:val="0"/>
              <w:spacing w:before="0" w:after="283"/>
              <w:jc w:val="right"/>
              <w:rPr/>
            </w:pPr>
            <w:r>
              <w:rPr/>
              <w:t>1,351</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710" w:type="dxa"/>
            <w:tcBorders>
              <w:bottom w:val="single" w:sz="8" w:space="0" w:color="000000"/>
            </w:tcBorders>
            <w:tcMar>
              <w:bottom w:w="28" w:type="dxa"/>
            </w:tcMar>
            <w:vAlign w:val="center"/>
          </w:tcPr>
          <w:p>
            <w:pPr>
              <w:pStyle w:val="TableContents"/>
              <w:bidi w:val="0"/>
              <w:spacing w:before="0" w:after="283"/>
              <w:jc w:val="right"/>
              <w:rPr/>
            </w:pPr>
            <w:r>
              <w:rPr/>
              <w:t>21,228</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six months ended June 30, 2025 increased $4.0 million from the same period in 2024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 xml:space="preserve">Middlesex System revenues increased $3.1 million due to the base rate increase effective March 1, 2024 and increased DSIC and LSL Recovery rate increases (see Note 2, </w:t>
            </w:r>
            <w:r>
              <w:rPr>
                <w:i/>
              </w:rPr>
              <w:t>Rate and Regulatory Matters</w:t>
            </w:r>
            <w:r>
              <w:rPr/>
              <w:t>) partially offset by less customer consumption driven by unfavorable weather;</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Tidewater System revenues increased $1.2 million due to customer growth and an interim rate increase effective November 1, 2024 partially offset by lower customer consumption driven by unfavorable weather;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Non-regulated revenues decreased $0.4 million, primarily due to lower supplemental contract services; and</w:t>
            </w:r>
          </w:p>
        </w:tc>
      </w:tr>
    </w:tbl>
    <w:tbl>
      <w:tblPr>
        <w:tblW w:w="5000" w:type="pct"/>
        <w:jc w:val="left"/>
        <w:tblInd w:w="0" w:type="dxa"/>
        <w:tblLayout w:type="fixed"/>
        <w:tblCellMar>
          <w:top w:w="0" w:type="dxa"/>
          <w:left w:w="0" w:type="dxa"/>
          <w:bottom w:w="0" w:type="dxa"/>
          <w:right w:w="0" w:type="dxa"/>
        </w:tblCellMar>
      </w:tblPr>
      <w:tblGrid>
        <w:gridCol w:w="132"/>
        <w:gridCol w:w="391"/>
        <w:gridCol w:w="9682"/>
      </w:tblGrid>
      <w:tr>
        <w:trPr/>
        <w:tc>
          <w:tcPr>
            <w:tcW w:w="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both"/>
              <w:rPr/>
            </w:pPr>
            <w:r>
              <w:rPr/>
              <w:t>All other revenue categories increased $0.1 million.</w:t>
            </w:r>
          </w:p>
        </w:tc>
      </w:tr>
    </w:tbl>
    <w:p>
      <w:pPr>
        <w:pStyle w:val="TextBody"/>
        <w:bidi w:val="0"/>
        <w:ind w:left="72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Operations and Maintenance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 Expense for the six months ended June 30, 2025 increased $1.9 million from the same period in 2024 due to increased production costs from weather-driven lower water quality, increased weather-driven main break repair costs, higher labor cost due to wage and employee headcount increases and the one-time recovery in 2024 of previous water treatment operating costs at Middlesex’s Park Avenue Plant in connection with Middlesex’s 2023 rate case order, partially offset by higher capitalizable costs.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increased $1.5 million from the same period in 2024 due to higher average utility plant in service and the one-time recovery in 2024 of previous depreciation costs related to the PFAS treatment upgrades at Middlesex’s Park Avenue Plant in connection with Middlesex’s 2023 rate case order,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six months ended June 30, 2025 increased $0.3 million from the same period in 2024 primarily due to higher gross receipts taxes on higher revenue in our Middlesex system.</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six months ended June 30, 2025 decreased $4.3 million from the same period in 2024 due to lower actuarially-determined retirement benefit plans non-service benefit and the one-time recovery in 2024 of carrying costs on PFAS treatment upgrades at Middlesex’s Park Avenue Plant in connection with Middlesex’s 2023 rate case order, partially offset by higher Allowance for Funds Used During Construction from increased capital expenditures.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six months ended June 30, 2025 decreased $1.0 million from the same period in 2024 due to lower average debt outstanding and lower average interest rates.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six months ended June 30, 2025 decreased by $2.1 million from the same period in 2024, primarily due to lower pretax income and higher income tax benefits associated with increased repair expenditures on tangible property in the Middlesex System offset by the 2024 recovery of income taxes on the taxable portion of the proceeds from a litigation agreement. The conclusion of Middlesex’s 2023 base rate increase request allowed Middlesex to recover costs, including income taxes, from the proceeds from a litigation agreement related to the PFAS treatment upgrades at Middlesex’s Park Avenue Plant.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operations are largely based on four factors: weather, adequate and timely rate increases, effective cost management and customer growth. The effect of those factors on net income is discussed in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cash flows from operating activities increased $14.2 million to $32.1 million. The increase in cash flows from operating activities primarily resulted from the impact of Middlesex’s approved base rate increase effective March 1, 2024 and timing of vendor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cash flows used in investing activities increased $26.5 million to $55.2 million due to increased utility plant expenditures in 2025 and Tidewater’s acquisition of the water utility assets of Ocean 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future capital expenditures and expected funding sources, see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cash flows from financing activities increased $6.7 million to $23.2 million. The increase in cash flows provided by financing activities is due to higher borrowings under the Company’s lines of credit and higher proceeds from the issuance of common stock under Middlesex’s new At -the-Market equity offering program (for further information on Middlesex’s At -the-Market equity offering program, see below under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 and Commitments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capital program, we use internally generated funds, short-term and long-term debt borrowings, proceeds from sales of common stock under the Middlesex Water Company Investment Plan and, when market conditions are favorable, proceeds from sales to the public of our common stock.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New Jersey Board of Public Utilities (NJBPU) to borrow up to $300.0 million from the New Jersey SRF Program, the New Jersey Economic Development Authority, private placement and other financial institutions as needed through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Middlesex filed a petition with the NJBPU to borrow up to $260.0 million during the period January 2026 through December 2028, in one or more negotiated transactions in the form of notes and/or first mortgage bonds through loans from the New Jersey State Revolving Fund Program, the New Jersey Economic Development Authority, private placement and other financial institutions as needed in order to fund portions of its capital program and other funding requirements. The NJBPU is expected to render its decision on this petition in the third quarter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issue debt securities in a series of one or more transaction offerings over a multi-year period to help fund Middlesex’s multi-year capital construction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$1.7 million as of June 30, 2025 and expects that the requisitions will continue through the fourth quarter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$0.9 million on these loans as of June 30, 2025. Each project has its own construction timetable with the last spending set to occur in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also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June 30, 2025 and expects that the requisitions will continue through the fourth quarter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Middlesex entered into an At -the-Market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Since the inception of the Equity Sales Agreement through June 30, 2025, the Company has issued and sold 63,955 shares of common stock at a weighted average price of $57.23 for a total net proceeds of $3.6 million and has $106.3 million of aggregate gross sales price of shares remaining to issue under the Equity Sales Agreement as of June 30, 2025.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Middlesex filed a petition with the NJBPU seeking approval to issue and sell up to 2.5 million shares of its common stock during the period January 2026 through December 2028, in one or more offerings through a traditional underwritten public offering and/or an ATM offering, in order to fund portions of its capital program and other funding requirements. The NJBPU is expected to render its decision on this petition in the third quarter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Accounting Pronouncements</w:t>
      </w:r>
      <w:r>
        <w:rPr>
          <w:rFonts w:ascii="Times New Roman;Times;Serif" w:hAnsi="Times New Roman;Times;Serif"/>
          <w:b w:val="false"/>
          <w:i w:val="false"/>
          <w:caps w:val="false"/>
          <w:smallCaps w:val="false"/>
          <w:sz w:val="20"/>
        </w:rPr>
        <w:t xml:space="preserve"> – See Note 1 of the Notes to Unaudited Condensed Consolidated Financial Statements for a discussion of recent accounting pronouncements and guidance.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3. Quantitative and Qualitative Disclosures of Market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2026 to 2059. Over the next twelve months, approximately $7.6 million of the current portion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2025 nor are there expected to be in the future.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4. Controls and Procedures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PART II.  OTHER INFORMATION</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a_011"/>
      <w:bookmarkStart w:id="13" w:name="a_011"/>
      <w:bookmarkEnd w:id="13"/>
    </w:p>
    <w:tbl>
      <w:tblPr>
        <w:tblW w:w="2320" w:type="dxa"/>
        <w:jc w:val="left"/>
        <w:tblInd w:w="0" w:type="dxa"/>
        <w:tblLayout w:type="fixed"/>
        <w:tblCellMar>
          <w:top w:w="0" w:type="dxa"/>
          <w:left w:w="0" w:type="dxa"/>
          <w:bottom w:w="0" w:type="dxa"/>
          <w:right w:w="0" w:type="dxa"/>
        </w:tblCellMar>
      </w:tblPr>
      <w:tblGrid>
        <w:gridCol w:w="650"/>
        <w:gridCol w:w="167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updates and amends the information provided in the Company’s Annual Report on Form 10-K for the year ended December 31, 2024 in Part I, Item 3—Legal Proceedings. Capitalized terms used but not otherwise defined herein have the meanings set forth in the Company’s 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Vera et al. v. Middlesex Water Company and Lonsk et al. v. Middlesex Water Company and 3M Company </w:t>
      </w:r>
      <w:r>
        <w:rPr>
          <w:rFonts w:ascii="Times New Roman;Times;Serif" w:hAnsi="Times New Roman;Times;Serif"/>
          <w:b w:val="false"/>
          <w:i w:val="false"/>
          <w:caps w:val="false"/>
          <w:smallCaps w:val="false"/>
          <w:sz w:val="20"/>
        </w:rPr>
        <w:t xml:space="preserve">– In 2021, the Company was served with two PFOA-related class action lawsuits seeking restitution for medical, water filter replacement and other claimed related costs.  On August 30, 2024, the parties to the </w:t>
      </w:r>
      <w:r>
        <w:rPr>
          <w:rFonts w:ascii="Times New Roman;Times;Serif" w:hAnsi="Times New Roman;Times;Serif"/>
          <w:b w:val="false"/>
          <w:i/>
          <w:caps w:val="false"/>
          <w:smallCaps w:val="false"/>
          <w:sz w:val="20"/>
        </w:rPr>
        <w:t>Vera et al. v. Middlesex Water Company (Vera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Lonsk et al v. Middlesex Water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Lonsk</w:t>
      </w:r>
      <w:r>
        <w:rPr>
          <w:rFonts w:ascii="Times New Roman;Times;Serif" w:hAnsi="Times New Roman;Times;Serif"/>
          <w:b w:val="false"/>
          <w:i w:val="false"/>
          <w:caps w:val="false"/>
          <w:smallCaps w:val="false"/>
          <w:sz w:val="20"/>
        </w:rPr>
        <w:t xml:space="preserve">) litigations entered into a signed Settlement Term Sheet in a step towards resolution of both matters. On March 24, 2025, the parties to </w:t>
      </w:r>
      <w:r>
        <w:rPr>
          <w:rFonts w:ascii="Times New Roman;Times;Serif" w:hAnsi="Times New Roman;Times;Serif"/>
          <w:b w:val="false"/>
          <w:i/>
          <w:caps w:val="false"/>
          <w:smallCaps w:val="false"/>
          <w:sz w:val="20"/>
        </w:rPr>
        <w:t>Vera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Lonsk</w:t>
      </w:r>
      <w:r>
        <w:rPr>
          <w:rFonts w:ascii="Times New Roman;Times;Serif" w:hAnsi="Times New Roman;Times;Serif"/>
          <w:b w:val="false"/>
          <w:i w:val="false"/>
          <w:caps w:val="false"/>
          <w:smallCaps w:val="false"/>
          <w:sz w:val="20"/>
        </w:rPr>
        <w:t xml:space="preserve"> entered into a signed Class Action Settlement Agreement that was subsequently filed with the Superior Court of New Jersey, Law Division (Middlesex County) on April 16, 2025 together with a Motion For Preliminary Approval of the Class Action Settlement Agreement. On May 13, 2025, the Court issued an Order Granting Preliminary Approval of the Class Action Settlement Agreement. A final “fairness” hearing of the Agreement will be held on October 3, 2025 and it is expected that the Court will issue an Order Granting Final Approval of the Class Action Settlement Agreement shortly after this final hearing date. The Company does not believe that the now-executed and filed Class Settlement Agreement has any material financial or operational impact to Middlesex.</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a_012"/>
      <w:bookmarkStart w:id="15" w:name="a_012"/>
      <w:bookmarkEnd w:id="15"/>
    </w:p>
    <w:tbl>
      <w:tblPr>
        <w:tblW w:w="1945" w:type="dxa"/>
        <w:jc w:val="left"/>
        <w:tblInd w:w="0" w:type="dxa"/>
        <w:tblLayout w:type="fixed"/>
        <w:tblCellMar>
          <w:top w:w="0" w:type="dxa"/>
          <w:left w:w="0" w:type="dxa"/>
          <w:bottom w:w="0" w:type="dxa"/>
          <w:right w:w="0" w:type="dxa"/>
        </w:tblCellMar>
      </w:tblPr>
      <w:tblGrid>
        <w:gridCol w:w="785"/>
        <w:gridCol w:w="1160"/>
      </w:tblGrid>
      <w:tr>
        <w:trPr/>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about risk factors does not differ materially from those set forth in Part I, Item 1A. of the Company’s Annual Report on Form 10-K for the year ended December 31, 2024.</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a_013"/>
      <w:bookmarkStart w:id="17" w:name="a_013"/>
      <w:bookmarkEnd w:id="17"/>
    </w:p>
    <w:tbl>
      <w:tblPr>
        <w:tblW w:w="5740" w:type="dxa"/>
        <w:jc w:val="left"/>
        <w:tblInd w:w="0" w:type="dxa"/>
        <w:tblLayout w:type="fixed"/>
        <w:tblCellMar>
          <w:top w:w="0" w:type="dxa"/>
          <w:left w:w="0" w:type="dxa"/>
          <w:bottom w:w="0" w:type="dxa"/>
          <w:right w:w="0" w:type="dxa"/>
        </w:tblCellMar>
      </w:tblPr>
      <w:tblGrid>
        <w:gridCol w:w="650"/>
        <w:gridCol w:w="509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5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 w:name="a_014"/>
      <w:bookmarkStart w:id="19" w:name="a_014"/>
      <w:bookmarkEnd w:id="19"/>
    </w:p>
    <w:tbl>
      <w:tblPr>
        <w:tblW w:w="3400" w:type="dxa"/>
        <w:jc w:val="left"/>
        <w:tblInd w:w="0" w:type="dxa"/>
        <w:tblLayout w:type="fixed"/>
        <w:tblCellMar>
          <w:top w:w="0" w:type="dxa"/>
          <w:left w:w="0" w:type="dxa"/>
          <w:bottom w:w="0" w:type="dxa"/>
          <w:right w:w="0" w:type="dxa"/>
        </w:tblCellMar>
      </w:tblPr>
      <w:tblGrid>
        <w:gridCol w:w="650"/>
        <w:gridCol w:w="275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a_015"/>
      <w:bookmarkStart w:id="21" w:name="a_015"/>
      <w:bookmarkEnd w:id="21"/>
    </w:p>
    <w:tbl>
      <w:tblPr>
        <w:tblW w:w="2755" w:type="dxa"/>
        <w:jc w:val="left"/>
        <w:tblInd w:w="0" w:type="dxa"/>
        <w:tblLayout w:type="fixed"/>
        <w:tblCellMar>
          <w:top w:w="0" w:type="dxa"/>
          <w:left w:w="0" w:type="dxa"/>
          <w:bottom w:w="0" w:type="dxa"/>
          <w:right w:w="0" w:type="dxa"/>
        </w:tblCellMar>
      </w:tblPr>
      <w:tblGrid>
        <w:gridCol w:w="650"/>
        <w:gridCol w:w="2105"/>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 w:name="a_016"/>
      <w:bookmarkStart w:id="23" w:name="a_016"/>
      <w:bookmarkEnd w:id="23"/>
    </w:p>
    <w:tbl>
      <w:tblPr>
        <w:tblW w:w="2320" w:type="dxa"/>
        <w:jc w:val="left"/>
        <w:tblInd w:w="0" w:type="dxa"/>
        <w:tblLayout w:type="fixed"/>
        <w:tblCellMar>
          <w:top w:w="0" w:type="dxa"/>
          <w:left w:w="0" w:type="dxa"/>
          <w:bottom w:w="0" w:type="dxa"/>
          <w:right w:w="0" w:type="dxa"/>
        </w:tblCellMar>
      </w:tblPr>
      <w:tblGrid>
        <w:gridCol w:w="650"/>
        <w:gridCol w:w="167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1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05"/>
        <w:gridCol w:w="260"/>
        <w:gridCol w:w="575"/>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bl>
    <w:p>
      <w:pPr>
        <w:pStyle w:val="TextBody"/>
        <w:bidi w:val="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05"/>
        <w:gridCol w:w="275"/>
        <w:gridCol w:w="57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23"/>
        <w:gridCol w:w="9877"/>
      </w:tblGrid>
      <w:tr>
        <w:trPr/>
        <w:tc>
          <w:tcPr>
            <w:tcW w:w="10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 xml:space="preserve">Insider Trading Arrangements and Policies - </w:t>
            </w:r>
            <w:r>
              <w:rPr>
                <w:rFonts w:ascii="Times New Roman;Times;Serif" w:hAnsi="Times New Roman;Times;Serif"/>
                <w:sz w:val="20"/>
              </w:rPr>
              <w:t>During the three months ended June 30, 2025, no director or officer of the Company adopted or terminated a “Rule 10b5-1 trading arrangement” or “non-Rule 10b5-1 trading arrangement,” as each term is defined in Item 408(a) of Regulation S-K.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a_017"/>
      <w:bookmarkStart w:id="25" w:name="a_017"/>
      <w:bookmarkEnd w:id="25"/>
    </w:p>
    <w:tbl>
      <w:tblPr>
        <w:tblW w:w="10205" w:type="dxa"/>
        <w:jc w:val="left"/>
        <w:tblInd w:w="0" w:type="dxa"/>
        <w:tblLayout w:type="fixed"/>
        <w:tblCellMar>
          <w:top w:w="0" w:type="dxa"/>
          <w:left w:w="0" w:type="dxa"/>
          <w:bottom w:w="0" w:type="dxa"/>
          <w:right w:w="0" w:type="dxa"/>
        </w:tblCellMar>
      </w:tblPr>
      <w:tblGrid>
        <w:gridCol w:w="666"/>
        <w:gridCol w:w="9539"/>
      </w:tblGrid>
      <w:tr>
        <w:trPr/>
        <w:tc>
          <w:tcPr>
            <w:tcW w:w="66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953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10.17(e)</w:t>
            </w:r>
          </w:p>
        </w:tc>
        <w:tc>
          <w:tcPr>
            <w:tcW w:w="9539" w:type="dxa"/>
            <w:tcBorders/>
            <w:vAlign w:val="center"/>
          </w:tcPr>
          <w:p>
            <w:pPr>
              <w:pStyle w:val="TableContents"/>
              <w:bidi w:val="0"/>
              <w:spacing w:before="0" w:after="283"/>
              <w:jc w:val="both"/>
              <w:rPr/>
            </w:pPr>
            <w:hyperlink w:anchor="ex10-17e.htm">
              <w:r>
                <w:rPr>
                  <w:rStyle w:val="InternetLink"/>
                  <w:rFonts w:ascii="Times New Roman;Times;Serif" w:hAnsi="Times New Roman;Times;Serif"/>
                  <w:sz w:val="20"/>
                </w:rPr>
                <w:t>Seventh Amendment to Promissory Note and Supplement, dated as of July 24, 2025, between Tidewater Utilities, Inc. and CoBank, ACB.</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10.25</w:t>
            </w:r>
          </w:p>
        </w:tc>
        <w:tc>
          <w:tcPr>
            <w:tcW w:w="9539" w:type="dxa"/>
            <w:tcBorders/>
            <w:vAlign w:val="center"/>
          </w:tcPr>
          <w:p>
            <w:pPr>
              <w:pStyle w:val="TableContents"/>
              <w:bidi w:val="0"/>
              <w:spacing w:before="0" w:after="283"/>
              <w:jc w:val="both"/>
              <w:rPr/>
            </w:pPr>
            <w:hyperlink r:id="rId2">
              <w:r>
                <w:rPr>
                  <w:rStyle w:val="InternetLink"/>
                  <w:rFonts w:ascii="Times New Roman;Times;Serif" w:hAnsi="Times New Roman;Times;Serif"/>
                  <w:sz w:val="20"/>
                </w:rPr>
                <w:t>The Middlesex Water Company Investment Plan, filed as pages S-9 through S-24 of the Company’s Prospectus Supplement dated as of July 29, 2025.</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10.61 </w:t>
            </w:r>
          </w:p>
        </w:tc>
        <w:tc>
          <w:tcPr>
            <w:tcW w:w="9539"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At the Market Equity Offering Sales Agreement dated May 12, 2025 by and among Bank of America  Securities, Inc., Robert W. Baird &amp; Co. Incorporated, and Janney Montgomery Scott LLC and Middlesex Water Company, filed as Exhibit 1.1 of the Compaany’s Current Report on Form 8-K dated May 12, 2025.</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539" w:type="dxa"/>
            <w:tcBorders/>
            <w:vAlign w:val="center"/>
          </w:tcPr>
          <w:p>
            <w:pPr>
              <w:pStyle w:val="TableContents"/>
              <w:bidi w:val="0"/>
              <w:spacing w:before="0" w:after="283"/>
              <w:jc w:val="both"/>
              <w:rPr/>
            </w:pPr>
            <w:hyperlink w:anchor="ex31-1.htm">
              <w:r>
                <w:rPr>
                  <w:rStyle w:val="InternetLink"/>
                  <w:rFonts w:ascii="Times New Roman;Times;Serif" w:hAnsi="Times New Roman;Times;Serif"/>
                  <w:sz w:val="20"/>
                </w:rPr>
                <w:t>Section 302 Certification by Nadine Leslie pursuant to Rules 13a-14 and 15d-14 of the Securities Exchange Act of 1934.</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31.2 </w:t>
            </w:r>
          </w:p>
        </w:tc>
        <w:tc>
          <w:tcPr>
            <w:tcW w:w="9539" w:type="dxa"/>
            <w:tcBorders/>
            <w:vAlign w:val="center"/>
          </w:tcPr>
          <w:p>
            <w:pPr>
              <w:pStyle w:val="TableContents"/>
              <w:bidi w:val="0"/>
              <w:spacing w:before="0" w:after="283"/>
              <w:jc w:val="both"/>
              <w:rPr/>
            </w:pPr>
            <w:hyperlink w:anchor="ex31-2.htm">
              <w:r>
                <w:rPr>
                  <w:rStyle w:val="InternetLink"/>
                  <w:rFonts w:ascii="Times New Roman;Times;Serif" w:hAnsi="Times New Roman;Times;Serif"/>
                  <w:sz w:val="20"/>
                </w:rPr>
                <w:t>Section 302 Certification by Mohammed G. Zerhouni pursuant to Rules 13a-14 and 15d-14 of the Securities Exchange Act of 1934.</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539" w:type="dxa"/>
            <w:tcBorders/>
            <w:vAlign w:val="center"/>
          </w:tcPr>
          <w:p>
            <w:pPr>
              <w:pStyle w:val="TableContents"/>
              <w:bidi w:val="0"/>
              <w:spacing w:before="0" w:after="283"/>
              <w:jc w:val="both"/>
              <w:rPr/>
            </w:pPr>
            <w:hyperlink w:anchor="ex32-1.htm">
              <w:r>
                <w:rPr>
                  <w:rStyle w:val="InternetLink"/>
                  <w:rFonts w:ascii="Times New Roman;Times;Serif" w:hAnsi="Times New Roman;Times;Serif"/>
                  <w:sz w:val="20"/>
                </w:rPr>
                <w:t>Section 906 Certification by Nadine Leslie pursuant to 18 U.S.C. §1350, as adopted pursuant to Section 302 of the Sarbanes-Oxley Act of 2002.</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32.2</w:t>
            </w:r>
          </w:p>
        </w:tc>
        <w:tc>
          <w:tcPr>
            <w:tcW w:w="9539" w:type="dxa"/>
            <w:tcBorders/>
            <w:vAlign w:val="center"/>
          </w:tcPr>
          <w:p>
            <w:pPr>
              <w:pStyle w:val="TableContents"/>
              <w:bidi w:val="0"/>
              <w:spacing w:before="0" w:after="283"/>
              <w:jc w:val="both"/>
              <w:rPr/>
            </w:pPr>
            <w:hyperlink w:anchor="ex32-2.htm">
              <w:r>
                <w:rPr>
                  <w:rStyle w:val="InternetLink"/>
                  <w:rFonts w:ascii="Times New Roman;Times;Serif" w:hAnsi="Times New Roman;Times;Serif"/>
                  <w:sz w:val="20"/>
                </w:rPr>
                <w:t>Section 906 Certification by Mohammed G. Zerhouni pursuant to 18 U.S.C. §1350, as adopted pursuant to Section 302 of the Sarbanes-Oxley Act of 2002.</w:t>
              </w:r>
            </w:hyperlink>
          </w:p>
        </w:tc>
      </w:tr>
      <w:tr>
        <w:trPr/>
        <w:tc>
          <w:tcPr>
            <w:tcW w:w="666" w:type="dxa"/>
            <w:tcBorders/>
            <w:vAlign w:val="center"/>
          </w:tcPr>
          <w:p>
            <w:pPr>
              <w:pStyle w:val="TableContents"/>
              <w:bidi w:val="0"/>
              <w:spacing w:before="0" w:after="283"/>
              <w:jc w:val="both"/>
              <w:rPr/>
            </w:pPr>
            <w:r>
              <w:rPr/>
              <w:t> </w:t>
            </w:r>
          </w:p>
        </w:tc>
        <w:tc>
          <w:tcPr>
            <w:tcW w:w="9539" w:type="dxa"/>
            <w:tcBorders/>
            <w:vAlign w:val="center"/>
          </w:tcPr>
          <w:p>
            <w:pPr>
              <w:pStyle w:val="TableContents"/>
              <w:bidi w:val="0"/>
              <w:spacing w:before="0" w:after="283"/>
              <w:jc w:val="both"/>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Instance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Schema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Calculation Linkbase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Labels Linkbase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Presentation Linkbase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Definition Linkbase Document</w:t>
            </w:r>
          </w:p>
        </w:tc>
      </w:tr>
      <w:tr>
        <w:trPr/>
        <w:tc>
          <w:tcPr>
            <w:tcW w:w="666" w:type="dxa"/>
            <w:tcBorders/>
            <w:vAlign w:val="center"/>
          </w:tcPr>
          <w:p>
            <w:pPr>
              <w:pStyle w:val="TableContents"/>
              <w:bidi w:val="0"/>
              <w:spacing w:before="0" w:after="283"/>
              <w:jc w:val="left"/>
              <w:rPr/>
            </w:pPr>
            <w:r>
              <w:rPr/>
              <w:t> </w:t>
            </w:r>
          </w:p>
        </w:tc>
        <w:tc>
          <w:tcPr>
            <w:tcW w:w="9539"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5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18"/>
      <w:bookmarkEnd w:id="26"/>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ind w:left="72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05"/>
        <w:gridCol w:w="350"/>
        <w:gridCol w:w="4970"/>
      </w:tblGrid>
      <w:tr>
        <w:trPr/>
        <w:tc>
          <w:tcPr>
            <w:tcW w:w="105" w:type="dxa"/>
            <w:tcBorders/>
            <w:vAlign w:val="center"/>
          </w:tcPr>
          <w:p>
            <w:pPr>
              <w:pStyle w:val="TableContents"/>
              <w:bidi w:val="0"/>
              <w:spacing w:before="0" w:after="283"/>
              <w:jc w:val="left"/>
              <w:rPr/>
            </w:pPr>
            <w:r>
              <w:rPr/>
              <w:t> </w:t>
            </w:r>
          </w:p>
        </w:tc>
        <w:tc>
          <w:tcPr>
            <w:tcW w:w="53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MIDDLESEX WATER COMPANY</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7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Mohammed G. Zerhouni</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Mohammed G. Zerhouni</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r>
              <w:rPr>
                <w:rFonts w:ascii="Times New Roman;Times;Serif" w:hAnsi="Times New Roman;Times;Serif"/>
                <w:sz w:val="20"/>
              </w:rPr>
              <w:t>(Principal Financial Officer)</w:t>
            </w:r>
          </w:p>
        </w:tc>
      </w:tr>
    </w:tbl>
    <w:p>
      <w:pPr>
        <w:pStyle w:val="TextBody"/>
        <w:bidi w:val="0"/>
        <w:ind w:left="5130" w:right="0" w:hanging="0"/>
        <w:jc w:val="left"/>
        <w:rPr>
          <w:caps w:val="false"/>
          <w:smallCaps w:val="false"/>
        </w:rPr>
      </w:pPr>
      <w:r>
        <w:rPr>
          <w:caps w:val="false"/>
          <w:smallCaps w:val="false"/>
        </w:rPr>
        <w:t> </w:t>
      </w:r>
    </w:p>
    <w:p>
      <w:pPr>
        <w:pStyle w:val="TextBody"/>
        <w:bidi w:val="0"/>
        <w:ind w:left="513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2025</w:t>
      </w:r>
    </w:p>
    <w:p>
      <w:pPr>
        <w:pStyle w:val="TextBody"/>
        <w:bidi w:val="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x10-17e.htm"/>
      <w:bookmarkStart w:id="28" w:name="ksex1017e"/>
      <w:bookmarkEnd w:id="27"/>
      <w:bookmarkEnd w:id="28"/>
      <w:r>
        <w:rPr>
          <w:rFonts w:ascii="Times New Roman;Times;Serif" w:hAnsi="Times New Roman;Times;Serif"/>
          <w:b/>
          <w:i w:val="false"/>
          <w:caps w:val="false"/>
          <w:smallCaps w:val="false"/>
          <w:sz w:val="20"/>
        </w:rPr>
        <w:t>Exhibit 10.17(e)</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RX0024T6G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AMENDMENT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AND SUPPLEMENT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Term Loan)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SEVENTH AMENDMENT TO PROMISSORY NOTE AND SUPPLEMENT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is entered into as of July 24, 2025, between </w:t>
      </w:r>
      <w:r>
        <w:rPr>
          <w:rFonts w:ascii="Times New Roman;Times;Serif" w:hAnsi="Times New Roman;Times;Serif"/>
          <w:b/>
          <w:i w:val="false"/>
          <w:caps w:val="false"/>
          <w:smallCaps w:val="false"/>
          <w:sz w:val="20"/>
        </w:rPr>
        <w:t>TIDEWATER UTILITIES,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CoBANK, ACB</w:t>
      </w:r>
      <w:r>
        <w:rPr>
          <w:rFonts w:ascii="Times New Roman;Times;Serif" w:hAnsi="Times New Roman;Times;Serif"/>
          <w:b w:val="false"/>
          <w:i w:val="false"/>
          <w:caps w:val="false"/>
          <w:smallCaps w:val="false"/>
          <w:sz w:val="20"/>
        </w:rPr>
        <w:t>, a federally chartered instrumentality of the United States (“</w:t>
      </w:r>
      <w:r>
        <w:rPr>
          <w:rFonts w:ascii="Times New Roman;Times;Serif" w:hAnsi="Times New Roman;Times;Serif"/>
          <w:b w:val="false"/>
          <w:i w:val="false"/>
          <w:caps w:val="false"/>
          <w:smallCaps w:val="false"/>
          <w:sz w:val="20"/>
          <w:u w:val="single"/>
        </w:rPr>
        <w:t>CoBank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CoBank are parties to a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 Omnibus Amendment to Promissory Notes and Supplements dated as of December 6, 2022, and a Sixth Amendment to Promissory Note and Supplement dated as of May 11, 2023 (collectively, the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The parties now desire to amend the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Defined Terms</w:t>
      </w:r>
      <w:r>
        <w:rPr>
          <w:rFonts w:ascii="Times New Roman;Times;Serif" w:hAnsi="Times New Roman;Times;Serif"/>
          <w:b w:val="false"/>
          <w:i w:val="false"/>
          <w:caps w:val="false"/>
          <w:smallCaps w:val="false"/>
          <w:sz w:val="20"/>
        </w:rPr>
        <w:t>. All capitalized terms used herein and not defined herein shall have the meanings given to those terms in the Supplement or in the “MLA” (as defined in the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410"/>
        <w:gridCol w:w="749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both"/>
              <w:rPr>
                <w:b/>
              </w:rPr>
            </w:pPr>
            <w:r>
              <w:rPr>
                <w:b/>
              </w:rPr>
              <w:t>(A) </w:t>
            </w:r>
          </w:p>
        </w:tc>
        <w:tc>
          <w:tcPr>
            <w:tcW w:w="7490" w:type="dxa"/>
            <w:tcBorders/>
            <w:vAlign w:val="center"/>
          </w:tcPr>
          <w:p>
            <w:pPr>
              <w:pStyle w:val="TableContents"/>
              <w:bidi w:val="0"/>
              <w:spacing w:before="0" w:after="283"/>
              <w:jc w:val="both"/>
              <w:rPr/>
            </w:pPr>
            <w:r>
              <w:rPr/>
              <w:t>Section 1 of the Supplement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The Commitment</w:t>
      </w:r>
      <w:r>
        <w:rPr>
          <w:rFonts w:ascii="Times New Roman;Times;Serif" w:hAnsi="Times New Roman;Times;Serif"/>
          <w:b w:val="false"/>
          <w:i w:val="false"/>
          <w:caps w:val="false"/>
          <w:smallCaps w:val="false"/>
          <w:sz w:val="20"/>
        </w:rPr>
        <w:t>. On the terms and conditions set forth in the MLA and this Promissory Note and Supplement, CoBank agrees to make loans (each a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to the Company during the period set forth below in an aggregate principal amount not to exceed $20,000,000 at any one time outstanding (the “</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Within the limits and during the term of the Commitment, the Company may borrow, prepay and reborrow.</w:t>
      </w:r>
    </w:p>
    <w:p>
      <w:pPr>
        <w:pStyle w:val="TextBody"/>
        <w:bidi w:val="0"/>
        <w:spacing w:before="0" w:after="0"/>
        <w:ind w:left="1440" w:right="0" w:firstLine="72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395"/>
        <w:gridCol w:w="7490"/>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both"/>
              <w:rPr>
                <w:b/>
              </w:rPr>
            </w:pPr>
            <w:r>
              <w:rPr>
                <w:b/>
              </w:rPr>
              <w:t>(B) </w:t>
            </w:r>
          </w:p>
        </w:tc>
        <w:tc>
          <w:tcPr>
            <w:tcW w:w="7490" w:type="dxa"/>
            <w:tcBorders/>
            <w:vAlign w:val="center"/>
          </w:tcPr>
          <w:p>
            <w:pPr>
              <w:pStyle w:val="TableContents"/>
              <w:bidi w:val="0"/>
              <w:spacing w:before="0" w:after="283"/>
              <w:jc w:val="both"/>
              <w:rPr/>
            </w:pPr>
            <w:r>
              <w:rPr/>
              <w:t>Section 3 of the Supplement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Term. </w:t>
      </w:r>
      <w:r>
        <w:rPr>
          <w:rFonts w:ascii="Times New Roman;Times;Serif" w:hAnsi="Times New Roman;Times;Serif"/>
          <w:b w:val="false"/>
          <w:i w:val="false"/>
          <w:caps w:val="false"/>
          <w:smallCaps w:val="false"/>
          <w:sz w:val="20"/>
        </w:rPr>
        <w:t>The term of the Commitment shall be from the date hereof, up to and including May 20, 2028, or such later date as CoBank may, in its sole discretion, authorize in writing.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Representations and Warranties</w:t>
      </w:r>
      <w:r>
        <w:rPr>
          <w:rFonts w:ascii="Times New Roman;Times;Serif" w:hAnsi="Times New Roman;Times;Serif"/>
          <w:b w:val="false"/>
          <w:i w:val="false"/>
          <w:caps w:val="false"/>
          <w:smallCaps w:val="false"/>
          <w:sz w:val="20"/>
        </w:rPr>
        <w:t>. To induce CoBank to enter into this Amendment, the Company represents and warrants that: (A) except for such as have been obtained, are in full force and effect, and are not subject to appeal, no consent, permission, authorization, order or license of any governmental authority or of any party to any agreement to which the Company is a party or by which it or any of its property may be bound or affected, is necessary in connection with the execution, delivery, performance or enforcement of this Amendment; (B) the Company is in compliance with all of the terms of the Loan Documents, and no Default or Event of Default exists; and (C) this Amendment has been duly authorized, executed and delivered by the Company, and creates legal, valid, and binding obligations of the Company which are enforceable in accordance with its terms, except to the extent that enforceability may be limited by applicable bankruptcy, insolvency or similar laws affecting the rights of creditors generally. Without limiting (B) above, the Company represents and warrants that it is in compliance with all notice provisions of the Loan Documents, including, without limitation, the requirement to notify CoBank of the commencement of material litigation and of certain 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Confirmation</w:t>
      </w:r>
      <w:r>
        <w:rPr>
          <w:rFonts w:ascii="Times New Roman;Times;Serif" w:hAnsi="Times New Roman;Times;Serif"/>
          <w:b w:val="false"/>
          <w:i w:val="false"/>
          <w:caps w:val="false"/>
          <w:smallCaps w:val="false"/>
          <w:sz w:val="20"/>
        </w:rPr>
        <w:t>. Except as amended by this Amendment, the Supplement shall remain in full force and effect as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Counterparts and Electronic Delivery</w:t>
      </w:r>
      <w:r>
        <w:rPr>
          <w:rFonts w:ascii="Times New Roman;Times;Serif" w:hAnsi="Times New Roman;Times;Serif"/>
          <w:b w:val="false"/>
          <w:i w:val="false"/>
          <w:caps w:val="false"/>
          <w:smallCaps w:val="false"/>
          <w:sz w:val="20"/>
        </w:rPr>
        <w:t>. This Amendment may be executed in counterparts (and by different parties in different counterparts), each of which shall constitute an original, and all of which when taken together shall constitute a single agreement. In addition, this Amendment may be delivered by electronic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Amendment to be executed by their duly authorized officers as of the date shown above.</w:t>
      </w:r>
    </w:p>
    <w:p>
      <w:pPr>
        <w:pStyle w:val="TextBody"/>
        <w:bidi w:val="0"/>
        <w:spacing w:before="0" w:after="0"/>
        <w:ind w:left="0" w:right="0" w:firstLine="720"/>
        <w:jc w:val="both"/>
        <w:rPr/>
      </w:pPr>
      <w:r>
        <w:rPr>
          <w:caps w:val="false"/>
          <w:smallCaps w:val="false"/>
        </w:rPr>
        <w:t> </w:t>
      </w:r>
      <w:r>
        <w:rPr/>
        <w:t xml:space="preserve"> </w:t>
      </w:r>
    </w:p>
    <w:tbl>
      <w:tblPr>
        <w:tblW w:w="5804" w:type="dxa"/>
        <w:jc w:val="left"/>
        <w:tblInd w:w="0" w:type="dxa"/>
        <w:tblLayout w:type="fixed"/>
        <w:tblCellMar>
          <w:top w:w="0" w:type="dxa"/>
          <w:left w:w="0" w:type="dxa"/>
          <w:bottom w:w="0" w:type="dxa"/>
          <w:right w:w="0" w:type="dxa"/>
        </w:tblCellMar>
      </w:tblPr>
      <w:tblGrid>
        <w:gridCol w:w="560"/>
        <w:gridCol w:w="2405"/>
        <w:gridCol w:w="60"/>
        <w:gridCol w:w="712"/>
        <w:gridCol w:w="2067"/>
      </w:tblGrid>
      <w:tr>
        <w:trPr/>
        <w:tc>
          <w:tcPr>
            <w:tcW w:w="2965" w:type="dxa"/>
            <w:gridSpan w:val="2"/>
            <w:tcBorders/>
            <w:vAlign w:val="center"/>
          </w:tcPr>
          <w:p>
            <w:pPr>
              <w:pStyle w:val="TableContents"/>
              <w:bidi w:val="0"/>
              <w:spacing w:before="0" w:after="283"/>
              <w:jc w:val="both"/>
              <w:rPr>
                <w:b/>
                <w:sz w:val="20"/>
              </w:rPr>
            </w:pPr>
            <w:r>
              <w:rPr>
                <w:b/>
                <w:sz w:val="20"/>
              </w:rPr>
              <w:t>CoBANK, ACB</w:t>
            </w:r>
          </w:p>
        </w:tc>
        <w:tc>
          <w:tcPr>
            <w:tcW w:w="60" w:type="dxa"/>
            <w:tcBorders/>
            <w:vAlign w:val="center"/>
          </w:tcPr>
          <w:p>
            <w:pPr>
              <w:pStyle w:val="TableContents"/>
              <w:bidi w:val="0"/>
              <w:spacing w:before="0" w:after="283"/>
              <w:jc w:val="both"/>
              <w:rPr/>
            </w:pPr>
            <w:r>
              <w:rPr/>
              <w:t> </w:t>
            </w:r>
          </w:p>
        </w:tc>
        <w:tc>
          <w:tcPr>
            <w:tcW w:w="2779" w:type="dxa"/>
            <w:gridSpan w:val="2"/>
            <w:tcBorders/>
            <w:vAlign w:val="center"/>
          </w:tcPr>
          <w:p>
            <w:pPr>
              <w:pStyle w:val="TableContents"/>
              <w:bidi w:val="0"/>
              <w:spacing w:before="0" w:after="283"/>
              <w:jc w:val="left"/>
              <w:rPr>
                <w:b/>
                <w:sz w:val="20"/>
              </w:rPr>
            </w:pPr>
            <w:r>
              <w:rPr>
                <w:b/>
                <w:sz w:val="20"/>
              </w:rPr>
              <w:t>TIDEWATER UTILITIES, INC.</w:t>
            </w:r>
          </w:p>
        </w:tc>
      </w:tr>
      <w:tr>
        <w:trPr/>
        <w:tc>
          <w:tcPr>
            <w:tcW w:w="296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79"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pPr>
            <w:r>
              <w:rPr/>
              <w:t> </w:t>
            </w:r>
          </w:p>
        </w:tc>
        <w:tc>
          <w:tcPr>
            <w:tcW w:w="2405" w:type="dxa"/>
            <w:tcBorders/>
            <w:vAlign w:val="center"/>
          </w:tcPr>
          <w:p>
            <w:pPr>
              <w:pStyle w:val="TableContents"/>
              <w:bidi w:val="0"/>
              <w:spacing w:before="0" w:after="283"/>
              <w:jc w:val="both"/>
              <w:rPr>
                <w:sz w:val="20"/>
              </w:rPr>
            </w:pPr>
            <w:r>
              <w:rPr>
                <w:sz w:val="20"/>
              </w:rPr>
              <w:t>/s/ Fidel Escalante</w:t>
            </w:r>
          </w:p>
        </w:tc>
        <w:tc>
          <w:tcPr>
            <w:tcW w:w="60" w:type="dxa"/>
            <w:tcBorders/>
            <w:vAlign w:val="center"/>
          </w:tcPr>
          <w:p>
            <w:pPr>
              <w:pStyle w:val="TableContents"/>
              <w:bidi w:val="0"/>
              <w:spacing w:before="0" w:after="283"/>
              <w:jc w:val="both"/>
              <w:rPr/>
            </w:pPr>
            <w:r>
              <w:rPr/>
              <w:t> </w:t>
            </w:r>
          </w:p>
        </w:tc>
        <w:tc>
          <w:tcPr>
            <w:tcW w:w="712" w:type="dxa"/>
            <w:tcBorders/>
            <w:vAlign w:val="center"/>
          </w:tcPr>
          <w:p>
            <w:pPr>
              <w:pStyle w:val="TableContents"/>
              <w:bidi w:val="0"/>
              <w:spacing w:before="0" w:after="283"/>
              <w:jc w:val="both"/>
              <w:rPr/>
            </w:pPr>
            <w:r>
              <w:rPr/>
              <w:t> </w:t>
            </w:r>
          </w:p>
        </w:tc>
        <w:tc>
          <w:tcPr>
            <w:tcW w:w="2067" w:type="dxa"/>
            <w:tcBorders/>
            <w:vAlign w:val="center"/>
          </w:tcPr>
          <w:p>
            <w:pPr>
              <w:pStyle w:val="TableContents"/>
              <w:bidi w:val="0"/>
              <w:spacing w:before="0" w:after="283"/>
              <w:jc w:val="both"/>
              <w:rPr>
                <w:sz w:val="20"/>
              </w:rPr>
            </w:pPr>
            <w:r>
              <w:rPr>
                <w:sz w:val="20"/>
              </w:rPr>
              <w:t>/s/ Robert J. Capko</w:t>
            </w:r>
          </w:p>
        </w:tc>
      </w:tr>
      <w:tr>
        <w:trPr/>
        <w:tc>
          <w:tcPr>
            <w:tcW w:w="560" w:type="dxa"/>
            <w:tcBorders/>
            <w:vAlign w:val="center"/>
          </w:tcPr>
          <w:p>
            <w:pPr>
              <w:pStyle w:val="TableContents"/>
              <w:bidi w:val="0"/>
              <w:spacing w:before="0" w:after="283"/>
              <w:jc w:val="both"/>
              <w:rPr>
                <w:sz w:val="20"/>
              </w:rPr>
            </w:pPr>
            <w:r>
              <w:rPr>
                <w:sz w:val="20"/>
              </w:rPr>
              <w:t>By:</w:t>
            </w:r>
          </w:p>
        </w:tc>
        <w:tc>
          <w:tcPr>
            <w:tcW w:w="240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12" w:type="dxa"/>
            <w:tcBorders/>
            <w:vAlign w:val="center"/>
          </w:tcPr>
          <w:p>
            <w:pPr>
              <w:pStyle w:val="TableContents"/>
              <w:bidi w:val="0"/>
              <w:spacing w:before="0" w:after="283"/>
              <w:jc w:val="both"/>
              <w:rPr>
                <w:sz w:val="20"/>
              </w:rPr>
            </w:pPr>
            <w:r>
              <w:rPr>
                <w:sz w:val="20"/>
              </w:rPr>
              <w:t>By:</w:t>
            </w:r>
          </w:p>
        </w:tc>
        <w:tc>
          <w:tcPr>
            <w:tcW w:w="2067"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sz w:val="20"/>
              </w:rPr>
            </w:pPr>
            <w:r>
              <w:rPr>
                <w:sz w:val="20"/>
              </w:rPr>
              <w:t>Name:</w:t>
            </w:r>
          </w:p>
        </w:tc>
        <w:tc>
          <w:tcPr>
            <w:tcW w:w="2405" w:type="dxa"/>
            <w:tcBorders/>
            <w:vAlign w:val="center"/>
          </w:tcPr>
          <w:p>
            <w:pPr>
              <w:pStyle w:val="TableContents"/>
              <w:bidi w:val="0"/>
              <w:spacing w:before="0" w:after="283"/>
              <w:jc w:val="both"/>
              <w:rPr>
                <w:sz w:val="20"/>
              </w:rPr>
            </w:pPr>
            <w:r>
              <w:rPr>
                <w:sz w:val="20"/>
              </w:rPr>
              <w:t>Fidel Escalante</w:t>
            </w:r>
          </w:p>
        </w:tc>
        <w:tc>
          <w:tcPr>
            <w:tcW w:w="60" w:type="dxa"/>
            <w:tcBorders/>
            <w:vAlign w:val="center"/>
          </w:tcPr>
          <w:p>
            <w:pPr>
              <w:pStyle w:val="TableContents"/>
              <w:bidi w:val="0"/>
              <w:spacing w:before="0" w:after="283"/>
              <w:jc w:val="both"/>
              <w:rPr/>
            </w:pPr>
            <w:r>
              <w:rPr/>
              <w:t> </w:t>
            </w:r>
          </w:p>
        </w:tc>
        <w:tc>
          <w:tcPr>
            <w:tcW w:w="712" w:type="dxa"/>
            <w:tcBorders/>
            <w:vAlign w:val="center"/>
          </w:tcPr>
          <w:p>
            <w:pPr>
              <w:pStyle w:val="TableContents"/>
              <w:bidi w:val="0"/>
              <w:spacing w:before="0" w:after="283"/>
              <w:jc w:val="both"/>
              <w:rPr>
                <w:sz w:val="20"/>
              </w:rPr>
            </w:pPr>
            <w:r>
              <w:rPr>
                <w:sz w:val="20"/>
              </w:rPr>
              <w:t>Name:</w:t>
            </w:r>
          </w:p>
        </w:tc>
        <w:tc>
          <w:tcPr>
            <w:tcW w:w="2067" w:type="dxa"/>
            <w:tcBorders/>
            <w:vAlign w:val="center"/>
          </w:tcPr>
          <w:p>
            <w:pPr>
              <w:pStyle w:val="TableContents"/>
              <w:bidi w:val="0"/>
              <w:spacing w:before="0" w:after="283"/>
              <w:jc w:val="both"/>
              <w:rPr>
                <w:sz w:val="20"/>
              </w:rPr>
            </w:pPr>
            <w:r>
              <w:rPr>
                <w:sz w:val="20"/>
              </w:rPr>
              <w:t>Robert J. Capko</w:t>
            </w:r>
          </w:p>
        </w:tc>
      </w:tr>
      <w:tr>
        <w:trPr/>
        <w:tc>
          <w:tcPr>
            <w:tcW w:w="560" w:type="dxa"/>
            <w:tcBorders/>
            <w:vAlign w:val="center"/>
          </w:tcPr>
          <w:p>
            <w:pPr>
              <w:pStyle w:val="TableContents"/>
              <w:bidi w:val="0"/>
              <w:spacing w:before="0" w:after="283"/>
              <w:jc w:val="both"/>
              <w:rPr>
                <w:sz w:val="20"/>
              </w:rPr>
            </w:pPr>
            <w:r>
              <w:rPr>
                <w:sz w:val="20"/>
              </w:rPr>
              <w:t>Title:</w:t>
            </w:r>
          </w:p>
        </w:tc>
        <w:tc>
          <w:tcPr>
            <w:tcW w:w="2405" w:type="dxa"/>
            <w:tcBorders/>
            <w:vAlign w:val="center"/>
          </w:tcPr>
          <w:p>
            <w:pPr>
              <w:pStyle w:val="TableContents"/>
              <w:bidi w:val="0"/>
              <w:spacing w:before="0" w:after="283"/>
              <w:jc w:val="both"/>
              <w:rPr>
                <w:sz w:val="20"/>
              </w:rPr>
            </w:pPr>
            <w:r>
              <w:rPr>
                <w:sz w:val="20"/>
              </w:rPr>
              <w:t>Assistant Corporate Secretary</w:t>
            </w:r>
          </w:p>
        </w:tc>
        <w:tc>
          <w:tcPr>
            <w:tcW w:w="60" w:type="dxa"/>
            <w:tcBorders/>
            <w:vAlign w:val="center"/>
          </w:tcPr>
          <w:p>
            <w:pPr>
              <w:pStyle w:val="TableContents"/>
              <w:bidi w:val="0"/>
              <w:spacing w:before="0" w:after="283"/>
              <w:jc w:val="both"/>
              <w:rPr/>
            </w:pPr>
            <w:r>
              <w:rPr/>
              <w:t> </w:t>
            </w:r>
          </w:p>
        </w:tc>
        <w:tc>
          <w:tcPr>
            <w:tcW w:w="712" w:type="dxa"/>
            <w:tcBorders/>
            <w:vAlign w:val="center"/>
          </w:tcPr>
          <w:p>
            <w:pPr>
              <w:pStyle w:val="TableContents"/>
              <w:bidi w:val="0"/>
              <w:spacing w:before="0" w:after="283"/>
              <w:jc w:val="both"/>
              <w:rPr>
                <w:sz w:val="20"/>
              </w:rPr>
            </w:pPr>
            <w:r>
              <w:rPr>
                <w:sz w:val="20"/>
              </w:rPr>
              <w:t>Title:</w:t>
            </w:r>
          </w:p>
        </w:tc>
        <w:tc>
          <w:tcPr>
            <w:tcW w:w="2067" w:type="dxa"/>
            <w:tcBorders/>
            <w:vAlign w:val="center"/>
          </w:tcPr>
          <w:p>
            <w:pPr>
              <w:pStyle w:val="TableContents"/>
              <w:bidi w:val="0"/>
              <w:spacing w:before="0" w:after="283"/>
              <w:jc w:val="both"/>
              <w:rPr>
                <w:sz w:val="20"/>
              </w:rPr>
            </w:pPr>
            <w:r>
              <w:rPr>
                <w:sz w:val="20"/>
              </w:rPr>
              <w:t>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firstLine="720"/>
        <w:jc w:val="right"/>
        <w:rPr>
          <w:caps w:val="false"/>
          <w:smallCaps w:val="false"/>
        </w:rPr>
      </w:pPr>
      <w:bookmarkStart w:id="29" w:name="ex31-1.htm"/>
      <w:bookmarkStart w:id="30" w:name="ksex311"/>
      <w:bookmarkEnd w:id="29"/>
      <w:bookmarkEnd w:id="30"/>
      <w:r>
        <w:rPr>
          <w:caps w:val="false"/>
          <w:smallCaps w:val="false"/>
        </w:rPr>
        <w:t> </w:t>
      </w:r>
      <w:r>
        <w:rPr>
          <w:rFonts w:ascii="Times New Roman;Times;Serif" w:hAnsi="Times New Roman;Times;Serif"/>
          <w:b/>
          <w:i w:val="false"/>
          <w:caps w:val="false"/>
          <w:smallCaps w:val="false"/>
          <w:sz w:val="20"/>
        </w:rPr>
        <w:t>Exhibit 31.1</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Nadine Leslie, certify that:</w:t>
      </w:r>
    </w:p>
    <w:p>
      <w:pPr>
        <w:pStyle w:val="TextBody"/>
        <w:bidi w:val="0"/>
        <w:ind w:left="0" w:right="0" w:firstLine="36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00"/>
        <w:gridCol w:w="95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have reviewed this quarterly report on Form 10-Q of Middlesex Water Company (the “registrant”);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fraud, whether or not material, that involves management or other employees who have a significant role in the registrant’s internal control over financial reporting.</w:t>
            </w:r>
          </w:p>
        </w:tc>
      </w:tr>
    </w:tbl>
    <w:p>
      <w:pPr>
        <w:pStyle w:val="TextBody"/>
        <w:bidi w:val="0"/>
        <w:ind w:left="7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Nadine Leslie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Nadine Leslie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2025</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1" w:name="ex31-2.htm"/>
      <w:bookmarkStart w:id="32" w:name="ksex312"/>
      <w:bookmarkEnd w:id="31"/>
      <w:bookmarkEnd w:id="32"/>
      <w:r>
        <w:rPr>
          <w:rFonts w:ascii="Times New Roman;Times;Serif" w:hAnsi="Times New Roman;Times;Serif"/>
          <w:b/>
          <w:i w:val="false"/>
          <w:caps w:val="false"/>
          <w:smallCaps w:val="false"/>
          <w:sz w:val="20"/>
        </w:rPr>
        <w:t>Exhibit 31.2</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Mohammed G. Zerhouni, certify that:</w:t>
      </w:r>
    </w:p>
    <w:p>
      <w:pPr>
        <w:pStyle w:val="TextBody"/>
        <w:bidi w:val="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00"/>
        <w:gridCol w:w="95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have reviewed this quarterly report on Form 10-Q of Middlesex Water Company (the “registrant”);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fraud, whether or not material, that involves management or other employees who have a significant role in the registrant’s internal control over financial reporting.</w:t>
            </w:r>
          </w:p>
        </w:tc>
      </w:tr>
    </w:tbl>
    <w:p>
      <w:pPr>
        <w:pStyle w:val="TextBody"/>
        <w:bidi w:val="0"/>
        <w:ind w:left="7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2025</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3" w:name="ex32-1.htm"/>
      <w:bookmarkStart w:id="34" w:name="ksex321"/>
      <w:bookmarkEnd w:id="33"/>
      <w:bookmarkEnd w:id="34"/>
      <w:r>
        <w:rPr>
          <w:rFonts w:ascii="Times New Roman;Times;Serif" w:hAnsi="Times New Roman;Times;Serif"/>
          <w:b/>
          <w:i w:val="false"/>
          <w:caps w:val="false"/>
          <w:smallCaps w:val="false"/>
          <w:sz w:val="20"/>
        </w:rPr>
        <w:t>Exhibit 32.1</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Nadine Leslie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Nadine Leslie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5" w:name="ex32-2.htm"/>
      <w:bookmarkStart w:id="36" w:name="ksex322"/>
      <w:bookmarkEnd w:id="35"/>
      <w:bookmarkEnd w:id="36"/>
      <w:r>
        <w:rPr>
          <w:rFonts w:ascii="Times New Roman;Times;Serif" w:hAnsi="Times New Roman;Times;Serif"/>
          <w:b/>
          <w:i w:val="false"/>
          <w:caps w:val="false"/>
          <w:smallCaps w:val="false"/>
          <w:sz w:val="20"/>
        </w:rPr>
        <w:t>Exhibit 32.2</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 Mohammed G. Zerhouni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2025</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004/000110465925071727/tm2521835d1_424b5.htm" TargetMode="External"/><Relationship Id="rId3" Type="http://schemas.openxmlformats.org/officeDocument/2006/relationships/hyperlink" Target="https://www.sec.gov/Archives/edgar/data/66004/000110465925047384/tm2514671d3_ex1-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15529</Words>
  <Characters>85402</Characters>
  <CharactersWithSpaces>103198</CharactersWithSpaces>
  <Paragraphs>6714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