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140" w:hanging="646"/>
        <w:spacing w:after="0"/>
        <w:tabs>
          <w:tab w:leader="none" w:pos="11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366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quarterly period ended September 30, 2022</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1140" w:hanging="646"/>
        <w:spacing w:after="0"/>
        <w:tabs>
          <w:tab w:leader="none" w:pos="11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7"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For the transition period from ___________to 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0-422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MIDDLESEX WATER COMPANY</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34" w:right="339" w:bottom="1440" w:gutter="0" w:footer="0" w:header="0"/>
        </w:sectPr>
      </w:pPr>
    </w:p>
    <w:p>
      <w:pPr>
        <w:spacing w:after="0" w:line="9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634" w:right="339" w:bottom="1440" w:gutter="0" w:footer="0" w:header="0"/>
          <w:type w:val="continuous"/>
        </w:sectPr>
      </w:pP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485C Route One South, Iselin, New Jersey08830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(732) 634-1500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56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540" w:type="dxa"/>
            <w:vAlign w:val="bottom"/>
          </w:tcPr>
          <w:p>
            <w:pPr>
              <w:spacing w:after="0"/>
              <w:rPr>
                <w:sz w:val="20"/>
                <w:szCs w:val="20"/>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70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56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7"/>
              </w:rPr>
              <w:t>MSEX</w:t>
            </w:r>
          </w:p>
        </w:tc>
        <w:tc>
          <w:tcPr>
            <w:tcW w:w="54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9"/>
              </w:rPr>
              <w:t>NASDAQ</w:t>
            </w:r>
          </w:p>
        </w:tc>
      </w:tr>
    </w:tbl>
    <w:p>
      <w:pPr>
        <w:spacing w:after="0" w:line="32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4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634" w:right="339" w:bottom="1440" w:gutter="0" w:footer="0" w:header="0"/>
          <w:type w:val="continuous"/>
        </w:sectPr>
      </w:pPr>
    </w:p>
    <w:p>
      <w:pPr>
        <w:spacing w:after="0" w:line="151" w:lineRule="exact"/>
        <w:rPr>
          <w:sz w:val="24"/>
          <w:szCs w:val="24"/>
          <w:color w:val="auto"/>
        </w:rPr>
      </w:pPr>
    </w:p>
    <w:p>
      <w:pPr>
        <w:ind w:left="1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3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6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3">
            <w:col w:w="4200" w:space="720"/>
            <w:col w:w="2100" w:space="720"/>
            <w:col w:w="3500"/>
          </w:cols>
          <w:pgMar w:left="320" w:top="634"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5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outstanding of each of the registrant's classes of Common Stock, as of October 28, 2022: Common Stock, No Par Value: 17,638,595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20" w:type="dxa"/>
            <w:vAlign w:val="bottom"/>
            <w:gridSpan w:val="6"/>
          </w:tcPr>
          <w:p>
            <w:pPr>
              <w:ind w:left="120"/>
              <w:spacing w:after="0"/>
              <w:rPr>
                <w:sz w:val="20"/>
                <w:szCs w:val="20"/>
                <w:color w:val="auto"/>
              </w:rPr>
            </w:pPr>
            <w:r>
              <w:rPr>
                <w:rFonts w:ascii="Arial" w:cs="Arial" w:eastAsia="Arial" w:hAnsi="Arial"/>
                <w:sz w:val="18"/>
                <w:szCs w:val="18"/>
                <w:color w:val="auto"/>
              </w:rPr>
              <w:t>INDEX</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51"/>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b w:val="1"/>
                <w:bCs w:val="1"/>
                <w:color w:val="0000EE"/>
              </w:rPr>
              <w:t>FINANCIAL INFORMATION</w:t>
            </w:r>
          </w:p>
        </w:tc>
        <w:tc>
          <w:tcPr>
            <w:tcW w:w="5680" w:type="dxa"/>
            <w:vAlign w:val="bottom"/>
            <w:gridSpan w:val="11"/>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24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Financial Statements (Unaudited):</w:t>
            </w:r>
          </w:p>
        </w:tc>
        <w:tc>
          <w:tcPr>
            <w:tcW w:w="5600" w:type="dxa"/>
            <w:vAlign w:val="bottom"/>
            <w:gridSpan w:val="10"/>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2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Income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Condensed Consolidated Balance Sheets</w:t>
            </w:r>
          </w:p>
        </w:tc>
        <w:tc>
          <w:tcPr>
            <w:tcW w:w="4640" w:type="dxa"/>
            <w:vAlign w:val="bottom"/>
            <w:gridSpan w:val="8"/>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2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Cash Flows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2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Capital Stock and Long-Term Debt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8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w w:val="94"/>
              </w:rPr>
              <w:t>Condensed Consolidated Statements of Common Stockholders’ Equity</w:t>
            </w:r>
          </w:p>
        </w:tc>
        <w:tc>
          <w:tcPr>
            <w:tcW w:w="2640" w:type="dxa"/>
            <w:vAlign w:val="bottom"/>
            <w:gridSpan w:val="2"/>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7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8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w w:val="94"/>
              </w:rPr>
              <w:t>Notes to Unaudited Condensed Consolidated Financial Statements</w:t>
            </w:r>
          </w:p>
        </w:tc>
        <w:tc>
          <w:tcPr>
            <w:tcW w:w="2940" w:type="dxa"/>
            <w:vAlign w:val="bottom"/>
            <w:gridSpan w:val="3"/>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39"/>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8060" w:type="dxa"/>
            <w:vAlign w:val="bottom"/>
            <w:gridSpan w:val="22"/>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6420" w:type="dxa"/>
            <w:vAlign w:val="bottom"/>
            <w:tcBorders>
              <w:top w:val="single" w:sz="8" w:color="0000EE"/>
            </w:tcBorders>
            <w:gridSpan w:val="21"/>
          </w:tcPr>
          <w:p>
            <w:pPr>
              <w:spacing w:after="0"/>
              <w:rPr>
                <w:sz w:val="20"/>
                <w:szCs w:val="20"/>
                <w:color w:val="auto"/>
              </w:rPr>
            </w:pPr>
            <w:r>
              <w:rPr>
                <w:rFonts w:ascii="Arial" w:cs="Arial" w:eastAsia="Arial" w:hAnsi="Arial"/>
                <w:sz w:val="18"/>
                <w:szCs w:val="18"/>
                <w:color w:val="0000EE"/>
              </w:rPr>
              <w:t>Quantitative and Qualitative Disclosures of Market Risk</w:t>
            </w:r>
          </w:p>
        </w:tc>
        <w:tc>
          <w:tcPr>
            <w:tcW w:w="16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88"/>
              </w:rPr>
              <w:t>Controls and Procedures</w:t>
            </w:r>
          </w:p>
        </w:tc>
        <w:tc>
          <w:tcPr>
            <w:tcW w:w="2260" w:type="dxa"/>
            <w:vAlign w:val="bottom"/>
            <w:tcBorders>
              <w:top w:val="single" w:sz="8" w:color="0000EE"/>
            </w:tcBorders>
            <w:gridSpan w:val="8"/>
          </w:tcPr>
          <w:p>
            <w:pPr>
              <w:spacing w:after="0"/>
              <w:rPr>
                <w:sz w:val="24"/>
                <w:szCs w:val="24"/>
                <w:color w:val="auto"/>
              </w:rPr>
            </w:pPr>
          </w:p>
        </w:tc>
        <w:tc>
          <w:tcPr>
            <w:tcW w:w="4020" w:type="dxa"/>
            <w:vAlign w:val="bottom"/>
            <w:gridSpan w:val="6"/>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rPr>
              <w:t>OTHER INFORMATION</w:t>
            </w:r>
          </w:p>
        </w:tc>
        <w:tc>
          <w:tcPr>
            <w:tcW w:w="6000" w:type="dxa"/>
            <w:vAlign w:val="bottom"/>
            <w:gridSpan w:val="13"/>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8060" w:type="dxa"/>
            <w:vAlign w:val="bottom"/>
            <w:gridSpan w:val="22"/>
          </w:tcPr>
          <w:p>
            <w:pPr>
              <w:spacing w:after="0"/>
              <w:rPr>
                <w:sz w:val="20"/>
                <w:szCs w:val="20"/>
                <w:color w:val="auto"/>
              </w:rPr>
            </w:pPr>
            <w:r>
              <w:rPr>
                <w:rFonts w:ascii="Arial" w:cs="Arial" w:eastAsia="Arial" w:hAnsi="Arial"/>
                <w:sz w:val="18"/>
                <w:szCs w:val="18"/>
                <w:color w:val="0000EE"/>
              </w:rPr>
              <w:t>Legal Proceedings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13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Risk Factors</w:t>
            </w:r>
          </w:p>
        </w:tc>
        <w:tc>
          <w:tcPr>
            <w:tcW w:w="6740" w:type="dxa"/>
            <w:vAlign w:val="bottom"/>
            <w:gridSpan w:val="16"/>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43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9"/>
              </w:rPr>
              <w:t>Unregistered Sales of Equity Securities and Use of Proceeds</w:t>
            </w:r>
          </w:p>
        </w:tc>
        <w:tc>
          <w:tcPr>
            <w:tcW w:w="3720" w:type="dxa"/>
            <w:vAlign w:val="bottom"/>
            <w:gridSpan w:val="5"/>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22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Defaults upon Senior Securities</w:t>
            </w:r>
          </w:p>
        </w:tc>
        <w:tc>
          <w:tcPr>
            <w:tcW w:w="5780" w:type="dxa"/>
            <w:vAlign w:val="bottom"/>
            <w:gridSpan w:val="12"/>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17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Mine Safety Disclosures</w:t>
            </w:r>
          </w:p>
        </w:tc>
        <w:tc>
          <w:tcPr>
            <w:tcW w:w="6300" w:type="dxa"/>
            <w:vAlign w:val="bottom"/>
            <w:gridSpan w:val="15"/>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8060" w:type="dxa"/>
            <w:vAlign w:val="bottom"/>
            <w:gridSpan w:val="22"/>
          </w:tcPr>
          <w:p>
            <w:pPr>
              <w:spacing w:after="0"/>
              <w:rPr>
                <w:sz w:val="20"/>
                <w:szCs w:val="20"/>
                <w:color w:val="auto"/>
              </w:rPr>
            </w:pPr>
            <w:r>
              <w:rPr>
                <w:rFonts w:ascii="Arial" w:cs="Arial" w:eastAsia="Arial" w:hAnsi="Arial"/>
                <w:sz w:val="18"/>
                <w:szCs w:val="18"/>
                <w:color w:val="0000EE"/>
              </w:rPr>
              <w:t>Other Information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13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Exhibits</w:t>
            </w:r>
          </w:p>
        </w:tc>
        <w:tc>
          <w:tcPr>
            <w:tcW w:w="6760" w:type="dxa"/>
            <w:vAlign w:val="bottom"/>
            <w:gridSpan w:val="17"/>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80" w:type="dxa"/>
            <w:vAlign w:val="bottom"/>
            <w:gridSpan w:val="19"/>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60" w:type="dxa"/>
            <w:vAlign w:val="bottom"/>
            <w:gridSpan w:val="24"/>
          </w:tcPr>
          <w:p>
            <w:pPr>
              <w:spacing w:after="0"/>
              <w:rPr>
                <w:sz w:val="20"/>
                <w:szCs w:val="20"/>
                <w:color w:val="auto"/>
              </w:rPr>
            </w:pPr>
            <w:r>
              <w:rPr>
                <w:rFonts w:ascii="Arial" w:cs="Arial" w:eastAsia="Arial" w:hAnsi="Arial"/>
                <w:sz w:val="18"/>
                <w:szCs w:val="18"/>
                <w:b w:val="1"/>
                <w:bCs w:val="1"/>
                <w:color w:val="0000EE"/>
              </w:rPr>
              <w:t>SIGNATURES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79"/>
        </w:trPr>
        <w:tc>
          <w:tcPr>
            <w:tcW w:w="180" w:type="dxa"/>
            <w:vAlign w:val="bottom"/>
            <w:tcBorders>
              <w:bottom w:val="single" w:sz="8" w:color="EEEEEE"/>
            </w:tcBorders>
          </w:tcPr>
          <w:p>
            <w:pPr>
              <w:spacing w:after="0"/>
              <w:rPr>
                <w:sz w:val="24"/>
                <w:szCs w:val="24"/>
                <w:color w:val="auto"/>
              </w:rPr>
            </w:pPr>
          </w:p>
        </w:tc>
        <w:tc>
          <w:tcPr>
            <w:tcW w:w="980" w:type="dxa"/>
            <w:vAlign w:val="bottom"/>
            <w:tcBorders>
              <w:top w:val="single" w:sz="8" w:color="0000EE"/>
              <w:bottom w:val="single" w:sz="8" w:color="EEEEEE"/>
            </w:tcBorders>
          </w:tcPr>
          <w:p>
            <w:pPr>
              <w:spacing w:after="0"/>
              <w:rPr>
                <w:sz w:val="24"/>
                <w:szCs w:val="24"/>
                <w:color w:val="auto"/>
              </w:rPr>
            </w:pPr>
          </w:p>
        </w:tc>
        <w:tc>
          <w:tcPr>
            <w:tcW w:w="20" w:type="dxa"/>
            <w:vAlign w:val="bottom"/>
            <w:tcBorders>
              <w:top w:val="single" w:sz="8" w:color="0000EE"/>
              <w:bottom w:val="single" w:sz="8" w:color="EEEEEE"/>
            </w:tcBorders>
          </w:tcPr>
          <w:p>
            <w:pPr>
              <w:spacing w:after="0"/>
              <w:rPr>
                <w:sz w:val="24"/>
                <w:szCs w:val="24"/>
                <w:color w:val="auto"/>
              </w:rPr>
            </w:pPr>
          </w:p>
        </w:tc>
        <w:tc>
          <w:tcPr>
            <w:tcW w:w="40" w:type="dxa"/>
            <w:vAlign w:val="bottom"/>
            <w:tcBorders>
              <w:top w:val="single" w:sz="8" w:color="0000EE"/>
              <w:bottom w:val="single" w:sz="8" w:color="EEEEEE"/>
            </w:tcBorders>
          </w:tcPr>
          <w:p>
            <w:pPr>
              <w:spacing w:after="0"/>
              <w:rPr>
                <w:sz w:val="24"/>
                <w:szCs w:val="24"/>
                <w:color w:val="auto"/>
              </w:rPr>
            </w:pPr>
          </w:p>
        </w:tc>
        <w:tc>
          <w:tcPr>
            <w:tcW w:w="120" w:type="dxa"/>
            <w:vAlign w:val="bottom"/>
            <w:tcBorders>
              <w:top w:val="single" w:sz="8" w:color="0000EE"/>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16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2"/>
        </w:trPr>
        <w:tc>
          <w:tcPr>
            <w:tcW w:w="32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386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rPr>
              <w:t>MIDDLESEX WATER COMPANY</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840" w:type="dxa"/>
            <w:vAlign w:val="bottom"/>
            <w:gridSpan w:val="6"/>
          </w:tcPr>
          <w:p>
            <w:pPr>
              <w:jc w:val="center"/>
              <w:ind w:left="267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(Unaudited)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86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2"/>
              </w:rPr>
              <w:t>Three Months Ended September 30,</w:t>
            </w:r>
          </w:p>
        </w:tc>
        <w:tc>
          <w:tcPr>
            <w:tcW w:w="440" w:type="dxa"/>
            <w:vAlign w:val="bottom"/>
          </w:tcPr>
          <w:p>
            <w:pPr>
              <w:spacing w:after="0"/>
              <w:rPr>
                <w:sz w:val="24"/>
                <w:szCs w:val="24"/>
                <w:color w:val="auto"/>
              </w:rPr>
            </w:pPr>
          </w:p>
        </w:tc>
        <w:tc>
          <w:tcPr>
            <w:tcW w:w="30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34"/>
        </w:trPr>
        <w:tc>
          <w:tcPr>
            <w:tcW w:w="3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47,732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39,874</w:t>
            </w:r>
          </w:p>
        </w:tc>
        <w:tc>
          <w:tcPr>
            <w:tcW w:w="4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123,611</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109,117</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Operations and Maintenance</w:t>
            </w:r>
          </w:p>
        </w:tc>
        <w:tc>
          <w:tcPr>
            <w:tcW w:w="78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b w:val="1"/>
                <w:bCs w:val="1"/>
                <w:color w:val="auto"/>
              </w:rPr>
              <w:t>20,312</w:t>
            </w:r>
          </w:p>
        </w:tc>
        <w:tc>
          <w:tcPr>
            <w:tcW w:w="3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18,950</w:t>
            </w:r>
          </w:p>
        </w:tc>
        <w:tc>
          <w:tcPr>
            <w:tcW w:w="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59,007</w:t>
            </w:r>
          </w:p>
        </w:tc>
        <w:tc>
          <w:tcPr>
            <w:tcW w:w="4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55,265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5,814</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5,504</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17,107</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15,523</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Other Taxes</w:t>
            </w:r>
          </w:p>
        </w:tc>
        <w:tc>
          <w:tcPr>
            <w:tcW w:w="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5,031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3,996</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13,543</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169"/>
        </w:trPr>
        <w:tc>
          <w:tcPr>
            <w:tcW w:w="32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31,157</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28,450</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89,657</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82,244</w:t>
            </w:r>
          </w:p>
        </w:tc>
        <w:tc>
          <w:tcPr>
            <w:tcW w:w="0" w:type="dxa"/>
            <w:vAlign w:val="bottom"/>
          </w:tcPr>
          <w:p>
            <w:pPr>
              <w:spacing w:after="0"/>
              <w:rPr>
                <w:sz w:val="1"/>
                <w:szCs w:val="1"/>
                <w:color w:val="auto"/>
              </w:rPr>
            </w:pPr>
          </w:p>
        </w:tc>
      </w:tr>
      <w:tr>
        <w:trPr>
          <w:trHeight w:val="224"/>
        </w:trPr>
        <w:tc>
          <w:tcPr>
            <w:tcW w:w="3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Gain on Sale of Subsidiary</w:t>
            </w:r>
          </w:p>
        </w:tc>
        <w:tc>
          <w:tcPr>
            <w:tcW w:w="780" w:type="dxa"/>
            <w:vAlign w:val="bottom"/>
            <w:shd w:val="clear" w:color="auto" w:fill="CCEEFF"/>
          </w:tcPr>
          <w:p>
            <w:pPr>
              <w:spacing w:after="0"/>
              <w:rPr>
                <w:sz w:val="19"/>
                <w:szCs w:val="19"/>
                <w:color w:val="auto"/>
              </w:rPr>
            </w:pPr>
          </w:p>
        </w:tc>
        <w:tc>
          <w:tcPr>
            <w:tcW w:w="14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84"/>
              </w:rPr>
              <w:t>5232</w:t>
            </w:r>
          </w:p>
        </w:tc>
        <w:tc>
          <w:tcPr>
            <w:tcW w:w="1440" w:type="dxa"/>
            <w:vAlign w:val="bottom"/>
            <w:shd w:val="clear" w:color="auto" w:fill="CCEEFF"/>
          </w:tcPr>
          <w:p>
            <w:pPr>
              <w:spacing w:after="0"/>
              <w:rPr>
                <w:sz w:val="19"/>
                <w:szCs w:val="19"/>
                <w:color w:val="auto"/>
              </w:rPr>
            </w:pPr>
          </w:p>
        </w:tc>
        <w:tc>
          <w:tcPr>
            <w:tcW w:w="4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60" w:type="dxa"/>
            <w:vAlign w:val="bottom"/>
            <w:tcBorders>
              <w:bottom w:val="single" w:sz="8" w:color="auto"/>
            </w:tcBorders>
            <w:gridSpan w:val="2"/>
            <w:vMerge w:val="continue"/>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vMerge w:val="continue"/>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16,575</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11,424</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39,186</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26,873</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w w:val="97"/>
              </w:rPr>
              <w:t>Allowance for Funds Used During Construction</w:t>
            </w:r>
          </w:p>
        </w:tc>
        <w:tc>
          <w:tcPr>
            <w:tcW w:w="78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b w:val="1"/>
                <w:bCs w:val="1"/>
                <w:color w:val="auto"/>
              </w:rPr>
              <w:t>627</w:t>
            </w:r>
          </w:p>
        </w:tc>
        <w:tc>
          <w:tcPr>
            <w:tcW w:w="3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344</w:t>
            </w:r>
          </w:p>
        </w:tc>
        <w:tc>
          <w:tcPr>
            <w:tcW w:w="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1,553</w:t>
            </w:r>
          </w:p>
        </w:tc>
        <w:tc>
          <w:tcPr>
            <w:tcW w:w="4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7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1,412</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744</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4,185</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7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2,039</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1,088</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5,738</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Charges</w:t>
            </w:r>
          </w:p>
        </w:tc>
        <w:tc>
          <w:tcPr>
            <w:tcW w:w="7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2,355</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2,101</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6,574</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16,259</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10,411</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38,350</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25,647</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7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1,968</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3,092</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(3,658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14,291</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11,476</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35,258</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Preferred Stock Dividend Requirements</w:t>
            </w:r>
          </w:p>
        </w:tc>
        <w:tc>
          <w:tcPr>
            <w:tcW w:w="7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30</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14,261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11,446</w:t>
            </w:r>
          </w:p>
        </w:tc>
        <w:tc>
          <w:tcPr>
            <w:tcW w:w="4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35,168</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29,215</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b w:val="1"/>
                <w:bCs w:val="1"/>
                <w:color w:val="auto"/>
              </w:rPr>
              <w:t>0.81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0.65</w:t>
            </w:r>
          </w:p>
        </w:tc>
        <w:tc>
          <w:tcPr>
            <w:tcW w:w="4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0.8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0.65</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Average Number of Common Shares Outstanding:</w:t>
            </w: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78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b w:val="1"/>
                <w:bCs w:val="1"/>
                <w:color w:val="auto"/>
              </w:rPr>
              <w:t>17,628</w:t>
            </w:r>
          </w:p>
        </w:tc>
        <w:tc>
          <w:tcPr>
            <w:tcW w:w="3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17,491</w:t>
            </w:r>
          </w:p>
        </w:tc>
        <w:tc>
          <w:tcPr>
            <w:tcW w:w="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17,583</w:t>
            </w:r>
          </w:p>
        </w:tc>
        <w:tc>
          <w:tcPr>
            <w:tcW w:w="4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17,743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17,606</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17,698</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50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32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5700" w:type="dxa"/>
            <w:vAlign w:val="bottom"/>
          </w:tcPr>
          <w:p>
            <w:pPr>
              <w:jc w:val="center"/>
              <w:ind w:left="450"/>
              <w:spacing w:after="0"/>
              <w:rPr>
                <w:sz w:val="20"/>
                <w:szCs w:val="20"/>
                <w:color w:val="auto"/>
              </w:rPr>
            </w:pPr>
            <w:r>
              <w:rPr>
                <w:rFonts w:ascii="Arial" w:cs="Arial" w:eastAsia="Arial" w:hAnsi="Arial"/>
                <w:sz w:val="18"/>
                <w:szCs w:val="18"/>
                <w:b w:val="1"/>
                <w:bCs w:val="1"/>
                <w:color w:val="auto"/>
              </w:rPr>
              <w:t>MIDDLESEX WATER COMPANY</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jc w:val="center"/>
              <w:ind w:left="4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00" w:type="dxa"/>
            <w:vAlign w:val="bottom"/>
          </w:tcPr>
          <w:p>
            <w:pPr>
              <w:jc w:val="center"/>
              <w:ind w:left="45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5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 Production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246,426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247,286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Transmission and Distribution</w:t>
            </w: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709,748</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697,200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96,433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95,658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Construction Work in Progress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59,152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24,947</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1,111,759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1,065,091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211,902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199,723</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UTILITY PLANT - NET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899,857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865,368</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2,908</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700" w:type="dxa"/>
            <w:vAlign w:val="bottom"/>
          </w:tcPr>
          <w:p>
            <w:pPr>
              <w:ind w:left="120"/>
              <w:spacing w:after="0" w:line="201" w:lineRule="exact"/>
              <w:rPr>
                <w:sz w:val="20"/>
                <w:szCs w:val="20"/>
                <w:color w:val="auto"/>
              </w:rPr>
            </w:pPr>
            <w:r>
              <w:rPr>
                <w:rFonts w:ascii="Arial" w:cs="Arial" w:eastAsia="Arial" w:hAnsi="Arial"/>
                <w:sz w:val="18"/>
                <w:szCs w:val="18"/>
                <w:color w:val="auto"/>
                <w:w w:val="93"/>
              </w:rPr>
              <w:t>Accounts Receivable, net of allowance for uncollectible accounts of $2,593</w:t>
            </w:r>
          </w:p>
        </w:tc>
        <w:tc>
          <w:tcPr>
            <w:tcW w:w="260" w:type="dxa"/>
            <w:vAlign w:val="bottom"/>
          </w:tcPr>
          <w:p>
            <w:pPr>
              <w:spacing w:after="0"/>
              <w:rPr>
                <w:sz w:val="17"/>
                <w:szCs w:val="17"/>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18,081</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and $2,574, respectively</w:t>
            </w:r>
          </w:p>
        </w:tc>
        <w:tc>
          <w:tcPr>
            <w:tcW w:w="2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15,311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Unbilled Revenues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11,022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Materials and Supplies (at average cost)</w:t>
            </w: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5,792</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Prepayments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3,669</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41,472</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34,355</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spacing w:after="0"/>
              <w:rPr>
                <w:sz w:val="18"/>
                <w:szCs w:val="18"/>
                <w:color w:val="auto"/>
              </w:rPr>
            </w:pPr>
          </w:p>
        </w:tc>
        <w:tc>
          <w:tcPr>
            <w:tcW w:w="57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5700" w:type="dxa"/>
            <w:vAlign w:val="bottom"/>
          </w:tcPr>
          <w:p>
            <w:pPr>
              <w:ind w:left="120"/>
              <w:spacing w:after="0"/>
              <w:rPr>
                <w:sz w:val="20"/>
                <w:szCs w:val="20"/>
                <w:color w:val="auto"/>
              </w:rPr>
            </w:pPr>
            <w:r>
              <w:rPr>
                <w:rFonts w:ascii="Arial" w:cs="Arial" w:eastAsia="Arial" w:hAnsi="Arial"/>
                <w:sz w:val="18"/>
                <w:szCs w:val="18"/>
                <w:color w:val="auto"/>
              </w:rPr>
              <w:t>Operating Lease Right of Use Asset</w:t>
            </w: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3,992</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Preliminary Survey and Investigation Charges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3,244</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Regulatory Assets</w:t>
            </w: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104,903</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100,738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Non-utility Assets - Net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11,096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11,428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3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123,340</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120,292</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1,064,669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1,020,015</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CAPITALIZATION AND LIABILITIES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CAPITALIZATION:</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No Par Value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232,423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221,919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165,652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145,807</w:t>
            </w:r>
          </w:p>
        </w:tc>
        <w:tc>
          <w:tcPr>
            <w:tcW w:w="0" w:type="dxa"/>
            <w:vAlign w:val="bottom"/>
          </w:tcPr>
          <w:p>
            <w:pPr>
              <w:spacing w:after="0"/>
              <w:rPr>
                <w:sz w:val="1"/>
                <w:szCs w:val="1"/>
                <w:color w:val="auto"/>
              </w:rPr>
            </w:pPr>
          </w:p>
        </w:tc>
      </w:tr>
      <w:tr>
        <w:trPr>
          <w:trHeight w:val="209"/>
        </w:trPr>
        <w:tc>
          <w:tcPr>
            <w:tcW w:w="3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COMMON EQUITY</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398,075</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367,726</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2,084</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301,238</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306,520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TOTAL CAPITALIZATION</w:t>
            </w: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701,397</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676,330</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spacing w:after="0"/>
              <w:rPr>
                <w:sz w:val="18"/>
                <w:szCs w:val="18"/>
                <w:color w:val="auto"/>
              </w:rPr>
            </w:pPr>
          </w:p>
        </w:tc>
        <w:tc>
          <w:tcPr>
            <w:tcW w:w="57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570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7,567</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Payable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40,500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25,873</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21,125</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Taxes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12,585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2,174</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Unearned Revenues and Advanced Service Fees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2,791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92,967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56,619</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7880" w:type="dxa"/>
            <w:vAlign w:val="bottom"/>
            <w:tcBorders>
              <w:bottom w:val="single" w:sz="8" w:color="auto"/>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CONTINGENT LIABILITIES (Note 7)</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Advances for Construction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22,425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23,529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Lease Obligations - Operating</w:t>
            </w: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3,871</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Deferred Income Taxes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76,979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69,500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Employee Benefit Plans</w:t>
            </w: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8,062</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11,290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Regulatory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46,693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49,431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1,004</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OTHER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159,034</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159,203</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7880" w:type="dxa"/>
            <w:vAlign w:val="bottom"/>
            <w:tcBorders>
              <w:bottom w:val="single" w:sz="8" w:color="auto"/>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111,271</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127,863</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CAPITALIZATION AND LIABILITIES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1,064,669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1,020,015</w:t>
            </w:r>
          </w:p>
        </w:tc>
        <w:tc>
          <w:tcPr>
            <w:tcW w:w="0" w:type="dxa"/>
            <w:vAlign w:val="bottom"/>
          </w:tcPr>
          <w:p>
            <w:pPr>
              <w:spacing w:after="0"/>
              <w:rPr>
                <w:sz w:val="1"/>
                <w:szCs w:val="1"/>
                <w:color w:val="auto"/>
              </w:rPr>
            </w:pPr>
          </w:p>
        </w:tc>
      </w:tr>
      <w:tr>
        <w:trPr>
          <w:trHeight w:val="169"/>
        </w:trPr>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14"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34"/>
        </w:trPr>
        <w:tc>
          <w:tcPr>
            <w:tcW w:w="7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35,258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29,305</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20,135</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17,253</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Provision for Deferred Income Taxes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(4,312)</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(11,801)</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Portion of Allowance for Funds Used During Construction (AFUDC)</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(914)</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3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474</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Expense</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Gain on Sale of Subsidiary</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5,232</w:t>
            </w: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176"/>
        </w:trPr>
        <w:tc>
          <w:tcPr>
            <w:tcW w:w="7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Unbilled Revenues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(3,749)</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Materials and Supplies</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Prepayments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(789)</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4,748</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(13,103)</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Accrued Taxes</w:t>
            </w:r>
          </w:p>
        </w:tc>
        <w:tc>
          <w:tcPr>
            <w:tcW w:w="3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3,964</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2,550</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188</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Employee Benefit Plans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(1,973</w:t>
            </w: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1,187</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Unearned Revenue &amp; Advanced Service Fees</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(1,769</w:t>
            </w: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16"/>
        </w:trPr>
        <w:tc>
          <w:tcPr>
            <w:tcW w:w="78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10"/>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44,241</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18,638</w:t>
            </w: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Utility Plant Expenditures, Including AFUDC of $639 in 2022 and $1,020 in 2021</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(65,939)</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(61,245)</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Subsidiary</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3,122</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(62,817)</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(61,245)</w:t>
            </w:r>
          </w:p>
        </w:tc>
      </w:tr>
      <w:tr>
        <w:trPr>
          <w:trHeight w:val="210"/>
        </w:trPr>
        <w:tc>
          <w:tcPr>
            <w:tcW w:w="78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of Long-term Debt</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(6,397)</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(28,655)</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2,663</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21,595</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Short-term Bank Borrowings</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27,500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48,000</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Deferred Debt Issuance Expense</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(612)</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Issuance Expense</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10,064</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885</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Common Dividends</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(15,298)</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(14,294)</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Payment of Preferred Dividends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Advances and Contributions-Net</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10,079</w:t>
            </w:r>
          </w:p>
        </w:tc>
      </w:tr>
      <w:tr>
        <w:trPr>
          <w:trHeight w:val="216"/>
        </w:trPr>
        <w:tc>
          <w:tcPr>
            <w:tcW w:w="7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17,951</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37,485</w:t>
            </w:r>
          </w:p>
        </w:tc>
      </w:tr>
      <w:tr>
        <w:trPr>
          <w:trHeight w:val="210"/>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CHANGES IN CASH, CASH EQUIVALENTS AND RESTRICTED CASH</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w:t>
            </w:r>
          </w:p>
        </w:tc>
      </w:tr>
      <w:tr>
        <w:trPr>
          <w:trHeight w:val="209"/>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3,533</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10,404</w:t>
            </w:r>
          </w:p>
        </w:tc>
      </w:tr>
      <w:tr>
        <w:trPr>
          <w:trHeight w:val="210"/>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2,908</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5,282</w:t>
            </w:r>
          </w:p>
        </w:tc>
      </w:tr>
      <w:tr>
        <w:trPr>
          <w:trHeight w:val="210"/>
        </w:trPr>
        <w:tc>
          <w:tcPr>
            <w:tcW w:w="7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ACTIVITY:</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5,705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4,279</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Consideration for Sale of Subsidiary</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FLOWS INFORMATION:</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Cash Paid During the Year for:</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6,793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7,091</w:t>
            </w: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Interest Capitalized</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639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1,020</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2,125</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3,235</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2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Shares Authorized - 40,000</w:t>
            </w: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Outstanding - 2022 - 17,638; 2021 - 17,522</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232,423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221,919</w:t>
            </w:r>
          </w:p>
        </w:tc>
      </w:tr>
      <w:tr>
        <w:trPr>
          <w:trHeight w:val="216"/>
        </w:trPr>
        <w:tc>
          <w:tcPr>
            <w:tcW w:w="6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165,652</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145,807</w:t>
            </w:r>
          </w:p>
        </w:tc>
      </w:tr>
      <w:tr>
        <w:trPr>
          <w:trHeight w:val="209"/>
        </w:trPr>
        <w:tc>
          <w:tcPr>
            <w:tcW w:w="64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COMMON EQUITY</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398,075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367,726</w:t>
            </w:r>
          </w:p>
        </w:tc>
      </w:tr>
      <w:tr>
        <w:trPr>
          <w:trHeight w:val="209"/>
        </w:trPr>
        <w:tc>
          <w:tcPr>
            <w:tcW w:w="64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Cumulative Preferred Stock, No Par Value:</w:t>
            </w: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Authorized - 120</w:t>
            </w:r>
          </w:p>
        </w:tc>
        <w:tc>
          <w:tcPr>
            <w:tcW w:w="2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Shares Outstanding - 20</w:t>
            </w: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2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Shares Outstanding, $7.00 Series - 10</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1,005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1,005</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w:t>
            </w:r>
          </w:p>
        </w:tc>
        <w:tc>
          <w:tcPr>
            <w:tcW w:w="2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Shares Outstanding, $7.00 Series - 1</w:t>
            </w:r>
          </w:p>
        </w:tc>
        <w:tc>
          <w:tcPr>
            <w:tcW w:w="20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79</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79</w:t>
            </w:r>
          </w:p>
        </w:tc>
      </w:tr>
      <w:tr>
        <w:trPr>
          <w:trHeight w:val="216"/>
        </w:trPr>
        <w:tc>
          <w:tcPr>
            <w:tcW w:w="64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Shares Outstanding, $4.75 Series - 10</w:t>
            </w:r>
          </w:p>
        </w:tc>
        <w:tc>
          <w:tcPr>
            <w:tcW w:w="20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r>
      <w:tr>
        <w:trPr>
          <w:trHeight w:val="209"/>
        </w:trPr>
        <w:tc>
          <w:tcPr>
            <w:tcW w:w="64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PREFERRED STOCK</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2,084</w:t>
            </w:r>
          </w:p>
        </w:tc>
      </w:tr>
      <w:tr>
        <w:trPr>
          <w:trHeight w:val="210"/>
        </w:trPr>
        <w:tc>
          <w:tcPr>
            <w:tcW w:w="64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Long-term Debt:</w:t>
            </w: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Mortgage Bonds, 0.00%-5.50%, due 2023-2059</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252,269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203,892</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Amortizing Secured Notes, 3.94%-7.05%, due 2028-2046</w:t>
            </w:r>
          </w:p>
        </w:tc>
        <w:tc>
          <w:tcPr>
            <w:tcW w:w="20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45,592</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47,613</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Revolving Trust Notes, 2.00%-4.22%, due 2022-2041</w:t>
            </w:r>
          </w:p>
        </w:tc>
        <w:tc>
          <w:tcPr>
            <w:tcW w:w="2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9,551</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7,510</w:t>
            </w:r>
          </w:p>
        </w:tc>
      </w:tr>
      <w:tr>
        <w:trPr>
          <w:trHeight w:val="216"/>
        </w:trPr>
        <w:tc>
          <w:tcPr>
            <w:tcW w:w="6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Construction Loans, 0.00%</w:t>
            </w:r>
          </w:p>
        </w:tc>
        <w:tc>
          <w:tcPr>
            <w:tcW w:w="20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52,131</w:t>
            </w:r>
          </w:p>
        </w:tc>
      </w:tr>
      <w:tr>
        <w:trPr>
          <w:trHeight w:val="210"/>
        </w:trPr>
        <w:tc>
          <w:tcPr>
            <w:tcW w:w="6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SUBTOTAL LONG-TERM DEBT</w:t>
            </w:r>
          </w:p>
        </w:tc>
        <w:tc>
          <w:tcPr>
            <w:tcW w:w="2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307,412</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311,146</w:t>
            </w:r>
          </w:p>
        </w:tc>
      </w:tr>
      <w:tr>
        <w:trPr>
          <w:trHeight w:val="216"/>
        </w:trPr>
        <w:tc>
          <w:tcPr>
            <w:tcW w:w="6400" w:type="dxa"/>
            <w:vAlign w:val="bottom"/>
          </w:tcPr>
          <w:p>
            <w:pPr>
              <w:ind w:left="720"/>
              <w:spacing w:after="0"/>
              <w:rPr>
                <w:sz w:val="20"/>
                <w:szCs w:val="20"/>
                <w:color w:val="auto"/>
              </w:rPr>
            </w:pPr>
            <w:r>
              <w:rPr>
                <w:rFonts w:ascii="Arial" w:cs="Arial" w:eastAsia="Arial" w:hAnsi="Arial"/>
                <w:sz w:val="18"/>
                <w:szCs w:val="18"/>
                <w:color w:val="auto"/>
              </w:rPr>
              <w:t>Add: Premium on Issuance of Long-term Debt</w:t>
            </w:r>
          </w:p>
        </w:tc>
        <w:tc>
          <w:tcPr>
            <w:tcW w:w="20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6,973</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7,271</w:t>
            </w:r>
          </w:p>
        </w:tc>
      </w:tr>
      <w:tr>
        <w:trPr>
          <w:trHeight w:val="216"/>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Unamortized Debt Expense</w:t>
            </w:r>
          </w:p>
        </w:tc>
        <w:tc>
          <w:tcPr>
            <w:tcW w:w="2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(5,166)</w:t>
            </w:r>
          </w:p>
        </w:tc>
      </w:tr>
      <w:tr>
        <w:trPr>
          <w:trHeight w:val="216"/>
        </w:trPr>
        <w:tc>
          <w:tcPr>
            <w:tcW w:w="64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Less: Current Portion of Long-term Debt</w:t>
            </w:r>
          </w:p>
        </w:tc>
        <w:tc>
          <w:tcPr>
            <w:tcW w:w="20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(7,567)</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(6,731)</w:t>
            </w:r>
          </w:p>
        </w:tc>
      </w:tr>
      <w:tr>
        <w:trPr>
          <w:trHeight w:val="209"/>
        </w:trPr>
        <w:tc>
          <w:tcPr>
            <w:tcW w:w="64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TOTAL LONG-TERM DEBT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301,238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306,520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3"/>
              </w:rPr>
              <w:t>Common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15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09"/>
        </w:trPr>
        <w:tc>
          <w:tcPr>
            <w:tcW w:w="5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September 30, 2021</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Balance at July 1, 2021</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17,490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218,100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136,998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355,098</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11,476</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Middlesex Water Company Invesment Plan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($0.2725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(4,766)</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17,493</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218,662</w:t>
            </w:r>
          </w:p>
        </w:tc>
        <w:tc>
          <w:tcPr>
            <w:tcW w:w="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143,678</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362,340</w:t>
            </w:r>
          </w:p>
        </w:tc>
      </w:tr>
      <w:tr>
        <w:trPr>
          <w:trHeight w:val="209"/>
        </w:trPr>
        <w:tc>
          <w:tcPr>
            <w:tcW w:w="5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For the Nine Months Ended September 30, 2021</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17,473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217,451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128,757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346,208</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29,305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29,305</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Middlesex Water Company Invesment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($0.8175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(14,294)</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17,493</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218,662</w:t>
            </w:r>
          </w:p>
        </w:tc>
        <w:tc>
          <w:tcPr>
            <w:tcW w:w="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143,678</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362,340</w:t>
            </w:r>
          </w:p>
        </w:tc>
      </w:tr>
      <w:tr>
        <w:trPr>
          <w:trHeight w:val="209"/>
        </w:trPr>
        <w:tc>
          <w:tcPr>
            <w:tcW w:w="5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For the Three Months Ended September 30, 2022</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2022</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17,604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229,037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156,530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385,567</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14,291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14,291</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Middlesex Water Company Invesment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($0.2900 per share)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Expenses</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Balance at September 30, 2022</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17,638</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232,423</w:t>
            </w:r>
          </w:p>
        </w:tc>
        <w:tc>
          <w:tcPr>
            <w:tcW w:w="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165,652</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398,075</w:t>
            </w:r>
          </w:p>
        </w:tc>
      </w:tr>
      <w:tr>
        <w:trPr>
          <w:trHeight w:val="210"/>
        </w:trPr>
        <w:tc>
          <w:tcPr>
            <w:tcW w:w="5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For the Nine Months Ended September 30, 2022</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221,919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145,807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367,726</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35,258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35,258</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Middlesex Water Company Invesment Plan</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10,064</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 - Board of Directors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Cash Dividends on Common Stock ($0.8700 per share)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(15,298)</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Common Stock Expenses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2022</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17,638</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232,423</w:t>
            </w: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165,652</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398,075</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Recent Developments</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Middlesex Water Company (Middlesex or the Company) is the parent company and sole shareholder of Tidewater Utilities, Inc. (Tidewater),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notes within the 2021 Annual Report on Form 10-K (the 2021 Form 10-K) are applicable to these financial statements and, in the opinion of the Company, the accompanying unaudited condensed consolidated financial statements contain all adjustments necessary (including normal recurring accruals) to present fairly the financial position as of September 30, 2022, the results of operations for the three month and nine month periods ended September 30, 2022 and 2021 and cash flows for the nine month periods ended September 30, 2022 and 2021. Information included in the Condensed Consolidated Balance Sheet as of December 31, 2021, has been derived from the Company’s December 31, 2021 audited financial statements included in the 2021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Regulatory Notice of Non-Compliance – </w:t>
      </w:r>
      <w:r>
        <w:rPr>
          <w:rFonts w:ascii="Arial" w:cs="Arial" w:eastAsia="Arial" w:hAnsi="Arial"/>
          <w:sz w:val="18"/>
          <w:szCs w:val="18"/>
          <w:color w:val="auto"/>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in South Plainfield, New Jersey exceeded a recently promulgated NJDEP standard effective in 2021. The NJDEP standard for PFOA was developed based on a Health-based Maximum Contaminant Level of 14 parts per trillion. Neither the NJDEP nor Middlesex has characterized this exceedance as an acute health threat. However, Middlesex was required to notify its affected customers and complied in November 2021 as required by the regulation.</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Notice further required the Company to take any action necessary to comply with the new standard by September 7, 2022. The Company began construction of an enhanced treatment process at the Park Avenue Wellfield Treatment Plant to comply with the new standard prior to the regulation being enacted. Since completion is not expected until mid-2023, in December 2021, the Company implemented an interim solution to meet the Notice requirements. The Park Avenue Wellfield Treatment Plant was taken off-line and alternate sources of supply have been obtained. Simultaneously, the Company accelerated a portion of the enhanced treatment project to allow a restart of the Park Avenue Wellfield Treatment Plant ahead of historical higher water demand periods during the summer months.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2022, construction of the accelerated portion was completed and the Park Avenue Wellfield Treatment Plant is effectively treating ground water to ensure compliance with all state and federal drinking water standards. Working in coordination with the NJDEP, the Company successfully restarted the Park Avenue Wellfield Treatment Plant and introduced wellfield water into the distribution system. Water being delivered to customers is in compliance with all United States Environmental Protection Agency and NJDEP drinking water standards, including the newly established water quality standard for PFOA.</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13, 2022, the Company entered into an Administrative Consent Order (ACO) with the NJDEP, which requires the Company to take whatever actions are necessary to achieve and maintain compliance with the Safe Drinking Water Act, N.J.S.A, 58:12A-1 et seq., and the Safe Drinking Water Act regulations N.J.A.C. 7:10-1 et seq., including applicable public notifications. The Company’s agreement to enter into an ACO avoided any further Notice regarding the fact that the permanent treatment solution was not in service by September 7, 2022. The Company must issue the public notifications by February 22, 2023 and continue to complete and distribute public information as prescribed in the ACO. In addition, in accordance with the ACO:</w:t>
      </w:r>
    </w:p>
    <w:p>
      <w:pPr>
        <w:spacing w:after="0" w:line="219" w:lineRule="exact"/>
        <w:rPr>
          <w:sz w:val="20"/>
          <w:szCs w:val="20"/>
          <w:color w:val="auto"/>
        </w:rPr>
      </w:pPr>
    </w:p>
    <w:p>
      <w:pPr>
        <w:jc w:val="both"/>
        <w:ind w:left="660" w:right="180" w:hanging="328"/>
        <w:spacing w:after="0" w:line="219" w:lineRule="auto"/>
        <w:tabs>
          <w:tab w:leader="none" w:pos="660" w:val="left"/>
        </w:tabs>
        <w:numPr>
          <w:ilvl w:val="0"/>
          <w:numId w:val="3"/>
        </w:numPr>
        <w:rPr>
          <w:rFonts w:ascii="Arial" w:cs="Arial" w:eastAsia="Arial" w:hAnsi="Arial"/>
          <w:sz w:val="27"/>
          <w:szCs w:val="27"/>
          <w:color w:val="auto"/>
        </w:rPr>
      </w:pPr>
      <w:r>
        <w:rPr>
          <w:rFonts w:ascii="Arial" w:cs="Arial" w:eastAsia="Arial" w:hAnsi="Arial"/>
          <w:sz w:val="18"/>
          <w:szCs w:val="18"/>
          <w:color w:val="auto"/>
        </w:rPr>
        <w:t>On or before June 30, 2023, the Company shall complete the permanent construction of the Park Avenue Wellfield treatment upgrades, place the treatment upgrades into operation, and all water at the Park Avenue Wellfield Treatment Plant shall be treated to comply with the PFOA NJDEP standards.</w:t>
      </w:r>
    </w:p>
    <w:p>
      <w:pPr>
        <w:sectPr>
          <w:pgSz w:w="11900" w:h="16838" w:orient="portrait"/>
          <w:cols w:equalWidth="0" w:num="1">
            <w:col w:w="11240"/>
          </w:cols>
          <w:pgMar w:left="320" w:top="121" w:right="339" w:bottom="0" w:gutter="0" w:footer="0" w:header="0"/>
        </w:sectPr>
      </w:pPr>
    </w:p>
    <w:p>
      <w:pPr>
        <w:spacing w:after="0" w:line="18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must perform required sample testing and reporting for PFOA subsequent to completion of the Park Avenue Wellfield treatment upgrades.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submit to the NJDEP quarterly progress reports detailing the Company’s compliance with the ACO.</w:t>
      </w:r>
    </w:p>
    <w:p>
      <w:pPr>
        <w:spacing w:after="0" w:line="198" w:lineRule="exact"/>
        <w:rPr>
          <w:sz w:val="20"/>
          <w:szCs w:val="20"/>
          <w:color w:val="auto"/>
        </w:rPr>
      </w:pPr>
    </w:p>
    <w:p>
      <w:pPr>
        <w:sectPr>
          <w:pgSz w:w="11900" w:h="16838" w:orient="portrait"/>
          <w:cols w:equalWidth="0" w:num="2">
            <w:col w:w="420" w:space="240"/>
            <w:col w:w="10580"/>
          </w:cols>
          <w:pgMar w:left="320" w:top="121" w:right="339" w:bottom="0" w:gutter="0" w:footer="0" w:header="0"/>
          <w:type w:val="continuous"/>
        </w:sectPr>
      </w:pPr>
    </w:p>
    <w:p>
      <w:pPr>
        <w:jc w:val="both"/>
        <w:spacing w:after="0" w:line="277" w:lineRule="auto"/>
        <w:rPr>
          <w:sz w:val="20"/>
          <w:szCs w:val="20"/>
          <w:color w:val="auto"/>
        </w:rPr>
      </w:pPr>
      <w:r>
        <w:rPr>
          <w:rFonts w:ascii="Arial" w:cs="Arial" w:eastAsia="Arial" w:hAnsi="Arial"/>
          <w:sz w:val="18"/>
          <w:szCs w:val="18"/>
          <w:color w:val="auto"/>
        </w:rPr>
        <w:t>The Company’s failure to comply with the compliance schedule and/or progress reporting requirements of the ACO could lead to penalties up to $500 per day. In addition, the NJDEP could penalize the Company for other violations, if any, of the ACO.</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2021, the Company was served with two PFOA-related class action lawsuits seeking restitution for medical, water replacement and other claimed related costs. These lawsuits are in the early stages of the legal process and their ultimate resolution cannot be predicted at this time. The Company’s insurance provider has acknowledged coverage of potential liability which may result from these lawsuits. In May 2022, the Company impleaded 3M Company (3M) as a third-party defendant in one of these class action lawsuits. The Company has taken this action in addition to a separate lawsuit the Company initiated against 3M seeking to hold 3M accountable for introduction of perfluoroalkyl substances, which include PFOA, into the Company’s water supply at its Park Avenue Wellfield facility.</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2022, the Company filed a petition with the New Jersey Board of Public Utilities (NJBPU) seeking to establish a regulatory asset and deferred accounting treatment until its next base rate setting proceeding for all costs associated with the interim solution to comply with the Notice. The Company is currently awaiting a decision on this matter from the NJBPU.</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Sale of Subsidiary </w:t>
      </w:r>
      <w:r>
        <w:rPr>
          <w:rFonts w:ascii="Arial" w:cs="Arial" w:eastAsia="Arial" w:hAnsi="Arial"/>
          <w:sz w:val="18"/>
          <w:szCs w:val="18"/>
          <w:color w:val="auto"/>
        </w:rPr>
        <w:t>– In January 2022, Middlesex closed on the Delaware Public Service Commission (DEPSC) approved sale of 100% of the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of its subsidiary Tidewater Environmental Services, Inc. to Artesian Wastewater Management, Inc. for $6.4 million in cash and other consideration, resulting in a $5.2 million pre-tax gain. The Company will continue to own and operate its non-regulated water and wastewater contract operations business in Delaware.</w:t>
      </w:r>
    </w:p>
    <w:p>
      <w:pPr>
        <w:sectPr>
          <w:pgSz w:w="11900" w:h="16838" w:orient="portrait"/>
          <w:cols w:equalWidth="0" w:num="1">
            <w:col w:w="11240"/>
          </w:cols>
          <w:pgMar w:left="320" w:top="121" w:right="339" w:bottom="0" w:gutter="0" w:footer="0" w:header="0"/>
          <w:type w:val="continuous"/>
        </w:sectPr>
      </w:pPr>
    </w:p>
    <w:bookmarkStart w:id="8" w:name="page9"/>
    <w:bookmarkEnd w:id="8"/>
    <w:p>
      <w:pPr>
        <w:jc w:val="both"/>
        <w:spacing w:after="0" w:line="303" w:lineRule="auto"/>
        <w:rPr>
          <w:sz w:val="20"/>
          <w:szCs w:val="20"/>
          <w:color w:val="auto"/>
        </w:rPr>
      </w:pPr>
      <w:r>
        <w:rPr>
          <w:rFonts w:ascii="Arial" w:cs="Arial" w:eastAsia="Arial" w:hAnsi="Arial"/>
          <w:sz w:val="16"/>
          <w:szCs w:val="16"/>
          <w:b w:val="1"/>
          <w:bCs w:val="1"/>
          <w:color w:val="auto"/>
        </w:rPr>
        <w:t xml:space="preserve">Borough of Avalon, New JerseyContract Renewal </w:t>
      </w:r>
      <w:r>
        <w:rPr>
          <w:rFonts w:ascii="Arial" w:cs="Arial" w:eastAsia="Arial" w:hAnsi="Arial"/>
          <w:sz w:val="16"/>
          <w:szCs w:val="16"/>
          <w:color w:val="auto"/>
        </w:rPr>
        <w:t>– In August 2022, USA, Middlesex’s non-regulated subsidiary, was awarded a competitively-bid 10-year operations and maintenance contract with the Borough of Avalon, New Jersey (Avalon) under which USA will continue to operate Avalon’s water utility, sewer utility and storm water system. USA is also required to manage capital projects funded by Avalon. USA previously operated Avalon’s water utility, sewer utility and storm water system under a 10-year contract that expired in August 2022. The new contract commenced September 1, 2022.</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Coronavirus (COVID-19) Pandemic </w:t>
      </w:r>
      <w:r>
        <w:rPr>
          <w:rFonts w:ascii="Arial" w:cs="Arial" w:eastAsia="Arial" w:hAnsi="Arial"/>
          <w:sz w:val="17"/>
          <w:szCs w:val="17"/>
          <w:color w:val="auto"/>
        </w:rPr>
        <w:t>– On October 13, 2022, the United States Secretary of Health and Human Services renewed the determination that a</w:t>
      </w:r>
      <w:r>
        <w:rPr>
          <w:rFonts w:ascii="Arial" w:cs="Arial" w:eastAsia="Arial" w:hAnsi="Arial"/>
          <w:sz w:val="17"/>
          <w:szCs w:val="17"/>
          <w:b w:val="1"/>
          <w:bCs w:val="1"/>
          <w:color w:val="auto"/>
        </w:rPr>
        <w:t xml:space="preserve"> </w:t>
      </w:r>
      <w:r>
        <w:rPr>
          <w:rFonts w:ascii="Arial" w:cs="Arial" w:eastAsia="Arial" w:hAnsi="Arial"/>
          <w:sz w:val="17"/>
          <w:szCs w:val="17"/>
          <w:color w:val="auto"/>
        </w:rPr>
        <w:t>nationwide health emergency exists as a result of the COVID-19 Pandemic. While the Company’s operations and capital construction program have not been materially disrupted to date from the pandemic, the COVID-19 impact on economic conditions nationally continues to be uncertain and could affect the Company’s results of operations, financial condition and liquidity in the future. In New Jersey, the declared COVID-19 State of Emergency ended in March 2022. In Delaware, the declared COVID-19 State of Emergency Order ended in July 2021.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NJBPU and the DEPSC have approved the tracking of COVID-19 related incremental costs for potential recovery in customer rates in future rate proceedings. Neither jurisdiction has established a timetable or definitive formal procedures for seeking cost recovery. The Company has increased its allowance for doubtful accounts for expected increases in accounts receivable write-offs due to the financial impact of COVID-19 on customers. Since the ultimate rate treatment to be determined by the NJBPU and the DEPSC regarding incremental costs related to COVID-19 is not definitively known at this time, the Company has not deferred any such costs. We will continue to monitor the effects of COVID-19 and evaluate its impact on the Company’s results of operations, financial condition and liquidity.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Guidance</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new adopted or proposed accounting guidance that the Company is aware of that could have a material impact on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Rate and Regulatory Matters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Middlesex - </w:t>
      </w:r>
      <w:r>
        <w:rPr>
          <w:rFonts w:ascii="Arial" w:cs="Arial" w:eastAsia="Arial" w:hAnsi="Arial"/>
          <w:sz w:val="17"/>
          <w:szCs w:val="17"/>
          <w:color w:val="auto"/>
        </w:rPr>
        <w:t>In December 2021, Middlesex’s petition to the NJBPU seeking permission to increase its base water rates was concluded, based on a</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is being implemented in two phases with $20.7 million of the increase effective January 1, 2022 and the remaining $7.0 million effective January 1, 2023. As part of the negotiated settlement, the Purchased Water Adjustment Clause (PWAC), which is a rate mechanism that allows for recovery of increased purchased water costs between base rate case filings, was reset to zero.</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2022, the NJBPU approved Middlesex's Emergency Relief Motion to reset its PWAC tariff rate to recover additional costs of $2.7 million for the purchase of treated water from a non-affiliated regulated water utility. The increase, effective October 1, 2022, is on an interim basis and subject to refund with interest, pending final resolution of this matter.</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Tidewater - </w:t>
      </w:r>
      <w:r>
        <w:rPr>
          <w:rFonts w:ascii="Arial" w:cs="Arial" w:eastAsia="Arial" w:hAnsi="Arial"/>
          <w:sz w:val="18"/>
          <w:szCs w:val="18"/>
          <w:color w:val="auto"/>
        </w:rPr>
        <w:t>On August 31, 2022, DEPSC issued an Order requiring Tidewater to reduce its base rates charged to general metered and private fire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by 6%, effective for service rendered on and after September 1, 2022. In June 2022, the Delaware Division of the Public Advocate filed a petition with the DEPSC requesting that Tidewater’s rates be reduced based on the claim that Tidewater had been earning above its authorized rate of return. The rate reduction is expected to reduce annual revenues by approximately $2.2million.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2022, Tidewater notified the DEPSC of its intention to likely file for a base water rate increase in the first quarter of 2023 based on projected increases in operational expenses and capital construction expenditures.</w:t>
      </w:r>
    </w:p>
    <w:p>
      <w:pPr>
        <w:spacing w:after="0" w:line="13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Pinelands - </w:t>
      </w:r>
      <w:r>
        <w:rPr>
          <w:rFonts w:ascii="Arial" w:cs="Arial" w:eastAsia="Arial" w:hAnsi="Arial"/>
          <w:sz w:val="16"/>
          <w:szCs w:val="16"/>
          <w:color w:val="auto"/>
        </w:rPr>
        <w:t>In September 2022, Pinelands Water and Pinelands Wastewater filed separate petitions with the NJBPU seeking permission to increase base</w:t>
      </w:r>
      <w:r>
        <w:rPr>
          <w:rFonts w:ascii="Arial" w:cs="Arial" w:eastAsia="Arial" w:hAnsi="Arial"/>
          <w:sz w:val="16"/>
          <w:szCs w:val="16"/>
          <w:b w:val="1"/>
          <w:bCs w:val="1"/>
          <w:color w:val="auto"/>
        </w:rPr>
        <w:t xml:space="preserve"> </w:t>
      </w:r>
      <w:r>
        <w:rPr>
          <w:rFonts w:ascii="Arial" w:cs="Arial" w:eastAsia="Arial" w:hAnsi="Arial"/>
          <w:sz w:val="16"/>
          <w:szCs w:val="16"/>
          <w:color w:val="auto"/>
        </w:rPr>
        <w:t>rates by approximately $0.6 million and $0.4 million per year, respectively. These requests were necessitated by capital infrastructure investments both companies have made, or have committed to make, and increased operations and maintenance costs. We cannot predict whether the NJBPU will ultimately approve, deny, or reduce the amount of the requests. A decision by the NJBPU in either matter is not expected before the first quarter of 2023.</w:t>
      </w:r>
    </w:p>
    <w:p>
      <w:pPr>
        <w:spacing w:after="0" w:line="1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Twin Lakes Utilities, Inc. (Twin Lakes) - </w:t>
      </w:r>
      <w:r>
        <w:rPr>
          <w:rFonts w:ascii="Arial" w:cs="Arial" w:eastAsia="Arial" w:hAnsi="Arial"/>
          <w:sz w:val="17"/>
          <w:szCs w:val="17"/>
          <w:color w:val="auto"/>
        </w:rPr>
        <w:t>Twin Lakes provides water services to approximately 115 residential customers in Shohola, Pennsylvania.</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to submit $1.7 million into an escrow account within 30 days. Twin Lakes immediately filed a Petition For Review (PFR) with the Commonwealth Court of Pennsylvania (the Commonwealth Court) seeking reversal and vacation of the escrow requirement on the grounds that it violates the Pennsylvania Public Utility Code as well as the United States Constitution. In addition, Twin Lakes filed an emergency petition for stay of the PAPUC Order pending the Commonwealth Court’s review of the merits arguments contained in Twin Lakes’ PFR. In December 2021, the Commonwealth Court granted Twin Lakes’ emergency petition, pending its review. In August 2022, the Commonwealth Court issued an opinion upholding PAPUC’s November 2021 Order in its entirety. In September 2022, Twin Lakes filed a Petition For Allowance of Appeal to the Supreme Court of Pennsylvania seeking reversal of the Commonwealth Court’s decision to uphold the escrow requirement on the grounds that the Commonwealth Court erred in failing to address Twin Lakes’ constitutional claims. The timing of the final decision by the Supreme Court of Pennsylvania and the final adjudication of this matter cannot be predicted at this time.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financial results, total assets and financial obligations of Twin Lakes are not material to Middlesex.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Capitalization</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Common Stock - </w:t>
      </w:r>
      <w:r>
        <w:rPr>
          <w:rFonts w:ascii="Arial" w:cs="Arial" w:eastAsia="Arial" w:hAnsi="Arial"/>
          <w:sz w:val="17"/>
          <w:szCs w:val="17"/>
          <w:color w:val="auto"/>
        </w:rPr>
        <w:t>During the nine months ended September 30, 2022 and 2021, there were 110,614 common shares (approximately $10.1 million) and</w:t>
      </w:r>
      <w:r>
        <w:rPr>
          <w:rFonts w:ascii="Arial" w:cs="Arial" w:eastAsia="Arial" w:hAnsi="Arial"/>
          <w:sz w:val="17"/>
          <w:szCs w:val="17"/>
          <w:b w:val="1"/>
          <w:bCs w:val="1"/>
          <w:color w:val="auto"/>
        </w:rPr>
        <w:t xml:space="preserve"> </w:t>
      </w:r>
      <w:r>
        <w:rPr>
          <w:rFonts w:ascii="Arial" w:cs="Arial" w:eastAsia="Arial" w:hAnsi="Arial"/>
          <w:sz w:val="17"/>
          <w:szCs w:val="17"/>
          <w:color w:val="auto"/>
        </w:rPr>
        <w:t>10,641 common shares (approximately $0.9 million) respectively, issued under the Middlesex Water Company Investment Plan (the Investment Plan). The 3% purchase discount offering period on the Company’s common stock through the Investment Plan expired on August 1, 2022.</w:t>
      </w:r>
    </w:p>
    <w:p>
      <w:pPr>
        <w:spacing w:after="0" w:line="14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Long-term Debt - </w:t>
      </w:r>
      <w:r>
        <w:rPr>
          <w:rFonts w:ascii="Arial" w:cs="Arial" w:eastAsia="Arial" w:hAnsi="Arial"/>
          <w:sz w:val="16"/>
          <w:szCs w:val="16"/>
          <w:color w:val="auto"/>
        </w:rPr>
        <w:t>In May 2022, Middlesex repaid its two outstanding New Jersey Infrastructure Bank (NJIB) construction loans by issuing First Mortgage</w:t>
      </w:r>
      <w:r>
        <w:rPr>
          <w:rFonts w:ascii="Arial" w:cs="Arial" w:eastAsia="Arial" w:hAnsi="Arial"/>
          <w:sz w:val="16"/>
          <w:szCs w:val="16"/>
          <w:b w:val="1"/>
          <w:bCs w:val="1"/>
          <w:color w:val="auto"/>
        </w:rPr>
        <w:t xml:space="preserve"> </w:t>
      </w:r>
      <w:r>
        <w:rPr>
          <w:rFonts w:ascii="Arial" w:cs="Arial" w:eastAsia="Arial" w:hAnsi="Arial"/>
          <w:sz w:val="16"/>
          <w:szCs w:val="16"/>
          <w:color w:val="auto"/>
        </w:rPr>
        <w:t>Bonds (FMBs) to the NJIB under two loan agreements. The total amount of FMBs issued is $52.2 million and designated as Series 2022A ($16.2 million) and Series 2022B ($36.0 million). The interest rate on the Series 2022A bond is zero and the interest rate on the Series 2022B bond ranges between 2.7% and 3.0%. The final maturity date for both FMBs is August 1, 2056, with scheduled debt service payments over the life of these loans.</w:t>
      </w:r>
    </w:p>
    <w:p>
      <w:pPr>
        <w:sectPr>
          <w:pgSz w:w="11900" w:h="16838" w:orient="portrait"/>
          <w:cols w:equalWidth="0" w:num="1">
            <w:col w:w="11240"/>
          </w:cols>
          <w:pgMar w:left="320" w:top="121" w:right="3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2021, Tidewater received approval from the DEPSC to borrow up to $5.0 million under the Delaware State Revolving Fund (SRF) Program for construction of a one million gallon elevated storage tank. Tidewater closed on the $5.0 million loan at an interest rate of 2.0% in December 2021 and began receiving disbursements in January 2022. Through September 30, 2022, Tidewater has drawn a total of $2.6 million and expects borrowing under this loan to continue through mid-2023. The final maturity date on the loan is 2044.</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Fair Value of Financial Instruments - </w:t>
      </w:r>
      <w:r>
        <w:rPr>
          <w:rFonts w:ascii="Arial" w:cs="Arial" w:eastAsia="Arial" w:hAnsi="Arial"/>
          <w:sz w:val="18"/>
          <w:szCs w:val="18"/>
          <w:color w:val="auto"/>
        </w:rPr>
        <w:t>The following methods and assumptions were used by the Company in estimating its fair value disclosure for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for which it is practicable to estimate that value. The carrying amounts reflected in the condensed consolidated balance sheets for cash and cash equivalents, trade receivables, accounts payable and notes payable approximate their respective fair values due to the short-term maturities of these instruments. The fair value of FMBs and SRF Bonds (collectively, the Bonds) issued by Middlesex is based on quoted market prices for similar publicly traded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80" w:type="dxa"/>
            <w:vAlign w:val="bottom"/>
            <w:gridSpan w:val="2"/>
          </w:tcPr>
          <w:p>
            <w:pPr>
              <w:jc w:val="right"/>
              <w:ind w:right="650"/>
              <w:spacing w:after="0"/>
              <w:rPr>
                <w:sz w:val="20"/>
                <w:szCs w:val="20"/>
                <w:color w:val="auto"/>
              </w:rPr>
            </w:pPr>
            <w:r>
              <w:rPr>
                <w:rFonts w:ascii="Arial" w:cs="Arial" w:eastAsia="Arial" w:hAnsi="Arial"/>
                <w:sz w:val="18"/>
                <w:szCs w:val="18"/>
                <w:color w:val="auto"/>
              </w:rPr>
              <w:t>(Thousands of Dollars)</w:t>
            </w: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gridSpan w:val="2"/>
          </w:tcPr>
          <w:p>
            <w:pPr>
              <w:jc w:val="right"/>
              <w:ind w:right="710"/>
              <w:spacing w:after="0"/>
              <w:rPr>
                <w:sz w:val="20"/>
                <w:szCs w:val="20"/>
                <w:color w:val="auto"/>
              </w:rPr>
            </w:pPr>
            <w:r>
              <w:rPr>
                <w:rFonts w:ascii="Arial" w:cs="Arial" w:eastAsia="Arial" w:hAnsi="Arial"/>
                <w:sz w:val="18"/>
                <w:szCs w:val="18"/>
                <w:color w:val="auto"/>
              </w:rPr>
              <w:t>September 30, 2022</w:t>
            </w:r>
          </w:p>
        </w:tc>
        <w:tc>
          <w:tcPr>
            <w:tcW w:w="2500" w:type="dxa"/>
            <w:vAlign w:val="bottom"/>
            <w:gridSpan w:val="2"/>
          </w:tcPr>
          <w:p>
            <w:pPr>
              <w:jc w:val="right"/>
              <w:ind w:right="550"/>
              <w:spacing w:after="0"/>
              <w:rPr>
                <w:sz w:val="20"/>
                <w:szCs w:val="20"/>
                <w:color w:val="auto"/>
              </w:rPr>
            </w:pPr>
            <w:r>
              <w:rPr>
                <w:rFonts w:ascii="Arial" w:cs="Arial" w:eastAsia="Arial" w:hAnsi="Arial"/>
                <w:sz w:val="18"/>
                <w:szCs w:val="18"/>
                <w:color w:val="auto"/>
              </w:rPr>
              <w:t>December 31, 2021</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980" w:type="dxa"/>
            <w:vAlign w:val="bottom"/>
          </w:tcPr>
          <w:p>
            <w:pPr>
              <w:jc w:val="center"/>
              <w:ind w:left="1090"/>
              <w:spacing w:after="0"/>
              <w:rPr>
                <w:sz w:val="20"/>
                <w:szCs w:val="20"/>
                <w:color w:val="auto"/>
              </w:rPr>
            </w:pPr>
            <w:r>
              <w:rPr>
                <w:rFonts w:ascii="Arial" w:cs="Arial" w:eastAsia="Arial" w:hAnsi="Arial"/>
                <w:sz w:val="18"/>
                <w:szCs w:val="18"/>
                <w:color w:val="auto"/>
                <w:w w:val="94"/>
              </w:rPr>
              <w:t>Carrying</w:t>
            </w:r>
          </w:p>
        </w:tc>
        <w:tc>
          <w:tcPr>
            <w:tcW w:w="1280" w:type="dxa"/>
            <w:vAlign w:val="bottom"/>
          </w:tcPr>
          <w:p>
            <w:pPr>
              <w:jc w:val="center"/>
              <w:ind w:right="310"/>
              <w:spacing w:after="0"/>
              <w:rPr>
                <w:sz w:val="20"/>
                <w:szCs w:val="20"/>
                <w:color w:val="auto"/>
              </w:rPr>
            </w:pPr>
            <w:r>
              <w:rPr>
                <w:rFonts w:ascii="Arial" w:cs="Arial" w:eastAsia="Arial" w:hAnsi="Arial"/>
                <w:sz w:val="18"/>
                <w:szCs w:val="18"/>
                <w:color w:val="auto"/>
                <w:w w:val="90"/>
              </w:rPr>
              <w:t>Fair</w:t>
            </w:r>
          </w:p>
        </w:tc>
        <w:tc>
          <w:tcPr>
            <w:tcW w:w="1400" w:type="dxa"/>
            <w:vAlign w:val="bottom"/>
          </w:tcPr>
          <w:p>
            <w:pPr>
              <w:jc w:val="center"/>
              <w:ind w:right="310"/>
              <w:spacing w:after="0"/>
              <w:rPr>
                <w:sz w:val="20"/>
                <w:szCs w:val="20"/>
                <w:color w:val="auto"/>
              </w:rPr>
            </w:pPr>
            <w:r>
              <w:rPr>
                <w:rFonts w:ascii="Arial" w:cs="Arial" w:eastAsia="Arial" w:hAnsi="Arial"/>
                <w:sz w:val="18"/>
                <w:szCs w:val="18"/>
                <w:color w:val="auto"/>
                <w:w w:val="94"/>
              </w:rPr>
              <w:t>Carrying</w:t>
            </w: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6"/>
              </w:rPr>
              <w:t>Fair</w:t>
            </w:r>
          </w:p>
        </w:tc>
      </w:tr>
      <w:tr>
        <w:trPr>
          <w:trHeight w:val="230"/>
        </w:trPr>
        <w:tc>
          <w:tcPr>
            <w:tcW w:w="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color w:val="auto"/>
                <w:w w:val="93"/>
              </w:rPr>
              <w:t>Amount</w:t>
            </w:r>
          </w:p>
        </w:tc>
        <w:tc>
          <w:tcPr>
            <w:tcW w:w="12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86"/>
              </w:rPr>
              <w:t>Value</w:t>
            </w:r>
          </w:p>
        </w:tc>
        <w:tc>
          <w:tcPr>
            <w:tcW w:w="14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3"/>
              </w:rPr>
              <w:t>Amount</w:t>
            </w: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r>
      <w:tr>
        <w:trPr>
          <w:trHeight w:val="209"/>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FMBs</w:t>
            </w:r>
          </w:p>
        </w:tc>
        <w:tc>
          <w:tcPr>
            <w:tcW w:w="2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$147,269</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$139,285</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$98,828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$107,781</w:t>
            </w:r>
          </w:p>
        </w:tc>
      </w:tr>
    </w:tbl>
    <w:p>
      <w:pPr>
        <w:spacing w:after="0" w:line="2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was not practicable to estimate their fair value on our outstanding long-term debt for which there is no quoted market price and there is not an active trading market. For details, including carrying value, interest rates and due dates on these series of long-term debt, please refer to those series noted as “Amortizing Secured Note”, “State Revolving Trust Note”, “State Revolving Trust Bond”, “Construction Loans” on the Condensed Consolidated Statements of Capital Stock and Long-Term Debt). The carrying amount of these instruments was $160.1 million and $212.3 million at September 30, 2022 and December 31, 2021, respectively. Customer advances for construction have carrying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of $22.4 million and $23.5 million at September 30, 2022 and December 31, 2021, respectively. Their relative fair values cannot be accurately estimated since future refund payments depend on several variables, including new customer connections, customer consumption levels and future rate increases.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(EPS) are computed on the basis of the weighted average number of shares outstanding during the period presented. Diluted EPS assumes the conversion of the Convertible Preferred Stock $7.00 Series.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gridSpan w:val="4"/>
          </w:tcPr>
          <w:p>
            <w:pPr>
              <w:jc w:val="center"/>
              <w:ind w:left="710"/>
              <w:spacing w:after="0"/>
              <w:rPr>
                <w:sz w:val="20"/>
                <w:szCs w:val="20"/>
                <w:color w:val="auto"/>
              </w:rPr>
            </w:pPr>
            <w:r>
              <w:rPr>
                <w:rFonts w:ascii="Arial" w:cs="Arial" w:eastAsia="Arial" w:hAnsi="Arial"/>
                <w:sz w:val="18"/>
                <w:szCs w:val="18"/>
                <w:color w:val="auto"/>
                <w:w w:val="90"/>
              </w:rPr>
              <w:t>(In Thousands Except per Share Amounts)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gridSpan w:val="4"/>
          </w:tcPr>
          <w:p>
            <w:pPr>
              <w:jc w:val="center"/>
              <w:ind w:left="710"/>
              <w:spacing w:after="0"/>
              <w:rPr>
                <w:sz w:val="20"/>
                <w:szCs w:val="20"/>
                <w:color w:val="auto"/>
              </w:rPr>
            </w:pPr>
            <w:r>
              <w:rPr>
                <w:rFonts w:ascii="Arial" w:cs="Arial" w:eastAsia="Arial" w:hAnsi="Arial"/>
                <w:sz w:val="18"/>
                <w:szCs w:val="18"/>
                <w:color w:val="auto"/>
                <w:w w:val="89"/>
              </w:rPr>
              <w:t>Three Months Ended September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Basic:</w:t>
            </w:r>
          </w:p>
        </w:tc>
        <w:tc>
          <w:tcPr>
            <w:tcW w:w="38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2022</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2021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14,291</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17,628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11,476</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17,491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14,261</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17,628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11,446</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17,491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0.81</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0.65</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14,261</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17,628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11,446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17,491</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Adjusted 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14,278</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17,743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11,463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17,606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0.80</w:t>
            </w:r>
          </w:p>
        </w:tc>
        <w:tc>
          <w:tcPr>
            <w:tcW w:w="108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0.65</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gridSpan w:val="4"/>
          </w:tcPr>
          <w:p>
            <w:pPr>
              <w:jc w:val="center"/>
              <w:ind w:left="710"/>
              <w:spacing w:after="0"/>
              <w:rPr>
                <w:sz w:val="20"/>
                <w:szCs w:val="20"/>
                <w:color w:val="auto"/>
              </w:rPr>
            </w:pPr>
            <w:r>
              <w:rPr>
                <w:rFonts w:ascii="Arial" w:cs="Arial" w:eastAsia="Arial" w:hAnsi="Arial"/>
                <w:sz w:val="18"/>
                <w:szCs w:val="18"/>
                <w:color w:val="auto"/>
                <w:w w:val="90"/>
              </w:rPr>
              <w:t>(In Thousands Except per Share Amounts)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gridSpan w:val="4"/>
          </w:tcPr>
          <w:p>
            <w:pPr>
              <w:jc w:val="center"/>
              <w:ind w:left="730"/>
              <w:spacing w:after="0"/>
              <w:rPr>
                <w:sz w:val="20"/>
                <w:szCs w:val="20"/>
                <w:color w:val="auto"/>
              </w:rPr>
            </w:pPr>
            <w:r>
              <w:rPr>
                <w:rFonts w:ascii="Arial" w:cs="Arial" w:eastAsia="Arial" w:hAnsi="Arial"/>
                <w:sz w:val="18"/>
                <w:szCs w:val="18"/>
                <w:color w:val="auto"/>
                <w:w w:val="90"/>
              </w:rPr>
              <w:t>Nine Months Ended September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Basic:</w:t>
            </w:r>
          </w:p>
        </w:tc>
        <w:tc>
          <w:tcPr>
            <w:tcW w:w="38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2022</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2021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35,258</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17,583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29,305</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(90)</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35,168</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17,583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29,215</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2.00</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1.67</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35,168</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17,583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29,215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51</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50</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Adjusted Earnings Applicable to Common 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35,219</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17,698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29,265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1.99</w:t>
            </w:r>
          </w:p>
        </w:tc>
        <w:tc>
          <w:tcPr>
            <w:tcW w:w="108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1.66</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400" w:type="dxa"/>
            <w:vAlign w:val="bottom"/>
          </w:tcPr>
          <w:p>
            <w:pPr>
              <w:spacing w:after="0"/>
              <w:rPr>
                <w:sz w:val="20"/>
                <w:szCs w:val="20"/>
                <w:color w:val="auto"/>
              </w:rPr>
            </w:pPr>
            <w:r>
              <w:rPr>
                <w:rFonts w:ascii="Arial" w:cs="Arial" w:eastAsia="Arial" w:hAnsi="Arial"/>
                <w:sz w:val="18"/>
                <w:szCs w:val="18"/>
                <w:b w:val="1"/>
                <w:bCs w:val="1"/>
                <w:color w:val="auto"/>
              </w:rPr>
              <w:t>Note 5 – Business Segment Data</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New Jersey and Delaware with respect to utility services within these states. The other segment is primarily comprised of non-regulated contract services for the operation and maintenance of municipal and private water and wastewater systems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gridSpan w:val="4"/>
          </w:tcPr>
          <w:p>
            <w:pPr>
              <w:jc w:val="right"/>
              <w:ind w:right="750"/>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60" w:type="dxa"/>
            <w:vAlign w:val="bottom"/>
            <w:gridSpan w:val="4"/>
          </w:tcPr>
          <w:p>
            <w:pPr>
              <w:jc w:val="right"/>
              <w:ind w:right="59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640" w:type="dxa"/>
            <w:vAlign w:val="bottom"/>
            <w:gridSpan w:val="3"/>
          </w:tcPr>
          <w:p>
            <w:pPr>
              <w:jc w:val="center"/>
              <w:ind w:right="5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54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30,</w:t>
            </w: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color w:val="auto"/>
                <w:w w:val="88"/>
              </w:rPr>
              <w:t>September 30,</w:t>
            </w:r>
          </w:p>
        </w:tc>
      </w:tr>
      <w:tr>
        <w:trPr>
          <w:trHeight w:val="209"/>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Operations by Segments: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2021</w:t>
            </w: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44,861</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37,396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115,222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100,426</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3,431</w:t>
            </w:r>
          </w:p>
        </w:tc>
        <w:tc>
          <w:tcPr>
            <w:tcW w:w="56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2,995</w:t>
            </w:r>
          </w:p>
        </w:tc>
        <w:tc>
          <w:tcPr>
            <w:tcW w:w="2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9,316</w:t>
            </w:r>
          </w:p>
        </w:tc>
        <w:tc>
          <w:tcPr>
            <w:tcW w:w="3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9,657</w:t>
            </w:r>
          </w:p>
        </w:tc>
      </w:tr>
      <w:tr>
        <w:trPr>
          <w:trHeight w:val="216"/>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Consolidated Revenues</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47,732</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39,874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123,611</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109,117</w:t>
            </w:r>
          </w:p>
        </w:tc>
      </w:tr>
      <w:tr>
        <w:trPr>
          <w:trHeight w:val="209"/>
        </w:trPr>
        <w:tc>
          <w:tcPr>
            <w:tcW w:w="5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15,750</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10,654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36,793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24,082</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825</w:t>
            </w: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770</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2,393</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2,791</w:t>
            </w: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16,575</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11,424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39,186</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26,873</w:t>
            </w:r>
          </w:p>
        </w:tc>
      </w:tr>
      <w:tr>
        <w:trPr>
          <w:trHeight w:val="209"/>
        </w:trPr>
        <w:tc>
          <w:tcPr>
            <w:tcW w:w="5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13,683</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10,924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33,496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27,271</w:t>
            </w:r>
          </w:p>
        </w:tc>
      </w:tr>
      <w:tr>
        <w:trPr>
          <w:trHeight w:val="216"/>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608</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552</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1,762</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2,034</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14,291</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11,476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35,258</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29,305</w:t>
            </w:r>
          </w:p>
        </w:tc>
      </w:tr>
      <w:tr>
        <w:trPr>
          <w:trHeight w:val="210"/>
        </w:trPr>
        <w:tc>
          <w:tcPr>
            <w:tcW w:w="5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26,588</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14,743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65,722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61,097</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26,596</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14,745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65,939</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61,245</w:t>
            </w:r>
          </w:p>
        </w:tc>
      </w:tr>
      <w:tr>
        <w:trPr>
          <w:trHeight w:val="371"/>
        </w:trPr>
        <w:tc>
          <w:tcPr>
            <w:tcW w:w="5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right"/>
              <w:ind w:right="750"/>
              <w:spacing w:after="0"/>
              <w:rPr>
                <w:sz w:val="20"/>
                <w:szCs w:val="20"/>
                <w:color w:val="auto"/>
              </w:rPr>
            </w:pPr>
            <w:r>
              <w:rPr>
                <w:rFonts w:ascii="Arial" w:cs="Arial" w:eastAsia="Arial" w:hAnsi="Arial"/>
                <w:sz w:val="18"/>
                <w:szCs w:val="18"/>
                <w:color w:val="auto"/>
              </w:rPr>
              <w:t>As of</w:t>
            </w:r>
          </w:p>
        </w:tc>
        <w:tc>
          <w:tcPr>
            <w:tcW w:w="38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As of</w:t>
            </w:r>
          </w:p>
        </w:tc>
      </w:tr>
      <w:tr>
        <w:trPr>
          <w:trHeight w:val="230"/>
        </w:trPr>
        <w:tc>
          <w:tcPr>
            <w:tcW w:w="5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w w:val="95"/>
              </w:rPr>
              <w:t>September 30, 2022</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December 31, 2021</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w w:val="92"/>
              </w:rPr>
              <w:t>1,066,755</w:t>
            </w:r>
          </w:p>
        </w:tc>
        <w:tc>
          <w:tcPr>
            <w:tcW w:w="380" w:type="dxa"/>
            <w:vAlign w:val="bottom"/>
          </w:tcPr>
          <w:p>
            <w:pPr>
              <w:jc w:val="center"/>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1,022,116</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6,963</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7,811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Inter-segment Elimination</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(9,049)</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(9,912)</w:t>
            </w: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4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2"/>
              </w:rPr>
              <w:t>1,064,669</w:t>
            </w:r>
          </w:p>
        </w:tc>
        <w:tc>
          <w:tcPr>
            <w:tcW w:w="380" w:type="dxa"/>
            <w:vAlign w:val="bottom"/>
            <w:tcBorders>
              <w:bottom w:val="single" w:sz="8" w:color="auto"/>
            </w:tcBorders>
            <w:shd w:val="clear" w:color="auto" w:fill="CCEEFF"/>
          </w:tcPr>
          <w:p>
            <w:pPr>
              <w:jc w:val="center"/>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1,020,015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Short-term Borrowings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lines of credit aggregating $140.0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3"/>
          </w:tcPr>
          <w:p>
            <w:pPr>
              <w:jc w:val="right"/>
              <w:ind w:right="850"/>
              <w:spacing w:after="0"/>
              <w:rPr>
                <w:sz w:val="20"/>
                <w:szCs w:val="20"/>
                <w:color w:val="auto"/>
              </w:rPr>
            </w:pPr>
            <w:r>
              <w:rPr>
                <w:rFonts w:ascii="Arial" w:cs="Arial" w:eastAsia="Arial" w:hAnsi="Arial"/>
                <w:sz w:val="18"/>
                <w:szCs w:val="18"/>
                <w:color w:val="auto"/>
              </w:rPr>
              <w:t>(Millions)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3"/>
          </w:tcPr>
          <w:p>
            <w:pPr>
              <w:jc w:val="right"/>
              <w:ind w:right="270"/>
              <w:spacing w:after="0"/>
              <w:rPr>
                <w:sz w:val="20"/>
                <w:szCs w:val="20"/>
                <w:color w:val="auto"/>
              </w:rPr>
            </w:pPr>
            <w:r>
              <w:rPr>
                <w:rFonts w:ascii="Arial" w:cs="Arial" w:eastAsia="Arial" w:hAnsi="Arial"/>
                <w:sz w:val="18"/>
                <w:szCs w:val="18"/>
                <w:color w:val="auto"/>
              </w:rPr>
              <w:t>As of September 30, 2022</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Outstanding</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Available</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Maximum</w:t>
            </w: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Credit Type</w:t>
            </w:r>
          </w:p>
        </w:tc>
        <w:tc>
          <w:tcPr>
            <w:tcW w:w="18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Renewal Date</w:t>
            </w: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Uncommitted</w:t>
            </w: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January 26, 2023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PNC Bank</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37.5</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68.0</w:t>
            </w:r>
          </w:p>
        </w:tc>
        <w:tc>
          <w:tcPr>
            <w:tcW w:w="1220" w:type="dxa"/>
            <w:vAlign w:val="bottom"/>
          </w:tcPr>
          <w:p>
            <w:pPr>
              <w:ind w:left="100"/>
              <w:spacing w:after="0"/>
              <w:rPr>
                <w:sz w:val="20"/>
                <w:szCs w:val="20"/>
                <w:color w:val="auto"/>
              </w:rPr>
            </w:pPr>
            <w:r>
              <w:rPr>
                <w:rFonts w:ascii="Arial" w:cs="Arial" w:eastAsia="Arial" w:hAnsi="Arial"/>
                <w:sz w:val="18"/>
                <w:szCs w:val="18"/>
                <w:color w:val="auto"/>
              </w:rPr>
              <w:t>Committed</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January 31, 2024</w:t>
            </w:r>
          </w:p>
        </w:tc>
      </w:tr>
      <w:tr>
        <w:trPr>
          <w:trHeight w:val="216"/>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CoBank</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Committed</w:t>
            </w:r>
          </w:p>
        </w:tc>
        <w:tc>
          <w:tcPr>
            <w:tcW w:w="1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November 30, 2023</w:t>
            </w:r>
          </w:p>
        </w:tc>
      </w:tr>
      <w:tr>
        <w:trPr>
          <w:trHeight w:val="209"/>
        </w:trPr>
        <w:tc>
          <w:tcPr>
            <w:tcW w:w="416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140.0</w:t>
            </w: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416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1220" w:type="dxa"/>
            <w:vAlign w:val="bottom"/>
            <w:tcBorders>
              <w:bottom w:val="single" w:sz="8" w:color="EEEEEE"/>
            </w:tcBorders>
          </w:tcPr>
          <w:p>
            <w:pPr>
              <w:spacing w:after="0"/>
              <w:rPr>
                <w:sz w:val="17"/>
                <w:szCs w:val="17"/>
                <w:color w:val="auto"/>
              </w:rPr>
            </w:pPr>
          </w:p>
        </w:tc>
        <w:tc>
          <w:tcPr>
            <w:tcW w:w="17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for borrowings under the Bank of America and PNC Bank lines of credit is set using the Bloomberg Short-Term Bank Yield Index and adding a credit spread, which varies by financial institution. The interest rate for borrowings under the CoBank line of credit are set weekly using CoBank’s internal cost of funds index that is similar to the Standard Overnight Financing Rate and adding a credit spread. There is no requirement for a compensating balance under any of the established lines of credit.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the outstanding borrowings at September 30, 2022 under these credit lines is 3.81%.</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borrowings outstanding under the Company’s lines of credit and the weighted average interest rates on those amounts were as follows:</w:t>
      </w:r>
    </w:p>
    <w:p>
      <w:pPr>
        <w:spacing w:after="0" w:line="13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3"/>
          </w:tcPr>
          <w:p>
            <w:pPr>
              <w:jc w:val="right"/>
              <w:ind w:right="250"/>
              <w:spacing w:after="0"/>
              <w:rPr>
                <w:sz w:val="20"/>
                <w:szCs w:val="20"/>
                <w:color w:val="auto"/>
              </w:rPr>
            </w:pPr>
            <w:r>
              <w:rPr>
                <w:rFonts w:ascii="Arial" w:cs="Arial" w:eastAsia="Arial" w:hAnsi="Arial"/>
                <w:sz w:val="18"/>
                <w:szCs w:val="18"/>
                <w:color w:val="auto"/>
                <w:w w:val="95"/>
              </w:rPr>
              <w:t>Three Months Ended</w:t>
            </w:r>
          </w:p>
        </w:tc>
        <w:tc>
          <w:tcPr>
            <w:tcW w:w="200" w:type="dxa"/>
            <w:vAlign w:val="bottom"/>
          </w:tcPr>
          <w:p>
            <w:pPr>
              <w:spacing w:after="0"/>
              <w:rPr>
                <w:sz w:val="18"/>
                <w:szCs w:val="18"/>
                <w:color w:val="auto"/>
              </w:rPr>
            </w:pPr>
          </w:p>
        </w:tc>
        <w:tc>
          <w:tcPr>
            <w:tcW w:w="1980" w:type="dxa"/>
            <w:vAlign w:val="bottom"/>
            <w:gridSpan w:val="3"/>
          </w:tcPr>
          <w:p>
            <w:pPr>
              <w:jc w:val="right"/>
              <w:ind w:right="310"/>
              <w:spacing w:after="0"/>
              <w:rPr>
                <w:sz w:val="20"/>
                <w:szCs w:val="20"/>
                <w:color w:val="auto"/>
              </w:rPr>
            </w:pPr>
            <w:r>
              <w:rPr>
                <w:rFonts w:ascii="Arial" w:cs="Arial" w:eastAsia="Arial" w:hAnsi="Arial"/>
                <w:sz w:val="18"/>
                <w:szCs w:val="18"/>
                <w:color w:val="auto"/>
                <w:w w:val="98"/>
              </w:rPr>
              <w:t>Nine Months Ended</w:t>
            </w: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3"/>
          </w:tcPr>
          <w:p>
            <w:pPr>
              <w:jc w:val="right"/>
              <w:ind w:right="49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8"/>
                <w:szCs w:val="18"/>
                <w:color w:val="auto"/>
              </w:rPr>
            </w:pPr>
          </w:p>
        </w:tc>
        <w:tc>
          <w:tcPr>
            <w:tcW w:w="198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r>
      <w:tr>
        <w:trPr>
          <w:trHeight w:val="230"/>
        </w:trPr>
        <w:tc>
          <w:tcPr>
            <w:tcW w:w="3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r>
      <w:tr>
        <w:trPr>
          <w:trHeight w:val="20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Amounts Outstanding</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33,750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40,543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22,648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22,841</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Weighted Average Interest Rates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maturity dates for the $40.5 million outstanding as of September 30, 2022 are in October 2022 to December 2022, and were or are expected to be extended at the discretion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Contingent Liabilities</w:t>
      </w:r>
    </w:p>
    <w:p>
      <w:pPr>
        <w:spacing w:after="0" w:line="19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Water Supply - </w:t>
      </w:r>
      <w:r>
        <w:rPr>
          <w:rFonts w:ascii="Arial" w:cs="Arial" w:eastAsia="Arial" w:hAnsi="Arial"/>
          <w:sz w:val="16"/>
          <w:szCs w:val="16"/>
          <w:color w:val="auto"/>
        </w:rPr>
        <w:t>Middlesex has an agreement with the New Jersey Water Supply Authority (NJWSA) for the purchase of untreated water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30, 2023, which provides for an average purchase of 27 million gallons a day (mgd). Pricing is set annually by the NJWSA through a public rate making process. The agreement has provisions for additional pricing in the event Middlesex overdrafts or exceeds certain monthly and annual thresholds.</w:t>
      </w:r>
    </w:p>
    <w:p>
      <w:pPr>
        <w:spacing w:after="0" w:line="1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Middlesex has an agreement with a non-affiliated regulated water utility for the purchase of treated water. This agreement, which expires February 27, 2026, provides for the minimum purchase of 3 mgd of treated water with provisions for additional purchases.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15 million gallons of treated water annually.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Purchased water costs are shown below:</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1"/>
        </w:trPr>
        <w:tc>
          <w:tcPr>
            <w:tcW w:w="1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3"/>
          </w:tcPr>
          <w:p>
            <w:pPr>
              <w:jc w:val="right"/>
              <w:ind w:right="43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3"/>
          </w:tcPr>
          <w:p>
            <w:pPr>
              <w:jc w:val="right"/>
              <w:ind w:right="250"/>
              <w:spacing w:after="0"/>
              <w:rPr>
                <w:sz w:val="20"/>
                <w:szCs w:val="20"/>
                <w:color w:val="auto"/>
              </w:rPr>
            </w:pPr>
            <w:r>
              <w:rPr>
                <w:rFonts w:ascii="Arial" w:cs="Arial" w:eastAsia="Arial" w:hAnsi="Arial"/>
                <w:sz w:val="18"/>
                <w:szCs w:val="18"/>
                <w:color w:val="auto"/>
                <w:w w:val="91"/>
              </w:rPr>
              <w:t>Three Months Ended</w:t>
            </w:r>
          </w:p>
        </w:tc>
        <w:tc>
          <w:tcPr>
            <w:tcW w:w="240" w:type="dxa"/>
            <w:vAlign w:val="bottom"/>
          </w:tcPr>
          <w:p>
            <w:pPr>
              <w:spacing w:after="0"/>
              <w:rPr>
                <w:sz w:val="18"/>
                <w:szCs w:val="18"/>
                <w:color w:val="auto"/>
              </w:rPr>
            </w:pPr>
          </w:p>
        </w:tc>
        <w:tc>
          <w:tcPr>
            <w:tcW w:w="1940" w:type="dxa"/>
            <w:vAlign w:val="bottom"/>
            <w:gridSpan w:val="3"/>
          </w:tcPr>
          <w:p>
            <w:pPr>
              <w:jc w:val="right"/>
              <w:ind w:right="310"/>
              <w:spacing w:after="0"/>
              <w:rPr>
                <w:sz w:val="20"/>
                <w:szCs w:val="20"/>
                <w:color w:val="auto"/>
              </w:rPr>
            </w:pPr>
            <w:r>
              <w:rPr>
                <w:rFonts w:ascii="Arial" w:cs="Arial" w:eastAsia="Arial" w:hAnsi="Arial"/>
                <w:sz w:val="18"/>
                <w:szCs w:val="18"/>
                <w:color w:val="auto"/>
                <w:w w:val="96"/>
              </w:rPr>
              <w:t>Nine Months Ended</w:t>
            </w:r>
          </w:p>
        </w:tc>
      </w:tr>
      <w:tr>
        <w:trPr>
          <w:trHeight w:val="216"/>
        </w:trPr>
        <w:tc>
          <w:tcPr>
            <w:tcW w:w="17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3"/>
          </w:tcPr>
          <w:p>
            <w:pPr>
              <w:jc w:val="right"/>
              <w:ind w:right="49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8"/>
                <w:szCs w:val="18"/>
                <w:color w:val="auto"/>
              </w:rPr>
            </w:pPr>
          </w:p>
        </w:tc>
        <w:tc>
          <w:tcPr>
            <w:tcW w:w="194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r>
      <w:tr>
        <w:trPr>
          <w:trHeight w:val="230"/>
        </w:trPr>
        <w:tc>
          <w:tcPr>
            <w:tcW w:w="17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r>
      <w:tr>
        <w:trPr>
          <w:trHeight w:val="210"/>
        </w:trPr>
        <w:tc>
          <w:tcPr>
            <w:tcW w:w="17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Treated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r>
      <w:tr>
        <w:trPr>
          <w:trHeight w:val="216"/>
        </w:trPr>
        <w:tc>
          <w:tcPr>
            <w:tcW w:w="17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Untreated</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r>
      <w:tr>
        <w:trPr>
          <w:trHeight w:val="210"/>
        </w:trPr>
        <w:tc>
          <w:tcPr>
            <w:tcW w:w="1700" w:type="dxa"/>
            <w:vAlign w:val="bottom"/>
          </w:tcPr>
          <w:p>
            <w:pPr>
              <w:spacing w:after="0"/>
              <w:rPr>
                <w:sz w:val="18"/>
                <w:szCs w:val="18"/>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w:t>
            </w:r>
          </w:p>
        </w:tc>
      </w:tr>
    </w:tbl>
    <w:p>
      <w:pPr>
        <w:spacing w:after="0" w:line="26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Guarantees - </w:t>
      </w:r>
      <w:r>
        <w:rPr>
          <w:rFonts w:ascii="Arial" w:cs="Arial" w:eastAsia="Arial" w:hAnsi="Arial"/>
          <w:sz w:val="17"/>
          <w:szCs w:val="17"/>
          <w:color w:val="auto"/>
        </w:rPr>
        <w:t>As part of an agreement with the County of Monmouth, New Jersey (County), prior to 2020 Middlesex had served as guarantor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an unaffiliated wastewater treatment contractor and partner (Contractor), to operate a County-owned leachate pretreatment facility.</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2019, Middlesex was notified that the County terminated its Agreement with the Contractor. The Contractor had initiated legal action against the County that, in part, contests the County’s exercise of this termination. The County filed a counter-claim against the Contractor’s parent company and has brought Middlesex into the suit as a third-party defendant. Our ongoing monitoring of this litigation has led to the conclusion that we do not anticipate the ultimate outcome will have a material impact, if any, on the Company’s results of operations or financial condition.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Leases - </w:t>
      </w:r>
      <w:r>
        <w:rPr>
          <w:rFonts w:ascii="Arial" w:cs="Arial" w:eastAsia="Arial" w:hAnsi="Arial"/>
          <w:sz w:val="17"/>
          <w:szCs w:val="17"/>
          <w:color w:val="auto"/>
        </w:rPr>
        <w:t>The Company determines if an arrangement is a lease at inception. Generally, a lease agreement exists if the Company determines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 gives the Company control over the use of an identified asset and obtains substantially all of the benefits from the identified asset.</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the commencement date based on the present value of lease payments over the lease term. The Company’s operating lease does not provide an implicit discount rate and as such the Company used an estimated incremental borrowing rate (4.03%) based on the information available at the commencement date in determining the present value of lease payments.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impacts of accounting for regulated operations, and the resulting recognition of expense at the amounts recovered in customer rates, expenditures for operating leases are consistent with lease expense and were $0.2 million for each of the three months ended September 30, 2022 and 2021, respectively and $0.6 million for each of the nine months ended September 30, 2022 and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operating lease ROU assets and lease liabilities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40" w:type="dxa"/>
            <w:vAlign w:val="bottom"/>
            <w:gridSpan w:val="4"/>
          </w:tcPr>
          <w:p>
            <w:pPr>
              <w:jc w:val="right"/>
              <w:ind w:right="1480"/>
              <w:spacing w:after="0"/>
              <w:rPr>
                <w:sz w:val="20"/>
                <w:szCs w:val="20"/>
                <w:color w:val="auto"/>
              </w:rPr>
            </w:pPr>
            <w:r>
              <w:rPr>
                <w:rFonts w:ascii="Arial" w:cs="Arial" w:eastAsia="Arial" w:hAnsi="Arial"/>
                <w:sz w:val="18"/>
                <w:szCs w:val="18"/>
                <w:color w:val="auto"/>
              </w:rPr>
              <w:t>(In Millions)</w:t>
            </w: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0"/>
              </w:rPr>
              <w:t>September 30, 2022</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88"/>
              </w:rPr>
              <w:t>December 31, 2021</w:t>
            </w:r>
          </w:p>
        </w:tc>
      </w:tr>
      <w:tr>
        <w:trPr>
          <w:trHeight w:val="209"/>
        </w:trPr>
        <w:tc>
          <w:tcPr>
            <w:tcW w:w="116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 Asset at Lease Inception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r>
      <w:tr>
        <w:trPr>
          <w:trHeight w:val="216"/>
        </w:trPr>
        <w:tc>
          <w:tcPr>
            <w:tcW w:w="116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(2.8)</w:t>
            </w:r>
          </w:p>
        </w:tc>
      </w:tr>
      <w:tr>
        <w:trPr>
          <w:trHeight w:val="210"/>
        </w:trPr>
        <w:tc>
          <w:tcPr>
            <w:tcW w:w="1160" w:type="dxa"/>
            <w:vAlign w:val="bottom"/>
          </w:tcPr>
          <w:p>
            <w:pPr>
              <w:spacing w:after="0"/>
              <w:rPr>
                <w:sz w:val="18"/>
                <w:szCs w:val="18"/>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ROU Asset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r>
      <w:tr>
        <w:trPr>
          <w:trHeight w:val="493"/>
        </w:trPr>
        <w:tc>
          <w:tcPr>
            <w:tcW w:w="8140" w:type="dxa"/>
            <w:vAlign w:val="bottom"/>
            <w:gridSpan w:val="6"/>
          </w:tcPr>
          <w:p>
            <w:pPr>
              <w:jc w:val="right"/>
              <w:ind w:right="550"/>
              <w:spacing w:after="0"/>
              <w:rPr>
                <w:sz w:val="20"/>
                <w:szCs w:val="20"/>
                <w:color w:val="auto"/>
              </w:rPr>
            </w:pPr>
            <w:r>
              <w:rPr>
                <w:rFonts w:ascii="Arial" w:cs="Arial" w:eastAsia="Arial" w:hAnsi="Arial"/>
                <w:sz w:val="18"/>
                <w:szCs w:val="18"/>
                <w:color w:val="auto"/>
                <w:w w:val="90"/>
              </w:rPr>
              <w:t>The Company’s future minimum operating lease commitments as of September 30, 2022 are as follows:</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gridSpan w:val="4"/>
          </w:tcPr>
          <w:p>
            <w:pPr>
              <w:jc w:val="right"/>
              <w:ind w:right="1520"/>
              <w:spacing w:after="0"/>
              <w:rPr>
                <w:sz w:val="20"/>
                <w:szCs w:val="20"/>
                <w:color w:val="auto"/>
              </w:rPr>
            </w:pPr>
            <w:r>
              <w:rPr>
                <w:rFonts w:ascii="Arial" w:cs="Arial" w:eastAsia="Arial" w:hAnsi="Arial"/>
                <w:sz w:val="18"/>
                <w:szCs w:val="18"/>
                <w:color w:val="auto"/>
              </w:rPr>
              <w:t>(In Millions)</w:t>
            </w:r>
          </w:p>
        </w:tc>
      </w:tr>
      <w:tr>
        <w:trPr>
          <w:trHeight w:val="216"/>
        </w:trPr>
        <w:tc>
          <w:tcPr>
            <w:tcW w:w="2260" w:type="dxa"/>
            <w:vAlign w:val="bottom"/>
            <w:gridSpan w:val="2"/>
          </w:tcPr>
          <w:p>
            <w:pPr>
              <w:spacing w:after="0"/>
              <w:rPr>
                <w:sz w:val="18"/>
                <w:szCs w:val="18"/>
                <w:color w:val="auto"/>
              </w:rPr>
            </w:pPr>
          </w:p>
        </w:tc>
        <w:tc>
          <w:tcPr>
            <w:tcW w:w="3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80" w:type="dxa"/>
            <w:vAlign w:val="bottom"/>
          </w:tcPr>
          <w:p>
            <w:pPr>
              <w:jc w:val="right"/>
              <w:ind w:right="71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80" w:type="dxa"/>
            <w:vAlign w:val="bottom"/>
          </w:tcPr>
          <w:p>
            <w:pPr>
              <w:jc w:val="right"/>
              <w:ind w:right="71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120" w:type="dxa"/>
            <w:vAlign w:val="bottom"/>
          </w:tcPr>
          <w:p>
            <w:pPr>
              <w:spacing w:after="0"/>
              <w:rPr>
                <w:sz w:val="18"/>
                <w:szCs w:val="18"/>
                <w:color w:val="auto"/>
              </w:rPr>
            </w:pPr>
          </w:p>
        </w:tc>
      </w:tr>
      <w:tr>
        <w:trPr>
          <w:trHeight w:val="216"/>
        </w:trPr>
        <w:tc>
          <w:tcPr>
            <w:tcW w:w="2260" w:type="dxa"/>
            <w:vAlign w:val="bottom"/>
            <w:gridSpan w:val="2"/>
          </w:tcPr>
          <w:p>
            <w:pPr>
              <w:spacing w:after="0"/>
              <w:rPr>
                <w:sz w:val="18"/>
                <w:szCs w:val="18"/>
                <w:color w:val="auto"/>
              </w:rPr>
            </w:pPr>
          </w:p>
        </w:tc>
        <w:tc>
          <w:tcPr>
            <w:tcW w:w="3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80" w:type="dxa"/>
            <w:vAlign w:val="bottom"/>
          </w:tcPr>
          <w:p>
            <w:pPr>
              <w:jc w:val="right"/>
              <w:ind w:right="71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80" w:type="dxa"/>
            <w:vAlign w:val="bottom"/>
          </w:tcPr>
          <w:p>
            <w:pPr>
              <w:jc w:val="right"/>
              <w:ind w:right="710"/>
              <w:spacing w:after="0"/>
              <w:rPr>
                <w:sz w:val="20"/>
                <w:szCs w:val="20"/>
                <w:color w:val="auto"/>
              </w:rPr>
            </w:pPr>
            <w:r>
              <w:rPr>
                <w:rFonts w:ascii="Arial" w:cs="Arial" w:eastAsia="Arial" w:hAnsi="Arial"/>
                <w:sz w:val="18"/>
                <w:szCs w:val="18"/>
                <w:color w:val="auto"/>
              </w:rPr>
              <w:t>Imputed Interest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Present Value of Lease Payments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80" w:type="dxa"/>
            <w:vAlign w:val="bottom"/>
          </w:tcPr>
          <w:p>
            <w:pPr>
              <w:jc w:val="right"/>
              <w:ind w:right="71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12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Non-Current Lease Liability</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6910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69105" cy="13716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Construction -</w:t>
      </w:r>
      <w:r>
        <w:rPr>
          <w:rFonts w:ascii="Arial" w:cs="Arial" w:eastAsia="Arial" w:hAnsi="Arial"/>
          <w:sz w:val="16"/>
          <w:szCs w:val="16"/>
          <w:color w:val="auto"/>
        </w:rPr>
        <w:t>The Company has forecasted to spend approximately $85 million for its construction program in 2022. The Company has entered into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several construction contracts that, in the aggregate, obligate expenditure of an estimated $26 million in the future. The actual amount and timing of capital expenditures is dependent on the need for replacement of existing infrastructure, customer growth, residential new home construction and sales, project scheduling, supply chain issues and continued refinement of project scope and costs and could be impacted if the effects of new variants of COVID-19 pandemic arise and continue for an extended period of time (for further discussion of the impact of COVID-19 on the Company, see </w:t>
      </w:r>
      <w:r>
        <w:rPr>
          <w:rFonts w:ascii="Arial" w:cs="Arial" w:eastAsia="Arial" w:hAnsi="Arial"/>
          <w:sz w:val="16"/>
          <w:szCs w:val="16"/>
          <w:i w:val="1"/>
          <w:iCs w:val="1"/>
          <w:color w:val="auto"/>
        </w:rPr>
        <w:t>Note 1 - Coronavirus</w:t>
      </w:r>
      <w:r>
        <w:rPr>
          <w:rFonts w:ascii="Arial" w:cs="Arial" w:eastAsia="Arial" w:hAnsi="Arial"/>
          <w:sz w:val="16"/>
          <w:szCs w:val="16"/>
          <w:color w:val="auto"/>
        </w:rPr>
        <w:t xml:space="preserve"> </w:t>
      </w:r>
      <w:r>
        <w:rPr>
          <w:rFonts w:ascii="Arial" w:cs="Arial" w:eastAsia="Arial" w:hAnsi="Arial"/>
          <w:sz w:val="16"/>
          <w:szCs w:val="16"/>
          <w:i w:val="1"/>
          <w:iCs w:val="1"/>
          <w:color w:val="auto"/>
        </w:rPr>
        <w:t>(COVID-19) Pandemic</w:t>
      </w:r>
      <w:r>
        <w:rPr>
          <w:rFonts w:ascii="Arial" w:cs="Arial" w:eastAsia="Arial" w:hAnsi="Arial"/>
          <w:sz w:val="16"/>
          <w:szCs w:val="16"/>
          <w:color w:val="auto"/>
        </w:rPr>
        <w:t>). There is no assurance that projected customer growth and residential new home construction and sales will occur.</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PFOA Matter – </w:t>
      </w:r>
      <w:r>
        <w:rPr>
          <w:rFonts w:ascii="Arial" w:cs="Arial" w:eastAsia="Arial" w:hAnsi="Arial"/>
          <w:sz w:val="18"/>
          <w:szCs w:val="18"/>
          <w:color w:val="auto"/>
        </w:rPr>
        <w:t>In November 2021, the Company was served with two PFOA-related class action lawsuits seeking restitution for medical, water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replacement and other related costs and economic damages. These lawsuits are in the early stages of the legal process and their ultimate resolution cannot be predicted at this time. The Company’s insurance provider has acknowledged coverage of potential liability resulting from these lawsuits (for further discussion of this matter, see </w:t>
      </w:r>
      <w:r>
        <w:rPr>
          <w:rFonts w:ascii="Arial" w:cs="Arial" w:eastAsia="Arial" w:hAnsi="Arial"/>
          <w:sz w:val="18"/>
          <w:szCs w:val="18"/>
          <w:i w:val="1"/>
          <w:iCs w:val="1"/>
          <w:color w:val="auto"/>
        </w:rPr>
        <w:t>Note 1 - Regulatory Notice of Non-Compliance</w:t>
      </w:r>
      <w:r>
        <w:rPr>
          <w:rFonts w:ascii="Arial" w:cs="Arial" w:eastAsia="Arial" w:hAnsi="Arial"/>
          <w:sz w:val="18"/>
          <w:szCs w:val="18"/>
          <w:color w:val="auto"/>
        </w:rPr>
        <w:t>).</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Contingencies -</w:t>
      </w:r>
      <w:r>
        <w:rPr>
          <w:rFonts w:ascii="Arial" w:cs="Arial" w:eastAsia="Arial" w:hAnsi="Arial"/>
          <w:sz w:val="18"/>
          <w:szCs w:val="18"/>
          <w:color w:val="auto"/>
        </w:rPr>
        <w:t>Based on our operations in the heavily-regulated water and wastewater industries, the Company is routinely involved in disputes, claims,</w:t>
      </w:r>
      <w:r>
        <w:rPr>
          <w:rFonts w:ascii="Arial" w:cs="Arial" w:eastAsia="Arial" w:hAnsi="Arial"/>
          <w:sz w:val="18"/>
          <w:szCs w:val="18"/>
          <w:b w:val="1"/>
          <w:bCs w:val="1"/>
          <w:color w:val="auto"/>
        </w:rPr>
        <w:t xml:space="preserve"> </w:t>
      </w:r>
      <w:r>
        <w:rPr>
          <w:rFonts w:ascii="Arial" w:cs="Arial" w:eastAsia="Arial" w:hAnsi="Arial"/>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Change in Control Agreements - </w:t>
      </w:r>
      <w:r>
        <w:rPr>
          <w:rFonts w:ascii="Arial" w:cs="Arial" w:eastAsia="Arial" w:hAnsi="Arial"/>
          <w:sz w:val="18"/>
          <w:szCs w:val="18"/>
          <w:color w:val="auto"/>
        </w:rPr>
        <w:t>The Company has Change in Control Agreements with certain of its officers that provide compensation and benefits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of termination of employment in connection with a change in control of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Pension Benefits </w:t>
      </w:r>
      <w:r>
        <w:rPr>
          <w:rFonts w:ascii="Arial" w:cs="Arial" w:eastAsia="Arial" w:hAnsi="Arial"/>
          <w:sz w:val="16"/>
          <w:szCs w:val="16"/>
          <w:color w:val="auto"/>
        </w:rPr>
        <w:t>- The Company’s defined benefit pension plan (Pension Plan) covers all active employees hired prior to April 1, 2007. Employees hired</w:t>
      </w:r>
      <w:r>
        <w:rPr>
          <w:rFonts w:ascii="Arial" w:cs="Arial" w:eastAsia="Arial" w:hAnsi="Arial"/>
          <w:sz w:val="16"/>
          <w:szCs w:val="16"/>
          <w:b w:val="1"/>
          <w:bCs w:val="1"/>
          <w:color w:val="auto"/>
        </w:rPr>
        <w:t xml:space="preserve"> </w:t>
      </w:r>
      <w:r>
        <w:rPr>
          <w:rFonts w:ascii="Arial" w:cs="Arial" w:eastAsia="Arial" w:hAnsi="Arial"/>
          <w:sz w:val="16"/>
          <w:szCs w:val="16"/>
          <w:color w:val="auto"/>
        </w:rPr>
        <w:t>after March 31, 2007 are not eligible to participate in this plan, but do participate in a defined contribution plan that provides for a potential annual contribution in an amount at the discretion of the Company., based upon a percentage of the participants’ annual paid compensation. For each of the three-and nine-month periods ended September 30, 2022 and 2021, the Company did not make cash contributions to the Pension Plan. The Company expects to make cash contributions of approximately $3.4 million over the remainder of the current year. The Company also maintains an unfunded supplemental retirement benefit plan for certain active and retired Company officers and currently pays $0.4 million in annual benefits to the retired participants.</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Other Postretirement Benefits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The Company’s retirement plan other than pensions (Other Benefits Plan) covers substantially all currently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retired employees. Employees hired after March 31, 2007 are not eligible to participate in this plan. Coverage includes healthcare and life insurance. For each of the three- month and nine-month periods ended September 30, 2022 and 2021, the Company did not make cash contributions to its Other Benefits Plan. The Company does not expect to make any cash contributions to its Other Benefits Plan over the remainder of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relating to the Company’s periodic costs (benefit) for its employee retirement benefit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Pension Benefits</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Other Benefits</w:t>
            </w: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900" w:type="dxa"/>
            <w:vAlign w:val="bottom"/>
            <w:gridSpan w:val="5"/>
          </w:tcPr>
          <w:p>
            <w:pPr>
              <w:jc w:val="right"/>
              <w:ind w:right="50"/>
              <w:spacing w:after="0" w:line="195" w:lineRule="exact"/>
              <w:rPr>
                <w:sz w:val="20"/>
                <w:szCs w:val="20"/>
                <w:color w:val="auto"/>
              </w:rPr>
            </w:pPr>
            <w:r>
              <w:rPr>
                <w:rFonts w:ascii="Arial" w:cs="Arial" w:eastAsia="Arial" w:hAnsi="Arial"/>
                <w:sz w:val="18"/>
                <w:szCs w:val="18"/>
                <w:color w:val="auto"/>
                <w:w w:val="94"/>
              </w:rPr>
              <w:t>Three Months Ended September 30,</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5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2022</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2021</w:t>
            </w:r>
          </w:p>
        </w:tc>
        <w:tc>
          <w:tcPr>
            <w:tcW w:w="20" w:type="dxa"/>
            <w:vAlign w:val="bottom"/>
            <w:tcBorders>
              <w:bottom w:val="single" w:sz="8" w:color="auto"/>
            </w:tcBorders>
          </w:tcPr>
          <w:p>
            <w:pPr>
              <w:spacing w:after="0"/>
              <w:rPr>
                <w:sz w:val="20"/>
                <w:szCs w:val="20"/>
                <w:color w:val="auto"/>
              </w:rPr>
            </w:pPr>
          </w:p>
        </w:tc>
      </w:tr>
      <w:tr>
        <w:trPr>
          <w:trHeight w:val="209"/>
        </w:trPr>
        <w:tc>
          <w:tcPr>
            <w:tcW w:w="5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4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761</w:t>
            </w:r>
          </w:p>
        </w:tc>
        <w:tc>
          <w:tcPr>
            <w:tcW w:w="3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331</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Amortization of Unrecognized Losses</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418</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 w:type="dxa"/>
            <w:vAlign w:val="bottom"/>
            <w:tcBorders>
              <w:bottom w:val="single" w:sz="8" w:color="auto"/>
            </w:tcBorders>
          </w:tcPr>
          <w:p>
            <w:pPr>
              <w:spacing w:after="0"/>
              <w:rPr>
                <w:sz w:val="18"/>
                <w:szCs w:val="18"/>
                <w:color w:val="auto"/>
              </w:rPr>
            </w:pP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58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shd w:val="clear" w:color="auto" w:fill="CCEEFF"/>
          </w:tcPr>
          <w:p>
            <w:pPr>
              <w:spacing w:after="0"/>
              <w:rPr>
                <w:sz w:val="18"/>
                <w:szCs w:val="18"/>
                <w:color w:val="auto"/>
              </w:rPr>
            </w:pPr>
          </w:p>
        </w:tc>
      </w:tr>
      <w:tr>
        <w:trPr>
          <w:trHeight w:val="425"/>
        </w:trPr>
        <w:tc>
          <w:tcPr>
            <w:tcW w:w="54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13</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400" w:type="dxa"/>
            <w:vAlign w:val="bottom"/>
            <w:tcBorders>
              <w:bottom w:val="single" w:sz="8" w:color="EEEEEE"/>
            </w:tcBorders>
          </w:tcPr>
          <w:p>
            <w:pPr>
              <w:spacing w:after="0"/>
              <w:rPr>
                <w:sz w:val="17"/>
                <w:szCs w:val="17"/>
                <w:color w:val="auto"/>
              </w:rPr>
            </w:pPr>
          </w:p>
        </w:tc>
        <w:tc>
          <w:tcPr>
            <w:tcW w:w="48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48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71"/>
        </w:trPr>
        <w:tc>
          <w:tcPr>
            <w:tcW w:w="320" w:type="dxa"/>
            <w:vAlign w:val="bottom"/>
            <w:tcBorders>
              <w:top w:val="single" w:sz="8" w:color="0000EE"/>
            </w:tcBorders>
          </w:tcPr>
          <w:p>
            <w:pPr>
              <w:spacing w:after="0"/>
              <w:rPr>
                <w:sz w:val="24"/>
                <w:szCs w:val="24"/>
                <w:color w:val="auto"/>
              </w:rPr>
            </w:pPr>
          </w:p>
        </w:tc>
        <w:tc>
          <w:tcPr>
            <w:tcW w:w="5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Pension Benefits</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Other Benefits</w:t>
            </w:r>
          </w:p>
        </w:tc>
        <w:tc>
          <w:tcPr>
            <w:tcW w:w="860" w:type="dxa"/>
            <w:vAlign w:val="bottom"/>
            <w:tcBorders>
              <w:bottom w:val="single" w:sz="8" w:color="auto"/>
            </w:tcBorders>
          </w:tcPr>
          <w:p>
            <w:pPr>
              <w:spacing w:after="0"/>
              <w:rPr>
                <w:sz w:val="20"/>
                <w:szCs w:val="20"/>
                <w:color w:val="auto"/>
              </w:rPr>
            </w:pPr>
          </w:p>
        </w:tc>
      </w:tr>
      <w:tr>
        <w:trPr>
          <w:trHeight w:val="195"/>
        </w:trPr>
        <w:tc>
          <w:tcPr>
            <w:tcW w:w="3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4"/>
          </w:tcPr>
          <w:p>
            <w:pPr>
              <w:jc w:val="right"/>
              <w:ind w:right="70"/>
              <w:spacing w:after="0" w:line="195" w:lineRule="exact"/>
              <w:rPr>
                <w:sz w:val="20"/>
                <w:szCs w:val="20"/>
                <w:color w:val="auto"/>
              </w:rPr>
            </w:pPr>
            <w:r>
              <w:rPr>
                <w:rFonts w:ascii="Arial" w:cs="Arial" w:eastAsia="Arial" w:hAnsi="Arial"/>
                <w:sz w:val="18"/>
                <w:szCs w:val="18"/>
                <w:color w:val="auto"/>
                <w:w w:val="89"/>
              </w:rPr>
              <w:t>Nine Months Ended September 30,</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2022</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2021</w:t>
            </w:r>
          </w:p>
        </w:tc>
      </w:tr>
      <w:tr>
        <w:trPr>
          <w:trHeight w:val="210"/>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1,772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2,022</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599</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2,282</w:t>
            </w:r>
          </w:p>
        </w:tc>
        <w:tc>
          <w:tcPr>
            <w:tcW w:w="2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994</w:t>
            </w:r>
          </w:p>
        </w:tc>
        <w:tc>
          <w:tcPr>
            <w:tcW w:w="5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927</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Amortization of Unrecognized Losses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1,255</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w:t>
            </w:r>
          </w:p>
        </w:tc>
      </w:tr>
      <w:tr>
        <w:trPr>
          <w:trHeight w:val="210"/>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Benefit Cost (Benefit)*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1,534</w:t>
            </w:r>
          </w:p>
        </w:tc>
        <w:tc>
          <w:tcPr>
            <w:tcW w:w="58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cost is included in Operations and Maintenance expense on the Condensed Consolidated Statements of Income; all other amounts are included in Other Income/Expense, 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Recognition from Contracts with Customers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regulated revenue from contracts with customers results from tariff-based sales from the provision of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and 30 days after the invoice date. Revenue is recognized as the water and wastewater services are delivered to customers as well as from accrual of unbilled revenues estimated from the last meter reading date to the end of the accounting period utilizing factors such as historical customer data, regional weather indicators and general economic conditions in the relevant service territories. Unearned Revenues and Advance Service Fees include fixed service charge billings in advance to Tidewater customers recognized as service is provided to the customer.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2032 and contain remaining performance obligations for which the Company expects to recognize revenue in the future. These contracts also contain termination provisions.</w:t>
      </w:r>
    </w:p>
    <w:p>
      <w:pPr>
        <w:spacing w:after="0" w:line="1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Substantially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contracts do not contain any significant financing components.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450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12"/>
        </w:trPr>
        <w:tc>
          <w:tcPr>
            <w:tcW w:w="5600" w:type="dxa"/>
            <w:vAlign w:val="bottom"/>
            <w:gridSpan w:val="3"/>
          </w:tcPr>
          <w:p>
            <w:pPr>
              <w:spacing w:after="0"/>
              <w:rPr>
                <w:sz w:val="20"/>
                <w:szCs w:val="20"/>
                <w:color w:val="auto"/>
              </w:rPr>
            </w:pPr>
            <w:r>
              <w:rPr>
                <w:rFonts w:ascii="Arial" w:cs="Arial" w:eastAsia="Arial" w:hAnsi="Arial"/>
                <w:sz w:val="18"/>
                <w:szCs w:val="18"/>
                <w:color w:val="auto"/>
              </w:rPr>
              <w:t>The Company’s operating revenues are comprised of the following:</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7"/>
        </w:trPr>
        <w:tc>
          <w:tcPr>
            <w:tcW w:w="3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20" w:type="dxa"/>
            <w:vAlign w:val="bottom"/>
            <w:gridSpan w:val="3"/>
          </w:tcPr>
          <w:p>
            <w:pPr>
              <w:jc w:val="right"/>
              <w:ind w:right="1030"/>
              <w:spacing w:after="0"/>
              <w:rPr>
                <w:sz w:val="20"/>
                <w:szCs w:val="20"/>
                <w:color w:val="auto"/>
              </w:rPr>
            </w:pPr>
            <w:r>
              <w:rPr>
                <w:rFonts w:ascii="Arial" w:cs="Arial" w:eastAsia="Arial" w:hAnsi="Arial"/>
                <w:sz w:val="18"/>
                <w:szCs w:val="18"/>
                <w:color w:val="auto"/>
              </w:rPr>
              <w:t>(In Thousands)</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40" w:type="dxa"/>
            <w:vAlign w:val="bottom"/>
            <w:gridSpan w:val="4"/>
          </w:tcPr>
          <w:p>
            <w:pPr>
              <w:jc w:val="right"/>
              <w:ind w:right="270"/>
              <w:spacing w:after="0"/>
              <w:rPr>
                <w:sz w:val="20"/>
                <w:szCs w:val="20"/>
                <w:color w:val="auto"/>
              </w:rPr>
            </w:pPr>
            <w:r>
              <w:rPr>
                <w:rFonts w:ascii="Arial" w:cs="Arial" w:eastAsia="Arial" w:hAnsi="Arial"/>
                <w:sz w:val="18"/>
                <w:szCs w:val="18"/>
                <w:color w:val="auto"/>
              </w:rPr>
              <w:t>Three Months Ended September 30,</w:t>
            </w:r>
          </w:p>
        </w:tc>
        <w:tc>
          <w:tcPr>
            <w:tcW w:w="300" w:type="dxa"/>
            <w:vAlign w:val="bottom"/>
          </w:tcPr>
          <w:p>
            <w:pPr>
              <w:spacing w:after="0"/>
              <w:rPr>
                <w:sz w:val="18"/>
                <w:szCs w:val="18"/>
                <w:color w:val="auto"/>
              </w:rPr>
            </w:pPr>
          </w:p>
        </w:tc>
        <w:tc>
          <w:tcPr>
            <w:tcW w:w="3000" w:type="dxa"/>
            <w:vAlign w:val="bottom"/>
            <w:gridSpan w:val="3"/>
          </w:tcPr>
          <w:p>
            <w:pPr>
              <w:jc w:val="right"/>
              <w:ind w:right="250"/>
              <w:spacing w:after="0"/>
              <w:rPr>
                <w:sz w:val="20"/>
                <w:szCs w:val="20"/>
                <w:color w:val="auto"/>
              </w:rPr>
            </w:pPr>
            <w:r>
              <w:rPr>
                <w:rFonts w:ascii="Arial" w:cs="Arial" w:eastAsia="Arial" w:hAnsi="Arial"/>
                <w:sz w:val="18"/>
                <w:szCs w:val="18"/>
                <w:color w:val="auto"/>
                <w:w w:val="93"/>
              </w:rPr>
              <w:t>Nine Months Ended September 30,</w:t>
            </w:r>
          </w:p>
        </w:tc>
      </w:tr>
      <w:tr>
        <w:trPr>
          <w:trHeight w:val="230"/>
        </w:trPr>
        <w:tc>
          <w:tcPr>
            <w:tcW w:w="3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209"/>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Regulated Tariff Sales</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110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25,108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22,517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65,767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59,711</w:t>
            </w: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7,167</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4,903</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16,796</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12,587</w:t>
            </w:r>
          </w:p>
        </w:tc>
      </w:tr>
      <w:tr>
        <w:trPr>
          <w:trHeight w:val="21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Industrial</w:t>
            </w:r>
          </w:p>
        </w:tc>
        <w:tc>
          <w:tcPr>
            <w:tcW w:w="11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3,208</w:t>
            </w:r>
          </w:p>
        </w:tc>
        <w:tc>
          <w:tcPr>
            <w:tcW w:w="4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2,538</w:t>
            </w:r>
          </w:p>
        </w:tc>
        <w:tc>
          <w:tcPr>
            <w:tcW w:w="3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8,504</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6,858</w:t>
            </w: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Fire Protection</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3,248</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3,171</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9,541</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9,436</w:t>
            </w:r>
          </w:p>
        </w:tc>
      </w:tr>
      <w:tr>
        <w:trPr>
          <w:trHeight w:val="21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Wholesale</w:t>
            </w:r>
          </w:p>
        </w:tc>
        <w:tc>
          <w:tcPr>
            <w:tcW w:w="11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5,644</w:t>
            </w:r>
          </w:p>
        </w:tc>
        <w:tc>
          <w:tcPr>
            <w:tcW w:w="4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3,822</w:t>
            </w:r>
          </w:p>
        </w:tc>
        <w:tc>
          <w:tcPr>
            <w:tcW w:w="3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13,905</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11,079</w:t>
            </w:r>
          </w:p>
        </w:tc>
      </w:tr>
      <w:tr>
        <w:trPr>
          <w:trHeight w:val="216"/>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3,321</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2,888</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8,986</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9,336</w:t>
            </w:r>
          </w:p>
        </w:tc>
      </w:tr>
      <w:tr>
        <w:trPr>
          <w:trHeight w:val="209"/>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110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47,696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39,839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123,499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109,007</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486</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Other Non-Regulated Revenues</w:t>
            </w:r>
          </w:p>
        </w:tc>
        <w:tc>
          <w:tcPr>
            <w:tcW w:w="11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4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16"/>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1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11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47,732</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39,874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123,611</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109,117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federal income tax returns for the tax years 2014 through 2017 were selected for examination by the Internal Revenue Service (IRS), which included the tax year in which the Company had adopted the final IRS tangible property regulations and changed its accounting method for the tax treatment of expenditures that qualified as deductible repairs. As a result of the audit examination, the Company agreed to certain modifications of its accounting method for expenditures that qualify as deductible repairs. In 2019, the Company paid $2.7 million in income taxes and $0.1 million in interest in connection with the conclusion of the 2014 through 2017 federal income tax return audits. The statutory review period for 2018 and prior federal income tax returns has now closed, and as such, in the third quarter of 2022 the Company reversed the income tax reserve provision and interest expense liability of $0.5 million and $0.2 million, respectively.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2021.</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19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financial condition, performance, prospects and earnings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plans for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amount and timing of rate increases and other regulatory matters, including the recovery of certain costs recorded as regulatory assets;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expected liquidity needs during the upcoming fiscal year and beyond and the sources and availability of funds to meet its liquidity needs;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customer rates, consumption volumes, service fees, revenues, margins, expenses and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projections;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amount of cash contributions to fund the Company’s retirement benefit plans, anticipated discount rates and rates of return on plan assets;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pay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compliance with environmental laws and regulations and estimations of the materiality of any 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and reliability of the Company’s equipment, facilities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plans to renew municipal franchises and consents in the territories it 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quality of our water supply.</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8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general economic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competition for growth in non-franchised markets to be potentially served by the Company;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adequate supplies of quality water;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taken by government regulators, including decisions on rate increase requests;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or modified water quality standards and compliance with related legal and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variations and other natural phenomena impacting utility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risks associated with acquisitions and/or privatizations;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acts of war or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pace of new housing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capital resources;</w:t>
      </w:r>
    </w:p>
    <w:p>
      <w:pPr>
        <w:sectPr>
          <w:pgSz w:w="11900" w:h="16838" w:orient="portrait"/>
          <w:cols w:equalWidth="0" w:num="1">
            <w:col w:w="11240"/>
          </w:cols>
          <w:pgMar w:left="320" w:top="114" w:right="339" w:bottom="0" w:gutter="0" w:footer="0" w:header="0"/>
        </w:sectPr>
      </w:pPr>
    </w:p>
    <w:bookmarkStart w:id="18" w:name="page19"/>
    <w:bookmarkEnd w:id="18"/>
    <w:p>
      <w:pPr>
        <w:ind w:left="328" w:hanging="328"/>
        <w:spacing w:after="0"/>
        <w:tabs>
          <w:tab w:leader="none" w:pos="328" w:val="left"/>
        </w:tabs>
        <w:numPr>
          <w:ilvl w:val="0"/>
          <w:numId w:val="6"/>
        </w:numPr>
        <w:rPr>
          <w:rFonts w:ascii="Arial" w:cs="Arial" w:eastAsia="Arial" w:hAnsi="Arial"/>
          <w:sz w:val="16"/>
          <w:szCs w:val="16"/>
          <w:color w:val="auto"/>
        </w:rPr>
      </w:pPr>
      <w:r>
        <w:rPr>
          <w:rFonts w:ascii="Arial" w:cs="Arial" w:eastAsia="Arial" w:hAnsi="Arial"/>
          <w:sz w:val="16"/>
          <w:szCs w:val="16"/>
          <w:color w:val="auto"/>
        </w:rPr>
        <w:t>timely availability of materials and supplies for operations and critical infrastructure projects;</w:t>
      </w:r>
    </w:p>
    <w:p>
      <w:pPr>
        <w:spacing w:after="0" w:line="46" w:lineRule="exact"/>
        <w:rPr>
          <w:rFonts w:ascii="Arial" w:cs="Arial" w:eastAsia="Arial" w:hAnsi="Arial"/>
          <w:sz w:val="16"/>
          <w:szCs w:val="16"/>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the Novel Coronavirus (COVID-19) pandemic; 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discussed elsewhere in this report.</w:t>
      </w:r>
    </w:p>
    <w:p>
      <w:pPr>
        <w:spacing w:after="0" w:line="319" w:lineRule="exact"/>
        <w:rPr>
          <w:sz w:val="20"/>
          <w:szCs w:val="20"/>
          <w:color w:val="auto"/>
        </w:rPr>
      </w:pPr>
    </w:p>
    <w:p>
      <w:pPr>
        <w:ind w:left="518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23495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7"/>
          </w:cols>
          <w:pgMar w:left="652" w:top="125"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 in the Company’s Annual Report on Form 10-K for the fiscal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Bayview subsidiary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Delaware subsidiaries, Tidewater and Southern Shores Water Company, LLC, provide water services to approximately 57,000 retail customers in New Castle, Kent and Sussex Counties, Delaware. Tidewater’s subsidiary, White Marsh, services approximately 6,200 customers in Kent and Sussex Counties through various operations and maintenance contracts.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 operates the Borough of Avalon, New Jersey’s (Avalon) water utility, sewer utility and storm water system under a ten-year operations and maintenance contract expiring in August 2032 (for further discussion of USA’s recent renewal of its operations and maintenance contract with Avalon, see “</w:t>
      </w:r>
      <w:r>
        <w:rPr>
          <w:rFonts w:ascii="Arial" w:cs="Arial" w:eastAsia="Arial" w:hAnsi="Arial"/>
          <w:sz w:val="18"/>
          <w:szCs w:val="18"/>
          <w:i w:val="1"/>
          <w:iCs w:val="1"/>
          <w:color w:val="auto"/>
        </w:rPr>
        <w:t>Recent Developments-Avalon Contract Renewal”</w:t>
      </w:r>
      <w:r>
        <w:rPr>
          <w:rFonts w:ascii="Arial" w:cs="Arial" w:eastAsia="Arial" w:hAnsi="Arial"/>
          <w:sz w:val="18"/>
          <w:szCs w:val="18"/>
          <w:color w:val="auto"/>
        </w:rPr>
        <w:t xml:space="preserve"> below). USA also operates the Borough of Highland Park, New Jersey’s (Highland Park) water and wastewater systems under a 10-year operations and maintenance contract expiring in June 2030. These contracts also require USA to manage capital projects funded by Avalon and Highland Park.</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a marketing agreement with HomeServe USA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functions associated with HomeServe’s service contracts.</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Capital Construction Program </w:t>
      </w:r>
      <w:r>
        <w:rPr>
          <w:rFonts w:ascii="Arial" w:cs="Arial" w:eastAsia="Arial" w:hAnsi="Arial"/>
          <w:sz w:val="18"/>
          <w:szCs w:val="18"/>
          <w:b w:val="1"/>
          <w:bCs w:val="1"/>
          <w:color w:val="323232"/>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multi-year capital construction program encompasses numerous projects designed to upgrade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utility infrastructure as well as enhance the integrity and reliability of assets to maintain and improve service for the current and future generations of water and wastewater customers. The Company plans to invest approximately $85 million in 2022 in connection with projects that include, but are not limited to:</w:t>
      </w:r>
    </w:p>
    <w:p>
      <w:pPr>
        <w:spacing w:after="0" w:line="184" w:lineRule="exact"/>
        <w:rPr>
          <w:sz w:val="20"/>
          <w:szCs w:val="20"/>
          <w:color w:val="auto"/>
        </w:rPr>
      </w:pPr>
    </w:p>
    <w:p>
      <w:pPr>
        <w:jc w:val="both"/>
        <w:ind w:left="660" w:hanging="328"/>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facility to provide an enhanced treatment process at the Company’s largest New Jersey wellfield in South Plainfield to comply with new state water quality regulations relative to poly- and perfluoroalkyl substances, collectively referred to as PFAS, and integrate surge protection to mitigate spikes in water pressures along with enhancements to corrosion control and disinfection processes;</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Replacement of approximately six miles of water mains including full main and service line replacements, meter pit installations and fire hydrant replacements in the Township of Woodbridge, New Jersey;</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new elevated water storage tanks in our Tidewater service territory;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Various other water main replacements and improvements.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and timing of capital expenditures is dependent on project scheduling and refinement of engineering estimates for certain capital projects.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Regulatory Notice of Non-Compliance – </w:t>
      </w:r>
      <w:r>
        <w:rPr>
          <w:rFonts w:ascii="Arial" w:cs="Arial" w:eastAsia="Arial" w:hAnsi="Arial"/>
          <w:sz w:val="18"/>
          <w:szCs w:val="18"/>
          <w:color w:val="auto"/>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in South Plainfield, New Jersey exceeded a recently promulgated NJDEP standard effective in 2021. The NJDEP standard for PFOA was developed based on a Health-based Maximum Contaminant Level of 14 parts per trillion. Neither the NJDEP nor Middlesex has characterized this exceedance as an acute health threat. However, Middlesex was required to notify its affected customers and complied in November 2021 as required by the regulation.</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Notice further required the Company to take any action necessary to comply with the new standard by September 7, 2022. The Company began construction of an enhanced treatment process at the Park Avenue Wellfield Treatment Plant to comply with the new standard prior to the regulation being enacted. Since completion is not expected until mid-2023, in December 2021, the Company implemented an interim solution to meet the Notice requirements. The Park Avenue Wellfield Treatment Plant was taken off-line and alternate sources of supply have been obtained. Simultaneously, the Company accelerated a portion of the enhanced treatment project to allow a restart of the Park Avenue Wellfield treatment Plant ahead of historical higher water demand periods during the summer months.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2022, construction of the accelerated portion was completed and the Park Avenue Wellfield Treatment Plant is effectively treating ground water to ensure compliance with all state and federal drinking water standards. Working in coordination with the NJDEP, the Company successfully restarted the Park Avenue Wellfield Treatement Plant and introduced wellfield water into the distribution system. Water being delivered to customers is in compliance with all United States Environmental Protection Agency and NJDEP drinking water standards, including the newly established water quality standard for PFOA.</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13, 2022, the Company entered into an Administrative Consent Order (ACO) with the NJDEP, which requires the Company to take whatever actions are necessary to achieve and maintain compliance with the Safe Drinking Water Act, N.J.S.A, 58:12A-1 et seq., and the Safe Drinking Water Act regulations N.J.A.C. 7:10-1 et seq., including applicable public notifications. The Company’s agreement to enter into an ACO avoided any further Notice regarding the fact that the permanent treatment solution was not in service by September 7, 2022.</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Company must issue the public notifications by February 22, 2023 and continue to complete and distribute public information as prescribed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ACO. In addition, in accordance with the ACO:</w:t>
      </w:r>
    </w:p>
    <w:p>
      <w:pPr>
        <w:spacing w:after="0" w:line="211" w:lineRule="exact"/>
        <w:rPr>
          <w:sz w:val="20"/>
          <w:szCs w:val="20"/>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or before June 30, 2023, the Company shall complete the permanent construction of the Park Avenue Wellfield treatment upgrades, place the treatment upgrades into operation, and all water at the Park Avenue Wellfield Treatment Plant shall be treated to comply with the PFOA NJDEP standards.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must perform required sample testing and reporting for PFOA subsequent to completion of the Park Avenue Wellfield treatment upgrades.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shall submit to the NJDEP quarterly progress reports detailing the Company’s compliance with the ACO.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failure to comply with the compliance schedule and/or progress reporting requirements of the ACO could lead to penalties up to $500 per day. In addition, the NJDEP could penalize the Company for other violations, if any, of the ACO.</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2021, the Company was served with two PFOA-related class action lawsuits seeking restitution for medical, water replacement and other claimed related costs. These lawsuits are in the early stages of the legal process and their ultimate resolution cannot be predicted at this time. The Company’s insurance provider has acknowledged coverage of potential liability which may result from these lawsuits. In May 2022, the Company impleaded 3M Company (3M) as a third-party defendant in one of these class action lawsuits. The Company has taken this action in addition to a separate lawsuit the Company initiated against 3M seeking to hold 3M accountable for introduction of perfluoroalkyl substances, which include PFOA, into the Company’s water supply at its Park Avenue Wellfield facility.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2022, the Company filed a petition with the New Jersey Board of Public Utilities (NJBPU) seeking to establish a regulatory asset and deferred accounting treatment until its next base rate setting proceeding for all costs associated with the interim solution to comply with the Notice. The Company is currently awaiting a decision on this matter from the NJBPU.</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Sale of Subsidiary </w:t>
      </w:r>
      <w:r>
        <w:rPr>
          <w:rFonts w:ascii="Arial" w:cs="Arial" w:eastAsia="Arial" w:hAnsi="Arial"/>
          <w:sz w:val="18"/>
          <w:szCs w:val="18"/>
          <w:color w:val="auto"/>
        </w:rPr>
        <w:t>– In January 2022, Middlesex closed on the Delaware Public Service Commission (DEPSC) approved sale of 100% of the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of its subsidiary Tidewater Environmental Services, Inc. to Artesian Wastewater Management, Inc. for $6.4 million in cash and other consideration, resulting in a $5.2 million pre-tax gain. The Company will continue to own and operate its non-regulated water and wastewater contract operations business in Delaware.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Avalon Contract Renewal </w:t>
      </w:r>
      <w:r>
        <w:rPr>
          <w:rFonts w:ascii="Arial" w:cs="Arial" w:eastAsia="Arial" w:hAnsi="Arial"/>
          <w:sz w:val="18"/>
          <w:szCs w:val="18"/>
          <w:color w:val="auto"/>
        </w:rPr>
        <w:t>– In August 2022, USA, Middlesex’s non-regulated subsidiary, was awarded a competitively-bid 10-year operations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contract with Avalon under which USA will continue to operate Avalon’s water utility, sewer utility and storm water system. USA is also required to manage capital projects funded by Avalon. USA previously operated Avalon’s systems under a 10-year contract that expired in August 2022. The new contract commenced September 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 and Regulatory Matters</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Middlesex – </w:t>
      </w:r>
      <w:r>
        <w:rPr>
          <w:rFonts w:ascii="Arial" w:cs="Arial" w:eastAsia="Arial" w:hAnsi="Arial"/>
          <w:sz w:val="17"/>
          <w:szCs w:val="17"/>
          <w:color w:val="auto"/>
        </w:rPr>
        <w:t>In December 2021, Middlesex’s petition to the NJBPU seeking permission to increase its base water rates was concluded, based on a</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is being implemented in two phases with $20.7 million of the increase effective January 1, 2022 and the remaining $7.0 million effective January 1, 2023. As part of the negotiated settlement, the Purchased Water Adjustment Clause (PWAC), which is a rate mechanism that allows for recovery of increased purchased water costs between base rate case filings, was reset to zero.</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2022, the NJBPU approved Middlesex's Emergency Relief Motion to reset its PWAC tariff rate to recover additional costs of $2.7 million for the purchase of treated water from a non-affiliated regulated water utility. The increase, effective October 1, 2022, is on an interim basis and subject to refund with interest pending final resolution of this matter.</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Tidewater – </w:t>
      </w:r>
      <w:r>
        <w:rPr>
          <w:rFonts w:ascii="Arial" w:cs="Arial" w:eastAsia="Arial" w:hAnsi="Arial"/>
          <w:sz w:val="18"/>
          <w:szCs w:val="18"/>
          <w:color w:val="auto"/>
        </w:rPr>
        <w:t>On August 31, 2022, the DEPSC issued an Order requiring Tidewater to reduce its base rates charged to general metered and private fire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by 6%, effective for service rendered on and after September 1, 2022. In June 2022, the Delaware Division of the Public Advocate filed a petition with the DEPSC requesting that Tidewater’s rates be reduced based on the claim that Tidewater had been earning above its authorized rate of return. The rate reduction is expected to reduce annual revenues by approximately $2.2 million.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2022, Tidewater notified the DEPSC of its intention to file for a base water rate increase in the first quarter of 2023 based on projected increases in operational expenses and capital construction expenditures.</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Pinelands - </w:t>
      </w:r>
      <w:r>
        <w:rPr>
          <w:rFonts w:ascii="Arial" w:cs="Arial" w:eastAsia="Arial" w:hAnsi="Arial"/>
          <w:sz w:val="16"/>
          <w:szCs w:val="16"/>
          <w:color w:val="auto"/>
        </w:rPr>
        <w:t>In September 2022, Pinelands Water and Pinelands Wastewater filed separate petitions with the NJBPU seeking permission to increase base</w:t>
      </w:r>
      <w:r>
        <w:rPr>
          <w:rFonts w:ascii="Arial" w:cs="Arial" w:eastAsia="Arial" w:hAnsi="Arial"/>
          <w:sz w:val="16"/>
          <w:szCs w:val="16"/>
          <w:b w:val="1"/>
          <w:bCs w:val="1"/>
          <w:color w:val="auto"/>
        </w:rPr>
        <w:t xml:space="preserve"> </w:t>
      </w:r>
      <w:r>
        <w:rPr>
          <w:rFonts w:ascii="Arial" w:cs="Arial" w:eastAsia="Arial" w:hAnsi="Arial"/>
          <w:sz w:val="16"/>
          <w:szCs w:val="16"/>
          <w:color w:val="auto"/>
        </w:rPr>
        <w:t>rates by approximately $0.6 million and $0.4 million per year, respectively. These requests were necessitated by capital infrastructure investments both companies have made, or have committed to make, and increased operations and maintenance costs. We cannot predict whether the NJBPU will ultimately approve, deny, or reduce the amount of the requests. A decision by the NJBPU in either matter is not expected before the first quarter of 2023.</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COVID-19 </w:t>
      </w:r>
      <w:r>
        <w:rPr>
          <w:rFonts w:ascii="Arial" w:cs="Arial" w:eastAsia="Arial" w:hAnsi="Arial"/>
          <w:sz w:val="18"/>
          <w:szCs w:val="18"/>
          <w:color w:val="auto"/>
        </w:rPr>
        <w:t>– On October 13, 2022, the United States Secretary of Health and Human Services renewed the determination that a nationwide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emergency exists as a result of the COVID-19 Pandemic. While the Company’s operations and capital construction program have not been materially disrupted to-date from the pandemic, the COVID-19 impact on economic conditions nationally continues to be uncertain and could affect the Company’s results of operations, financial condition and liquidity in the future. In New Jersey, the declared COVID-19 State of Emergency ended in March 2022. In Delaware, the declared COVID-19 State of Emergency Order ended in July 2021.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NJBPU and the DEPSC have approved the tracking of COVID-19 related incremental costs for potential recovery in customer rates in future rate proceedings. Neither jurisdiction has established a timetable or definitive formal procedures for seeking cost recovery. Since March 2020, the Company has increased its allowance for doubtful accounts for expected increases in accounts receivable write-offs due to the financial impact of COVID-19 on customers. We will continue to monitor the effects of COVID-19 and evaluate its impact on the Company’s business, results of operations, financial condition and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increase operating income and net income is based significantly on four factors: weather, adequate and timely rate relief, effective cost management and customer growth. These factors are discussed in the Results of Operations section below. Unfavorable weather patterns may occur at any time, which can result in lower customer demand for water. Due to an extended period of dry and high temperature weather conditions in New Jersey, on July 21, 2022, the Company issued a request to its customers located in our Middlesex system located in central New Jersey to voluntarily limit non-essential water use until further notice.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DEPSC issued an Order requiring Tidewater to reduce its base rates charged to general metered and private fire customers by 6% (for further discussion of the impact of this on the Company, see </w:t>
      </w:r>
      <w:r>
        <w:rPr>
          <w:rFonts w:ascii="Arial" w:cs="Arial" w:eastAsia="Arial" w:hAnsi="Arial"/>
          <w:sz w:val="18"/>
          <w:szCs w:val="18"/>
          <w:i w:val="1"/>
          <w:iCs w:val="1"/>
          <w:color w:val="auto"/>
        </w:rPr>
        <w:t>Rate and Regulatory Matters, Tidewater</w:t>
      </w:r>
      <w:r>
        <w:rPr>
          <w:rFonts w:ascii="Arial" w:cs="Arial" w:eastAsia="Arial" w:hAnsi="Arial"/>
          <w:sz w:val="18"/>
          <w:szCs w:val="18"/>
          <w:color w:val="auto"/>
        </w:rPr>
        <w:t xml:space="preserve"> above). Our investments in system infrastructure continue to grow significantly and our operating costs are anticipated to increase in 2022 and 2023 in a variety of categories. These factors, among others, resulted in Pinelands filing for base rate increases in September 2022, will require Tidewater to file for a base rate increase in the first quarter of 2023 and may require the need to file for an additional base rate increase for Middlesex in 2023.</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additional factor that we continue to actively monitor is the impact of new variants of COVID-19 on the general economy, our suppliers and our workforce (for further discussion of the impact of COVID-19 on the Company, see “</w:t>
      </w:r>
      <w:r>
        <w:rPr>
          <w:rFonts w:ascii="Arial" w:cs="Arial" w:eastAsia="Arial" w:hAnsi="Arial"/>
          <w:sz w:val="18"/>
          <w:szCs w:val="18"/>
          <w:i w:val="1"/>
          <w:iCs w:val="1"/>
          <w:color w:val="auto"/>
        </w:rPr>
        <w:t>Recent Developments-COVID-19”</w:t>
      </w:r>
      <w:r>
        <w:rPr>
          <w:rFonts w:ascii="Arial" w:cs="Arial" w:eastAsia="Arial" w:hAnsi="Arial"/>
          <w:sz w:val="18"/>
          <w:szCs w:val="18"/>
          <w:color w:val="auto"/>
        </w:rPr>
        <w:t xml:space="preserve"> above).</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Overall, organic residential customer growth continues in our Tidewater system but is expected to be impacted by the current and evolving economic market conditions. Builders and developers are already experiencing longer home sales closing cycles due to supply chain issues, which may be further affected by inflationary trends and the government’s plan to address it through interest rates.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projected to spend approximately $230 million for the 2022-2024 capital investment program, including approximately $47 million for PFAS-related treatment upgrades in the Middlesex System, $32 million on the RENEW Program, which is our ongoing initiative to replace water mains in the Middlesex System, $15 million for construction of elevated storage tanks in our Tidewater and Middlesex Systems and $4 million for the rehabilitation and other improvements associated with Middlesex’s primary field operations and inventory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strategy for profitable growth is focused on the following key areas: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 in projects, products and services that complement our core water and wastewater competencies;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and adequate recovery of infrastructure investments and other costs to maintain service quality;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Prudent acquisitions of investor and municipally-owned water and wastewater utilities;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Operation of municipal and industrial water and wastewater systems on a contract basis which meet our risk profile.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segments in the tables included below consist of the following companies: Regulated-Middlesex, Tidewater, Pinelands and Southern Shores; Non-Regulated-USA, USA-PA, and White Marsh.</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250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560" w:type="dxa"/>
            <w:vAlign w:val="bottom"/>
            <w:gridSpan w:val="9"/>
          </w:tcPr>
          <w:p>
            <w:pPr>
              <w:spacing w:after="0"/>
              <w:rPr>
                <w:sz w:val="20"/>
                <w:szCs w:val="20"/>
                <w:color w:val="auto"/>
              </w:rPr>
            </w:pPr>
            <w:r>
              <w:rPr>
                <w:rFonts w:ascii="Arial" w:cs="Arial" w:eastAsia="Arial" w:hAnsi="Arial"/>
                <w:sz w:val="18"/>
                <w:szCs w:val="18"/>
                <w:b w:val="1"/>
                <w:bCs w:val="1"/>
                <w:color w:val="auto"/>
                <w:w w:val="99"/>
              </w:rPr>
              <w:t>Results of Operations – Three Months Ended September 30, 202</w:t>
            </w:r>
            <w:r>
              <w:rPr>
                <w:rFonts w:ascii="Arial" w:cs="Arial" w:eastAsia="Arial" w:hAnsi="Arial"/>
                <w:sz w:val="18"/>
                <w:szCs w:val="18"/>
                <w:color w:val="auto"/>
                <w:w w:val="99"/>
              </w:rPr>
              <w:t>2</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6"/>
          </w:tcPr>
          <w:p>
            <w:pPr>
              <w:jc w:val="right"/>
              <w:ind w:right="104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0"/>
                <w:szCs w:val="20"/>
                <w:color w:val="auto"/>
              </w:rPr>
            </w:pPr>
          </w:p>
        </w:tc>
        <w:tc>
          <w:tcPr>
            <w:tcW w:w="2900" w:type="dxa"/>
            <w:vAlign w:val="bottom"/>
            <w:gridSpan w:val="7"/>
          </w:tcPr>
          <w:p>
            <w:pPr>
              <w:ind w:left="20"/>
              <w:spacing w:after="0"/>
              <w:rPr>
                <w:sz w:val="20"/>
                <w:szCs w:val="20"/>
                <w:color w:val="auto"/>
              </w:rPr>
            </w:pPr>
            <w:r>
              <w:rPr>
                <w:rFonts w:ascii="Arial" w:cs="Arial" w:eastAsia="Arial" w:hAnsi="Arial"/>
                <w:sz w:val="18"/>
                <w:szCs w:val="18"/>
                <w:color w:val="auto"/>
                <w:w w:val="98"/>
              </w:rPr>
              <w:t>Three Months Ended September 30,</w:t>
            </w:r>
          </w:p>
        </w:tc>
        <w:tc>
          <w:tcPr>
            <w:tcW w:w="160" w:type="dxa"/>
            <w:vAlign w:val="bottom"/>
          </w:tcPr>
          <w:p>
            <w:pPr>
              <w:spacing w:after="0"/>
              <w:rPr>
                <w:sz w:val="20"/>
                <w:szCs w:val="20"/>
                <w:color w:val="auto"/>
              </w:rPr>
            </w:pPr>
          </w:p>
        </w:tc>
        <w:tc>
          <w:tcPr>
            <w:tcW w:w="106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7"/>
              </w:rPr>
              <w:t>Non-</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7"/>
              </w:rPr>
              <w:t>Non-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Regulated</w:t>
            </w:r>
          </w:p>
        </w:tc>
        <w:tc>
          <w:tcPr>
            <w:tcW w:w="16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Regulated</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Regulated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Operations and maintenance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17,935</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2,377</w:t>
            </w:r>
          </w:p>
        </w:tc>
        <w:tc>
          <w:tcPr>
            <w:tcW w:w="28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20,312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16,952</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18,950</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5,754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4,972</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3,935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15,750</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16,575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10,654</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11,424</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2,355</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2,101</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1,679</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(1,328)</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9"/>
        </w:trPr>
        <w:tc>
          <w:tcPr>
            <w:tcW w:w="2500" w:type="dxa"/>
            <w:vAlign w:val="bottom"/>
            <w:gridSpan w:val="2"/>
          </w:tcPr>
          <w:p>
            <w:pPr>
              <w:ind w:left="10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13,683</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608</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14,291</w:t>
            </w:r>
          </w:p>
        </w:tc>
        <w:tc>
          <w:tcPr>
            <w:tcW w:w="2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10,924</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552</w:t>
            </w: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11,476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Operating revenues for the three months ended September 30, 2022 increased $7.9 million from the same period in 2021 due to the following factors:</w:t>
      </w:r>
    </w:p>
    <w:p>
      <w:pPr>
        <w:spacing w:after="0" w:line="237" w:lineRule="exact"/>
        <w:rPr>
          <w:sz w:val="20"/>
          <w:szCs w:val="20"/>
          <w:color w:val="auto"/>
        </w:rPr>
      </w:pPr>
    </w:p>
    <w:p>
      <w:pPr>
        <w:ind w:left="660" w:hanging="328"/>
        <w:spacing w:after="0" w:line="274"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Middlesex System revenues increased $7.6 million due to its approved base rate increase effective January 1, 2022 and higher weather-driven customer demand (for further discussion of Middlesex’s base rate increase, see “</w:t>
      </w:r>
      <w:r>
        <w:rPr>
          <w:rFonts w:ascii="Arial" w:cs="Arial" w:eastAsia="Arial" w:hAnsi="Arial"/>
          <w:sz w:val="17"/>
          <w:szCs w:val="17"/>
          <w:i w:val="1"/>
          <w:iCs w:val="1"/>
          <w:color w:val="auto"/>
        </w:rPr>
        <w:t>Rate and Regulatory Matters-Middlesex</w:t>
      </w:r>
      <w:r>
        <w:rPr>
          <w:rFonts w:ascii="Arial" w:cs="Arial" w:eastAsia="Arial" w:hAnsi="Arial"/>
          <w:sz w:val="17"/>
          <w:szCs w:val="17"/>
          <w:color w:val="auto"/>
        </w:rPr>
        <w:t>” above);</w:t>
      </w: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Tidewater System revenues increased $0.6 million due to additional customers and higher weather-driven customer demand partially offset by a 6% rate reduction effective September 1, 2022 (for further discussion of Tidewater’s rate reduction, see “</w:t>
      </w:r>
      <w:r>
        <w:rPr>
          <w:rFonts w:ascii="Arial" w:cs="Arial" w:eastAsia="Arial" w:hAnsi="Arial"/>
          <w:sz w:val="18"/>
          <w:szCs w:val="18"/>
          <w:i w:val="1"/>
          <w:iCs w:val="1"/>
          <w:color w:val="auto"/>
        </w:rPr>
        <w:t>Rate and Regulatory Matters-Tidewater</w:t>
      </w:r>
      <w:r>
        <w:rPr>
          <w:rFonts w:ascii="Arial" w:cs="Arial" w:eastAsia="Arial" w:hAnsi="Arial"/>
          <w:sz w:val="18"/>
          <w:szCs w:val="18"/>
          <w:color w:val="auto"/>
        </w:rPr>
        <w:t>” above);</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sale of our regulated Delaware wastewater subsidiary in January 2022 reduced revenues by $0.7 million (for further discussion of the sale of our regulated Delaware wastewater subsidiary, see “</w:t>
      </w:r>
      <w:r>
        <w:rPr>
          <w:rFonts w:ascii="Arial" w:cs="Arial" w:eastAsia="Arial" w:hAnsi="Arial"/>
          <w:sz w:val="18"/>
          <w:szCs w:val="18"/>
          <w:i w:val="1"/>
          <w:iCs w:val="1"/>
          <w:color w:val="auto"/>
        </w:rPr>
        <w:t>Recent Developments-Sale of Subsidiary”</w:t>
      </w:r>
      <w:r>
        <w:rPr>
          <w:rFonts w:ascii="Arial" w:cs="Arial" w:eastAsia="Arial" w:hAnsi="Arial"/>
          <w:sz w:val="18"/>
          <w:szCs w:val="18"/>
          <w:color w:val="auto"/>
        </w:rPr>
        <w:t xml:space="preserve"> above);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Non-regulated revenues increased $0.4 million primarily due to higher supplemental contract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Operation and maintenance expenses for the three months ended September 30, 2022 increased $1.4 million from the same period in 2021 due to the following factors:</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main break activity in our Middlesex system resulted in $0.2 million of additional non-labor costs;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 costs increased $0.5 million due to wage increases;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for employee benefits increased $0.2 million due to higher health insurance premiums;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Billable supplemental contract service expenses in our non-regulated subsidiaries increased $0.3 million (see corresponding increase in operating revenues above);</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Transportation costs increased $0.1 million due to higher fuel prices;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operation and maintenance expense categories increased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expense for the three months ended September 30, 2022 increased $0.3 million from the same period in 2021 due to a higher level of utility plant in service.</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taxes for the three months ended September 30, 2022 increased $1.0 million from the same period in 2021 primarily due to higher revenue related taxes on increased revenues in our Middlesex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three months ended September 30, 2022 increased $1.0 million from the same period in 2021 due primarily to higher actuarially-determined retirement benefit plans non-service benefit and higher Allowance for Funds Used During Construction (AFUDC) resulting from a higher level of capital projects in progress.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charges for the three months ended September 30, 2022 increased $0.3 million from the same period in 2021 due to higher average long-term debt outstanding and higher average interest rates in 2022 as compared to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Income taxes for the three months ended September 30, 2022 increased by $3.0 million from the same period in 2021, primarily due to higher pre-tax income and the expiration of income tax benefits associated with the adoption of Internal Revenue Service (“IRS”) tangible property regulations as Middlesex was required by the NJBPU to account for the benefit of adopting these regulations over 48 months beginning in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income for the three months ended September 30, 2022 increase $2.8 million as compared with the same period in 2021. Basic earnings per share were $0.81 and $0.65 for the three months ended September 30, 2022 and 2021, respectively. Diluted earnings per share were $0.80 and $0.65 for the three months ended September 30, 2022 and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Nine Months Ended September 30,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6"/>
          </w:tcPr>
          <w:p>
            <w:pPr>
              <w:jc w:val="right"/>
              <w:ind w:right="104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7"/>
          </w:tcPr>
          <w:p>
            <w:pPr>
              <w:jc w:val="right"/>
              <w:ind w:right="320"/>
              <w:spacing w:after="0"/>
              <w:rPr>
                <w:sz w:val="20"/>
                <w:szCs w:val="20"/>
                <w:color w:val="auto"/>
              </w:rPr>
            </w:pPr>
            <w:r>
              <w:rPr>
                <w:rFonts w:ascii="Arial" w:cs="Arial" w:eastAsia="Arial" w:hAnsi="Arial"/>
                <w:sz w:val="18"/>
                <w:szCs w:val="18"/>
                <w:color w:val="auto"/>
                <w:w w:val="91"/>
              </w:rPr>
              <w:t>Nine Months Ended September 30,</w:t>
            </w:r>
          </w:p>
        </w:tc>
        <w:tc>
          <w:tcPr>
            <w:tcW w:w="160" w:type="dxa"/>
            <w:vAlign w:val="bottom"/>
          </w:tcPr>
          <w:p>
            <w:pPr>
              <w:spacing w:after="0"/>
              <w:rPr>
                <w:sz w:val="20"/>
                <w:szCs w:val="20"/>
                <w:color w:val="auto"/>
              </w:rPr>
            </w:pPr>
          </w:p>
        </w:tc>
        <w:tc>
          <w:tcPr>
            <w:tcW w:w="106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540"/>
              <w:spacing w:after="0" w:line="195" w:lineRule="exact"/>
              <w:rPr>
                <w:sz w:val="20"/>
                <w:szCs w:val="20"/>
                <w:color w:val="auto"/>
              </w:rPr>
            </w:pPr>
            <w:r>
              <w:rPr>
                <w:rFonts w:ascii="Arial" w:cs="Arial" w:eastAsia="Arial" w:hAnsi="Arial"/>
                <w:sz w:val="18"/>
                <w:szCs w:val="18"/>
                <w:color w:val="auto"/>
              </w:rPr>
              <w:t>Non-</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7"/>
              </w:rPr>
              <w:t>Non-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Regulated</w:t>
            </w:r>
          </w:p>
        </w:tc>
        <w:tc>
          <w:tcPr>
            <w:tcW w:w="16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Regulated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Regulated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114,625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123,611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99,781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Operations and maintenance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52,780</w:t>
            </w: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59,007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49,077</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55,265</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16,925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15,354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15,523</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Other taxes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13,359</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13,543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11,268</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Subsidiary</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5,232</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36,793</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39,186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24,082</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26,873</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5,531</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4,512</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6,575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2,253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(4,587)</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33,496</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w:t>
            </w:r>
          </w:p>
        </w:tc>
        <w:tc>
          <w:tcPr>
            <w:tcW w:w="3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35,258</w:t>
            </w:r>
          </w:p>
        </w:tc>
        <w:tc>
          <w:tcPr>
            <w:tcW w:w="26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27,271</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2,034</w:t>
            </w:r>
          </w:p>
        </w:tc>
        <w:tc>
          <w:tcPr>
            <w:tcW w:w="3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29,305</w:t>
            </w:r>
          </w:p>
        </w:tc>
        <w:tc>
          <w:tcPr>
            <w:tcW w:w="0" w:type="dxa"/>
            <w:vAlign w:val="bottom"/>
          </w:tcPr>
          <w:p>
            <w:pPr>
              <w:spacing w:after="0"/>
              <w:rPr>
                <w:sz w:val="1"/>
                <w:szCs w:val="1"/>
                <w:color w:val="auto"/>
              </w:rPr>
            </w:pPr>
          </w:p>
        </w:tc>
      </w:tr>
      <w:tr>
        <w:trPr>
          <w:trHeight w:val="554"/>
        </w:trPr>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23</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Operating revenues for the nine months ended September 30, 2022 increased $14.5 million from the same period in 2021 due to the following factors:</w:t>
      </w:r>
    </w:p>
    <w:p>
      <w:pPr>
        <w:spacing w:after="0" w:line="248" w:lineRule="exact"/>
        <w:rPr>
          <w:sz w:val="20"/>
          <w:szCs w:val="20"/>
          <w:color w:val="auto"/>
        </w:rPr>
      </w:pPr>
    </w:p>
    <w:p>
      <w:pPr>
        <w:ind w:left="660" w:hanging="328"/>
        <w:spacing w:after="0" w:line="29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Middlesex System revenues increased $15.7 million due to its approved base rate increase effective January 1, 2022 and higher weather driven demand from customers (for further discussion of Middlesex’s base rate increase, see “</w:t>
      </w:r>
      <w:r>
        <w:rPr>
          <w:rFonts w:ascii="Arial" w:cs="Arial" w:eastAsia="Arial" w:hAnsi="Arial"/>
          <w:sz w:val="16"/>
          <w:szCs w:val="16"/>
          <w:i w:val="1"/>
          <w:iCs w:val="1"/>
          <w:color w:val="auto"/>
        </w:rPr>
        <w:t>Rate and Regulatory Matters-Middlesex</w:t>
      </w:r>
      <w:r>
        <w:rPr>
          <w:rFonts w:ascii="Arial" w:cs="Arial" w:eastAsia="Arial" w:hAnsi="Arial"/>
          <w:sz w:val="16"/>
          <w:szCs w:val="16"/>
          <w:color w:val="auto"/>
        </w:rPr>
        <w:t>” above);</w:t>
      </w: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Tidewater System revenues increased $1.2 million due to additional customers and a one-time customer credit issued in the first quarter of 2021 partially offset by a 6% rate reduction effective September 1, 2022 (for further discussion of Tidewater’s rate reduction, see “</w:t>
      </w:r>
      <w:r>
        <w:rPr>
          <w:rFonts w:ascii="Arial" w:cs="Arial" w:eastAsia="Arial" w:hAnsi="Arial"/>
          <w:sz w:val="18"/>
          <w:szCs w:val="18"/>
          <w:i w:val="1"/>
          <w:iCs w:val="1"/>
          <w:color w:val="auto"/>
        </w:rPr>
        <w:t>Rate and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Matters-Tidewater</w:t>
      </w:r>
      <w:r>
        <w:rPr>
          <w:rFonts w:ascii="Arial" w:cs="Arial" w:eastAsia="Arial" w:hAnsi="Arial"/>
          <w:sz w:val="18"/>
          <w:szCs w:val="18"/>
          <w:color w:val="auto"/>
        </w:rPr>
        <w:t>” above);</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 of our regulated Delaware wastewater subsidiary in January 2022 reduced revenues by $2.0 million (for further discussion of the sale of our regulated Delaware wastewater subsidiary, see “</w:t>
      </w:r>
      <w:r>
        <w:rPr>
          <w:rFonts w:ascii="Arial" w:cs="Arial" w:eastAsia="Arial" w:hAnsi="Arial"/>
          <w:sz w:val="18"/>
          <w:szCs w:val="18"/>
          <w:i w:val="1"/>
          <w:iCs w:val="1"/>
          <w:color w:val="auto"/>
        </w:rPr>
        <w:t>Recent Developments-Sale of Subsidiary”</w:t>
      </w:r>
      <w:r>
        <w:rPr>
          <w:rFonts w:ascii="Arial" w:cs="Arial" w:eastAsia="Arial" w:hAnsi="Arial"/>
          <w:sz w:val="18"/>
          <w:szCs w:val="18"/>
          <w:color w:val="auto"/>
        </w:rPr>
        <w:t xml:space="preserve"> above); 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Non-regulated revenues decreased $0.4 million due to lower supplemental contract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nine months ended September 30, 2022 increased $3.7 million from the same period in 2021 due to the following factors:</w:t>
      </w:r>
    </w:p>
    <w:p>
      <w:pPr>
        <w:spacing w:after="0" w:line="170" w:lineRule="exact"/>
        <w:rPr>
          <w:sz w:val="20"/>
          <w:szCs w:val="20"/>
          <w:color w:val="auto"/>
        </w:rPr>
      </w:pPr>
    </w:p>
    <w:p>
      <w:pPr>
        <w:ind w:left="660" w:right="38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weather-related main break activity in our Middlesex system during the winter months resulted in $0.5 million of additional non-labor costs;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costs also increased by $1.2 million due to wage increases;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for employee benefits increased $0.9 million due to market fluctuations in the cash surrender value of life insurance policies and higher health insurance premiums;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Variable production costs increased $0.2 million primarily due to weather-driven changes in water quality and higher chemical prices;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the NJDEP PFOA customer notification process resulted in $0.2 million of additional expense (for further discussion of the NJDEP PFOA Notice, see “</w:t>
      </w:r>
      <w:r>
        <w:rPr>
          <w:rFonts w:ascii="Arial" w:cs="Arial" w:eastAsia="Arial" w:hAnsi="Arial"/>
          <w:sz w:val="18"/>
          <w:szCs w:val="18"/>
          <w:i w:val="1"/>
          <w:iCs w:val="1"/>
          <w:color w:val="auto"/>
        </w:rPr>
        <w:t>Recent Developments-Regulatory Notice of Non-Compliance</w:t>
      </w:r>
      <w:r>
        <w:rPr>
          <w:rFonts w:ascii="Arial" w:cs="Arial" w:eastAsia="Arial" w:hAnsi="Arial"/>
          <w:sz w:val="18"/>
          <w:szCs w:val="18"/>
          <w:color w:val="auto"/>
        </w:rPr>
        <w:t>” above);</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costs increased $0.2 million due to higher fuel prices;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operation and maintenance expense categories increased $0.5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for the nine months ended September 30, 2022 increased $1.6 million from the same period in 2021 due to a higher level of utility plant in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taxes for the nine months ended September 30, 2022 increased $2.1 million from the same period in 2021 primarily due to higher revenue related taxes on increased revenues in our Middlesex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Middlesex recognized a $5.2 million gain on the sale of its regulated Delaware wastewater subsidiary in January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Other Income, net for the nine months ended September 30, 2022 increased $1.1 million from the same period in 2021 primarily due to higher actuarially-determined retirement benefit plans non-service benefit partially offset by lower AFUDC resulting from a reduced level of capital projects in progress.</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charges for the nine months ended September 30, 2022 increased $0.7 million from the same period in 2021 due to higher average long-term outstanding and higher average interest rates in 2022 as compared to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taxes for the nine months ended September 30, 2022 increased by $6.8 million from the same period in 2021, primarily due to income taxes on the gain on the sale of a subsidiary, higher pre-tax operating income and the expiration of income tax benefits associated with the adoption of IRS tangible property regulations as Middlesex was required by the NJBPU to account for the benefit of adopting these regulations over 48 months beginning in 2018. Partially offsetting these increases were greater income tax benefits associated with increased repair expenditures on tangible property in the Middlesex system.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nine months ended September 30, 2022 increased $6.0 million as compared with the same period in 2021. Basic earnings per share were $2.00 and $1.67 for the nine months ended September 30, 2022 and 2021, respectively. Diluted earnings per share were $1.99 and $1.66 for the nine months ended September 30, 2022 and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operations are largely based on four factors: weather, adequate and timely rate increases, effective cost management and customer growth. The effect of those factors on net income is discussed in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2022, cash flows from operating activities increased $25.6 million to $44.2 million. The increase in cash flows from operating activities primarily resulted from higher operating revenues from Middlesex’s January 1, 2022 rate increase and the timing of payments to vendors.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2022, cash flows used in investing activities increased $1.6 million to $62.8 million. The increase in cash flows used in investing activities resulted from increased utility plant expenditures partially offset by cash received from the sale of Middlesex’s regulated wastewater subsidiary in January 2022.</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on the Company’s future capital expenditures and expected funding sources, see “</w:t>
      </w: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nine months ended September 30, 2022, cash flows from financing activities decreased $19.5 million to $18.0 million. The decrease in cash flows provided by financing activities is due to a reduction in net short-term bank borrowings and lower net customer advances and contributions partially offset by increased proceeds from the issuance of common stock under the Middlesex Water Company Investment Plan (the Investment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and 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Investment Plan and proceeds from sales offerings to the public of our common stock. See below for a more detailed discussion regarding the funding of our capital program.</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 investment program for 2022 is currently estimated to be approximately $85 million. Through September 30, 2022 we have expended $65.9 million and expect to incur approximately $19 million for capital projects for the remainder of 2022.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project that we may expend approximately $145 million for capital projects in 2023 and 2024. The actual amount and timing of capital expenditures is dependent on the need for replacement of existing infrastructure, customer growth, residential new home construction and sales, project scheduling and continued refinement of project scope and costs and, could be impacted if new variants of the COVID-19 pandemic arise and continue for an extended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 pay for our capital program for the remainder of 2022, we plan on utilizing some or all of the following:</w:t>
      </w:r>
    </w:p>
    <w:p>
      <w:pPr>
        <w:spacing w:after="0" w:line="2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Internally generated funds;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Short-term borrowings, as needed, through $140 million of lines of credit established with three financial institutions. As of September 30, 2022, there was $99.5 million of available credit under these lines (for further discussion on Company lines of credit, 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 </w:t>
      </w:r>
      <w:r>
        <w:rPr>
          <w:rFonts w:ascii="Arial" w:cs="Arial" w:eastAsia="Arial" w:hAnsi="Arial"/>
          <w:sz w:val="18"/>
          <w:szCs w:val="18"/>
          <w:i w:val="1"/>
          <w:iCs w:val="1"/>
          <w:color w:val="auto"/>
        </w:rPr>
        <w:t>Short Term</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Borrowings</w:t>
      </w:r>
      <w:r>
        <w:rPr>
          <w:rFonts w:ascii="Arial" w:cs="Arial" w:eastAsia="Arial" w:hAnsi="Arial"/>
          <w:sz w:val="18"/>
          <w:szCs w:val="18"/>
          <w:color w:val="212529"/>
        </w:rPr>
        <w: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Proceeds from the Delaware State Revolving Fund (SRF). SRF programs provide low cost financing for projects that meet certain water quality-related and system improvement criteria;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Proceeds from long-term borrowing arrangements;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Proceeds from the Investment Plan.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to fully fund the ongoing large investment program in our utility plant infrastructure and maintain a balanced capital structure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See Note 1 of the Notes to Unaudited Condensed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 and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of Market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2023 to 2059. Over the next twelve months, approximately $7.6 million of the current portion of existing long-term debt instruments will mature. Applying a hypothetical change in the rate of interest charged by 10% on those borrowings, would not have a material effect on our earnings.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risks associated with price increases for chemicals, electricity and other commodities are reduced through contractual arrangements and the ability to recover price increases through rates charged to the Company’s regulated utility customers. Non-performance by these commodity suppliers could have a material adverse impact on our results of operations, financial position and cash flows.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0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Risk is mitigated by our ability to recover retirement benefit plan costs through rates for regulated utility services charged to our customers.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updates and amends the information provided in the Company’s Annual Report on Form 10-K (the Form 10-K) for the year ended December 31, 2021 in Part I, Item 3—Legal Proceedings. Capitalized terms used but not otherwise defined herein have the meanings set forth in the Company’s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PFOA Regulatory Notice of Non-Compliance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Vera et al. v. Middlesex Water Company </w:t>
      </w:r>
      <w:r>
        <w:rPr>
          <w:rFonts w:ascii="Arial" w:cs="Arial" w:eastAsia="Arial" w:hAnsi="Arial"/>
          <w:sz w:val="18"/>
          <w:szCs w:val="18"/>
          <w:color w:val="auto"/>
        </w:rPr>
        <w:t>– On April 21, 2022, the Judge granted Vera’s Motion for Class Certification and granted in part and denied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Middlesex’s Motion to Dismiss. On May 4, 2022, the Company impleaded 3M Company (3M) as a third-party defendant in this lawsuit. The Company has taken this action in addition to a separate lawsuit the Company initiated against 3M seeking to hold 3M accountable for introduction of perfluoroalkyl substances, which include PFOA, into the Company’s water supply at its Park Avenue Wellfield facility. On July 6, 2022, the Company filed a Motion to Remove this case from New Jersey Superior Court to the United States District Court for the District of New Jersey. Vera is currently challenging Middlesex’s Motion To Remove at the U.S. District Court for the District of New Jersey in an attempt to remand the case back to the Superior Court of New Jersey.</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Lonsk et al. v. Middlesex Water Company and 3M Company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March 4, 2022, Middlesex filed a Motion to Dismiss Plaintiffs’ complaint. On April 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Plaintiffs filed an Amended Complaint. On July 7, 2022, this case was reassigned to a new trial judge at the United States District Court for the District of New Jersey. Motions To Dismiss and Answers to Plaintiffs’ Amended Complaint to be filed on rescheduling from the newly assigned judge.</w:t>
      </w:r>
    </w:p>
    <w:p>
      <w:pPr>
        <w:spacing w:after="0" w:line="1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about risk factors does not differ materially from those set forth in Part I, Item 1A. of the Company’s Annual Report on Form 10-K for the year ended December 31, 2021.</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33"/>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5"/>
          </w:tcPr>
          <w:p>
            <w:pPr>
              <w:spacing w:after="0"/>
              <w:rPr>
                <w:sz w:val="20"/>
                <w:szCs w:val="20"/>
                <w:color w:val="auto"/>
              </w:rPr>
            </w:pPr>
            <w:r>
              <w:rPr>
                <w:rFonts w:ascii="Arial" w:cs="Arial" w:eastAsia="Arial" w:hAnsi="Arial"/>
                <w:sz w:val="18"/>
                <w:szCs w:val="18"/>
                <w:b w:val="1"/>
                <w:bCs w:val="1"/>
                <w:color w:val="auto"/>
              </w:rPr>
              <w:t>Exhibits</w:t>
            </w:r>
          </w:p>
        </w:tc>
      </w:tr>
      <w:tr>
        <w:trPr>
          <w:trHeight w:val="607"/>
        </w:trPr>
        <w:tc>
          <w:tcPr>
            <w:tcW w:w="320" w:type="dxa"/>
            <w:vAlign w:val="bottom"/>
          </w:tcPr>
          <w:p>
            <w:pPr>
              <w:spacing w:after="0"/>
              <w:rPr>
                <w:sz w:val="20"/>
                <w:szCs w:val="20"/>
                <w:color w:val="auto"/>
              </w:rPr>
            </w:pPr>
            <w:r>
              <w:rPr>
                <w:rFonts w:ascii="Arial" w:cs="Arial" w:eastAsia="Arial" w:hAnsi="Arial"/>
                <w:sz w:val="18"/>
                <w:szCs w:val="18"/>
                <w:color w:val="auto"/>
                <w:w w:val="85"/>
              </w:rPr>
              <w:t>31.1</w:t>
            </w:r>
          </w:p>
        </w:tc>
        <w:tc>
          <w:tcPr>
            <w:tcW w:w="640" w:type="dxa"/>
            <w:vAlign w:val="bottom"/>
          </w:tcPr>
          <w:p>
            <w:pPr>
              <w:spacing w:after="0"/>
              <w:rPr>
                <w:sz w:val="24"/>
                <w:szCs w:val="24"/>
                <w:color w:val="auto"/>
              </w:rPr>
            </w:pPr>
          </w:p>
        </w:tc>
        <w:tc>
          <w:tcPr>
            <w:tcW w:w="10280" w:type="dxa"/>
            <w:vAlign w:val="bottom"/>
            <w:gridSpan w:val="5"/>
          </w:tcPr>
          <w:p>
            <w:pPr>
              <w:spacing w:after="0"/>
              <w:rPr>
                <w:sz w:val="20"/>
                <w:szCs w:val="20"/>
                <w:color w:val="auto"/>
              </w:rPr>
            </w:pPr>
            <w:r>
              <w:rPr>
                <w:rFonts w:ascii="Arial" w:cs="Arial" w:eastAsia="Arial" w:hAnsi="Arial"/>
                <w:sz w:val="18"/>
                <w:szCs w:val="18"/>
                <w:color w:val="0000EE"/>
              </w:rPr>
              <w:t>Section 302 Certification by Dennis W. Doll pursuant to Rules 13a-14 and 15d-14 of the Securities Exchange Act of 1934.</w:t>
            </w: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31.2</w:t>
            </w:r>
          </w:p>
        </w:tc>
        <w:tc>
          <w:tcPr>
            <w:tcW w:w="640" w:type="dxa"/>
            <w:vAlign w:val="bottom"/>
          </w:tcPr>
          <w:p>
            <w:pPr>
              <w:spacing w:after="0"/>
              <w:rPr>
                <w:sz w:val="24"/>
                <w:szCs w:val="24"/>
                <w:color w:val="auto"/>
              </w:rPr>
            </w:pPr>
          </w:p>
        </w:tc>
        <w:tc>
          <w:tcPr>
            <w:tcW w:w="91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Section 302 Certification by A. Bruce O’Connor pursuant to Rules 13a-14 and 15d-14 of the Securities Exchange Act of 1934.</w:t>
            </w:r>
          </w:p>
        </w:tc>
        <w:tc>
          <w:tcPr>
            <w:tcW w:w="1140" w:type="dxa"/>
            <w:vAlign w:val="bottom"/>
          </w:tcPr>
          <w:p>
            <w:pPr>
              <w:spacing w:after="0"/>
              <w:rPr>
                <w:sz w:val="24"/>
                <w:szCs w:val="24"/>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32.1</w:t>
            </w:r>
          </w:p>
        </w:tc>
        <w:tc>
          <w:tcPr>
            <w:tcW w:w="640" w:type="dxa"/>
            <w:vAlign w:val="bottom"/>
          </w:tcPr>
          <w:p>
            <w:pPr>
              <w:spacing w:after="0"/>
              <w:rPr>
                <w:sz w:val="24"/>
                <w:szCs w:val="24"/>
                <w:color w:val="auto"/>
              </w:rPr>
            </w:pPr>
          </w:p>
        </w:tc>
        <w:tc>
          <w:tcPr>
            <w:tcW w:w="102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Section 906 Certification by Dennis W. Doll pursuant to 18 U.S.C. §1350, as adopted pursuant to Section 302 of the Sarbanes-Oxley Act of</w:t>
            </w: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2002.</w:t>
            </w:r>
          </w:p>
        </w:tc>
        <w:tc>
          <w:tcPr>
            <w:tcW w:w="18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32.2</w:t>
            </w:r>
          </w:p>
        </w:tc>
        <w:tc>
          <w:tcPr>
            <w:tcW w:w="640" w:type="dxa"/>
            <w:vAlign w:val="bottom"/>
          </w:tcPr>
          <w:p>
            <w:pPr>
              <w:spacing w:after="0"/>
              <w:rPr>
                <w:sz w:val="24"/>
                <w:szCs w:val="24"/>
                <w:color w:val="auto"/>
              </w:rPr>
            </w:pPr>
          </w:p>
        </w:tc>
        <w:tc>
          <w:tcPr>
            <w:tcW w:w="102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Section 906 Certification by A. Bruce O’Connor pursuant to 18 U.S.C. §1350, as adopted pursuant to Section 302 of the Sarbanes-Oxley Act</w:t>
            </w: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80" w:type="dxa"/>
            <w:vAlign w:val="bottom"/>
            <w:gridSpan w:val="5"/>
          </w:tcPr>
          <w:p>
            <w:pPr>
              <w:spacing w:after="0" w:line="196" w:lineRule="exact"/>
              <w:rPr>
                <w:sz w:val="20"/>
                <w:szCs w:val="20"/>
                <w:color w:val="auto"/>
              </w:rPr>
            </w:pPr>
            <w:r>
              <w:rPr>
                <w:rFonts w:ascii="Arial" w:cs="Arial" w:eastAsia="Arial" w:hAnsi="Arial"/>
                <w:sz w:val="18"/>
                <w:szCs w:val="18"/>
                <w:color w:val="0000EE"/>
              </w:rPr>
              <w:t>of 2002.</w:t>
            </w:r>
          </w:p>
        </w:tc>
      </w:tr>
      <w:tr>
        <w:trPr>
          <w:trHeight w:val="20"/>
        </w:trPr>
        <w:tc>
          <w:tcPr>
            <w:tcW w:w="9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680" w:type="dxa"/>
            <w:vAlign w:val="bottom"/>
            <w:gridSpan w:val="3"/>
          </w:tcPr>
          <w:p>
            <w:pPr>
              <w:spacing w:after="0" w:line="20" w:lineRule="exact"/>
              <w:rPr>
                <w:sz w:val="1"/>
                <w:szCs w:val="1"/>
                <w:color w:val="auto"/>
              </w:rPr>
            </w:pPr>
          </w:p>
        </w:tc>
      </w:tr>
      <w:tr>
        <w:trPr>
          <w:trHeight w:val="453"/>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Schema Document</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202" w:lineRule="exact"/>
        <w:rPr>
          <w:sz w:val="20"/>
          <w:szCs w:val="20"/>
          <w:color w:val="auto"/>
        </w:rPr>
      </w:pPr>
    </w:p>
    <w:p>
      <w:pPr>
        <w:ind w:left="1140" w:right="240" w:hanging="113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31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MIDDLESEX WATER COMPANY</w:t>
      </w:r>
    </w:p>
    <w:p>
      <w:pPr>
        <w:spacing w:after="0" w:line="225"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tab/>
        <w:t>/s/A.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-10160</wp:posOffset>
            </wp:positionV>
            <wp:extent cx="16408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Senior Vice President, Treasurer and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October 28, 2022</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229" w:right="6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Dennis W. Doll, certify that:</w:t>
      </w:r>
    </w:p>
    <w:p>
      <w:pPr>
        <w:spacing w:after="0" w:line="225" w:lineRule="exact"/>
        <w:rPr>
          <w:sz w:val="20"/>
          <w:szCs w:val="20"/>
          <w:color w:val="auto"/>
        </w:rPr>
      </w:pPr>
    </w:p>
    <w:p>
      <w:pPr>
        <w:ind w:left="328" w:hanging="328"/>
        <w:spacing w:after="0"/>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225"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68" w:hanging="320"/>
        <w:spacing w:after="0" w:line="342" w:lineRule="auto"/>
        <w:tabs>
          <w:tab w:leader="none" w:pos="968"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68" w:hanging="320"/>
        <w:spacing w:after="0" w:line="263"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968" w:hanging="320"/>
        <w:spacing w:after="0" w:line="308" w:lineRule="auto"/>
        <w:tabs>
          <w:tab w:leader="none" w:pos="968"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right"/>
        <w:ind w:right="4560"/>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3187065</wp:posOffset>
            </wp:positionH>
            <wp:positionV relativeFrom="paragraph">
              <wp:posOffset>-10160</wp:posOffset>
            </wp:positionV>
            <wp:extent cx="9893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3" w:lineRule="exact"/>
        <w:rPr>
          <w:sz w:val="20"/>
          <w:szCs w:val="20"/>
          <w:color w:val="auto"/>
        </w:rPr>
      </w:pPr>
    </w:p>
    <w:p>
      <w:pPr>
        <w:jc w:val="right"/>
        <w:ind w:right="4560"/>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ind w:left="4928"/>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237490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A. Bruce O’Connor, certify that:</w:t>
      </w:r>
    </w:p>
    <w:p>
      <w:pPr>
        <w:spacing w:after="0" w:line="225" w:lineRule="exact"/>
        <w:rPr>
          <w:sz w:val="20"/>
          <w:szCs w:val="20"/>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225"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83"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68" w:hanging="320"/>
        <w:spacing w:after="0" w:line="342" w:lineRule="auto"/>
        <w:tabs>
          <w:tab w:leader="none" w:pos="968"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68" w:hanging="320"/>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968" w:hanging="320"/>
        <w:spacing w:after="0" w:line="308" w:lineRule="auto"/>
        <w:tabs>
          <w:tab w:leader="none" w:pos="968"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728"/>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-10160</wp:posOffset>
            </wp:positionV>
            <wp:extent cx="12122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3" w:lineRule="exact"/>
        <w:rPr>
          <w:sz w:val="20"/>
          <w:szCs w:val="20"/>
          <w:color w:val="auto"/>
        </w:rPr>
      </w:pPr>
    </w:p>
    <w:p>
      <w:pPr>
        <w:ind w:left="4988"/>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ind w:left="4848"/>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28"/>
        <w:spacing w:after="0"/>
        <w:rPr>
          <w:sz w:val="20"/>
          <w:szCs w:val="20"/>
          <w:color w:val="auto"/>
        </w:rPr>
      </w:pPr>
      <w:r>
        <w:rPr>
          <w:rFonts w:ascii="Arial" w:cs="Arial" w:eastAsia="Arial" w:hAnsi="Arial"/>
          <w:sz w:val="18"/>
          <w:szCs w:val="18"/>
          <w:color w:val="auto"/>
        </w:rPr>
        <w:t>Date: 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237490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-10160</wp:posOffset>
            </wp:positionV>
            <wp:extent cx="9893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760"/>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-10160</wp:posOffset>
            </wp:positionV>
            <wp:extent cx="12122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3" w:lineRule="exact"/>
        <w:rPr>
          <w:sz w:val="20"/>
          <w:szCs w:val="20"/>
          <w:color w:val="auto"/>
        </w:rPr>
      </w:pPr>
    </w:p>
    <w:p>
      <w:pPr>
        <w:jc w:val="right"/>
        <w:ind w:right="474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04"/>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2022-10-28T15:32:43Z</dcterms:created>
  <dcterms:modified xsi:type="dcterms:W3CDTF">2022-10-28T15:32:43Z</dcterms:modified>
</cp:coreProperties>
</file>