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255905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March 31, 2021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56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22"/>
        </w:trPr>
        <w:tc>
          <w:tcPr>
            <w:tcW w:w="2700" w:type="dxa"/>
            <w:vAlign w:val="bottom"/>
            <w:tcBorders>
              <w:bottom w:val="single" w:sz="8" w:color="auto"/>
            </w:tcBorders>
          </w:tcPr>
          <w:p>
            <w:pPr>
              <w:spacing w:after="0"/>
              <w:rPr>
                <w:sz w:val="10"/>
                <w:szCs w:val="10"/>
                <w:color w:val="auto"/>
              </w:rPr>
            </w:pPr>
          </w:p>
        </w:tc>
        <w:tc>
          <w:tcPr>
            <w:tcW w:w="540" w:type="dxa"/>
            <w:vAlign w:val="bottom"/>
            <w:vMerge w:val="restart"/>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60" w:type="dxa"/>
            <w:vAlign w:val="bottom"/>
            <w:vMerge w:val="restart"/>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40" w:type="dxa"/>
            <w:vAlign w:val="bottom"/>
            <w:vMerge w:val="continue"/>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6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tabs>
          <w:tab w:leader="none" w:pos="5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April 30, 2021: Common Stock, No Par Value: 17,478,462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00" w:type="dxa"/>
            <w:vAlign w:val="bottom"/>
            <w:gridSpan w:val="10"/>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Common Stockholders’ Equity</w:t>
              </w:r>
            </w:hyperlink>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Unaudited Condensed Consolidated Financial Statements</w:t>
              </w:r>
            </w:hyperlink>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of Market Risk</w:t>
              </w:r>
            </w:hyperlink>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604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Defaults upon Senior Securities</w:t>
              </w:r>
            </w:hyperlink>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Mine Safety Disclosures</w:t>
              </w:r>
            </w:hyperlink>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060" w:type="dxa"/>
            <w:vAlign w:val="bottom"/>
            <w:gridSpan w:val="2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180" w:type="dxa"/>
            <w:vAlign w:val="bottom"/>
            <w:tcBorders>
              <w:bottom w:val="single" w:sz="8" w:color="EEEEEE"/>
            </w:tcBorders>
          </w:tcPr>
          <w:p>
            <w:pPr>
              <w:spacing w:after="0"/>
              <w:rPr>
                <w:sz w:val="22"/>
                <w:szCs w:val="22"/>
                <w:color w:val="auto"/>
              </w:rPr>
            </w:pPr>
          </w:p>
        </w:tc>
        <w:tc>
          <w:tcPr>
            <w:tcW w:w="98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140" w:type="dxa"/>
            <w:vAlign w:val="bottom"/>
            <w:tcBorders>
              <w:top w:val="single" w:sz="8" w:color="0000EE"/>
              <w:bottom w:val="single" w:sz="8" w:color="EEEEEE"/>
            </w:tcBorders>
          </w:tcPr>
          <w:p>
            <w:pPr>
              <w:spacing w:after="0"/>
              <w:rPr>
                <w:sz w:val="22"/>
                <w:szCs w:val="22"/>
                <w:color w:val="auto"/>
              </w:rPr>
            </w:pPr>
          </w:p>
        </w:tc>
        <w:tc>
          <w:tcPr>
            <w:tcW w:w="4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4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640" w:type="dxa"/>
            <w:vAlign w:val="bottom"/>
            <w:tcBorders>
              <w:bottom w:val="single" w:sz="8" w:color="EEEEEE"/>
            </w:tcBorders>
          </w:tcPr>
          <w:p>
            <w:pPr>
              <w:spacing w:after="0"/>
              <w:rPr>
                <w:sz w:val="22"/>
                <w:szCs w:val="22"/>
                <w:color w:val="auto"/>
              </w:rPr>
            </w:pPr>
          </w:p>
        </w:tc>
        <w:tc>
          <w:tcPr>
            <w:tcW w:w="1620" w:type="dxa"/>
            <w:vAlign w:val="bottom"/>
            <w:tcBorders>
              <w:bottom w:val="single" w:sz="8" w:color="EEEEEE"/>
            </w:tcBorders>
          </w:tcPr>
          <w:p>
            <w:pPr>
              <w:spacing w:after="0"/>
              <w:rPr>
                <w:sz w:val="22"/>
                <w:szCs w:val="22"/>
                <w:color w:val="auto"/>
              </w:rPr>
            </w:pPr>
          </w:p>
        </w:tc>
        <w:tc>
          <w:tcPr>
            <w:tcW w:w="380" w:type="dxa"/>
            <w:vAlign w:val="bottom"/>
            <w:tcBorders>
              <w:bottom w:val="single" w:sz="8" w:color="EEEEEE"/>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5100" w:type="dxa"/>
            <w:vAlign w:val="bottom"/>
          </w:tcPr>
          <w:p>
            <w:pPr>
              <w:jc w:val="center"/>
              <w:ind w:right="1490"/>
              <w:spacing w:after="0"/>
              <w:rPr>
                <w:sz w:val="20"/>
                <w:szCs w:val="20"/>
                <w:color w:val="auto"/>
              </w:rPr>
            </w:pPr>
            <w:r>
              <w:rPr>
                <w:rFonts w:ascii="Arial" w:cs="Arial" w:eastAsia="Arial" w:hAnsi="Arial"/>
                <w:sz w:val="18"/>
                <w:szCs w:val="18"/>
                <w:b w:val="1"/>
                <w:bCs w:val="1"/>
                <w:color w:val="auto"/>
              </w:rPr>
              <w:t>MIDDLESEX WATER COMPANY</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64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(Unaudited)</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100" w:type="dxa"/>
            <w:vAlign w:val="bottom"/>
          </w:tcPr>
          <w:p>
            <w:pPr>
              <w:jc w:val="center"/>
              <w:ind w:right="149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1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7"/>
              </w:rPr>
              <w:t>32,541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31,769</w:t>
            </w: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5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18,356</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17,192</w:t>
            </w: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4,832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3,719</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3,602</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26,907</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25,242</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5,634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6,527</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775</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net</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2,038</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1,738</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1,669</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5,934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6,366</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w:t>
            </w: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6,907</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7,668</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5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5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6,877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7,638</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10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100" w:type="dxa"/>
            <w:vAlign w:val="bottom"/>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0.39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0.44</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7"/>
              </w:rPr>
              <w:t>17,476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17,437</w:t>
            </w:r>
          </w:p>
        </w:tc>
      </w:tr>
      <w:tr>
        <w:trPr>
          <w:trHeight w:val="23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17,591</w:t>
            </w:r>
          </w:p>
        </w:tc>
        <w:tc>
          <w:tcPr>
            <w:tcW w:w="4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17,552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380" w:type="dxa"/>
            <w:vAlign w:val="bottom"/>
          </w:tcPr>
          <w:p>
            <w:pPr>
              <w:jc w:val="center"/>
              <w:ind w:left="130"/>
              <w:spacing w:after="0"/>
              <w:rPr>
                <w:sz w:val="20"/>
                <w:szCs w:val="20"/>
                <w:color w:val="auto"/>
              </w:rPr>
            </w:pPr>
            <w:r>
              <w:rPr>
                <w:rFonts w:ascii="Arial" w:cs="Arial" w:eastAsia="Arial" w:hAnsi="Arial"/>
                <w:sz w:val="18"/>
                <w:szCs w:val="18"/>
                <w:b w:val="1"/>
                <w:bCs w:val="1"/>
                <w:color w:val="auto"/>
              </w:rPr>
              <w:t>MIDDLESEX WATER COMPANY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168,080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654,667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648,763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85,990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85,056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89,717</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80,055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1,003,749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981,954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188,565</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185,356</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815,184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796,598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4,046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380" w:type="dxa"/>
            <w:vAlign w:val="bottom"/>
          </w:tcPr>
          <w:p>
            <w:pPr>
              <w:ind w:left="14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$2,183</w:t>
            </w:r>
          </w:p>
        </w:tc>
        <w:tc>
          <w:tcPr>
            <w:tcW w:w="320" w:type="dxa"/>
            <w:vAlign w:val="bottom"/>
          </w:tcPr>
          <w:p>
            <w:pPr>
              <w:spacing w:after="0"/>
              <w:rPr>
                <w:sz w:val="17"/>
                <w:szCs w:val="17"/>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12,709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and $2,053, respectively</w:t>
            </w: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7,210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5,193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2,222</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31,380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34,123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38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5,030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5,923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117,204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118,144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11,253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139,646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145,749</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986,210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538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217,976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217,451</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130,872</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348,848</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272,664</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273,244</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623,596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621,536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38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13,000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24,414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14,025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1,237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3,656</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65,801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56,848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880" w:type="dxa"/>
            <w:vAlign w:val="bottom"/>
            <w:tcBorders>
              <w:bottom w:val="single" w:sz="8" w:color="auto"/>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538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23,290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4,872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61,474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33,672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58,565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60,792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1,163</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TOTAL OTHER LIABILITIES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183,036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186,096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880" w:type="dxa"/>
            <w:vAlign w:val="bottom"/>
            <w:tcBorders>
              <w:bottom w:val="single" w:sz="8" w:color="auto"/>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113,777</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111,990</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986,210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4"/>
        </w:trPr>
        <w:tc>
          <w:tcPr>
            <w:tcW w:w="7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6,907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7,668</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6,296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5,108</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(2,359</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(145</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&amp; Supplies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664</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(6,029</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3,887</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(1,306</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16"/>
        </w:trPr>
        <w:tc>
          <w:tcPr>
            <w:tcW w:w="7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9,442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16,138</w:t>
            </w: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$531 in 2021, $429 in 2020</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(22,033</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(25,147)</w:t>
            </w:r>
          </w:p>
        </w:tc>
      </w:tr>
      <w:tr>
        <w:trPr>
          <w:trHeight w:val="216"/>
        </w:trPr>
        <w:tc>
          <w:tcPr>
            <w:tcW w:w="7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(22,033</w:t>
            </w: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(1,324</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5,398</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11,000</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13,500</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(4,762</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(4,468)</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505</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2,489</w:t>
            </w:r>
          </w:p>
        </w:tc>
      </w:tr>
      <w:tr>
        <w:trPr>
          <w:trHeight w:val="216"/>
        </w:trPr>
        <w:tc>
          <w:tcPr>
            <w:tcW w:w="7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6,396</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15,811</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(6,195</w:t>
            </w: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09"/>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10,404</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46,499</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4,209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53,301</w:t>
            </w:r>
          </w:p>
        </w:tc>
      </w:tr>
      <w:tr>
        <w:trPr>
          <w:trHeight w:val="210"/>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r>
      <w:tr>
        <w:trPr>
          <w:trHeight w:val="216"/>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3,022</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531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16"/>
        </w:trPr>
        <w:tc>
          <w:tcPr>
            <w:tcW w:w="7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- 2021 - 17,478; 2020 - 17,473</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217,976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217,451</w:t>
            </w:r>
          </w:p>
        </w:tc>
      </w:tr>
      <w:tr>
        <w:trPr>
          <w:trHeight w:val="216"/>
        </w:trPr>
        <w:tc>
          <w:tcPr>
            <w:tcW w:w="6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130,872</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r>
      <w:tr>
        <w:trPr>
          <w:trHeight w:val="209"/>
        </w:trPr>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348,848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r>
      <w:tr>
        <w:trPr>
          <w:trHeight w:val="209"/>
        </w:trPr>
        <w:tc>
          <w:tcPr>
            <w:tcW w:w="64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Shares Outstanding - 20</w:t>
            </w: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20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4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Long-term Debt:</w:t>
            </w: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8.05%, Amortizing Secured Note, due December 20, 2021</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336</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6.25%, Amortizing Secured Note, due May 19, 2028</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3,010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3,115</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6.44%, Amortizing Secured Note, due August 25, 2030</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2,707</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6.46%, Amortizing Secured Note, due September 19, 2031</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2,917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2,987</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4.22%, State Revolving Trust Note, due December 31, 2022</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3.60%, State Revolving Trust Note, due May 1, 2025</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1,170</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State Revolving Trust Note, due March 1, 2026</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3.49%, State Revolving Trust Note, due January 25, 2027</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286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307</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4.03%, State Revolving Trust Note, due December 1, 2026</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0.00%, State Revolving Fund Bond, due August 1, 2021</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3.64%, State Revolving Trust Note, due July 1, 2028</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3.64%, State Revolving Trust Note, due January 1, 2028</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3.45%, State Revolving Trust Note, due August 1, 2031</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793</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6.59%, Amortizing Secured Note, due April 20, 2029</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2,819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2,907</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7.05%, Amortizing Secured Note, due January 20, 2030</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2,271</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5.69%, Amortizing Secured Note, due January 20, 2030</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4,530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4,658</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4.45%, Amortizing Secured Note, due April 20, 2040</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8,397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8,506</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4.47%, Amortizing Secured Note, due April 20, 2040</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3,116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3,156</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 State Revolving Trust Note, due July 1, 2031</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1,699</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2.00%, State Revolving Trust Note, due February 1, 2036</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934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961</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 State Revolving Trust Note, due November 1, 2038</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1,543</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3.75%, State Revolving Trust Note, due November 30, 2030</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883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883</w:t>
            </w: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 Construction Loans</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51,223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50,536</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First Mortgage Bonds:</w:t>
            </w: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BB, due August 1, 2021</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4.00% to 5.00%, Series CC, due August 1, 2021</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164</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EE, due August 1, 2023</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1,036</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3.00% to 5.50%, Series FF, due August 1, 2024</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1,870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1,870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GG, due August 1, 2026</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4.00% to 5.00%, Series HH, due August 1, 2026</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620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620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II, due August 1, 2024</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338</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3.40% to 5.00%, Series JJ, due August 1, 2027</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KK, due August 1, 2028</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719</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5.00% to 5.50%, Series LL, due August 1, 2028</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846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846</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MM, due August 1, 2030</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937</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3.00% to 4.375%, Series NN, due August 1, 2030</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1,105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1,105</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OO, due August 1, 2031</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1,656</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2.00% to 5.00%, Series PP, due August 1, 2031</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Series QQ, due October 1, 2023</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9,915</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3.80%, Series RR, due October 1, 2038</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22,500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4.25%, Series SS, due October 1, 2047</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23,000</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0.00%, Series TT, due August 1, 2032</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1,806</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3.25%, Series UU, due August 1, 2032</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705</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0.00%, Series VV, due August 1, 2033</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1,813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1,861</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5.00%, Series WW, due August 1, 2033</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715</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0.00%, Series XX, due August 1, 2047</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10,121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10,247</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5.00%, Series YY, due August 1, 2047</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3,710</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0.00%, Series 2018A, due August 1, 2047</w:t>
            </w:r>
          </w:p>
        </w:tc>
        <w:tc>
          <w:tcPr>
            <w:tcW w:w="20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6,167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6,246</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3.00%-5.00%, Series 2018B, due August 1, 2047</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2,211</w:t>
            </w:r>
          </w:p>
        </w:tc>
      </w:tr>
    </w:tbl>
    <w:p>
      <w:pPr>
        <w:sectPr>
          <w:pgSz w:w="11900" w:h="16838"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6220" w:type="dxa"/>
            <w:vAlign w:val="bottom"/>
          </w:tcPr>
          <w:p>
            <w:pPr>
              <w:ind w:left="360"/>
              <w:spacing w:after="0"/>
              <w:rPr>
                <w:sz w:val="20"/>
                <w:szCs w:val="20"/>
                <w:color w:val="auto"/>
              </w:rPr>
            </w:pPr>
            <w:r>
              <w:rPr>
                <w:rFonts w:ascii="Arial" w:cs="Arial" w:eastAsia="Arial" w:hAnsi="Arial"/>
                <w:sz w:val="18"/>
                <w:szCs w:val="18"/>
                <w:color w:val="auto"/>
              </w:rPr>
              <w:t>4.00%, Series 2019A, due August 1, 2059</w:t>
            </w:r>
          </w:p>
        </w:tc>
        <w:tc>
          <w:tcPr>
            <w:tcW w:w="2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32,500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32,500</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Series 2019B, due August 1, 2059</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21,200</w:t>
            </w:r>
          </w:p>
        </w:tc>
      </w:tr>
      <w:tr>
        <w:trPr>
          <w:trHeight w:val="216"/>
        </w:trPr>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2.90%, Series 2020A, due November 18, 2050</w:t>
            </w: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40,000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40,000</w:t>
            </w:r>
          </w:p>
        </w:tc>
      </w:tr>
      <w:tr>
        <w:trPr>
          <w:trHeight w:val="209"/>
        </w:trPr>
        <w:tc>
          <w:tcPr>
            <w:tcW w:w="6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276,605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277,241</w:t>
            </w: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7,569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7,669</w:t>
            </w: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(4,351</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(4,411)</w:t>
            </w:r>
          </w:p>
        </w:tc>
      </w:tr>
      <w:tr>
        <w:trPr>
          <w:trHeight w:val="216"/>
        </w:trPr>
        <w:tc>
          <w:tcPr>
            <w:tcW w:w="62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(7,159</w:t>
            </w: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(7,255)</w:t>
            </w:r>
          </w:p>
        </w:tc>
      </w:tr>
      <w:tr>
        <w:trPr>
          <w:trHeight w:val="209"/>
        </w:trPr>
        <w:tc>
          <w:tcPr>
            <w:tcW w:w="6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272,664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273,244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Retained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Earnings</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108,667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7,668</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7,668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17,439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215,600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111,800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327,400</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January 1, 2021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128,757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6,907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17,478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217,976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130,872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348,848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notes within the 2020 Annual Report on Form 10-K (the 2020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2021 and the results of operations and cash flows for the three month periods ended March 31, 2021 and 2020. Information included in the Condensed Consolidated Balance Sheet as of December 31, 2020, has been derived from the Company’s December 31, 2020 audited financial statements included in the 2020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Loan Agreement - </w:t>
      </w:r>
      <w:r>
        <w:rPr>
          <w:rFonts w:ascii="Arial" w:cs="Arial" w:eastAsia="Arial" w:hAnsi="Arial"/>
          <w:sz w:val="17"/>
          <w:szCs w:val="17"/>
          <w:color w:val="auto"/>
        </w:rPr>
        <w:t>In March 2021, Tidewater entered into a $20 million loan agreement with CoBank, ACB (CoBank). Tidewater has the option to borrow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minimum increments of $0.1 million through September 29, 2021. The interest rate will be set on the date of the applicable borrowing and the term of any borrowing cannot exceed twenty-five years. Proceeds from the loan will first be used to pay off balances under the Company’s lines of credit (see Note 6 – </w:t>
      </w:r>
      <w:r>
        <w:rPr>
          <w:rFonts w:ascii="Arial" w:cs="Arial" w:eastAsia="Arial" w:hAnsi="Arial"/>
          <w:sz w:val="17"/>
          <w:szCs w:val="17"/>
          <w:i w:val="1"/>
          <w:iCs w:val="1"/>
          <w:color w:val="auto"/>
        </w:rPr>
        <w:t>Short Term Borrowings</w:t>
      </w:r>
      <w:r>
        <w:rPr>
          <w:rFonts w:ascii="Arial" w:cs="Arial" w:eastAsia="Arial" w:hAnsi="Arial"/>
          <w:sz w:val="17"/>
          <w:szCs w:val="17"/>
          <w:color w:val="auto"/>
        </w:rPr>
        <w:t>), with remaining proceeds used to finance a portion of Tidewater’s 2021 capital program.</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Middlesex Financing Petition – </w:t>
      </w:r>
      <w:r>
        <w:rPr>
          <w:rFonts w:ascii="Arial" w:cs="Arial" w:eastAsia="Arial" w:hAnsi="Arial"/>
          <w:sz w:val="17"/>
          <w:szCs w:val="17"/>
          <w:color w:val="auto"/>
        </w:rPr>
        <w:t>In February 2021, Middlesex requested approval from the New Jersey Board of Public Utilities (NJBPU) to redeem up to</w:t>
      </w:r>
      <w:r>
        <w:rPr>
          <w:rFonts w:ascii="Arial" w:cs="Arial" w:eastAsia="Arial" w:hAnsi="Arial"/>
          <w:sz w:val="17"/>
          <w:szCs w:val="17"/>
          <w:b w:val="1"/>
          <w:bCs w:val="1"/>
          <w:color w:val="auto"/>
        </w:rPr>
        <w:t xml:space="preserve"> </w:t>
      </w:r>
      <w:r>
        <w:rPr>
          <w:rFonts w:ascii="Arial" w:cs="Arial" w:eastAsia="Arial" w:hAnsi="Arial"/>
          <w:sz w:val="17"/>
          <w:szCs w:val="17"/>
          <w:color w:val="auto"/>
        </w:rPr>
        <w:t>$45.5 million of outstanding first mortgage bonds and issue replacement first mortgage bonds at a lower rate of interest. We cannot predict whether the NJBPU will ultimately approve or deny this request, for which a decision is expected in the second quarter of 2021.</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Novel Coronavirus (COVID-19) </w:t>
      </w:r>
      <w:r>
        <w:rPr>
          <w:rFonts w:ascii="Arial" w:cs="Arial" w:eastAsia="Arial" w:hAnsi="Arial"/>
          <w:sz w:val="17"/>
          <w:szCs w:val="17"/>
          <w:color w:val="auto"/>
        </w:rPr>
        <w:t>– In March 2020, the United States declared the COVID-19 pandemic a national emergency, which remains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and Delaware, where our operations are located, the Governors have been relaxing many of the elements of their respective declared State of Emergency Orders (SEOs) and requirements as more of the citizenry is inoculated for the virus.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Delaware Public Service Commission (DEPSC) have approved the tracking of COVID-19 related incremental costs for potential recovery in customer rates in future rate proceedings. Neither jurisdiction has established a timetable or definitive formal procedures for seeking cost recovery. Since the issuance of the SEOs,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March 2021, the NJBPU approved Middlesex’s petition to reset its Purchased Water Adjustment Clause (PWAC) tariff rate to recover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costs of $1.1 million for the purchase of treated water from a non-affiliated regulated water utility. The new PWAC rate became effective April 4, 2021. A PWAC is a rate mechanism that allows for recovery of increased purchased water costs between base rate case filings. It is reset to zero once those increased costs are included in base rates.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2021, Tidewater increased its DEPSC-approved Distribution System Improvement Charge (DSIC) rate,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generate revenues of approximately $0.6 million annually. A DSIC is a rate-mechanism that allows water utilities to recover investments in, and generate a return on, qualifying capital improvements made between base rate proceedings.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Tidewater was notified by the DEPSC that it had determined Tidewater’s earned rate of return exceeded the rate of return authorized by the DEPSC. Consequently, Tidewater reset its DSIC rate to zero effective April 1, 2021 and is refunding customers, with interest, in the form of an account credit for DSIC revenue billed between April 1, 2020 and March 31, 2021. Accordingly, in March 2021, Tidewater recorded a $0.8 million reserve, net of tax, for such refunds. Tidewater expects to apply the account credits in the second quarter of 2021.</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Twin Lakes filed a petition requesting the Pennsylvania Public Utilities Commission (PAPUC) to order the acquisition of Twin Lakes by a public utility pursuant to Section 529 of the Pennsylvania Public Utility Code. The PAPUC assigned an Administrative Law Judge (ALJ) to adjudicate the matter and submit a recommended decision (Recommended Decision) to the PAPUC. On April 22, 2021, the ALJ issued a Recommended Decision concluding Twin Lakes has fully met the criteria for the PAPUC to order the acquisition of Twin Lakes by a public utility pursuant to Section 529. The ALJ, however, recommended that the PAPUC condition the acquisition of Twin Lakes pursuant to Section 529 upon Twin Lakes’ parent, Middlesex, contributing $1.7 million to an escrow account for the purpose of offsetting future capital expenditures assumed by the ALJ to be incurred by the ultimate purchaser of the Twin Lakes water system. The sale price and final agreement to sell Twin Lakes would be subsequently negotiated. The ALJ established a schedule for filing Briefs on Exceptions. Twin Lakes takes exception to certain of the ALJ’s conclusions and expects to file a Brief before the Recommended Decision goes before the PAPUC for their disposition of the matter.</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Twin Lakes remains under the operation of a large PAPUC regulated investor-owned water utility as the receiver, which had been appointed by the PAPUC under an Order effective January 15, 2021. The receivership is to remain in place until the final outcome of the Section 529 proceeding.</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unknown at this time if the PAPUC will affirm or deny the Recommended Decision in whole, or in part. Separate from the disposition of this matter by the PAPUC, or any further litigation which may proceed beyond the PAPUC’s final decision, the financial results, total assets and financial obligations of Twin Lakes are not material to Middlesex.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For each of the three months ended March 31, 2021 and 2020, the Company received proceeds of $0.3 million for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5,000 shares of its common stock under the Middlesex Water Company Investment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Middlesex currently has two projects that are in the construction loan phase of the New Jersey SRF program:</w:t>
      </w:r>
    </w:p>
    <w:p>
      <w:pPr>
        <w:spacing w:after="0" w:line="171" w:lineRule="exact"/>
        <w:rPr>
          <w:sz w:val="20"/>
          <w:szCs w:val="20"/>
          <w:color w:val="auto"/>
        </w:rPr>
      </w:pPr>
    </w:p>
    <w:p>
      <w:pPr>
        <w:jc w:val="both"/>
        <w:ind w:left="840" w:hanging="508"/>
        <w:spacing w:after="0" w:line="301"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Through March 31, 2021, Middlesex has drawn a total of $42.6 million and expects to draw any remaining funding requests on this construction loan in the second quarter of 2021.</w:t>
      </w:r>
    </w:p>
    <w:p>
      <w:pPr>
        <w:spacing w:after="0" w:line="103" w:lineRule="exact"/>
        <w:rPr>
          <w:rFonts w:ascii="Arial" w:cs="Arial" w:eastAsia="Arial" w:hAnsi="Arial"/>
          <w:sz w:val="16"/>
          <w:szCs w:val="16"/>
          <w:color w:val="auto"/>
        </w:rPr>
      </w:pPr>
    </w:p>
    <w:p>
      <w:pPr>
        <w:jc w:val="both"/>
        <w:ind w:left="840" w:hanging="508"/>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anticipates that these two construction loans will be converted into long-term securitized loans by the NJIB during the fourth quarter of 2021.</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Middlesex received approval from the NJBPU to borrow up to $100 million, in one or more private placement transactions through December 31, 2023 to help fund Middlesex’s multi-year capital construction program. In November 2020, Middlesex closed on a $40 million private placement loan with a payment maturity date of November 2050 and an interest rate of 2.90% by issuing First Mortgage Bonds (FMBs) designated as Series 2020A. Proceeds from this loan were used to reduce the Company’s existing short-term borrowings under its lines of credit and to fund the 2020 capital program.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ongoing comprehensive financing plan, Middlesex received approval from the NJBPU in February 2019 to issue and sell up to $140 million of FMBs through the New Jersey Economic Development Authority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were used to finance several projects under the Water For Tomorrow capital program initiated by the Company to upgrade and replace aging water utility infrastructure. The proceeds were initially recorded as Restricted Cash on the balance sheet and held in escrow by a bond trustee. Funds were drawn down by requisition for the qualifying projects as costs were incurred with the final requisition made in February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following methods and assumptions were used by the Company in estimating its fair value disclosure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180"/>
              <w:spacing w:after="0"/>
              <w:rPr>
                <w:sz w:val="20"/>
                <w:szCs w:val="20"/>
                <w:color w:val="auto"/>
              </w:rPr>
            </w:pPr>
            <w:r>
              <w:rPr>
                <w:rFonts w:ascii="Arial" w:cs="Arial" w:eastAsia="Arial" w:hAnsi="Arial"/>
                <w:sz w:val="18"/>
                <w:szCs w:val="18"/>
                <w:color w:val="auto"/>
              </w:rPr>
              <w:t>March 31, 2021</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r>
      <w:tr>
        <w:trPr>
          <w:trHeight w:val="209"/>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$147,209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$159,764</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$147,667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$159,195</w:t>
            </w:r>
          </w:p>
        </w:tc>
      </w:tr>
    </w:tbl>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“State Revolving Trust Bond”, “Construction Loans” and “Series 2020A” on the Condensed Consolidated Statements of Capital Stock and Long-Term Debt). The carrying amount of these instruments was $129.4 million and $129.6 million at March 31, 2021 and December 31, 2020, respectively. Customer advances for construction have carrying amounts of $23.3 million and $23.4 million at March 31, 2021 and 2020, respectively. Their relative fair values cannot be accurately estimated since future refund payments depend on several variables, including new customer connections, customer consumption levels and future rate increases.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0" w:type="dxa"/>
            <w:vAlign w:val="bottom"/>
            <w:gridSpan w:val="3"/>
          </w:tcPr>
          <w:p>
            <w:pPr>
              <w:jc w:val="right"/>
              <w:ind w:right="550"/>
              <w:spacing w:after="0"/>
              <w:rPr>
                <w:sz w:val="20"/>
                <w:szCs w:val="20"/>
                <w:color w:val="auto"/>
              </w:rPr>
            </w:pPr>
            <w:r>
              <w:rPr>
                <w:rFonts w:ascii="Arial" w:cs="Arial" w:eastAsia="Arial" w:hAnsi="Arial"/>
                <w:sz w:val="18"/>
                <w:szCs w:val="18"/>
                <w:color w:val="auto"/>
                <w:w w:val="92"/>
              </w:rPr>
              <w:t>Three Months Ended March 31,</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Income</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Shares</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6,907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7,668</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17,437</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6,877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7,638</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17,437</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0.39</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0.44</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6,877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17,476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7,638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17,437</w:t>
            </w:r>
          </w:p>
        </w:tc>
        <w:tc>
          <w:tcPr>
            <w:tcW w:w="20" w:type="dxa"/>
            <w:vAlign w:val="bottom"/>
          </w:tcPr>
          <w:p>
            <w:pPr>
              <w:spacing w:after="0"/>
              <w:rPr>
                <w:sz w:val="18"/>
                <w:szCs w:val="18"/>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6,894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17,591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7,655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17,552</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0.39</w:t>
            </w:r>
          </w:p>
        </w:tc>
        <w:tc>
          <w:tcPr>
            <w:tcW w:w="116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0.44</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38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150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Segment Data</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(In Thousands)</w:t>
            </w:r>
          </w:p>
        </w:tc>
      </w:t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39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2"/>
              </w:rPr>
              <w:t>March 31,</w:t>
            </w: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auto"/>
            </w:tcBorders>
          </w:tcPr>
          <w:p>
            <w:pPr>
              <w:spacing w:after="0"/>
              <w:rPr>
                <w:sz w:val="18"/>
                <w:szCs w:val="18"/>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28,937</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3,257</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Consolidated Revenues</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32,541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31,769</w:t>
            </w:r>
          </w:p>
        </w:tc>
        <w:tc>
          <w:tcPr>
            <w:tcW w:w="2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5,843</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20" w:type="dxa"/>
            <w:vAlign w:val="bottom"/>
            <w:tcBorders>
              <w:bottom w:val="single" w:sz="8" w:color="auto"/>
            </w:tcBorders>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6,527</w:t>
            </w:r>
          </w:p>
        </w:tc>
        <w:tc>
          <w:tcPr>
            <w:tcW w:w="20" w:type="dxa"/>
            <w:vAlign w:val="bottom"/>
            <w:shd w:val="clear" w:color="auto" w:fill="CCEEFF"/>
          </w:tcPr>
          <w:p>
            <w:pPr>
              <w:spacing w:after="0"/>
              <w:rPr>
                <w:sz w:val="18"/>
                <w:szCs w:val="18"/>
                <w:color w:val="auto"/>
              </w:rPr>
            </w:pPr>
          </w:p>
        </w:tc>
      </w:tr>
      <w:tr>
        <w:trPr>
          <w:trHeight w:val="209"/>
        </w:trPr>
        <w:tc>
          <w:tcPr>
            <w:tcW w:w="392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7,181</w:t>
            </w:r>
          </w:p>
        </w:tc>
        <w:tc>
          <w:tcPr>
            <w:tcW w:w="2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6,907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7,668</w:t>
            </w:r>
          </w:p>
        </w:tc>
        <w:tc>
          <w:tcPr>
            <w:tcW w:w="20" w:type="dxa"/>
            <w:vAlign w:val="bottom"/>
          </w:tcPr>
          <w:p>
            <w:pPr>
              <w:spacing w:after="0"/>
              <w:rPr>
                <w:sz w:val="18"/>
                <w:szCs w:val="18"/>
                <w:color w:val="auto"/>
              </w:rPr>
            </w:pPr>
          </w:p>
        </w:tc>
      </w:tr>
      <w:tr>
        <w:trPr>
          <w:trHeight w:val="209"/>
        </w:trPr>
        <w:tc>
          <w:tcPr>
            <w:tcW w:w="3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Capital Expenditures:</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24,968</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auto"/>
            </w:tcBorders>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25,147</w:t>
            </w:r>
          </w:p>
        </w:tc>
        <w:tc>
          <w:tcPr>
            <w:tcW w:w="20" w:type="dxa"/>
            <w:vAlign w:val="bottom"/>
            <w:shd w:val="clear" w:color="auto" w:fill="CCEEFF"/>
          </w:tcPr>
          <w:p>
            <w:pPr>
              <w:spacing w:after="0"/>
              <w:rPr>
                <w:sz w:val="18"/>
                <w:szCs w:val="18"/>
                <w:color w:val="auto"/>
              </w:rPr>
            </w:pPr>
          </w:p>
        </w:tc>
      </w:tr>
      <w:tr>
        <w:trPr>
          <w:trHeight w:val="371"/>
        </w:trPr>
        <w:tc>
          <w:tcPr>
            <w:tcW w:w="392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7"/>
              </w:rPr>
              <w:t>As of</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7"/>
              </w:rPr>
              <w:t>As of</w:t>
            </w:r>
          </w:p>
        </w:tc>
      </w:t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31,</w:t>
            </w:r>
          </w:p>
        </w:tc>
      </w:tr>
      <w:tr>
        <w:trPr>
          <w:trHeight w:val="230"/>
        </w:trPr>
        <w:tc>
          <w:tcPr>
            <w:tcW w:w="3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auto"/>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1,004,405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998,932</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8,289</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(26,113)</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20" w:type="dxa"/>
            <w:vAlign w:val="bottom"/>
            <w:tcBorders>
              <w:bottom w:val="single" w:sz="8" w:color="auto"/>
            </w:tcBorders>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986,210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976,470</w:t>
            </w:r>
          </w:p>
        </w:tc>
        <w:tc>
          <w:tcPr>
            <w:tcW w:w="20" w:type="dxa"/>
            <w:vAlign w:val="bottom"/>
            <w:shd w:val="clear" w:color="auto" w:fill="CCEEFF"/>
          </w:tcPr>
          <w:p>
            <w:pPr>
              <w:spacing w:after="0"/>
              <w:rPr>
                <w:sz w:val="18"/>
                <w:szCs w:val="18"/>
                <w:color w:val="auto"/>
              </w:rPr>
            </w:pPr>
          </w:p>
        </w:tc>
      </w:tr>
      <w:tr>
        <w:trPr>
          <w:trHeight w:val="426"/>
        </w:trPr>
        <w:tc>
          <w:tcPr>
            <w:tcW w:w="392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16"/>
        </w:trPr>
        <w:tc>
          <w:tcPr>
            <w:tcW w:w="3920" w:type="dxa"/>
            <w:vAlign w:val="bottom"/>
            <w:tcBorders>
              <w:bottom w:val="single" w:sz="8" w:color="EEEEEE"/>
            </w:tcBorders>
          </w:tcPr>
          <w:p>
            <w:pPr>
              <w:spacing w:after="0"/>
              <w:rPr>
                <w:sz w:val="18"/>
                <w:szCs w:val="18"/>
                <w:color w:val="auto"/>
              </w:rPr>
            </w:pPr>
          </w:p>
        </w:tc>
        <w:tc>
          <w:tcPr>
            <w:tcW w:w="440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$110.0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right"/>
              <w:ind w:right="530"/>
              <w:spacing w:after="0"/>
              <w:rPr>
                <w:sz w:val="20"/>
                <w:szCs w:val="20"/>
                <w:color w:val="auto"/>
              </w:rPr>
            </w:pPr>
            <w:r>
              <w:rPr>
                <w:rFonts w:ascii="Arial" w:cs="Arial" w:eastAsia="Arial" w:hAnsi="Arial"/>
                <w:sz w:val="18"/>
                <w:szCs w:val="18"/>
                <w:color w:val="auto"/>
              </w:rPr>
              <w:t>As of March 31, 2020</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Outstanding</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Available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Maximum</w:t>
            </w: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Credit Type</w:t>
            </w:r>
          </w:p>
        </w:tc>
        <w:tc>
          <w:tcPr>
            <w:tcW w:w="2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Renewal Date</w:t>
            </w: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27, 2022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PNC Bank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46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2340" w:type="dxa"/>
            <w:vAlign w:val="bottom"/>
          </w:tcPr>
          <w:p>
            <w:pPr>
              <w:ind w:left="200"/>
              <w:spacing w:after="0"/>
              <w:rPr>
                <w:sz w:val="20"/>
                <w:szCs w:val="20"/>
                <w:color w:val="auto"/>
              </w:rPr>
            </w:pPr>
            <w:r>
              <w:rPr>
                <w:rFonts w:ascii="Arial" w:cs="Arial" w:eastAsia="Arial" w:hAnsi="Arial"/>
                <w:sz w:val="18"/>
                <w:szCs w:val="18"/>
                <w:color w:val="auto"/>
              </w:rPr>
              <w:t>January 31, 2023</w:t>
            </w:r>
          </w:p>
        </w:tc>
      </w:tr>
      <w:tr>
        <w:trPr>
          <w:trHeight w:val="216"/>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November 30, 2023</w:t>
            </w:r>
          </w:p>
        </w:tc>
      </w:tr>
      <w:tr>
        <w:trPr>
          <w:trHeight w:val="210"/>
        </w:trPr>
        <w:tc>
          <w:tcPr>
            <w:tcW w:w="30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4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lines of credit is set using the London InterBank Offered Rate (LIBOR) and adding a credit spread, which varies by financial institution. There is no requirement for a compensating balance under any of the established lines of credit. Each of the lines of credit includes a provision for a replacement benchmark for when LIBOR is fully phased-out and no longer available to set the interest rate on borrowings under these lines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March 31, 2021 under these credit lines is 1.09%.</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outstanding borrowings under the Company’s credit lines and the weighted average interest rates on those amounts were $8.0 million and $21.4 million at 1.12% and 2.58% for the three months ended March 31, 2021 and 2020, respectively.</w:t>
      </w:r>
    </w:p>
    <w:p>
      <w:pPr>
        <w:spacing w:after="0" w:line="143" w:lineRule="exact"/>
        <w:rPr>
          <w:sz w:val="20"/>
          <w:szCs w:val="20"/>
          <w:color w:val="auto"/>
        </w:rPr>
      </w:pPr>
    </w:p>
    <w:p>
      <w:pPr>
        <w:ind w:right="660"/>
        <w:spacing w:after="0" w:line="459" w:lineRule="auto"/>
        <w:rPr>
          <w:sz w:val="20"/>
          <w:szCs w:val="20"/>
          <w:color w:val="auto"/>
        </w:rPr>
      </w:pPr>
      <w:r>
        <w:rPr>
          <w:rFonts w:ascii="Arial" w:cs="Arial" w:eastAsia="Arial" w:hAnsi="Arial"/>
          <w:sz w:val="18"/>
          <w:szCs w:val="18"/>
          <w:color w:val="auto"/>
        </w:rPr>
        <w:t xml:space="preserve">The maturity dates for the $13.0 million outstanding as of March 31, 2021 were in April 2021 and were extended at the discretion of the Company. </w:t>
      </w:r>
      <w:r>
        <w:rPr>
          <w:rFonts w:ascii="Arial" w:cs="Arial" w:eastAsia="Arial" w:hAnsi="Arial"/>
          <w:sz w:val="18"/>
          <w:szCs w:val="18"/>
          <w:b w:val="1"/>
          <w:bCs w:val="1"/>
          <w:color w:val="auto"/>
        </w:rPr>
        <w:t>Note 7 – Commitments and Contingent Liabilities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3.0 mgd of treated water with provisions for additional 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Purchased water costs are shown below:</w:t>
      </w:r>
    </w:p>
    <w:p>
      <w:pPr>
        <w:spacing w:after="0" w:line="185"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ind w:left="8200"/>
        <w:spacing w:after="0"/>
        <w:tabs>
          <w:tab w:leader="none" w:pos="93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40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Untreated</w:t>
            </w:r>
          </w:p>
        </w:tc>
        <w:tc>
          <w:tcPr>
            <w:tcW w:w="40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4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120" w:type="dxa"/>
            <w:vAlign w:val="bottom"/>
          </w:tcPr>
          <w:p>
            <w:pPr>
              <w:spacing w:after="0"/>
              <w:rPr>
                <w:sz w:val="18"/>
                <w:szCs w:val="18"/>
                <w:color w:val="auto"/>
              </w:rPr>
            </w:pPr>
          </w:p>
        </w:tc>
      </w:tr>
      <w:tr>
        <w:trPr>
          <w:trHeight w:val="426"/>
        </w:trPr>
        <w:tc>
          <w:tcPr>
            <w:tcW w:w="1160" w:type="dxa"/>
            <w:vAlign w:val="bottom"/>
          </w:tcPr>
          <w:p>
            <w:pPr>
              <w:spacing w:after="0"/>
              <w:rPr>
                <w:sz w:val="24"/>
                <w:szCs w:val="24"/>
                <w:color w:val="auto"/>
              </w:rPr>
            </w:pPr>
          </w:p>
        </w:tc>
        <w:tc>
          <w:tcPr>
            <w:tcW w:w="2580" w:type="dxa"/>
            <w:vAlign w:val="bottom"/>
            <w:tcBorders>
              <w:top w:val="single" w:sz="8" w:color="CCEEFF"/>
            </w:tcBorders>
          </w:tcPr>
          <w:p>
            <w:pPr>
              <w:spacing w:after="0"/>
              <w:rPr>
                <w:sz w:val="24"/>
                <w:szCs w:val="24"/>
                <w:color w:val="auto"/>
              </w:rPr>
            </w:pPr>
          </w:p>
        </w:tc>
        <w:tc>
          <w:tcPr>
            <w:tcW w:w="404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Borders>
              <w:bottom w:val="single" w:sz="8" w:color="EEEEEE"/>
            </w:tcBorders>
          </w:tcPr>
          <w:p>
            <w:pPr>
              <w:spacing w:after="0"/>
              <w:rPr>
                <w:sz w:val="18"/>
                <w:szCs w:val="18"/>
                <w:color w:val="auto"/>
              </w:rPr>
            </w:pPr>
          </w:p>
        </w:tc>
        <w:tc>
          <w:tcPr>
            <w:tcW w:w="2580" w:type="dxa"/>
            <w:vAlign w:val="bottom"/>
            <w:tcBorders>
              <w:bottom w:val="single" w:sz="8" w:color="EEEEEE"/>
            </w:tcBorders>
          </w:tcPr>
          <w:p>
            <w:pPr>
              <w:spacing w:after="0"/>
              <w:rPr>
                <w:sz w:val="18"/>
                <w:szCs w:val="18"/>
                <w:color w:val="auto"/>
              </w:rPr>
            </w:pPr>
          </w:p>
        </w:tc>
        <w:tc>
          <w:tcPr>
            <w:tcW w:w="404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74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tcPr>
          <w:p>
            <w:pPr>
              <w:spacing w:after="0"/>
              <w:rPr>
                <w:sz w:val="18"/>
                <w:szCs w:val="18"/>
                <w:color w:val="auto"/>
              </w:rPr>
            </w:pPr>
          </w:p>
        </w:tc>
        <w:tc>
          <w:tcPr>
            <w:tcW w:w="72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We continue to monitor this litigation; however, given the cancellation of the underlying operating contract by the County and the continuation of the litigation matter, we do not anticipate having to perform under the guaranty nor do we anticipate the ultimate outcome will have a material impact on the Company’s results of operations or financial condition.</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March 31, 2021 and 2020, respectively.</w:t>
      </w:r>
    </w:p>
    <w:p>
      <w:pPr>
        <w:sectPr>
          <w:pgSz w:w="11900" w:h="16838" w:orient="portrait"/>
          <w:cols w:equalWidth="0" w:num="1">
            <w:col w:w="11240"/>
          </w:cols>
          <w:pgMar w:left="320" w:top="122" w:right="3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related to operating lease ROU assets and lease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ROU Asset at Lease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-121920</wp:posOffset>
            </wp:positionV>
            <wp:extent cx="56832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32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14605</wp:posOffset>
            </wp:positionV>
            <wp:extent cx="56832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32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ROU Asset</w:t>
      </w: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280" w:type="dxa"/>
            <w:vAlign w:val="bottom"/>
            <w:gridSpan w:val="3"/>
          </w:tcPr>
          <w:p>
            <w:pPr>
              <w:jc w:val="right"/>
              <w:ind w:right="730"/>
              <w:spacing w:after="0"/>
              <w:rPr>
                <w:sz w:val="20"/>
                <w:szCs w:val="20"/>
                <w:color w:val="auto"/>
              </w:rPr>
            </w:pPr>
            <w:r>
              <w:rPr>
                <w:rFonts w:ascii="Arial" w:cs="Arial" w:eastAsia="Arial" w:hAnsi="Arial"/>
                <w:sz w:val="18"/>
                <w:szCs w:val="18"/>
                <w:color w:val="auto"/>
              </w:rPr>
              <w:t>(In Millions)</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0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March</w:t>
            </w:r>
          </w:p>
        </w:tc>
        <w:tc>
          <w:tcPr>
            <w:tcW w:w="1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1"/>
              </w:rPr>
              <w:t>December</w:t>
            </w:r>
          </w:p>
        </w:tc>
      </w:tr>
      <w:tr>
        <w:trPr>
          <w:trHeight w:val="216"/>
        </w:trPr>
        <w:tc>
          <w:tcPr>
            <w:tcW w:w="3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31, 2021</w:t>
            </w:r>
          </w:p>
        </w:tc>
        <w:tc>
          <w:tcPr>
            <w:tcW w:w="1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9"/>
              </w:rPr>
              <w:t>31, 2020</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30"/>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10"/>
        </w:trPr>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2">
            <w:col w:w="6800" w:space="720"/>
            <w:col w:w="3720"/>
          </w:cols>
          <w:pgMar w:left="320" w:top="122" w:right="339" w:bottom="144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7400" w:type="dxa"/>
            <w:vAlign w:val="bottom"/>
            <w:gridSpan w:val="3"/>
          </w:tcPr>
          <w:p>
            <w:pPr>
              <w:spacing w:after="0"/>
              <w:rPr>
                <w:sz w:val="20"/>
                <w:szCs w:val="20"/>
                <w:color w:val="auto"/>
              </w:rPr>
            </w:pPr>
            <w:r>
              <w:rPr>
                <w:rFonts w:ascii="Arial" w:cs="Arial" w:eastAsia="Arial" w:hAnsi="Arial"/>
                <w:sz w:val="18"/>
                <w:szCs w:val="18"/>
                <w:color w:val="auto"/>
                <w:w w:val="93"/>
              </w:rPr>
              <w:t>The Company’s future minimum operating lease commitments as of March 31, 2021 are as follows: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(In Millions)</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0.8</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0.8</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w:t>
            </w:r>
          </w:p>
        </w:tc>
      </w:tr>
      <w:tr>
        <w:trPr>
          <w:trHeight w:val="209"/>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Imputed Interest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r>
      <w:tr>
        <w:trPr>
          <w:trHeight w:val="210"/>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Present Value of Lease Payments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Pr>
          <w:p>
            <w:pPr>
              <w:jc w:val="right"/>
              <w:ind w:right="183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r>
      <w:tr>
        <w:trPr>
          <w:trHeight w:val="209"/>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color w:val="auto"/>
              </w:rPr>
              <w:t>Non-Current Lease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Construction - </w:t>
      </w:r>
      <w:r>
        <w:rPr>
          <w:rFonts w:ascii="Arial" w:cs="Arial" w:eastAsia="Arial" w:hAnsi="Arial"/>
          <w:sz w:val="18"/>
          <w:szCs w:val="18"/>
          <w:color w:val="auto"/>
        </w:rPr>
        <w:t>The Company has forecasted to spend approximately $121 million for its construction program in 2021. The Company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construction contracts that, in the aggregate, obligate expenditure of an estimated $17 million in the future. The timing and amount of capital expenditures is dependent on project scheduling and refinement of engineering estimates for certain projects.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Pension Benefits </w:t>
      </w:r>
      <w:r>
        <w:rPr>
          <w:rFonts w:ascii="Arial" w:cs="Arial" w:eastAsia="Arial" w:hAnsi="Arial"/>
          <w:sz w:val="18"/>
          <w:szCs w:val="18"/>
          <w:color w:val="auto"/>
        </w:rPr>
        <w:t>- The Company’s Pension Plan covers all active employees hired prior to April 1, 2007. Employees hired after March 31, 2007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each of the three month periods ended March 31, 2021 and 2020, the Company did not make Pension Plan cash contributions. The Company expects to make Pension Plan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Postretirement Benefits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retirement plan other than pensions (Other Benefits Plan) covers substantially all of its current retired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Employees hired after March 31, 2007 are not eligible to participate in this plan. Coverage includes healthcare and life insurance. For the three month period ended March 31, 2021, the Company did not make Other Benefits Plan cash contributions. For the three month period ended March 31, 2020, the Company made Other Benefits Plan cash contributions of $0.3 million. The Company expects to make additional Other Benefits Plan cash contributions of $0.8 million and $0.3 million over the remainder of the current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9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9300" w:type="dxa"/>
            <w:vAlign w:val="bottom"/>
            <w:gridSpan w:val="7"/>
          </w:tcPr>
          <w:p>
            <w:pPr>
              <w:spacing w:after="0"/>
              <w:rPr>
                <w:sz w:val="20"/>
                <w:szCs w:val="20"/>
                <w:color w:val="auto"/>
              </w:rPr>
            </w:pPr>
            <w:r>
              <w:rPr>
                <w:rFonts w:ascii="Arial" w:cs="Arial" w:eastAsia="Arial" w:hAnsi="Arial"/>
                <w:sz w:val="18"/>
                <w:szCs w:val="18"/>
                <w:color w:val="auto"/>
                <w:w w:val="94"/>
              </w:rPr>
              <w:t>The following table sets forth information relating to the Company’s periodic costs for its employee retirement benefit plans: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right"/>
              <w:ind w:right="27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3"/>
          </w:tcPr>
          <w:p>
            <w:pPr>
              <w:jc w:val="right"/>
              <w:ind w:right="190"/>
              <w:spacing w:after="0" w:line="195" w:lineRule="exact"/>
              <w:rPr>
                <w:sz w:val="20"/>
                <w:szCs w:val="20"/>
                <w:color w:val="auto"/>
              </w:rPr>
            </w:pPr>
            <w:r>
              <w:rPr>
                <w:rFonts w:ascii="Arial" w:cs="Arial" w:eastAsia="Arial" w:hAnsi="Arial"/>
                <w:sz w:val="18"/>
                <w:szCs w:val="18"/>
                <w:color w:val="auto"/>
                <w:w w:val="93"/>
              </w:rPr>
              <w:t>Three Months Ended March 31,</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2020</w:t>
            </w:r>
          </w:p>
        </w:tc>
      </w:tr>
      <w:tr>
        <w:trPr>
          <w:trHeight w:val="210"/>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9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94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(786)</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r>
      <w:tr>
        <w:trPr>
          <w:trHeight w:val="209"/>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9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termination provisions.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8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32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16"/>
        </w:trPr>
        <w:tc>
          <w:tcPr>
            <w:tcW w:w="3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3"/>
          </w:tcPr>
          <w:p>
            <w:pPr>
              <w:jc w:val="right"/>
              <w:ind w:right="150"/>
              <w:spacing w:after="0"/>
              <w:rPr>
                <w:sz w:val="20"/>
                <w:szCs w:val="20"/>
                <w:color w:val="auto"/>
              </w:rPr>
            </w:pPr>
            <w:r>
              <w:rPr>
                <w:rFonts w:ascii="Arial" w:cs="Arial" w:eastAsia="Arial" w:hAnsi="Arial"/>
                <w:sz w:val="18"/>
                <w:szCs w:val="18"/>
                <w:color w:val="auto"/>
                <w:w w:val="93"/>
              </w:rPr>
              <w:t>Three Months Ended March 31,</w:t>
            </w:r>
          </w:p>
        </w:tc>
      </w:tr>
      <w:tr>
        <w:trPr>
          <w:trHeight w:val="230"/>
        </w:trPr>
        <w:tc>
          <w:tcPr>
            <w:tcW w:w="3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09"/>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16,957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16,681</w:t>
            </w: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2,177</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2,081</w:t>
            </w: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3,045</w:t>
            </w: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3,539</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3,698</w:t>
            </w:r>
          </w:p>
        </w:tc>
      </w:tr>
      <w:tr>
        <w:trPr>
          <w:trHeight w:val="216"/>
        </w:trPr>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3,151</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2,859</w:t>
            </w:r>
          </w:p>
        </w:tc>
      </w:tr>
      <w:tr>
        <w:trPr>
          <w:trHeight w:val="209"/>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32,504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31,733</w:t>
            </w: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32,541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31,769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March 31, 2021, the Company has reduced its income tax reserve provision and interest expense liability to $0.5 million and $0.2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performance, prospects and earnings of the Company;</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24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safety and reliability of the Company’s equipment, facilities and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increases in competition for growth in non-franchised markets to be potentially served by the Company;</w:t>
      </w:r>
    </w:p>
    <w:p>
      <w:pPr>
        <w:spacing w:after="0" w:line="29" w:lineRule="exact"/>
        <w:rPr>
          <w:rFonts w:ascii="Arial" w:cs="Arial" w:eastAsia="Arial" w:hAnsi="Arial"/>
          <w:sz w:val="24"/>
          <w:szCs w:val="24"/>
          <w:color w:val="auto"/>
          <w:vertAlign w:val="superscript"/>
        </w:rPr>
      </w:pPr>
    </w:p>
    <w:p>
      <w:pPr>
        <w:ind w:left="660" w:right="3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actions taken by government regulators, including decisions on rate increase requests;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 and compliance with related regulatory requirements;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weather variations and other natural phenomena impacting utility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financial and operating risks associated with acquisitions and, or privatizations;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changes in the pace of housing development;</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availability and cost of capital resources;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other factors discussed elsewhere in this quarterly report.</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also operate water and wastewater systems under contract for governmental entities and private entities primarily in New Jersey and Delaware and provide regulated wastewater services in New Jersey and Delaware through five subsidiaries. We are regulated as to rates charged to customers for water and wastewater services, as to the quality of water service we provide and as to certain other matters in New Jersey and Delaware. Only our Utility Service Affiliates, Inc. (USA), Utility Service Affiliates (Perth Amboy), Inc. (USA-PA) and White Marsh Environmental Services, Inc. (White Marsh) subsidiaries are not regulated utilities.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53,000 retail customers in New Castle, Kent and Sussex Counties, Delaware. Tidewater’s subsidiary, White Marsh, services approximately 1,900 customers in Delaware and Maryland through various operations and maintenance contracts.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4,000 residential retail customers in Sussex County, Delaware.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Beginning July 1, 2020, USA began operating the Borough of Highland Park, New Jersey’s (Highland Park) water and wastewater systems under a 10-year operations and maintenance contract.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Loan Agreement - </w:t>
      </w:r>
      <w:r>
        <w:rPr>
          <w:rFonts w:ascii="Arial" w:cs="Arial" w:eastAsia="Arial" w:hAnsi="Arial"/>
          <w:sz w:val="17"/>
          <w:szCs w:val="17"/>
          <w:color w:val="auto"/>
        </w:rPr>
        <w:t>In March 2021, Tidewater entered into a $20 million loan agreement with CoBank, ACB (CoBank). Tidewater has the option to borrow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minimum increments of $0.1 million through September 29, 2021. The interest rate will be set on the date of the applicable borrowing and the term of any borrowing cannot exceed twenty-five years. Proceeds from the loan will first be used to pay off balances under the Company’s lines of credit (see Note 6 – </w:t>
      </w:r>
      <w:r>
        <w:rPr>
          <w:rFonts w:ascii="Arial" w:cs="Arial" w:eastAsia="Arial" w:hAnsi="Arial"/>
          <w:sz w:val="17"/>
          <w:szCs w:val="17"/>
          <w:i w:val="1"/>
          <w:iCs w:val="1"/>
          <w:color w:val="auto"/>
        </w:rPr>
        <w:t>Short Term Borrowings</w:t>
      </w:r>
      <w:r>
        <w:rPr>
          <w:rFonts w:ascii="Arial" w:cs="Arial" w:eastAsia="Arial" w:hAnsi="Arial"/>
          <w:sz w:val="17"/>
          <w:szCs w:val="17"/>
          <w:color w:val="auto"/>
        </w:rPr>
        <w:t>), with remaining proceeds used to finance a portion of Tidewater’s 2021 capital program.</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Middlesex Financing Petition – </w:t>
      </w:r>
      <w:r>
        <w:rPr>
          <w:rFonts w:ascii="Arial" w:cs="Arial" w:eastAsia="Arial" w:hAnsi="Arial"/>
          <w:sz w:val="17"/>
          <w:szCs w:val="17"/>
          <w:color w:val="auto"/>
        </w:rPr>
        <w:t>In February 2021, Middlesex requested approval from the New Jersey Board of Public Utilities (NJBPU) to redeem up to</w:t>
      </w:r>
      <w:r>
        <w:rPr>
          <w:rFonts w:ascii="Arial" w:cs="Arial" w:eastAsia="Arial" w:hAnsi="Arial"/>
          <w:sz w:val="17"/>
          <w:szCs w:val="17"/>
          <w:b w:val="1"/>
          <w:bCs w:val="1"/>
          <w:color w:val="auto"/>
        </w:rPr>
        <w:t xml:space="preserve"> </w:t>
      </w:r>
      <w:r>
        <w:rPr>
          <w:rFonts w:ascii="Arial" w:cs="Arial" w:eastAsia="Arial" w:hAnsi="Arial"/>
          <w:sz w:val="17"/>
          <w:szCs w:val="17"/>
          <w:color w:val="auto"/>
        </w:rPr>
        <w:t>$45.5 million of outstanding first mortgage bonds and issue replacement first mortgage bonds at a lower rate of interest. We cannot predict whether the NJBPU will ultimately approve or deny this request, for which a decision is expected in the second quarter of 2021.</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$121 million in 2021 in connection with this plan for projects that include, but are not limited to:</w:t>
      </w:r>
    </w:p>
    <w:p>
      <w:pPr>
        <w:spacing w:after="0" w:line="29" w:lineRule="exact"/>
        <w:rPr>
          <w:sz w:val="20"/>
          <w:szCs w:val="20"/>
          <w:color w:val="auto"/>
        </w:rPr>
      </w:pPr>
    </w:p>
    <w:p>
      <w:pPr>
        <w:ind w:left="660" w:right="140" w:hanging="328"/>
        <w:spacing w:after="0" w:line="232"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16"/>
          <w:szCs w:val="16"/>
          <w:color w:val="auto"/>
        </w:rPr>
        <w:t>Completion of construction of a facility to provide an enhanced treatment process at the Company’s largest water treatment plant in Edison, New Jersey to mitigate the formation of disinfection by-products that can develop during the water treatment process, as well as other improvements;</w:t>
      </w:r>
    </w:p>
    <w:p>
      <w:pPr>
        <w:spacing w:after="0" w:line="41" w:lineRule="exact"/>
        <w:rPr>
          <w:rFonts w:ascii="Arial" w:cs="Arial" w:eastAsia="Arial" w:hAnsi="Arial"/>
          <w:sz w:val="24"/>
          <w:szCs w:val="24"/>
          <w:color w:val="auto"/>
        </w:rPr>
      </w:pPr>
    </w:p>
    <w:p>
      <w:pPr>
        <w:ind w:left="660" w:right="160" w:hanging="328"/>
        <w:spacing w:after="0" w:line="230" w:lineRule="auto"/>
        <w:tabs>
          <w:tab w:leader="none" w:pos="660" w:val="left"/>
        </w:tabs>
        <w:numPr>
          <w:ilvl w:val="0"/>
          <w:numId w:val="6"/>
        </w:numPr>
        <w:rPr>
          <w:rFonts w:ascii="Arial" w:cs="Arial" w:eastAsia="Arial" w:hAnsi="Arial"/>
          <w:sz w:val="26"/>
          <w:szCs w:val="26"/>
          <w:color w:val="auto"/>
        </w:rPr>
      </w:pPr>
      <w:r>
        <w:rPr>
          <w:rFonts w:ascii="Arial" w:cs="Arial" w:eastAsia="Arial" w:hAnsi="Arial"/>
          <w:sz w:val="17"/>
          <w:szCs w:val="17"/>
          <w:color w:val="auto"/>
        </w:rPr>
        <w:t>Construction of a facility to provide an enhanced treatment process at the Company’s largest wellfield in South Plainfield, New Jersey to comply with new state water quality regulations relative to poly- and perfluoro-alkyl substances, collectively referred to as PFAS, and integrate surge protection to mitigate spikes in water pressures along with enhancements to corrosion control and chlorination processes;</w:t>
      </w:r>
    </w:p>
    <w:p>
      <w:pPr>
        <w:spacing w:after="0" w:line="40" w:lineRule="exact"/>
        <w:rPr>
          <w:rFonts w:ascii="Arial" w:cs="Arial" w:eastAsia="Arial" w:hAnsi="Arial"/>
          <w:sz w:val="26"/>
          <w:szCs w:val="26"/>
          <w:color w:val="auto"/>
        </w:rPr>
      </w:pPr>
    </w:p>
    <w:p>
      <w:pPr>
        <w:ind w:left="660" w:right="80" w:hanging="328"/>
        <w:spacing w:after="0" w:line="21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Renovations and related construction at our 37-year old Middlesex Operations facility in New Jersey, including more efficient work space to meet the evolved needs of the business, enhancements to information technology infrastructure, improved energy efficiency and regulatory requirements;</w:t>
      </w:r>
    </w:p>
    <w:p>
      <w:pPr>
        <w:spacing w:after="0" w:line="1" w:lineRule="exact"/>
        <w:rPr>
          <w:rFonts w:ascii="Arial" w:cs="Arial" w:eastAsia="Arial" w:hAnsi="Arial"/>
          <w:sz w:val="27"/>
          <w:szCs w:val="27"/>
          <w:color w:val="auto"/>
        </w:rPr>
      </w:pPr>
    </w:p>
    <w:p>
      <w:pPr>
        <w:ind w:left="660" w:hanging="328"/>
        <w:spacing w:after="0" w:line="223"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16"/>
          <w:szCs w:val="16"/>
          <w:color w:val="auto"/>
        </w:rPr>
        <w:t>Replacement of approximately four miles of water mains including service lines, valves, fire hydrants and meters in Metuchen, New Jersey; and</w:t>
      </w:r>
    </w:p>
    <w:p>
      <w:pPr>
        <w:spacing w:after="0" w:line="55" w:lineRule="exact"/>
        <w:rPr>
          <w:rFonts w:ascii="Arial" w:cs="Arial" w:eastAsia="Arial" w:hAnsi="Arial"/>
          <w:sz w:val="24"/>
          <w:szCs w:val="24"/>
          <w:color w:val="auto"/>
        </w:rPr>
      </w:pPr>
    </w:p>
    <w:p>
      <w:pPr>
        <w:ind w:left="660" w:right="380" w:hanging="328"/>
        <w:spacing w:after="0" w:line="19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Construction of a new expandable wastewater treatment plant with enhanced processes to meet changing regulatory requirements to serve our customer base in the Town of Milton, Delaware.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 In March 2020, the United States declared the COVID-19 pandemic a national emergency, which remains in effect. While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capital construction program have not been disrupted to date from the pandemic, the COVID-19 impact on economic conditions nationally continues to be uncertain and could affect the Company’s results of operations, financial condition and liquidity in the future. In New Jersey and Delaware, where our primary operations are located, the Governors have been relaxing many of the elements of their respective declared State of Emergency Orders (SEOs) and requirements as more of the citizenry is inoculated for the virus.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Delaware Public Service Commission (DEPSC) have approved the tracking of COVID-19 related incremental costs for potential recovery in customer rates in future rate proceedings. Neither jurisdiction has established a timetable or definitive formal procedures for seeking cost recovery. Since the issuance of the SEOs,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increase operating income and net income is based significantly on four factors: weather, adequate and timely rate relief, effective cost management and customer growth. These factors are evident in comparison discussions in the Results of Operations section below. Weather patterns which can result in lower customer demand for water may occur in 2021. Water rates for our Middlesex customers were last reset in April 2018 and were determined using a rate base of $245 million. Our additional investments in system infrastructure since that time has grown significantly. Operating costs are anticipated to increase in 2021 in a variety of categories, in particular due to wage inflation in a specialized labor market where we compete for such resources. In addition, the repair tax benefits approved by the NJBPU in the 2017 Middlesex rate case are due to expire in April 2022. These factors, among others, will require Middlesex to file a request for an increase in its water rates during the second quarter of 2021.</w:t>
      </w:r>
    </w:p>
    <w:p>
      <w:pPr>
        <w:spacing w:after="0" w:line="1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 non-controllable factor that may affect our outlook in 2021 is the pace at which remediation of the COVID-19 pandemic continues to occur, and the related impact on the regional and national economic recoveries. In addition, the New Jersey SEO moratorium on customer service terminations remains in effect, currently through June 30, 2021. For further discussion of the impact of COVID-19 on the Company, see </w:t>
      </w:r>
      <w:r>
        <w:rPr>
          <w:rFonts w:ascii="Arial" w:cs="Arial" w:eastAsia="Arial" w:hAnsi="Arial"/>
          <w:sz w:val="16"/>
          <w:szCs w:val="16"/>
          <w:i w:val="1"/>
          <w:iCs w:val="1"/>
          <w:color w:val="auto"/>
        </w:rPr>
        <w:t>Recent Developments, COVID-19</w:t>
      </w:r>
      <w:r>
        <w:rPr>
          <w:rFonts w:ascii="Arial" w:cs="Arial" w:eastAsia="Arial" w:hAnsi="Arial"/>
          <w:sz w:val="16"/>
          <w:szCs w:val="16"/>
          <w:color w:val="auto"/>
        </w:rPr>
        <w:t xml:space="preserve"> above.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residential customer growth for our Tidewater system is expected to continue at the 5% pace achieved in 2020, delaying any foreseeable need to seek an increase in customer base rates in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1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Invest in projects, products and services that complement our core water and wastewater competencies;</w:t>
      </w:r>
    </w:p>
    <w:p>
      <w:pPr>
        <w:spacing w:after="0" w:line="42"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Timely and adequate recovery of infrastructure investments and other costs to maintain service quality;</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Prudent acquisitions of investor and municipally-owned water and wastewater utilities;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17"/>
          <w:szCs w:val="17"/>
          <w:color w:val="auto"/>
        </w:rPr>
        <w:t>Operation of municipal and industrial water and wastewater systems on a contract basis which meet our risk profile.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and TESI; Non-Regulated-USA, USA-PA, and White Marsh.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20" w:type="dxa"/>
            <w:vAlign w:val="bottom"/>
            <w:gridSpan w:val="9"/>
          </w:tcPr>
          <w:p>
            <w:pPr>
              <w:spacing w:after="0"/>
              <w:rPr>
                <w:sz w:val="20"/>
                <w:szCs w:val="20"/>
                <w:color w:val="auto"/>
              </w:rPr>
            </w:pPr>
            <w:r>
              <w:rPr>
                <w:rFonts w:ascii="Arial" w:cs="Arial" w:eastAsia="Arial" w:hAnsi="Arial"/>
                <w:sz w:val="18"/>
                <w:szCs w:val="18"/>
                <w:b w:val="1"/>
                <w:bCs w:val="1"/>
                <w:color w:val="auto"/>
              </w:rPr>
              <w:t>Results of Operations – Three Months Ended March 31, 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tcPr>
          <w:p>
            <w:pPr>
              <w:jc w:val="right"/>
              <w:ind w:right="440"/>
              <w:spacing w:after="0"/>
              <w:rPr>
                <w:sz w:val="20"/>
                <w:szCs w:val="20"/>
                <w:color w:val="auto"/>
              </w:rPr>
            </w:pPr>
            <w:r>
              <w:rPr>
                <w:rFonts w:ascii="Arial" w:cs="Arial" w:eastAsia="Arial" w:hAnsi="Arial"/>
                <w:sz w:val="18"/>
                <w:szCs w:val="18"/>
                <w:color w:val="auto"/>
                <w:w w:val="93"/>
              </w:rPr>
              <w:t>Three Months Ended 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16,249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3,651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3,527</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4,716</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5,843</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(1,534)</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6,240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667</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6,907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7,181</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March 31, 2021 increased $0.8 million from the same period in 2020 due to the following factors:</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Middlesex System revenues increased $0.3 million due to increased demand from customers;</w:t>
      </w:r>
    </w:p>
    <w:p>
      <w:pPr>
        <w:spacing w:after="0" w:line="42" w:lineRule="exact"/>
        <w:rPr>
          <w:rFonts w:ascii="Arial" w:cs="Arial" w:eastAsia="Arial" w:hAnsi="Arial"/>
          <w:sz w:val="27"/>
          <w:szCs w:val="27"/>
          <w:color w:val="auto"/>
        </w:rPr>
      </w:pPr>
    </w:p>
    <w:p>
      <w:pPr>
        <w:ind w:left="660" w:right="240" w:hanging="328"/>
        <w:spacing w:after="0" w:line="199"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 xml:space="preserve">Tidewater System revenues increased $0.2 million due primarily to additional customers, net of the a Distribution System Improvement Charge revenue refund (for further information, see </w:t>
      </w:r>
      <w:r>
        <w:rPr>
          <w:rFonts w:ascii="Arial" w:cs="Arial" w:eastAsia="Arial" w:hAnsi="Arial"/>
          <w:sz w:val="18"/>
          <w:szCs w:val="18"/>
          <w:i w:val="1"/>
          <w:iCs w:val="1"/>
          <w:color w:val="auto"/>
        </w:rPr>
        <w:t>Note 2, Rate and Regulatory Matters, Tidewater)</w:t>
      </w:r>
      <w:r>
        <w:rPr>
          <w:rFonts w:ascii="Arial" w:cs="Arial" w:eastAsia="Arial" w:hAnsi="Arial"/>
          <w:sz w:val="18"/>
          <w:szCs w:val="18"/>
          <w:color w:val="auto"/>
        </w:rPr>
        <w:t>; and</w:t>
      </w:r>
    </w:p>
    <w:p>
      <w:pPr>
        <w:spacing w:after="0" w:line="40" w:lineRule="exact"/>
        <w:rPr>
          <w:rFonts w:ascii="Arial" w:cs="Arial" w:eastAsia="Arial" w:hAnsi="Arial"/>
          <w:sz w:val="27"/>
          <w:szCs w:val="27"/>
          <w:color w:val="auto"/>
        </w:rPr>
      </w:pPr>
    </w:p>
    <w:p>
      <w:pPr>
        <w:ind w:left="660" w:right="38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Non-regulated revenues increased $0.3 million due to USA’s contract to operate and maintain Highland Park’s water and wastewater systems, which commenced July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March 31, 2021 increased $1.2 million from the same period in 2020 due to the following factors:</w:t>
      </w:r>
    </w:p>
    <w:p>
      <w:pPr>
        <w:spacing w:after="0" w:line="211" w:lineRule="exact"/>
        <w:rPr>
          <w:sz w:val="20"/>
          <w:szCs w:val="20"/>
          <w:color w:val="auto"/>
        </w:rPr>
      </w:pPr>
    </w:p>
    <w:p>
      <w:pPr>
        <w:ind w:left="660" w:right="38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Higher weather-related main break activity in our Middlesex system during the winter months resulted in $0.4 million of additional non-labor costs;</w:t>
      </w:r>
    </w:p>
    <w:p>
      <w:pPr>
        <w:ind w:left="660" w:hanging="328"/>
        <w:spacing w:after="0" w:line="19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Labor costs increased $0.3 million due to wage increases, overall averaging approximately 3%;</w:t>
      </w:r>
    </w:p>
    <w:p>
      <w:pPr>
        <w:spacing w:after="0" w:line="56"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Variable production costs increased $0.1 million due to higher customer water consumption;</w:t>
      </w:r>
    </w:p>
    <w:p>
      <w:pPr>
        <w:spacing w:after="0" w:line="53" w:lineRule="exact"/>
        <w:rPr>
          <w:rFonts w:ascii="Arial" w:cs="Arial" w:eastAsia="Arial" w:hAnsi="Arial"/>
          <w:sz w:val="24"/>
          <w:szCs w:val="24"/>
          <w:color w:val="auto"/>
        </w:rPr>
      </w:pPr>
    </w:p>
    <w:p>
      <w:pPr>
        <w:ind w:left="660" w:right="200" w:hanging="328"/>
        <w:spacing w:after="0" w:line="200"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Non-regulated operation and maintenance expenses increased $0.1 million due to USA’s contract to operate and maintain Highland Park’s water and wastewater systems, which commenced July 1, 2020; and</w:t>
      </w:r>
    </w:p>
    <w:p>
      <w:pPr>
        <w:spacing w:after="0" w:line="1" w:lineRule="exact"/>
        <w:rPr>
          <w:rFonts w:ascii="Arial" w:cs="Arial" w:eastAsia="Arial" w:hAnsi="Arial"/>
          <w:sz w:val="27"/>
          <w:szCs w:val="27"/>
          <w:color w:val="auto"/>
        </w:rPr>
      </w:pPr>
    </w:p>
    <w:p>
      <w:pPr>
        <w:ind w:left="660" w:hanging="328"/>
        <w:spacing w:after="0" w:line="19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All other operation and maintenance expense categories increased $0.2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three months ended March 31, 2021 increased $0.4 million from the same period in 2020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taxes for the three months ended March 31, 2021 increased $0.1 million from the same period in 2020 primarily due to higher revenue related taxes on increased revenues in our Middlesex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March 31, 2021 increased $0.5 million from the same period in 2020 primarily due to higher Allowance for Funds Used During Construction resulting from a higher level of capital projects in progress and lower actuarially-determined retirement benefit plans non-service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March 31, 2021 increased $0.1 million from the same period in 2020 due to higher average short-term and long-term debt outstanding in 2021 as compared to 2020 partially offset by lower average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benefit from income taxes for the three months ended March 31, 2021 decreased by $0.3 million from the same period in 2020, primarily due to lower tax benefits associated with decreased repair expenditures on tangible property owned by Middlesex, partially offset by lower pre-tax income</w:t>
      </w:r>
      <w:r>
        <w:rPr>
          <w:rFonts w:ascii="Arial" w:cs="Arial" w:eastAsia="Arial" w:hAnsi="Arial"/>
          <w:sz w:val="17"/>
          <w:szCs w:val="17"/>
          <w:i w:val="1"/>
          <w:i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three months ended March 31, 2021 decreased $0.8 million as compared with the same period in 2020. Basic and diluted earnings per share were $0.39 and $0.44 for the three months ended March 31,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cash flows from operating activities decreased $6.7 million to $9.4 million. The decrease in cash flows from operating activities primarily resulted from the timing of payments to vendors.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cash flows used in investing activities decreased $3.1 million to $22.0 million. The decrease in cash flows used in investing activities resulted from decreased utility plant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cash flows from financing activities decreased $9.4 million to $6.4 million. The decrease in cash flows provided by financing activities is due to net lower proceeds from the issuance of long-term debt, a reduction in net short-term bank borrowings and lower net construction advances and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Middlesex Water Company Investment Plan (Investment Plan) and proceeds from sales offerings to the public of our common stock. See below for a more detailed discussion regarding the funding of our capital program.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 investment program for 2021 is currently estimated to be approximately $121 million. Through March 31, 2021, we have expended $22 million and expect to incur approximately $99 million for capital projects for the remainder of 2020.</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project that we may expend approximately $193 million for capital projects in 2022 and 2023. The actual amount and timing of capital expenditures is dependent on project scheduling and refinement of engineering estimates for certain capital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2021, we plan on utilizing some or all of the following:</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Short-term borrowings, as needed, through $110 million of lines of credit established with three financial institutions. As of March 31, 2021, there was $97.0 million of available credit under these lines (for further discussion on Company lines of credit, see </w:t>
      </w:r>
      <w:r>
        <w:rPr>
          <w:rFonts w:ascii="Arial" w:cs="Arial" w:eastAsia="Arial" w:hAnsi="Arial"/>
          <w:sz w:val="16"/>
          <w:szCs w:val="16"/>
          <w:i w:val="1"/>
          <w:iCs w:val="1"/>
          <w:color w:val="auto"/>
        </w:rPr>
        <w:t>Note 6</w:t>
      </w:r>
      <w:r>
        <w:rPr>
          <w:rFonts w:ascii="Arial" w:cs="Arial" w:eastAsia="Arial" w:hAnsi="Arial"/>
          <w:sz w:val="16"/>
          <w:szCs w:val="16"/>
          <w:color w:val="auto"/>
        </w:rPr>
        <w:t xml:space="preserve"> – </w:t>
      </w:r>
      <w:r>
        <w:rPr>
          <w:rFonts w:ascii="Arial" w:cs="Arial" w:eastAsia="Arial" w:hAnsi="Arial"/>
          <w:sz w:val="16"/>
          <w:szCs w:val="16"/>
          <w:i w:val="1"/>
          <w:iCs w:val="1"/>
          <w:color w:val="auto"/>
        </w:rPr>
        <w:t>Short Term Borrowings</w:t>
      </w:r>
      <w:r>
        <w:rPr>
          <w:rFonts w:ascii="Arial" w:cs="Arial" w:eastAsia="Arial" w:hAnsi="Arial"/>
          <w:sz w:val="16"/>
          <w:szCs w:val="16"/>
          <w:color w:val="auto"/>
        </w:rPr>
        <w:t>);</w:t>
      </w:r>
    </w:p>
    <w:p>
      <w:pPr>
        <w:spacing w:after="0" w:line="4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240" w:hanging="328"/>
        <w:spacing w:after="0" w:line="207"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Proceeds from the Delaware State Revolving Fund (SRF). SRF programs provide low cost financing for projects that meet certain water quality and system improvement;</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Proceeds from Tidewater’s $20 million CoBank loan (see </w:t>
      </w:r>
      <w:r>
        <w:rPr>
          <w:rFonts w:ascii="Arial" w:cs="Arial" w:eastAsia="Arial" w:hAnsi="Arial"/>
          <w:sz w:val="18"/>
          <w:szCs w:val="18"/>
          <w:i w:val="1"/>
          <w:iCs w:val="1"/>
          <w:color w:val="auto"/>
        </w:rPr>
        <w:t>Recent Developments, Loan Agreement</w:t>
      </w:r>
      <w:r>
        <w:rPr>
          <w:rFonts w:ascii="Arial" w:cs="Arial" w:eastAsia="Arial" w:hAnsi="Arial"/>
          <w:sz w:val="18"/>
          <w:szCs w:val="18"/>
          <w:color w:val="auto"/>
        </w:rPr>
        <w:t xml:space="preserve">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Remaining proceeds from Middlesex’s August 2018 SRF Construction loan;</w:t>
      </w:r>
    </w:p>
    <w:p>
      <w:pPr>
        <w:spacing w:after="0" w:line="63" w:lineRule="exact"/>
        <w:rPr>
          <w:sz w:val="20"/>
          <w:szCs w:val="20"/>
          <w:color w:val="auto"/>
        </w:rPr>
      </w:pPr>
    </w:p>
    <w:p>
      <w:pPr>
        <w:ind w:right="940"/>
        <w:spacing w:after="0" w:line="258" w:lineRule="auto"/>
        <w:rPr>
          <w:sz w:val="20"/>
          <w:szCs w:val="20"/>
          <w:color w:val="auto"/>
        </w:rPr>
      </w:pPr>
      <w:r>
        <w:rPr>
          <w:rFonts w:ascii="Arial" w:cs="Arial" w:eastAsia="Arial" w:hAnsi="Arial"/>
          <w:sz w:val="18"/>
          <w:szCs w:val="18"/>
          <w:color w:val="auto"/>
        </w:rPr>
        <w:t>Proceeds from the sale and issuance of First Mortgage Bonds in private placement offerings and/or through the New Jersey Economic Development Authority; and</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hanging="328"/>
        <w:spacing w:after="0" w:line="209"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Proceeds from the Middlesex Water Company Investment Plan.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previously approved by the NJBPU in 2019, the Company is authorized to issue and sell up to 0.7 million shares of its common stock in one or more transactions through December 31, 2022.</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2020.</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gridSpan w:val="8"/>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10.19(b)</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w w:val="92"/>
              </w:rPr>
              <w:t>Promissory Note and Supplement, dated March 29, 2021, between Tidewater Utilities, Inc. and CoBank, ACB; Amendment to Combination</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w w:val="93"/>
              </w:rPr>
              <w:t>Water Utility Real Estate Mortgage and Security Agreement, effective March 29,2021, between Tidewater Utilities, Inc. and CoBank, ACB</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10.29(b)</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w w:val="90"/>
              </w:rPr>
              <w:t>Amendment to Loan Documents between the Company, Pinelands Wastewater Company, Tidewater Environmental Services, Inc., Tidewater</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w w:val="94"/>
              </w:rPr>
              <w:t>Utilities, Inc., Utility Service Affiliates (Perth Amboy) Inc., Utility Service Affiliates Inc. and While Marsh Environmental Systems, Inc., and</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PNC Bank, N.A.</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Section 302 Certification by A. Bruce O’Connor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Section 906 Certification by Dennis W. Doll pursuant to 18 U.S.C. §1350, as adopted pursuant to Section 302 of the Sarbanes-Oxley Act of</w:t>
              </w:r>
            </w:hyperlink>
          </w:p>
        </w:tc>
        <w:tc>
          <w:tcPr>
            <w:tcW w:w="16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7">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Section 906 Certification by A. Bruce O’Connor pursuant to 18 U.S.C. §1350, as adopted pursuant to Section 302 of the Sarbanes-Oxley Act</w:t>
              </w:r>
            </w:hyperlink>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of 2002.</w:t>
              </w:r>
            </w:hyperlink>
          </w:p>
        </w:tc>
        <w:tc>
          <w:tcPr>
            <w:tcW w:w="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20" w:type="dxa"/>
            <w:vAlign w:val="bottom"/>
            <w:gridSpan w:val="5"/>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020" w:right="100" w:hanging="101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/s/A. Bruce O’Connor</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Senior Vice President, Treasurer and</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auto"/>
        </w:rPr>
        <w:t>Exhibit 10.19(b)</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Loan No. RX0024T10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PROMISSORY NOTE AND SUPPLEMENT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(Multiple Advance Term Loan)</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THIS PROMISSORY NOTE AND SUPPLEMENT </w:t>
      </w:r>
      <w:r>
        <w:rPr>
          <w:rFonts w:ascii="Arial" w:cs="Arial" w:eastAsia="Arial" w:hAnsi="Arial"/>
          <w:sz w:val="21"/>
          <w:szCs w:val="21"/>
          <w:color w:val="auto"/>
        </w:rPr>
        <w:t>(this “</w:t>
      </w:r>
      <w:r>
        <w:rPr>
          <w:rFonts w:ascii="Arial" w:cs="Arial" w:eastAsia="Arial" w:hAnsi="Arial"/>
          <w:sz w:val="21"/>
          <w:szCs w:val="21"/>
          <w:u w:val="single" w:color="auto"/>
          <w:color w:val="auto"/>
        </w:rPr>
        <w:t>Promissory Note and Supplement</w:t>
      </w:r>
      <w:r>
        <w:rPr>
          <w:rFonts w:ascii="Arial" w:cs="Arial" w:eastAsia="Arial" w:hAnsi="Arial"/>
          <w:sz w:val="21"/>
          <w:szCs w:val="21"/>
          <w:color w:val="auto"/>
        </w:rPr>
        <w:t>”) is entered into as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March 29, 2021 between </w:t>
      </w:r>
      <w:r>
        <w:rPr>
          <w:rFonts w:ascii="Arial" w:cs="Arial" w:eastAsia="Arial" w:hAnsi="Arial"/>
          <w:sz w:val="21"/>
          <w:szCs w:val="21"/>
          <w:b w:val="1"/>
          <w:bCs w:val="1"/>
          <w:color w:val="auto"/>
        </w:rPr>
        <w:t>TIDEWATER UTILITIES, INC.</w:t>
      </w:r>
      <w:r>
        <w:rPr>
          <w:rFonts w:ascii="Arial" w:cs="Arial" w:eastAsia="Arial" w:hAnsi="Arial"/>
          <w:sz w:val="21"/>
          <w:szCs w:val="21"/>
          <w:color w:val="auto"/>
        </w:rPr>
        <w:t>,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CoBANK, ACB</w:t>
      </w:r>
      <w:r>
        <w:rPr>
          <w:rFonts w:ascii="Arial" w:cs="Arial" w:eastAsia="Arial" w:hAnsi="Arial"/>
          <w:sz w:val="21"/>
          <w:szCs w:val="21"/>
          <w:color w:val="auto"/>
        </w:rPr>
        <w:t>, a federally chartered instrumentality of the United States (“</w:t>
      </w:r>
      <w:r>
        <w:rPr>
          <w:rFonts w:ascii="Arial" w:cs="Arial" w:eastAsia="Arial" w:hAnsi="Arial"/>
          <w:sz w:val="21"/>
          <w:szCs w:val="21"/>
          <w:u w:val="single" w:color="auto"/>
          <w:color w:val="auto"/>
        </w:rPr>
        <w:t>CoBank</w:t>
      </w:r>
      <w:r>
        <w:rPr>
          <w:rFonts w:ascii="Arial" w:cs="Arial" w:eastAsia="Arial" w:hAnsi="Arial"/>
          <w:sz w:val="21"/>
          <w:szCs w:val="21"/>
          <w:color w:val="auto"/>
        </w:rPr>
        <w:t>”), and supplements that certain Master Loan Agreement dated as of May 23, 2003, as amended by the Amendment dated as of September 28, 2004, the Second Amendment to Master Loan Agreement dated as of August 22, 2005 and the Third Amendment to Master Loan Agreement dated as December 1, 2015 (as further amended or restated from time to time, the “</w:t>
      </w:r>
      <w:r>
        <w:rPr>
          <w:rFonts w:ascii="Arial" w:cs="Arial" w:eastAsia="Arial" w:hAnsi="Arial"/>
          <w:sz w:val="21"/>
          <w:szCs w:val="21"/>
          <w:u w:val="single" w:color="auto"/>
          <w:color w:val="auto"/>
        </w:rPr>
        <w:t>MLA</w:t>
      </w:r>
      <w:r>
        <w:rPr>
          <w:rFonts w:ascii="Arial" w:cs="Arial" w:eastAsia="Arial" w:hAnsi="Arial"/>
          <w:sz w:val="21"/>
          <w:szCs w:val="21"/>
          <w:color w:val="auto"/>
        </w:rPr>
        <w:t>”). Capitalized terms used herein and not defined herein shall have the meanings given to those terms in the MLA.</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 The Commitment</w:t>
      </w:r>
      <w:r>
        <w:rPr>
          <w:rFonts w:ascii="Arial" w:cs="Arial" w:eastAsia="Arial" w:hAnsi="Arial"/>
          <w:sz w:val="22"/>
          <w:szCs w:val="22"/>
          <w:color w:val="auto"/>
        </w:rPr>
        <w:t>. On the terms and conditions set forth in the MLA and this Promissory Note and</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 CoBank agrees to make loans (each, a “</w:t>
      </w:r>
      <w:r>
        <w:rPr>
          <w:rFonts w:ascii="Arial" w:cs="Arial" w:eastAsia="Arial" w:hAnsi="Arial"/>
          <w:sz w:val="22"/>
          <w:szCs w:val="22"/>
          <w:u w:val="single" w:color="auto"/>
          <w:color w:val="auto"/>
        </w:rPr>
        <w:t>Loan</w:t>
      </w:r>
      <w:r>
        <w:rPr>
          <w:rFonts w:ascii="Arial" w:cs="Arial" w:eastAsia="Arial" w:hAnsi="Arial"/>
          <w:sz w:val="22"/>
          <w:szCs w:val="22"/>
          <w:color w:val="auto"/>
        </w:rPr>
        <w:t>”) to the Company from time to time during the period set forth below in an aggregate principal amount not to exceed $20,000,000 (the “</w:t>
      </w:r>
      <w:r>
        <w:rPr>
          <w:rFonts w:ascii="Arial" w:cs="Arial" w:eastAsia="Arial" w:hAnsi="Arial"/>
          <w:sz w:val="22"/>
          <w:szCs w:val="22"/>
          <w:u w:val="single" w:color="auto"/>
          <w:color w:val="auto"/>
        </w:rPr>
        <w:t>Commitment</w:t>
      </w:r>
      <w:r>
        <w:rPr>
          <w:rFonts w:ascii="Arial" w:cs="Arial" w:eastAsia="Arial" w:hAnsi="Arial"/>
          <w:sz w:val="22"/>
          <w:szCs w:val="22"/>
          <w:color w:val="auto"/>
        </w:rPr>
        <w:t>”). Under the Commitment, amounts borrowed and later repaid may not be reborrowed.</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SECTION 2. Purpose</w:t>
      </w:r>
      <w:r>
        <w:rPr>
          <w:rFonts w:ascii="Arial" w:cs="Arial" w:eastAsia="Arial" w:hAnsi="Arial"/>
          <w:sz w:val="21"/>
          <w:szCs w:val="21"/>
          <w:color w:val="auto"/>
        </w:rPr>
        <w:t>. The purpose of the Commitment is to: (A) refinance the outstanding principal balance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loans made by CoBank to the Company from time to time under that certain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and a Fourth Amendment to Promissory Note and Supplement dated as of August 19, 2020 (the “</w:t>
      </w:r>
      <w:r>
        <w:rPr>
          <w:rFonts w:ascii="Arial" w:cs="Arial" w:eastAsia="Arial" w:hAnsi="Arial"/>
          <w:sz w:val="21"/>
          <w:szCs w:val="21"/>
          <w:u w:val="single" w:color="auto"/>
          <w:color w:val="auto"/>
        </w:rPr>
        <w:t>Revolving Term Loan</w:t>
      </w:r>
      <w:r>
        <w:rPr>
          <w:rFonts w:ascii="Arial" w:cs="Arial" w:eastAsia="Arial" w:hAnsi="Arial"/>
          <w:sz w:val="21"/>
          <w:szCs w:val="21"/>
          <w:color w:val="auto"/>
        </w:rPr>
        <w:t>”); (B) refinance debt of the Company to Middlesex Water Company (“</w:t>
      </w:r>
      <w:r>
        <w:rPr>
          <w:rFonts w:ascii="Arial" w:cs="Arial" w:eastAsia="Arial" w:hAnsi="Arial"/>
          <w:sz w:val="21"/>
          <w:szCs w:val="21"/>
          <w:u w:val="single" w:color="auto"/>
          <w:color w:val="auto"/>
        </w:rPr>
        <w:t>Middlesex Water</w:t>
      </w:r>
      <w:r>
        <w:rPr>
          <w:rFonts w:ascii="Arial" w:cs="Arial" w:eastAsia="Arial" w:hAnsi="Arial"/>
          <w:sz w:val="21"/>
          <w:szCs w:val="21"/>
          <w:color w:val="auto"/>
        </w:rPr>
        <w:t>”) that was incurred to finance capital expenditures; and (C) finance additional capital expenditures.</w:t>
      </w:r>
    </w:p>
    <w:p>
      <w:pPr>
        <w:spacing w:after="0" w:line="17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SECTION 3. Term of Commitment</w:t>
      </w:r>
      <w:r>
        <w:rPr>
          <w:rFonts w:ascii="Arial" w:cs="Arial" w:eastAsia="Arial" w:hAnsi="Arial"/>
          <w:sz w:val="22"/>
          <w:szCs w:val="22"/>
          <w:color w:val="auto"/>
        </w:rPr>
        <w:t>. The term of the Commitment shall be from the date hereof up to and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29, 2021, or such later date as CoBank may, in its sole discretion, authorize in writing.</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SECTION 4. Availability</w:t>
      </w:r>
      <w:r>
        <w:rPr>
          <w:rFonts w:ascii="Arial" w:cs="Arial" w:eastAsia="Arial" w:hAnsi="Arial"/>
          <w:sz w:val="22"/>
          <w:szCs w:val="22"/>
          <w:color w:val="auto"/>
        </w:rPr>
        <w:t>. Notwithstanding Section 2 of the MLA: (A) Loans will be made available upon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request in form and content prescribed by CoBank (the “</w:t>
      </w:r>
      <w:r>
        <w:rPr>
          <w:rFonts w:ascii="Arial" w:cs="Arial" w:eastAsia="Arial" w:hAnsi="Arial"/>
          <w:sz w:val="22"/>
          <w:szCs w:val="22"/>
          <w:u w:val="single" w:color="auto"/>
          <w:color w:val="auto"/>
        </w:rPr>
        <w:t>Request for Loan</w:t>
      </w:r>
      <w:r>
        <w:rPr>
          <w:rFonts w:ascii="Arial" w:cs="Arial" w:eastAsia="Arial" w:hAnsi="Arial"/>
          <w:sz w:val="22"/>
          <w:szCs w:val="22"/>
          <w:color w:val="auto"/>
        </w:rPr>
        <w:t>”); (B) (C) Loans to be made for the purpose of refinancing the Revolving Term Loan will be made by CoBank retaining the proceeds of the Loans and applying them against the unpaid principal balance of the Revolving Term Loan; and (C) Loans to be made for the purpose of refinancing the Company’s existing indebtedness owed to Middlesex Water will be made by wire transfer of immediately available funds directly to Middlesex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Interest</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6" w:lineRule="auto"/>
        <w:tabs>
          <w:tab w:leader="none" w:pos="181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Rate Options</w:t>
      </w:r>
      <w:r>
        <w:rPr>
          <w:rFonts w:ascii="Arial" w:cs="Arial" w:eastAsia="Arial" w:hAnsi="Arial"/>
          <w:sz w:val="22"/>
          <w:szCs w:val="22"/>
          <w:color w:val="auto"/>
        </w:rPr>
        <w:t>. The Company agrees to pay interest on the unpaid balance of the Loans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one or more of the following interest rate options, as selected by the Company:</w:t>
      </w:r>
    </w:p>
    <w:p>
      <w:pPr>
        <w:spacing w:after="0" w:line="162" w:lineRule="exact"/>
        <w:rPr>
          <w:rFonts w:ascii="Arial" w:cs="Arial" w:eastAsia="Arial" w:hAnsi="Arial"/>
          <w:sz w:val="22"/>
          <w:szCs w:val="22"/>
          <w:b w:val="1"/>
          <w:bCs w:val="1"/>
          <w:color w:val="auto"/>
        </w:rPr>
      </w:pPr>
    </w:p>
    <w:p>
      <w:pPr>
        <w:jc w:val="both"/>
        <w:ind w:firstLine="1952"/>
        <w:spacing w:after="0" w:line="254" w:lineRule="auto"/>
        <w:tabs>
          <w:tab w:leader="none" w:pos="2408" w:val="left"/>
        </w:tabs>
        <w:numPr>
          <w:ilvl w:val="1"/>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Weekly Variable Rate Option</w:t>
      </w:r>
      <w:r>
        <w:rPr>
          <w:rFonts w:ascii="Arial" w:cs="Arial" w:eastAsia="Arial" w:hAnsi="Arial"/>
          <w:sz w:val="21"/>
          <w:szCs w:val="21"/>
          <w:color w:val="auto"/>
        </w:rPr>
        <w:t>. At a rate per annum equal to the rate of interest established by</w:t>
      </w:r>
      <w:r>
        <w:rPr>
          <w:rFonts w:ascii="Arial" w:cs="Arial" w:eastAsia="Arial" w:hAnsi="Arial"/>
          <w:sz w:val="21"/>
          <w:szCs w:val="21"/>
          <w:b w:val="1"/>
          <w:bCs w:val="1"/>
          <w:color w:val="auto"/>
        </w:rPr>
        <w:t xml:space="preserve"> </w:t>
      </w:r>
      <w:r>
        <w:rPr>
          <w:rFonts w:ascii="Arial" w:cs="Arial" w:eastAsia="Arial" w:hAnsi="Arial"/>
          <w:sz w:val="21"/>
          <w:szCs w:val="21"/>
          <w:color w:val="auto"/>
        </w:rPr>
        <w:t>CoBank on the first Business Day of each week (the “</w:t>
      </w:r>
      <w:r>
        <w:rPr>
          <w:rFonts w:ascii="Arial" w:cs="Arial" w:eastAsia="Arial" w:hAnsi="Arial"/>
          <w:sz w:val="21"/>
          <w:szCs w:val="21"/>
          <w:u w:val="single" w:color="auto"/>
          <w:color w:val="auto"/>
        </w:rPr>
        <w:t>Variable Rate Option</w:t>
      </w:r>
      <w:r>
        <w:rPr>
          <w:rFonts w:ascii="Arial" w:cs="Arial" w:eastAsia="Arial" w:hAnsi="Arial"/>
          <w:sz w:val="21"/>
          <w:szCs w:val="21"/>
          <w:color w:val="auto"/>
        </w:rPr>
        <w:t>”). The rate established by CoBank shall be effective until the first Business Day of the next week. Each change in the rate shall be applicable to all balances subject to this option and information about the then current rate shall be made available upon telephonic request.</w:t>
      </w:r>
    </w:p>
    <w:p>
      <w:pPr>
        <w:spacing w:after="0" w:line="165" w:lineRule="exact"/>
        <w:rPr>
          <w:rFonts w:ascii="Arial" w:cs="Arial" w:eastAsia="Arial" w:hAnsi="Arial"/>
          <w:sz w:val="21"/>
          <w:szCs w:val="21"/>
          <w:b w:val="1"/>
          <w:bCs w:val="1"/>
          <w:color w:val="auto"/>
        </w:rPr>
      </w:pPr>
    </w:p>
    <w:p>
      <w:pPr>
        <w:jc w:val="both"/>
        <w:ind w:firstLine="1952"/>
        <w:spacing w:after="0" w:line="280" w:lineRule="auto"/>
        <w:tabs>
          <w:tab w:leader="none" w:pos="2412" w:val="left"/>
        </w:tabs>
        <w:numPr>
          <w:ilvl w:val="1"/>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Quoted Rate Option</w:t>
      </w:r>
      <w:r>
        <w:rPr>
          <w:rFonts w:ascii="Arial" w:cs="Arial" w:eastAsia="Arial" w:hAnsi="Arial"/>
          <w:sz w:val="19"/>
          <w:szCs w:val="19"/>
          <w:color w:val="auto"/>
        </w:rPr>
        <w:t>. At a fixed rate per annum to be quoted by CoBank in its sole discretion in each</w:t>
      </w:r>
      <w:r>
        <w:rPr>
          <w:rFonts w:ascii="Arial" w:cs="Arial" w:eastAsia="Arial" w:hAnsi="Arial"/>
          <w:sz w:val="19"/>
          <w:szCs w:val="19"/>
          <w:b w:val="1"/>
          <w:bCs w:val="1"/>
          <w:color w:val="auto"/>
        </w:rPr>
        <w:t xml:space="preserve"> </w:t>
      </w:r>
      <w:r>
        <w:rPr>
          <w:rFonts w:ascii="Arial" w:cs="Arial" w:eastAsia="Arial" w:hAnsi="Arial"/>
          <w:sz w:val="19"/>
          <w:szCs w:val="19"/>
          <w:color w:val="auto"/>
        </w:rPr>
        <w:t>instance (the “</w:t>
      </w:r>
      <w:r>
        <w:rPr>
          <w:rFonts w:ascii="Arial" w:cs="Arial" w:eastAsia="Arial" w:hAnsi="Arial"/>
          <w:sz w:val="19"/>
          <w:szCs w:val="19"/>
          <w:u w:val="single" w:color="auto"/>
          <w:color w:val="auto"/>
        </w:rPr>
        <w:t>Quoted Fixed Rate Option</w:t>
      </w:r>
      <w:r>
        <w:rPr>
          <w:rFonts w:ascii="Arial" w:cs="Arial" w:eastAsia="Arial" w:hAnsi="Arial"/>
          <w:sz w:val="19"/>
          <w:szCs w:val="19"/>
          <w:color w:val="auto"/>
        </w:rPr>
        <w:t>”). Under this option, rates may be fixed on such balances and for such periods (each, a “</w:t>
      </w:r>
      <w:r>
        <w:rPr>
          <w:rFonts w:ascii="Arial" w:cs="Arial" w:eastAsia="Arial" w:hAnsi="Arial"/>
          <w:sz w:val="19"/>
          <w:szCs w:val="19"/>
          <w:u w:val="single" w:color="auto"/>
          <w:color w:val="auto"/>
        </w:rPr>
        <w:t>Quoted Fixed Rate Period</w:t>
      </w:r>
      <w:r>
        <w:rPr>
          <w:rFonts w:ascii="Arial" w:cs="Arial" w:eastAsia="Arial" w:hAnsi="Arial"/>
          <w:sz w:val="19"/>
          <w:szCs w:val="19"/>
          <w:color w:val="auto"/>
        </w:rPr>
        <w:t>”) as may be agreeable to CoBank in its sole discretion in each instance, provided that: (1) rates may not be fixed for Quoted Fixed Rate Periods of less than one year; (2) unless the Company fixes the rate of interest on the entire amount of the Loans, rates may only be fixed on balances not less than $100,000.00; and (3) the maximum number of balances that may be subject to this option at any one time shall be five (5).</w:t>
      </w:r>
    </w:p>
    <w:p>
      <w:pPr>
        <w:spacing w:after="0" w:line="144" w:lineRule="exact"/>
        <w:rPr>
          <w:rFonts w:ascii="Arial" w:cs="Arial" w:eastAsia="Arial" w:hAnsi="Arial"/>
          <w:sz w:val="19"/>
          <w:szCs w:val="19"/>
          <w:b w:val="1"/>
          <w:bCs w:val="1"/>
          <w:color w:val="auto"/>
        </w:rPr>
      </w:pPr>
    </w:p>
    <w:p>
      <w:pPr>
        <w:ind w:left="2420" w:hanging="468"/>
        <w:spacing w:after="0"/>
        <w:tabs>
          <w:tab w:leader="none" w:pos="2420" w:val="left"/>
        </w:tabs>
        <w:numPr>
          <w:ilvl w:val="1"/>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LIBOR Option</w:t>
      </w:r>
      <w:r>
        <w:rPr>
          <w:rFonts w:ascii="Arial" w:cs="Arial" w:eastAsia="Arial" w:hAnsi="Arial"/>
          <w:sz w:val="21"/>
          <w:szCs w:val="21"/>
          <w:color w:val="auto"/>
        </w:rPr>
        <w:t>. At a fixed rate per annum equal to LIBOR (as hereinafter defined) plus 1.30%.</w:t>
      </w:r>
    </w:p>
    <w:p>
      <w:pPr>
        <w:spacing w:after="0" w:line="25" w:lineRule="exact"/>
        <w:rPr>
          <w:rFonts w:ascii="Arial" w:cs="Arial" w:eastAsia="Arial" w:hAnsi="Arial"/>
          <w:sz w:val="21"/>
          <w:szCs w:val="21"/>
          <w:b w:val="1"/>
          <w:bCs w:val="1"/>
          <w:color w:val="auto"/>
        </w:rPr>
      </w:pPr>
    </w:p>
    <w:p>
      <w:pPr>
        <w:jc w:val="both"/>
        <w:spacing w:after="0" w:line="269" w:lineRule="auto"/>
        <w:rPr>
          <w:rFonts w:ascii="Arial" w:cs="Arial" w:eastAsia="Arial" w:hAnsi="Arial"/>
          <w:sz w:val="21"/>
          <w:szCs w:val="21"/>
          <w:b w:val="1"/>
          <w:bCs w:val="1"/>
          <w:color w:val="auto"/>
        </w:rPr>
      </w:pPr>
      <w:r>
        <w:rPr>
          <w:rFonts w:ascii="Arial" w:cs="Arial" w:eastAsia="Arial" w:hAnsi="Arial"/>
          <w:sz w:val="19"/>
          <w:szCs w:val="19"/>
          <w:color w:val="auto"/>
        </w:rPr>
        <w:t>Under this option: (1) rates may be fixed for Interest Periods (as hereinafter defined) of 1, 2, 3, 6 or 12 months, as selected by the Company; (2) amounts may be fixed in an amount not less than $100,000.00; (3) the maximum number of fixes in place at any one time will be five; (4) rates may only be fixed on a Banking Day (as hereinafter defined) on three Banking Days’ prior written notice, and (5) no Interest Period will end later than the maturity date of the Loans as may be extended from time to time. For purposes hereof: (a) “</w:t>
      </w:r>
      <w:r>
        <w:rPr>
          <w:rFonts w:ascii="Arial" w:cs="Arial" w:eastAsia="Arial" w:hAnsi="Arial"/>
          <w:sz w:val="19"/>
          <w:szCs w:val="19"/>
          <w:u w:val="single" w:color="auto"/>
          <w:color w:val="auto"/>
        </w:rPr>
        <w:t>LIBOR</w:t>
      </w:r>
      <w:r>
        <w:rPr>
          <w:rFonts w:ascii="Arial" w:cs="Arial" w:eastAsia="Arial" w:hAnsi="Arial"/>
          <w:sz w:val="19"/>
          <w:szCs w:val="19"/>
          <w:color w:val="auto"/>
        </w:rPr>
        <w:t>” means the higher of: (i) zero percent (0.000%); or (ii) the rate (rounded upward to the nearest 1/100th and adjusted for reserves required on Eurocurrency Liabilities (as hereinafter defined) for banks subject to FRB Regulation D (as hereinafter defined) or required by any other federal law or regulation) reported at 11:00 a.m. London time two Banking Days before the commencement of the Interest Period for the offering of U.S. dollar deposits in the London interbank market for the Interest Period designated by the Company, by Bloomberg Information Services (or any successor or substitute service providing rate quotations comparable to those currently provided by such service, as determined by CoBank from time to time, for the purpose of providing quotations of interest rates applicable to dollar deposits in the London interbank market); (b) “</w:t>
      </w:r>
      <w:r>
        <w:rPr>
          <w:rFonts w:ascii="Arial" w:cs="Arial" w:eastAsia="Arial" w:hAnsi="Arial"/>
          <w:sz w:val="19"/>
          <w:szCs w:val="19"/>
          <w:u w:val="single" w:color="auto"/>
          <w:color w:val="auto"/>
        </w:rPr>
        <w:t>Banking Day</w:t>
      </w:r>
      <w:r>
        <w:rPr>
          <w:rFonts w:ascii="Arial" w:cs="Arial" w:eastAsia="Arial" w:hAnsi="Arial"/>
          <w:sz w:val="19"/>
          <w:szCs w:val="19"/>
          <w:color w:val="auto"/>
        </w:rPr>
        <w:t>” means a day on which CoBank is open for business, dealings in U.S. dollar deposits are being carried out in the London interbank market, and banks are open for business in New York City and London, England; (c) “</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a period commencing on the date this option is to take effect and ending on the numerically corresponding day in the month that is 1, 2, 3, 6 or 12 months thereafter, as the case may be; provided, however, that: (i) in the event such ending day is not a Banking Day, such period will be extended to the next Banking Day unless such next Banking Day falls in the next calendar month, in which case it will end on the preceding Banking Day; and (ii) if there is no numerically corresponding day in the month, then such period will end on the last Banking Day in the relevant month; (d) “</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will have meaning as set forth in FRB</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spacing w:after="0" w:line="250" w:lineRule="auto"/>
        <w:rPr>
          <w:sz w:val="20"/>
          <w:szCs w:val="20"/>
          <w:color w:val="auto"/>
        </w:rPr>
      </w:pPr>
      <w:r>
        <w:rPr>
          <w:rFonts w:ascii="Arial" w:cs="Arial" w:eastAsia="Arial" w:hAnsi="Arial"/>
          <w:sz w:val="22"/>
          <w:szCs w:val="22"/>
          <w:color w:val="auto"/>
        </w:rPr>
        <w:t>Regulation D; and (e) “</w:t>
      </w:r>
      <w:r>
        <w:rPr>
          <w:rFonts w:ascii="Arial" w:cs="Arial" w:eastAsia="Arial" w:hAnsi="Arial"/>
          <w:sz w:val="22"/>
          <w:szCs w:val="22"/>
          <w:u w:val="single" w:color="auto"/>
          <w:color w:val="auto"/>
        </w:rPr>
        <w:t>FRB Regulation D</w:t>
      </w:r>
      <w:r>
        <w:rPr>
          <w:rFonts w:ascii="Arial" w:cs="Arial" w:eastAsia="Arial" w:hAnsi="Arial"/>
          <w:sz w:val="22"/>
          <w:szCs w:val="22"/>
          <w:color w:val="auto"/>
        </w:rPr>
        <w:t>” means Regulation D as promulgated by the Board of Governors of the Federal Reserve System, 12 CFR Part 204, as amended.</w:t>
      </w:r>
    </w:p>
    <w:p>
      <w:pPr>
        <w:spacing w:after="0" w:line="169" w:lineRule="exact"/>
        <w:rPr>
          <w:sz w:val="20"/>
          <w:szCs w:val="20"/>
          <w:color w:val="auto"/>
        </w:rPr>
      </w:pPr>
    </w:p>
    <w:p>
      <w:pPr>
        <w:jc w:val="both"/>
        <w:ind w:firstLine="1304"/>
        <w:spacing w:after="0" w:line="272" w:lineRule="auto"/>
        <w:tabs>
          <w:tab w:leader="none" w:pos="18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Elections</w:t>
      </w:r>
      <w:r>
        <w:rPr>
          <w:rFonts w:ascii="Arial" w:cs="Arial" w:eastAsia="Arial" w:hAnsi="Arial"/>
          <w:sz w:val="19"/>
          <w:szCs w:val="19"/>
          <w:color w:val="auto"/>
        </w:rPr>
        <w:t>. Subject to the limitations set forth above, the Company: (1) shall select the applicable rate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at the time it requests a Loan; (2) may, on any Business Day, elect to convert balances bearing interest at the Variable Rate Option to the Quoted Fixed Rate Option; (3) may, on the last day of any Quoted Fixed Rate Period, elect to refix the rate under the Quoted Fixed Rate Option or convert the balance to the Variable Rate Option; (4) may, on the last day of any Interest Period, elect to convert balances bearing interest at the LIBOR Option to the Variable Rate Option or Quoted Fixed Rate Option; and (5) may, on three Banking Days’ prior notice, elect to convert balances bearing interest at the Variable Rate Option or the Quoted Fixed Rate Option to the LIBOR Option or refix a rate under the LIBOR Option; provided, however, that balances bearing interest at the Quoted Fixed Rate Option or the LIBOR Option may not be converted to or continued under the LIBOR Option until the last day of the Quoted Fixed Rate Period or Interest Period applicable thereto. In the absence of an election provided for herein, the Company shall be deemed to have elected the Variable Rate Option. All elections provided for herein may be made telephonically, in writing, or, if agreed to in a separate agreement, electronically, and must be received by 12:00 noon Company’s local time on the applicable day. Any election made telephonically, shall be promptly confirmed in writing if so requested by CoBank. Notwithstanding the foregoing, while a Default or Event of Default exists the Company may not fix rates under the Quoted Fixed Rate or LIBOR Options.</w:t>
      </w:r>
    </w:p>
    <w:p>
      <w:pPr>
        <w:spacing w:after="0" w:line="398" w:lineRule="exact"/>
        <w:rPr>
          <w:rFonts w:ascii="Arial" w:cs="Arial" w:eastAsia="Arial" w:hAnsi="Arial"/>
          <w:sz w:val="19"/>
          <w:szCs w:val="19"/>
          <w:b w:val="1"/>
          <w:bCs w:val="1"/>
          <w:color w:val="auto"/>
        </w:rPr>
      </w:pPr>
    </w:p>
    <w:p>
      <w:pPr>
        <w:jc w:val="both"/>
        <w:ind w:firstLine="1304"/>
        <w:spacing w:after="0" w:line="274" w:lineRule="auto"/>
        <w:tabs>
          <w:tab w:leader="none" w:pos="1812"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Calculation and Payment</w:t>
      </w:r>
      <w:r>
        <w:rPr>
          <w:rFonts w:ascii="Arial" w:cs="Arial" w:eastAsia="Arial" w:hAnsi="Arial"/>
          <w:sz w:val="19"/>
          <w:szCs w:val="19"/>
          <w:color w:val="auto"/>
        </w:rPr>
        <w:t>. Interest shall be calculated on the actual number of days the Loans are</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on the basis of a year consisting of 360 days. In calculating interest, the date each Loan is made shall be included and the date each Loan is repaid shall, if received before 3:00 P.M. Mountain time, be excluded. Interest shall be: (1) calculated monthly in arrears as of the last day of each month and on the final maturity date of the Loans; and (2) due and payable on the</w:t>
      </w:r>
    </w:p>
    <w:p>
      <w:pPr>
        <w:spacing w:after="0" w:line="3" w:lineRule="exact"/>
        <w:rPr>
          <w:sz w:val="20"/>
          <w:szCs w:val="20"/>
          <w:color w:val="auto"/>
        </w:rPr>
      </w:pPr>
    </w:p>
    <w:p>
      <w:pPr>
        <w:jc w:val="both"/>
        <w:spacing w:after="0" w:line="209" w:lineRule="auto"/>
        <w:rPr>
          <w:sz w:val="20"/>
          <w:szCs w:val="20"/>
          <w:color w:val="auto"/>
        </w:rPr>
      </w:pPr>
      <w:r>
        <w:rPr>
          <w:rFonts w:ascii="Arial" w:cs="Arial" w:eastAsia="Arial" w:hAnsi="Arial"/>
          <w:sz w:val="22"/>
          <w:szCs w:val="22"/>
          <w:color w:val="auto"/>
        </w:rPr>
        <w:t>20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the following month and on the final maturity date of the Loans. Notwithstanding the foregoing, at CoBank’s option, interest on balances bearing interest at the LIBOR Option shall be payable on the last day of the Interest Period or, in the case of Interest Periods of longer than three months, at three month intervals.</w:t>
      </w:r>
    </w:p>
    <w:p>
      <w:pPr>
        <w:spacing w:after="0" w:line="179" w:lineRule="exact"/>
        <w:rPr>
          <w:sz w:val="20"/>
          <w:szCs w:val="20"/>
          <w:color w:val="auto"/>
        </w:rPr>
      </w:pPr>
    </w:p>
    <w:p>
      <w:pPr>
        <w:jc w:val="both"/>
        <w:ind w:firstLine="1304"/>
        <w:spacing w:after="0" w:line="245" w:lineRule="auto"/>
        <w:tabs>
          <w:tab w:leader="none" w:pos="1800"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Provisions Regarding the LIBOR Option</w:t>
      </w:r>
      <w:r>
        <w:rPr>
          <w:rFonts w:ascii="Arial" w:cs="Arial" w:eastAsia="Arial" w:hAnsi="Arial"/>
          <w:sz w:val="21"/>
          <w:szCs w:val="21"/>
          <w:color w:val="auto"/>
        </w:rPr>
        <w:t>. If at any time the generally recognized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of interest rates offered for U.S. dollars on the London interbank market (a “</w:t>
      </w:r>
      <w:r>
        <w:rPr>
          <w:rFonts w:ascii="Arial" w:cs="Arial" w:eastAsia="Arial" w:hAnsi="Arial"/>
          <w:sz w:val="21"/>
          <w:szCs w:val="21"/>
          <w:u w:val="single" w:color="auto"/>
          <w:color w:val="auto"/>
        </w:rPr>
        <w:t>LIBOR Rate</w:t>
      </w:r>
      <w:r>
        <w:rPr>
          <w:rFonts w:ascii="Arial" w:cs="Arial" w:eastAsia="Arial" w:hAnsi="Arial"/>
          <w:sz w:val="21"/>
          <w:szCs w:val="21"/>
          <w:color w:val="auto"/>
        </w:rPr>
        <w:t>”) ceases to provide quotations for LIBOR Rates, or if such administrator or any person having authority over such administrator or with respect to LIBOR Rates generally announces that LIBOR Rates will cease to be provided within a period not exceeding 90 days, or if CoBank otherwise determines that LIBOR Rates have been, or are likely within a period not exceeding 90 days to be, discontinued, or that LIBOR Rates do not, or are likely within a period not exceeding 90 days not to, adequately and fairly reflect the cost to CoBank of making or maintaining loans hereunder, then CoBank may, after consultation with but without the consent of the Company, amend this Promissory Note and Supplement and any other Loan Document to (1) replace any interest rate in this Promissory Note and Supplement based upon the LIBOR Rate with a replacement benchmark rate deemed appropriate by CoBank in good faith and in its sole discretion, (2) adjust the margins applicable to the determination of interest rates under this Promissory Note and Supplement (whether up or down) as deemed appropriate by CoBank in good faith and in its sole discretion to compensate for differences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1" w:name="page32"/>
    <w:bookmarkEnd w:id="31"/>
    <w:p>
      <w:pPr>
        <w:jc w:val="both"/>
        <w:spacing w:after="0" w:line="287" w:lineRule="auto"/>
        <w:rPr>
          <w:sz w:val="20"/>
          <w:szCs w:val="20"/>
          <w:color w:val="auto"/>
        </w:rPr>
      </w:pPr>
      <w:r>
        <w:rPr>
          <w:rFonts w:ascii="Arial" w:cs="Arial" w:eastAsia="Arial" w:hAnsi="Arial"/>
          <w:sz w:val="19"/>
          <w:szCs w:val="19"/>
          <w:color w:val="auto"/>
        </w:rPr>
        <w:t>between the LIBOR Rate and such replacement benchmark rate, and (3) after consultation with but without the consent of the Company, effect such other technical, administrative and operational changes to the Loan Documents as CoBank in good faith and in its sole discretion deems appropriate to reflect the adoption and implementation of such replacement rate. CoBank shall give the Company not less than five days’ notice of any such amendment prior to the effective date thereof.</w:t>
      </w:r>
    </w:p>
    <w:p>
      <w:pPr>
        <w:spacing w:after="0" w:line="14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Notwithstanding the foregoing paragraph, if prior to the commencement of any Interest Period proposed to be subject to a LIBOR Rate, CoBank determines (which determination shall be conclusive and binding absent manifest error) that:</w:t>
      </w:r>
    </w:p>
    <w:p>
      <w:pPr>
        <w:spacing w:after="0" w:line="1" w:lineRule="exact"/>
        <w:rPr>
          <w:sz w:val="20"/>
          <w:szCs w:val="20"/>
          <w:color w:val="auto"/>
        </w:rPr>
      </w:pPr>
    </w:p>
    <w:p>
      <w:pPr>
        <w:jc w:val="both"/>
        <w:ind w:firstLine="8"/>
        <w:spacing w:after="0" w:line="243" w:lineRule="auto"/>
        <w:tabs>
          <w:tab w:leader="none" w:pos="307" w:val="left"/>
        </w:tabs>
        <w:numPr>
          <w:ilvl w:val="0"/>
          <w:numId w:val="16"/>
        </w:numPr>
        <w:rPr>
          <w:rFonts w:ascii="Arial" w:cs="Arial" w:eastAsia="Arial" w:hAnsi="Arial"/>
          <w:sz w:val="21"/>
          <w:szCs w:val="21"/>
          <w:color w:val="auto"/>
        </w:rPr>
      </w:pPr>
      <w:r>
        <w:rPr>
          <w:rFonts w:ascii="Arial" w:cs="Arial" w:eastAsia="Arial" w:hAnsi="Arial"/>
          <w:sz w:val="21"/>
          <w:szCs w:val="21"/>
          <w:color w:val="auto"/>
        </w:rPr>
        <w:t>either dollar deposits are not being offered to banks in the London interbank market or that adequate and reasonable means do not exist for ascertaining a LIBOR Rate for such Interest Period; or (2) a LIBOR Rate for such Interest Period will not adequately and fairly reflect the cost to CoBank of making or maintaining the loans for such Interest Period; then CoBank shall give notice thereof to the Company as promptly as practicable thereafter and, until CoBank notifies the Company that the circumstances giving rise to such notice no longer exist, (a) any request to convert any loan to, or continue any LIBOR Rate loan at, a LIBOR Rate shall be ineffective, and (b) CoBank shall, after consultation but without the consent of the Company, select an alternate rate of interest to apply to any and all balances upon the expiration of the Interest Period applicable thereto, which rate of interest shall be commercially reasonable and generally consistent with the then-prevailing market convention, if any, for replacement of a LIBOR Rate in bilateral loan transactions.</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Fees</w:t>
      </w:r>
      <w:r>
        <w:rPr>
          <w:rFonts w:ascii="Arial" w:cs="Arial" w:eastAsia="Arial" w:hAnsi="Arial"/>
          <w:sz w:val="19"/>
          <w:szCs w:val="19"/>
          <w:color w:val="auto"/>
        </w:rPr>
        <w:t>. [Waived by CoBank]</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7. Promissory Note</w:t>
      </w:r>
      <w:r>
        <w:rPr>
          <w:rFonts w:ascii="Arial" w:cs="Arial" w:eastAsia="Arial" w:hAnsi="Arial"/>
          <w:sz w:val="22"/>
          <w:szCs w:val="22"/>
          <w:color w:val="auto"/>
        </w:rPr>
        <w:t>. The Company promises to repay the Loans to CoBank or order on September 29,</w:t>
      </w:r>
      <w:r>
        <w:rPr>
          <w:rFonts w:ascii="Arial" w:cs="Arial" w:eastAsia="Arial" w:hAnsi="Arial"/>
          <w:sz w:val="22"/>
          <w:szCs w:val="22"/>
          <w:b w:val="1"/>
          <w:bCs w:val="1"/>
          <w:color w:val="auto"/>
        </w:rPr>
        <w:t xml:space="preserve"> </w:t>
      </w:r>
      <w:r>
        <w:rPr>
          <w:rFonts w:ascii="Arial" w:cs="Arial" w:eastAsia="Arial" w:hAnsi="Arial"/>
          <w:sz w:val="22"/>
          <w:szCs w:val="22"/>
          <w:color w:val="auto"/>
        </w:rPr>
        <w:t>2046. In addition to the above, the Company promises to pay to CoBank or order interest on the unpaid principal balance of the Loans at the times and in accordance with the provisions set forth above. If any date on which principal or interest is due is not a Business Day, then such payment shall be due and payable on the next Business Day and, in the case of principal, interest shall continue to accrue on the amount thereof.</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8. Prepayment</w:t>
      </w:r>
      <w:r>
        <w:rPr>
          <w:rFonts w:ascii="Arial" w:cs="Arial" w:eastAsia="Arial" w:hAnsi="Arial"/>
          <w:sz w:val="22"/>
          <w:szCs w:val="22"/>
          <w:color w:val="auto"/>
        </w:rPr>
        <w:t>. Subject to Section 10.01 of the MLA, the Company may, on three Business Days’ prior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notice, prepay all or any portion of the Loans. Unless otherwise agreed, all prepayments will be applied to such balances, fixed or variable, as CoBank shall specify.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9. Security</w:t>
      </w:r>
      <w:r>
        <w:rPr>
          <w:rFonts w:ascii="Arial" w:cs="Arial" w:eastAsia="Arial" w:hAnsi="Arial"/>
          <w:sz w:val="22"/>
          <w:szCs w:val="22"/>
          <w:color w:val="auto"/>
        </w:rPr>
        <w:t>. The Company’s obligations hereunder and, to the extent related hereto, the MLA,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secured as provided in Section 2.04 of the MLA.</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10. Conditions Precedent</w:t>
      </w:r>
      <w:r>
        <w:rPr>
          <w:rFonts w:ascii="Arial" w:cs="Arial" w:eastAsia="Arial" w:hAnsi="Arial"/>
          <w:sz w:val="22"/>
          <w:szCs w:val="22"/>
          <w:color w:val="auto"/>
        </w:rPr>
        <w:t>. In addition to the conditions precedent set forth in the MLA, CoBank’s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make:</w:t>
      </w:r>
    </w:p>
    <w:p>
      <w:pPr>
        <w:spacing w:after="0" w:line="162" w:lineRule="exact"/>
        <w:rPr>
          <w:sz w:val="20"/>
          <w:szCs w:val="20"/>
          <w:color w:val="auto"/>
        </w:rPr>
      </w:pPr>
    </w:p>
    <w:p>
      <w:pPr>
        <w:jc w:val="both"/>
        <w:ind w:firstLine="1304"/>
        <w:spacing w:after="0" w:line="300" w:lineRule="auto"/>
        <w:tabs>
          <w:tab w:leader="none" w:pos="1812"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Initial Loan</w:t>
      </w:r>
      <w:r>
        <w:rPr>
          <w:rFonts w:ascii="Arial" w:cs="Arial" w:eastAsia="Arial" w:hAnsi="Arial"/>
          <w:sz w:val="19"/>
          <w:szCs w:val="19"/>
          <w:color w:val="auto"/>
        </w:rPr>
        <w:t>. The initial Loan to the Company hereunder is subject to the conditions precedent that CoBank</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received each of the following (which in the case of instruments or documents, must be originals, duly executed, and in form and content acceptable to CoBank): (A) an amendment to the Mortgage (the “</w:t>
      </w:r>
      <w:r>
        <w:rPr>
          <w:rFonts w:ascii="Arial" w:cs="Arial" w:eastAsia="Arial" w:hAnsi="Arial"/>
          <w:sz w:val="19"/>
          <w:szCs w:val="19"/>
          <w:u w:val="single" w:color="auto"/>
          <w:color w:val="auto"/>
        </w:rPr>
        <w:t>Mortgage Amendment</w:t>
      </w:r>
      <w:r>
        <w:rPr>
          <w:rFonts w:ascii="Arial" w:cs="Arial" w:eastAsia="Arial" w:hAnsi="Arial"/>
          <w:sz w:val="19"/>
          <w:szCs w:val="19"/>
          <w:color w:val="auto"/>
        </w:rPr>
        <w:t>”); (B) such</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2" w:name="page33"/>
    <w:bookmarkEnd w:id="32"/>
    <w:p>
      <w:pPr>
        <w:jc w:val="both"/>
        <w:spacing w:after="0" w:line="234" w:lineRule="auto"/>
        <w:rPr>
          <w:sz w:val="20"/>
          <w:szCs w:val="20"/>
          <w:color w:val="auto"/>
        </w:rPr>
      </w:pPr>
      <w:r>
        <w:rPr>
          <w:rFonts w:ascii="Arial" w:cs="Arial" w:eastAsia="Arial" w:hAnsi="Arial"/>
          <w:sz w:val="22"/>
          <w:szCs w:val="22"/>
          <w:color w:val="auto"/>
        </w:rPr>
        <w:t>evidence as CoBank shall require that the Mortgage Amendment has been recorded in all places where the Mortgage has been recorded; (C) a lien search conducted in the office of the Delaware Secretary of State showing that there are no Liens on any property of the Company other than Liens in favor of CoBank and Liens permitted under Section 6.01 of the MLA; and (D) an endorsement to the “Title Policy” (as hereinafter defined) adding this Promissory Note and Supplement to the list of debt instruments secured by the Mortgage and insured by the Title Policy. For purposes hereof, the “</w:t>
      </w:r>
      <w:r>
        <w:rPr>
          <w:rFonts w:ascii="Arial" w:cs="Arial" w:eastAsia="Arial" w:hAnsi="Arial"/>
          <w:sz w:val="22"/>
          <w:szCs w:val="22"/>
          <w:u w:val="single" w:color="auto"/>
          <w:color w:val="auto"/>
        </w:rPr>
        <w:t>Title Policy</w:t>
      </w:r>
      <w:r>
        <w:rPr>
          <w:rFonts w:ascii="Arial" w:cs="Arial" w:eastAsia="Arial" w:hAnsi="Arial"/>
          <w:sz w:val="22"/>
          <w:szCs w:val="22"/>
          <w:color w:val="auto"/>
        </w:rPr>
        <w:t>” shall mean that certain title insurance policy dated as of May 23, 2003 and issued by Stewart Title Guaranty Company, as endorsed to the date hereof.</w:t>
      </w:r>
    </w:p>
    <w:p>
      <w:pPr>
        <w:spacing w:after="0" w:line="185" w:lineRule="exact"/>
        <w:rPr>
          <w:sz w:val="20"/>
          <w:szCs w:val="20"/>
          <w:color w:val="auto"/>
        </w:rPr>
      </w:pPr>
    </w:p>
    <w:p>
      <w:pPr>
        <w:ind w:right="20" w:firstLine="1304"/>
        <w:spacing w:after="0" w:line="256" w:lineRule="auto"/>
        <w:tabs>
          <w:tab w:leader="none" w:pos="18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Each Loan</w:t>
      </w:r>
      <w:r>
        <w:rPr>
          <w:rFonts w:ascii="Arial" w:cs="Arial" w:eastAsia="Arial" w:hAnsi="Arial"/>
          <w:sz w:val="22"/>
          <w:szCs w:val="22"/>
          <w:color w:val="auto"/>
        </w:rPr>
        <w:t>. Each Loan to the Company (including the initial Loan) is subject to the condition precedent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CoBank receive a duly completed and executed Request for Loan.</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SECTION 11. Representations and Warranties</w:t>
      </w:r>
      <w:r>
        <w:rPr>
          <w:rFonts w:ascii="Arial" w:cs="Arial" w:eastAsia="Arial" w:hAnsi="Arial"/>
          <w:sz w:val="21"/>
          <w:szCs w:val="21"/>
          <w:color w:val="auto"/>
        </w:rPr>
        <w:t>. In addition to the representations and warranties set forth in the</w:t>
      </w:r>
      <w:r>
        <w:rPr>
          <w:rFonts w:ascii="Arial" w:cs="Arial" w:eastAsia="Arial" w:hAnsi="Arial"/>
          <w:sz w:val="21"/>
          <w:szCs w:val="21"/>
          <w:b w:val="1"/>
          <w:bCs w:val="1"/>
          <w:color w:val="auto"/>
        </w:rPr>
        <w:t xml:space="preserve"> </w:t>
      </w:r>
      <w:r>
        <w:rPr>
          <w:rFonts w:ascii="Arial" w:cs="Arial" w:eastAsia="Arial" w:hAnsi="Arial"/>
          <w:sz w:val="21"/>
          <w:szCs w:val="21"/>
          <w:color w:val="auto"/>
        </w:rPr>
        <w:t>MLA, the Company represents and warrants to CoBank that Appendix B to the Mortgage (as amended) sets forth all real property and interests in real property of the Company as of the date hereof, including without limitation, all real property on or under which the Company has a well, water treatment plant, or water storage facility.</w:t>
      </w:r>
    </w:p>
    <w:p>
      <w:pPr>
        <w:spacing w:after="0" w:line="16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12. Counterparts and Electronic Delivery</w:t>
      </w:r>
      <w:r>
        <w:rPr>
          <w:rFonts w:ascii="Arial" w:cs="Arial" w:eastAsia="Arial" w:hAnsi="Arial"/>
          <w:sz w:val="22"/>
          <w:szCs w:val="22"/>
          <w:color w:val="auto"/>
        </w:rPr>
        <w:t>. This Promissory Note and Supplement may be executed in</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by different parties in different counterparts), each of which shall constitute an original, and all of which when taken together shall constitute a single agreement. In addition, this Promissory Note and Supplement may be delivered by electronic means.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on next page</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3" w:name="page34"/>
    <w:bookmarkEnd w:id="33"/>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Promissory Note and Supplement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date shown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00" w:type="dxa"/>
            <w:vAlign w:val="bottom"/>
            <w:gridSpan w:val="3"/>
          </w:tcPr>
          <w:p>
            <w:pPr>
              <w:spacing w:after="0"/>
              <w:rPr>
                <w:sz w:val="20"/>
                <w:szCs w:val="20"/>
                <w:color w:val="auto"/>
              </w:rPr>
            </w:pPr>
            <w:r>
              <w:rPr>
                <w:rFonts w:ascii="Arial" w:cs="Arial" w:eastAsia="Arial" w:hAnsi="Arial"/>
                <w:sz w:val="22"/>
                <w:szCs w:val="22"/>
                <w:b w:val="1"/>
                <w:bCs w:val="1"/>
                <w:color w:val="auto"/>
              </w:rPr>
              <w:t>CoBANK, ACB</w:t>
            </w:r>
          </w:p>
        </w:tc>
        <w:tc>
          <w:tcPr>
            <w:tcW w:w="5940" w:type="dxa"/>
            <w:vAlign w:val="bottom"/>
            <w:gridSpan w:val="2"/>
          </w:tcPr>
          <w:p>
            <w:pPr>
              <w:ind w:left="220"/>
              <w:spacing w:after="0"/>
              <w:rPr>
                <w:sz w:val="20"/>
                <w:szCs w:val="20"/>
                <w:color w:val="auto"/>
              </w:rPr>
            </w:pPr>
            <w:r>
              <w:rPr>
                <w:rFonts w:ascii="Arial" w:cs="Arial" w:eastAsia="Arial" w:hAnsi="Arial"/>
                <w:sz w:val="22"/>
                <w:szCs w:val="22"/>
                <w:b w:val="1"/>
                <w:bCs w:val="1"/>
                <w:color w:val="auto"/>
              </w:rPr>
              <w:t>TIDEWATER UTILITIES, INC.</w:t>
            </w:r>
          </w:p>
        </w:tc>
      </w:tr>
      <w:tr>
        <w:trPr>
          <w:trHeight w:val="449"/>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gridSpan w:val="2"/>
          </w:tcPr>
          <w:p>
            <w:pPr>
              <w:ind w:left="220"/>
              <w:spacing w:after="0"/>
              <w:rPr>
                <w:sz w:val="20"/>
                <w:szCs w:val="20"/>
                <w:color w:val="auto"/>
              </w:rPr>
            </w:pPr>
            <w:r>
              <w:rPr>
                <w:rFonts w:ascii="Arial" w:cs="Arial" w:eastAsia="Arial" w:hAnsi="Arial"/>
                <w:sz w:val="22"/>
                <w:szCs w:val="22"/>
                <w:color w:val="auto"/>
              </w:rPr>
              <w:t>/s/ Christen Spencer</w:t>
            </w:r>
          </w:p>
        </w:tc>
        <w:tc>
          <w:tcPr>
            <w:tcW w:w="1000" w:type="dxa"/>
            <w:vAlign w:val="bottom"/>
          </w:tcPr>
          <w:p>
            <w:pPr>
              <w:ind w:left="220"/>
              <w:spacing w:after="0"/>
              <w:rPr>
                <w:sz w:val="20"/>
                <w:szCs w:val="20"/>
                <w:color w:val="auto"/>
              </w:rPr>
            </w:pPr>
            <w:r>
              <w:rPr>
                <w:rFonts w:ascii="Arial" w:cs="Arial" w:eastAsia="Arial" w:hAnsi="Arial"/>
                <w:sz w:val="22"/>
                <w:szCs w:val="22"/>
                <w:color w:val="auto"/>
              </w:rPr>
              <w:t>By:</w:t>
            </w:r>
          </w:p>
        </w:tc>
        <w:tc>
          <w:tcPr>
            <w:tcW w:w="4940" w:type="dxa"/>
            <w:vAlign w:val="bottom"/>
          </w:tcPr>
          <w:p>
            <w:pPr>
              <w:spacing w:after="0"/>
              <w:rPr>
                <w:sz w:val="20"/>
                <w:szCs w:val="20"/>
                <w:color w:val="auto"/>
              </w:rPr>
            </w:pPr>
            <w:r>
              <w:rPr>
                <w:rFonts w:ascii="Arial" w:cs="Arial" w:eastAsia="Arial" w:hAnsi="Arial"/>
                <w:sz w:val="22"/>
                <w:szCs w:val="22"/>
                <w:color w:val="auto"/>
              </w:rPr>
              <w:t>/s/ A. Bruce O’Connor</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gridSpan w:val="2"/>
          </w:tcPr>
          <w:p>
            <w:pPr>
              <w:ind w:left="220"/>
              <w:spacing w:after="0"/>
              <w:rPr>
                <w:sz w:val="20"/>
                <w:szCs w:val="20"/>
                <w:color w:val="auto"/>
              </w:rPr>
            </w:pPr>
            <w:r>
              <w:rPr>
                <w:rFonts w:ascii="Arial" w:cs="Arial" w:eastAsia="Arial" w:hAnsi="Arial"/>
                <w:sz w:val="22"/>
                <w:szCs w:val="22"/>
                <w:color w:val="auto"/>
              </w:rPr>
              <w:t>Assistant Corporate Secretary</w:t>
            </w:r>
          </w:p>
        </w:tc>
        <w:tc>
          <w:tcPr>
            <w:tcW w:w="1000" w:type="dxa"/>
            <w:vAlign w:val="bottom"/>
          </w:tcPr>
          <w:p>
            <w:pPr>
              <w:ind w:left="220"/>
              <w:spacing w:after="0"/>
              <w:rPr>
                <w:sz w:val="20"/>
                <w:szCs w:val="20"/>
                <w:color w:val="auto"/>
              </w:rPr>
            </w:pPr>
            <w:r>
              <w:rPr>
                <w:rFonts w:ascii="Arial" w:cs="Arial" w:eastAsia="Arial" w:hAnsi="Arial"/>
                <w:sz w:val="22"/>
                <w:szCs w:val="22"/>
                <w:color w:val="auto"/>
              </w:rPr>
              <w:t>Title:</w:t>
            </w:r>
          </w:p>
        </w:tc>
        <w:tc>
          <w:tcPr>
            <w:tcW w:w="4940" w:type="dxa"/>
            <w:vAlign w:val="bottom"/>
          </w:tcPr>
          <w:p>
            <w:pPr>
              <w:spacing w:after="0"/>
              <w:rPr>
                <w:sz w:val="20"/>
                <w:szCs w:val="20"/>
                <w:color w:val="auto"/>
              </w:rPr>
            </w:pPr>
            <w:r>
              <w:rPr>
                <w:rFonts w:ascii="Arial" w:cs="Arial" w:eastAsia="Arial" w:hAnsi="Arial"/>
                <w:sz w:val="22"/>
                <w:szCs w:val="22"/>
                <w:color w:val="auto"/>
              </w:rPr>
              <w:t>President</w:t>
            </w:r>
          </w:p>
        </w:tc>
      </w:tr>
      <w:tr>
        <w:trPr>
          <w:trHeight w:val="702"/>
        </w:trPr>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Tax Parcel No.: See Attached List of Parcel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Prepared by/Return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Richards, Layton &amp; Finger,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00" w:right="620"/>
        <w:spacing w:after="0" w:line="256" w:lineRule="auto"/>
        <w:rPr>
          <w:sz w:val="20"/>
          <w:szCs w:val="20"/>
          <w:color w:val="auto"/>
        </w:rPr>
      </w:pPr>
      <w:r>
        <w:rPr>
          <w:rFonts w:ascii="Arial" w:cs="Arial" w:eastAsia="Arial" w:hAnsi="Arial"/>
          <w:sz w:val="22"/>
          <w:szCs w:val="22"/>
          <w:b w:val="1"/>
          <w:bCs w:val="1"/>
          <w:color w:val="auto"/>
        </w:rPr>
        <w:t>AMENDMENT TO COMBINATION WATER UTILITY REAL ESTATE MORTGAGE AND SECURITY AGREEMENT</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TIDEWATER UTILITIES, INC.</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1100 South Little Creek Road</w:t>
      </w:r>
    </w:p>
    <w:p>
      <w:pPr>
        <w:jc w:val="center"/>
        <w:ind w:right="-99"/>
        <w:spacing w:after="0"/>
        <w:rPr>
          <w:sz w:val="20"/>
          <w:szCs w:val="20"/>
          <w:color w:val="auto"/>
        </w:rPr>
      </w:pPr>
      <w:r>
        <w:rPr>
          <w:rFonts w:ascii="Arial" w:cs="Arial" w:eastAsia="Arial" w:hAnsi="Arial"/>
          <w:sz w:val="22"/>
          <w:szCs w:val="22"/>
          <w:color w:val="auto"/>
        </w:rPr>
        <w:t>Dover, DE 19901</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IN FAVOR OF</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COBANK, ACB</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6340 South Fiddlers Green Circle</w:t>
      </w:r>
    </w:p>
    <w:p>
      <w:pPr>
        <w:jc w:val="center"/>
        <w:ind w:right="-99"/>
        <w:spacing w:after="0"/>
        <w:rPr>
          <w:sz w:val="20"/>
          <w:szCs w:val="20"/>
          <w:color w:val="auto"/>
        </w:rPr>
      </w:pPr>
      <w:r>
        <w:rPr>
          <w:rFonts w:ascii="Arial" w:cs="Arial" w:eastAsia="Arial" w:hAnsi="Arial"/>
          <w:sz w:val="22"/>
          <w:szCs w:val="22"/>
          <w:color w:val="auto"/>
        </w:rPr>
        <w:t>Greenwood Village, Colorado 80111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THE MORTGAGE GRANTS A SECURITY INTEREST</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BY A TRANSMITTING UTILITY</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THE MORTGAGE CONTAINS AFTER ACQUIRED PROPERTY PROVISIONS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AND SUCH AFTER ACQUIRED PROPERTY IS SECURED BY THE MORTGAGE</w:t>
      </w:r>
    </w:p>
    <w:p>
      <w:pPr>
        <w:spacing w:after="0" w:line="215"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THIS AMENDMENT TO COMBINATION WATER UTILITY REAL ESTATE MORTGAGE AND SECURITY AGREEMENT MAY BE FILED AS A FINANCING STATEMENT AND MAY BE RECORDED IN THE REAL PROPERTY RECORDS</w:t>
      </w:r>
    </w:p>
    <w:p>
      <w:pPr>
        <w:spacing w:after="0" w:line="186" w:lineRule="exact"/>
        <w:rPr>
          <w:sz w:val="20"/>
          <w:szCs w:val="20"/>
          <w:color w:val="auto"/>
        </w:rPr>
      </w:pPr>
    </w:p>
    <w:p>
      <w:pPr>
        <w:jc w:val="center"/>
        <w:ind w:left="400" w:right="60"/>
        <w:spacing w:after="0" w:line="250" w:lineRule="auto"/>
        <w:rPr>
          <w:sz w:val="20"/>
          <w:szCs w:val="20"/>
          <w:color w:val="auto"/>
        </w:rPr>
      </w:pPr>
      <w:r>
        <w:rPr>
          <w:rFonts w:ascii="Arial" w:cs="Arial" w:eastAsia="Arial" w:hAnsi="Arial"/>
          <w:sz w:val="22"/>
          <w:szCs w:val="22"/>
          <w:color w:val="auto"/>
        </w:rPr>
        <w:t>THIS AMENDMENT INCREASES THE AMOUNT THAT MAY BE SECURED BY THE MORTGAGE AND ADDS NEW DEBT TO THE DEBT SECURED BY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35" w:name="page36"/>
    <w:bookmarkEnd w:id="35"/>
    <w:p>
      <w:pPr>
        <w:jc w:val="right"/>
        <w:ind w:right="2959"/>
        <w:spacing w:after="0"/>
        <w:rPr>
          <w:sz w:val="20"/>
          <w:szCs w:val="20"/>
          <w:color w:val="auto"/>
        </w:rPr>
      </w:pPr>
      <w:r>
        <w:rPr>
          <w:rFonts w:ascii="Arial" w:cs="Arial" w:eastAsia="Arial" w:hAnsi="Arial"/>
          <w:sz w:val="20"/>
          <w:szCs w:val="20"/>
          <w:b w:val="1"/>
          <w:bCs w:val="1"/>
          <w:u w:val="single" w:color="auto"/>
          <w:color w:val="auto"/>
        </w:rPr>
        <w:t>LIST OF TAX PARCEL NUMBERS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Sussex County</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3-34.13.00-543.1</w:t>
      </w:r>
    </w:p>
    <w:p>
      <w:pPr>
        <w:ind w:left="100"/>
        <w:spacing w:after="0" w:line="238" w:lineRule="auto"/>
        <w:rPr>
          <w:sz w:val="20"/>
          <w:szCs w:val="20"/>
          <w:color w:val="auto"/>
        </w:rPr>
      </w:pPr>
      <w:r>
        <w:rPr>
          <w:rFonts w:ascii="Arial" w:cs="Arial" w:eastAsia="Arial" w:hAnsi="Arial"/>
          <w:sz w:val="22"/>
          <w:szCs w:val="22"/>
          <w:color w:val="auto"/>
        </w:rPr>
        <w:t>2-34.11.20-91.00</w:t>
      </w:r>
    </w:p>
    <w:p>
      <w:pPr>
        <w:ind w:left="100"/>
        <w:spacing w:after="0" w:line="230" w:lineRule="auto"/>
        <w:rPr>
          <w:sz w:val="20"/>
          <w:szCs w:val="20"/>
          <w:color w:val="auto"/>
        </w:rPr>
      </w:pPr>
      <w:r>
        <w:rPr>
          <w:rFonts w:ascii="Arial" w:cs="Arial" w:eastAsia="Arial" w:hAnsi="Arial"/>
          <w:sz w:val="22"/>
          <w:szCs w:val="22"/>
          <w:color w:val="auto"/>
        </w:rPr>
        <w:t>2-34-11.16-4.00</w:t>
      </w:r>
    </w:p>
    <w:p>
      <w:pPr>
        <w:ind w:left="100"/>
        <w:spacing w:after="0" w:line="231" w:lineRule="auto"/>
        <w:rPr>
          <w:sz w:val="20"/>
          <w:szCs w:val="20"/>
          <w:color w:val="auto"/>
        </w:rPr>
      </w:pPr>
      <w:r>
        <w:rPr>
          <w:rFonts w:ascii="Arial" w:cs="Arial" w:eastAsia="Arial" w:hAnsi="Arial"/>
          <w:sz w:val="22"/>
          <w:szCs w:val="22"/>
          <w:color w:val="auto"/>
        </w:rPr>
        <w:t>2-34.11.00-64.1</w:t>
      </w:r>
    </w:p>
    <w:p>
      <w:pPr>
        <w:ind w:left="100"/>
        <w:spacing w:after="0" w:line="230" w:lineRule="auto"/>
        <w:rPr>
          <w:sz w:val="20"/>
          <w:szCs w:val="20"/>
          <w:color w:val="auto"/>
        </w:rPr>
      </w:pPr>
      <w:r>
        <w:rPr>
          <w:rFonts w:ascii="Arial" w:cs="Arial" w:eastAsia="Arial" w:hAnsi="Arial"/>
          <w:sz w:val="22"/>
          <w:szCs w:val="22"/>
          <w:color w:val="auto"/>
        </w:rPr>
        <w:t>3-31-3.00-232.00</w:t>
      </w:r>
    </w:p>
    <w:p>
      <w:pPr>
        <w:ind w:left="100"/>
        <w:spacing w:after="0" w:line="231" w:lineRule="auto"/>
        <w:rPr>
          <w:sz w:val="20"/>
          <w:szCs w:val="20"/>
          <w:color w:val="auto"/>
        </w:rPr>
      </w:pPr>
      <w:r>
        <w:rPr>
          <w:rFonts w:ascii="Arial" w:cs="Arial" w:eastAsia="Arial" w:hAnsi="Arial"/>
          <w:sz w:val="22"/>
          <w:szCs w:val="22"/>
          <w:color w:val="auto"/>
        </w:rPr>
        <w:t>3-34-12.00-377.00</w:t>
      </w:r>
    </w:p>
    <w:p>
      <w:pPr>
        <w:ind w:left="100"/>
        <w:spacing w:after="0" w:line="230" w:lineRule="auto"/>
        <w:rPr>
          <w:sz w:val="20"/>
          <w:szCs w:val="20"/>
          <w:color w:val="auto"/>
        </w:rPr>
      </w:pPr>
      <w:r>
        <w:rPr>
          <w:rFonts w:ascii="Arial" w:cs="Arial" w:eastAsia="Arial" w:hAnsi="Arial"/>
          <w:sz w:val="22"/>
          <w:szCs w:val="22"/>
          <w:color w:val="auto"/>
        </w:rPr>
        <w:t>4-32-7.00-32.02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1-33-10.00-83.01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AMENDMENT TO COMBINATION WATER UTILITY REAL ESTATE MORTGAGE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AGREEMENT</w:t>
      </w:r>
    </w:p>
    <w:p>
      <w:pPr>
        <w:spacing w:after="0" w:line="2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THIS AMENDMENT TO COMBINATION WATER UTILITY REAL ESTATE MORTGAGE AND SECURITY AGREEMENT </w:t>
      </w:r>
      <w:r>
        <w:rPr>
          <w:rFonts w:ascii="Arial" w:cs="Arial" w:eastAsia="Arial" w:hAnsi="Arial"/>
          <w:sz w:val="22"/>
          <w:szCs w:val="22"/>
          <w:color w:val="auto"/>
        </w:rPr>
        <w:t>(this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March 29, 2021, between</w:t>
      </w:r>
      <w:r>
        <w:rPr>
          <w:rFonts w:ascii="Arial" w:cs="Arial" w:eastAsia="Arial" w:hAnsi="Arial"/>
          <w:sz w:val="22"/>
          <w:szCs w:val="22"/>
          <w:b w:val="1"/>
          <w:bCs w:val="1"/>
          <w:color w:val="auto"/>
        </w:rPr>
        <w:t xml:space="preserve"> TIDEWATER UTILITIES, INC.</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CoBANK, ACB</w:t>
      </w:r>
      <w:r>
        <w:rPr>
          <w:rFonts w:ascii="Arial" w:cs="Arial" w:eastAsia="Arial" w:hAnsi="Arial"/>
          <w:sz w:val="22"/>
          <w:szCs w:val="22"/>
          <w:color w:val="auto"/>
        </w:rPr>
        <w:t>, a federally chartered instrumentality of the United States (“</w:t>
      </w:r>
      <w:r>
        <w:rPr>
          <w:rFonts w:ascii="Arial" w:cs="Arial" w:eastAsia="Arial" w:hAnsi="Arial"/>
          <w:sz w:val="22"/>
          <w:szCs w:val="22"/>
          <w:u w:val="single" w:color="auto"/>
          <w:color w:val="auto"/>
        </w:rPr>
        <w:t>CoBank</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CoBank and the Company are parties to that certain Master Loan Agreement dated as of May 23, 2003 and various amendments thereto (as amended, the “</w:t>
      </w:r>
      <w:r>
        <w:rPr>
          <w:rFonts w:ascii="Arial" w:cs="Arial" w:eastAsia="Arial" w:hAnsi="Arial"/>
          <w:sz w:val="22"/>
          <w:szCs w:val="22"/>
          <w:u w:val="single" w:color="auto"/>
          <w:color w:val="auto"/>
        </w:rPr>
        <w:t>MLA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WHEREAS, in connection with the MLA, CoBank is the mortgagee under the Combination Water Utility Mortgage and Security Agreement between the Company and CoBank dated as of May 23, 2003 and recorded in the Office of the Recorder of Deeds in and for Sussex County, State of Delaware (“</w:t>
      </w:r>
      <w:r>
        <w:rPr>
          <w:rFonts w:ascii="Arial" w:cs="Arial" w:eastAsia="Arial" w:hAnsi="Arial"/>
          <w:sz w:val="19"/>
          <w:szCs w:val="19"/>
          <w:u w:val="single" w:color="auto"/>
          <w:color w:val="auto"/>
        </w:rPr>
        <w:t>Recorder’s Office</w:t>
      </w:r>
      <w:r>
        <w:rPr>
          <w:rFonts w:ascii="Arial" w:cs="Arial" w:eastAsia="Arial" w:hAnsi="Arial"/>
          <w:sz w:val="19"/>
          <w:szCs w:val="19"/>
          <w:color w:val="auto"/>
        </w:rPr>
        <w:t>”) in Mortgage Book 5554, Page 159, as amended by an Amendment to Combination Water Utility Real Estate Mortgage and Security Agreement dated as of September 28, 2004 and recorded in the Recorder’s Office in Mortgage Book 7095, Page 72, an Amendment to Combination Water Utility Real Estate Mortgage and Security Agreement dated April 22, 2005 and recorded in the Recorder’s Office in Mortgage Book 7967, Page 314, an Amendment to Combination Water Utility Real Estate Mortgage and Security Agreement dated as of March 19, 2009 and recorded in the Recorder’s Office in Mortgage Book 10940, Page 216, and an Amendment to Combination Water Utility Real Estate Mortgage and Security Agreement dated as of October 15, 2014 and recorded in the Recorder’s Office in Mortgage Book 14517, Page 186 (collectively, as amended, the “</w:t>
      </w:r>
      <w:r>
        <w:rPr>
          <w:rFonts w:ascii="Arial" w:cs="Arial" w:eastAsia="Arial" w:hAnsi="Arial"/>
          <w:sz w:val="19"/>
          <w:szCs w:val="19"/>
          <w:u w:val="single" w:color="auto"/>
          <w:color w:val="auto"/>
        </w:rPr>
        <w:t>Mortgage</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pursuant to the MLA, CoBank made various loans to the Company evidenced by the notes described on Appendix A to the Mortgage;</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WHEREAS, pursuant to the MLA, CoBank has agreed to extend $20,000,000 in additional loans to the Company to be evidenced by that certain Promissory Note and Supplement (Multiple Advance Term Loan) dated as of March 29, 2021;</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in connection therewith, the parties desire to amend the existing Mortgage as set forth herein to give notice of the increase in the secured obligations of the Company; and</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the Mortgage, as amended hereby, remains in full force and effect and the lien and security interest and the priority of such lien and security interest granted thereunder continues (without interruption) thereunder. Except as amended hereby, the Mortgage shall otherwise remain unchanged. Capitalized terms used but not defined herein shall have the meanings assigned to such terms or defined by reference in the Mortgage.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7" w:name="page38"/>
    <w:bookmarkEnd w:id="37"/>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 Recitals. </w:t>
      </w:r>
      <w:r>
        <w:rPr>
          <w:rFonts w:ascii="Arial" w:cs="Arial" w:eastAsia="Arial" w:hAnsi="Arial"/>
          <w:sz w:val="22"/>
          <w:szCs w:val="22"/>
          <w:color w:val="auto"/>
        </w:rPr>
        <w:t>The recitals set forth above constitute an integral part of this Agreement, are true and correct,</w:t>
      </w:r>
      <w:r>
        <w:rPr>
          <w:rFonts w:ascii="Arial" w:cs="Arial" w:eastAsia="Arial" w:hAnsi="Arial"/>
          <w:sz w:val="22"/>
          <w:szCs w:val="22"/>
          <w:b w:val="1"/>
          <w:bCs w:val="1"/>
          <w:color w:val="auto"/>
        </w:rPr>
        <w:t xml:space="preserve"> </w:t>
      </w:r>
      <w:r>
        <w:rPr>
          <w:rFonts w:ascii="Arial" w:cs="Arial" w:eastAsia="Arial" w:hAnsi="Arial"/>
          <w:sz w:val="22"/>
          <w:szCs w:val="22"/>
          <w:color w:val="auto"/>
        </w:rPr>
        <w:t>and such recitals and the Mortgage are incorporated herein by this reference with the same force and effect as if fully set forth herein.</w:t>
      </w:r>
    </w:p>
    <w:p>
      <w:pPr>
        <w:spacing w:after="0" w:line="17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 xml:space="preserve">Amendments. </w:t>
      </w:r>
      <w:r>
        <w:rPr>
          <w:rFonts w:ascii="Arial" w:cs="Arial" w:eastAsia="Arial" w:hAnsi="Arial"/>
          <w:sz w:val="19"/>
          <w:szCs w:val="19"/>
          <w:color w:val="auto"/>
        </w:rPr>
        <w:t>Appendix A is hereby amended and restated as provided in Appendix A hereto.</w:t>
      </w:r>
    </w:p>
    <w:p>
      <w:pPr>
        <w:spacing w:after="0" w:line="20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SECTION 3. Ratification. </w:t>
      </w:r>
      <w:r>
        <w:rPr>
          <w:rFonts w:ascii="Arial" w:cs="Arial" w:eastAsia="Arial" w:hAnsi="Arial"/>
          <w:sz w:val="22"/>
          <w:szCs w:val="22"/>
          <w:color w:val="auto"/>
        </w:rPr>
        <w:t>The Company hereby confirms and ratifies the Mortgage, and confirms and agrees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Mortgaged Property shall secure all of the Company’s obligations under the Credit Agreements, including, without limitation, those shown on Appendix A 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both"/>
        <w:ind w:firstLine="648"/>
        <w:spacing w:after="0" w:line="243"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w:t>
      </w:r>
      <w:r>
        <w:rPr>
          <w:rFonts w:ascii="Arial" w:cs="Arial" w:eastAsia="Arial" w:hAnsi="Arial"/>
          <w:sz w:val="22"/>
          <w:szCs w:val="22"/>
          <w:b w:val="1"/>
          <w:bCs w:val="1"/>
          <w:color w:val="auto"/>
        </w:rPr>
        <w:t xml:space="preserve"> TIDEWATER UTILITIES, INC</w:t>
      </w:r>
      <w:r>
        <w:rPr>
          <w:rFonts w:ascii="Arial" w:cs="Arial" w:eastAsia="Arial" w:hAnsi="Arial"/>
          <w:sz w:val="22"/>
          <w:szCs w:val="22"/>
          <w:color w:val="auto"/>
        </w:rPr>
        <w:t>., as Mortgagor, has caused this Amendment to be signed</w:t>
      </w:r>
      <w:r>
        <w:rPr>
          <w:rFonts w:ascii="Arial" w:cs="Arial" w:eastAsia="Arial" w:hAnsi="Arial"/>
          <w:sz w:val="22"/>
          <w:szCs w:val="22"/>
          <w:b w:val="1"/>
          <w:bCs w:val="1"/>
          <w:color w:val="auto"/>
        </w:rPr>
        <w:t xml:space="preserve"> </w:t>
      </w:r>
      <w:r>
        <w:rPr>
          <w:rFonts w:ascii="Arial" w:cs="Arial" w:eastAsia="Arial" w:hAnsi="Arial"/>
          <w:sz w:val="22"/>
          <w:szCs w:val="22"/>
          <w:color w:val="auto"/>
        </w:rPr>
        <w:t>in its name and its corporate seal to be hereunto affixed and attested by its officers thereunto duly authorized, all as of the day and year first above written.</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TIDEWATER UTILITIES, INC.</w:t>
      </w:r>
      <w:r>
        <w:rPr>
          <w:rFonts w:ascii="Arial" w:cs="Arial" w:eastAsia="Arial" w:hAnsi="Arial"/>
          <w:sz w:val="22"/>
          <w:szCs w:val="22"/>
          <w:color w:val="auto"/>
        </w:rPr>
        <w:t>,</w:t>
      </w:r>
      <w:r>
        <w:rPr>
          <w:rFonts w:ascii="Arial" w:cs="Arial" w:eastAsia="Arial" w:hAnsi="Arial"/>
          <w:sz w:val="22"/>
          <w:szCs w:val="22"/>
          <w:b w:val="1"/>
          <w:bCs w:val="1"/>
          <w:color w:val="auto"/>
        </w:rPr>
        <w:t xml:space="preserve"> Mortgagor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Signed, sealed and delivered</w:t>
      </w:r>
    </w:p>
    <w:p>
      <w:pPr>
        <w:spacing w:after="0"/>
        <w:rPr>
          <w:sz w:val="20"/>
          <w:szCs w:val="20"/>
          <w:color w:val="auto"/>
        </w:rPr>
      </w:pPr>
      <w:r>
        <w:rPr>
          <w:rFonts w:ascii="Arial" w:cs="Arial" w:eastAsia="Arial" w:hAnsi="Arial"/>
          <w:sz w:val="22"/>
          <w:szCs w:val="22"/>
          <w:color w:val="auto"/>
        </w:rPr>
        <w:t>in the presence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gridSpan w:val="2"/>
          </w:tcPr>
          <w:p>
            <w:pPr>
              <w:spacing w:after="0"/>
              <w:rPr>
                <w:sz w:val="20"/>
                <w:szCs w:val="20"/>
                <w:color w:val="auto"/>
              </w:rPr>
            </w:pPr>
            <w:r>
              <w:rPr>
                <w:rFonts w:ascii="Arial" w:cs="Arial" w:eastAsia="Arial" w:hAnsi="Arial"/>
                <w:sz w:val="22"/>
                <w:szCs w:val="22"/>
                <w:color w:val="auto"/>
              </w:rPr>
              <w:t>/s/ Jay L. Kooper</w:t>
            </w:r>
          </w:p>
        </w:tc>
        <w:tc>
          <w:tcPr>
            <w:tcW w:w="2560" w:type="dxa"/>
            <w:vAlign w:val="bottom"/>
          </w:tcPr>
          <w:p>
            <w:pPr>
              <w:spacing w:after="0"/>
              <w:rPr>
                <w:sz w:val="21"/>
                <w:szCs w:val="21"/>
                <w:color w:val="auto"/>
              </w:rPr>
            </w:pPr>
          </w:p>
        </w:tc>
        <w:tc>
          <w:tcPr>
            <w:tcW w:w="3960" w:type="dxa"/>
            <w:vAlign w:val="bottom"/>
            <w:gridSpan w:val="2"/>
          </w:tcPr>
          <w:p>
            <w:pPr>
              <w:ind w:left="1200"/>
              <w:spacing w:after="0"/>
              <w:rPr>
                <w:sz w:val="20"/>
                <w:szCs w:val="20"/>
                <w:color w:val="auto"/>
              </w:rPr>
            </w:pPr>
            <w:r>
              <w:rPr>
                <w:rFonts w:ascii="Arial" w:cs="Arial" w:eastAsia="Arial" w:hAnsi="Arial"/>
                <w:sz w:val="22"/>
                <w:szCs w:val="22"/>
                <w:color w:val="auto"/>
              </w:rPr>
              <w:t>By: /s/ A. Bruce O’Connor</w:t>
            </w:r>
          </w:p>
        </w:tc>
        <w:tc>
          <w:tcPr>
            <w:tcW w:w="900" w:type="dxa"/>
            <w:vAlign w:val="bottom"/>
          </w:tcPr>
          <w:p>
            <w:pPr>
              <w:ind w:left="220"/>
              <w:spacing w:after="0"/>
              <w:rPr>
                <w:sz w:val="20"/>
                <w:szCs w:val="20"/>
                <w:color w:val="auto"/>
              </w:rPr>
            </w:pPr>
            <w:r>
              <w:rPr>
                <w:rFonts w:ascii="Arial" w:cs="Arial" w:eastAsia="Arial" w:hAnsi="Arial"/>
                <w:sz w:val="22"/>
                <w:szCs w:val="22"/>
                <w:color w:val="auto"/>
                <w:w w:val="93"/>
              </w:rPr>
              <w:t>(SEAL)</w:t>
            </w:r>
          </w:p>
        </w:tc>
      </w:tr>
      <w:tr>
        <w:trPr>
          <w:trHeight w:val="20"/>
        </w:trPr>
        <w:tc>
          <w:tcPr>
            <w:tcW w:w="6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60" w:type="dxa"/>
            <w:vAlign w:val="bottom"/>
            <w:tcBorders>
              <w:lef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1860" w:type="dxa"/>
            <w:vAlign w:val="bottom"/>
            <w:gridSpan w:val="2"/>
          </w:tcPr>
          <w:p>
            <w:pPr>
              <w:spacing w:after="0" w:line="242" w:lineRule="exact"/>
              <w:rPr>
                <w:sz w:val="20"/>
                <w:szCs w:val="20"/>
                <w:color w:val="auto"/>
              </w:rPr>
            </w:pPr>
            <w:r>
              <w:rPr>
                <w:rFonts w:ascii="Arial" w:cs="Arial" w:eastAsia="Arial" w:hAnsi="Arial"/>
                <w:sz w:val="22"/>
                <w:szCs w:val="22"/>
                <w:color w:val="auto"/>
              </w:rPr>
              <w:t>Witness</w:t>
            </w:r>
          </w:p>
        </w:tc>
        <w:tc>
          <w:tcPr>
            <w:tcW w:w="2560" w:type="dxa"/>
            <w:vAlign w:val="bottom"/>
          </w:tcPr>
          <w:p>
            <w:pPr>
              <w:spacing w:after="0"/>
              <w:rPr>
                <w:sz w:val="21"/>
                <w:szCs w:val="21"/>
                <w:color w:val="auto"/>
              </w:rPr>
            </w:pPr>
          </w:p>
        </w:tc>
        <w:tc>
          <w:tcPr>
            <w:tcW w:w="3960" w:type="dxa"/>
            <w:vAlign w:val="bottom"/>
            <w:gridSpan w:val="2"/>
          </w:tcPr>
          <w:p>
            <w:pPr>
              <w:ind w:left="1200"/>
              <w:spacing w:after="0" w:line="242" w:lineRule="exact"/>
              <w:rPr>
                <w:sz w:val="20"/>
                <w:szCs w:val="20"/>
                <w:color w:val="auto"/>
              </w:rPr>
            </w:pPr>
            <w:r>
              <w:rPr>
                <w:rFonts w:ascii="Arial" w:cs="Arial" w:eastAsia="Arial" w:hAnsi="Arial"/>
                <w:sz w:val="22"/>
                <w:szCs w:val="22"/>
                <w:color w:val="auto"/>
              </w:rPr>
              <w:t>Name: A. Bruce O’Connor</w:t>
            </w:r>
          </w:p>
        </w:tc>
        <w:tc>
          <w:tcPr>
            <w:tcW w:w="900" w:type="dxa"/>
            <w:vAlign w:val="bottom"/>
          </w:tcPr>
          <w:p>
            <w:pPr>
              <w:spacing w:after="0"/>
              <w:rPr>
                <w:sz w:val="21"/>
                <w:szCs w:val="21"/>
                <w:color w:val="auto"/>
              </w:rPr>
            </w:pPr>
          </w:p>
        </w:tc>
      </w:tr>
      <w:tr>
        <w:trPr>
          <w:trHeight w:val="274"/>
        </w:trPr>
        <w:tc>
          <w:tcPr>
            <w:tcW w:w="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960" w:type="dxa"/>
            <w:vAlign w:val="bottom"/>
            <w:gridSpan w:val="2"/>
          </w:tcPr>
          <w:p>
            <w:pPr>
              <w:ind w:left="1200"/>
              <w:spacing w:after="0"/>
              <w:rPr>
                <w:sz w:val="20"/>
                <w:szCs w:val="20"/>
                <w:color w:val="auto"/>
              </w:rPr>
            </w:pPr>
            <w:r>
              <w:rPr>
                <w:rFonts w:ascii="Arial" w:cs="Arial" w:eastAsia="Arial" w:hAnsi="Arial"/>
                <w:sz w:val="22"/>
                <w:szCs w:val="22"/>
                <w:color w:val="auto"/>
              </w:rPr>
              <w:t>Title: President</w:t>
            </w:r>
          </w:p>
        </w:tc>
        <w:tc>
          <w:tcPr>
            <w:tcW w:w="900" w:type="dxa"/>
            <w:vAlign w:val="bottom"/>
          </w:tcPr>
          <w:p>
            <w:pPr>
              <w:spacing w:after="0"/>
              <w:rPr>
                <w:sz w:val="23"/>
                <w:szCs w:val="23"/>
                <w:color w:val="auto"/>
              </w:rPr>
            </w:pPr>
          </w:p>
        </w:tc>
      </w:tr>
      <w:tr>
        <w:trPr>
          <w:trHeight w:val="459"/>
        </w:trPr>
        <w:tc>
          <w:tcPr>
            <w:tcW w:w="4420" w:type="dxa"/>
            <w:vAlign w:val="bottom"/>
            <w:gridSpan w:val="3"/>
          </w:tcPr>
          <w:p>
            <w:pPr>
              <w:spacing w:after="0"/>
              <w:rPr>
                <w:sz w:val="20"/>
                <w:szCs w:val="20"/>
                <w:color w:val="auto"/>
              </w:rPr>
            </w:pPr>
            <w:r>
              <w:rPr>
                <w:rFonts w:ascii="Arial" w:cs="Arial" w:eastAsia="Arial" w:hAnsi="Arial"/>
                <w:sz w:val="22"/>
                <w:szCs w:val="22"/>
                <w:color w:val="auto"/>
              </w:rPr>
              <w:t>Attest:</w:t>
            </w: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8"/>
        </w:trPr>
        <w:tc>
          <w:tcPr>
            <w:tcW w:w="4420" w:type="dxa"/>
            <w:vAlign w:val="bottom"/>
            <w:gridSpan w:val="3"/>
          </w:tcPr>
          <w:p>
            <w:pPr>
              <w:spacing w:after="0"/>
              <w:rPr>
                <w:sz w:val="20"/>
                <w:szCs w:val="20"/>
                <w:color w:val="auto"/>
              </w:rPr>
            </w:pPr>
            <w:r>
              <w:rPr>
                <w:rFonts w:ascii="Arial" w:cs="Arial" w:eastAsia="Arial" w:hAnsi="Arial"/>
                <w:sz w:val="22"/>
                <w:szCs w:val="22"/>
                <w:color w:val="auto"/>
              </w:rPr>
              <w:t>By: /s/ Jay L. Kooper</w:t>
            </w: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4420" w:type="dxa"/>
            <w:vAlign w:val="bottom"/>
            <w:gridSpan w:val="3"/>
          </w:tcPr>
          <w:p>
            <w:pPr>
              <w:spacing w:after="0" w:line="242" w:lineRule="exact"/>
              <w:rPr>
                <w:sz w:val="20"/>
                <w:szCs w:val="20"/>
                <w:color w:val="auto"/>
              </w:rPr>
            </w:pPr>
            <w:r>
              <w:rPr>
                <w:rFonts w:ascii="Arial" w:cs="Arial" w:eastAsia="Arial" w:hAnsi="Arial"/>
                <w:sz w:val="22"/>
                <w:szCs w:val="22"/>
                <w:color w:val="auto"/>
              </w:rPr>
              <w:t>Name: Jay L. Kooper</w:t>
            </w:r>
          </w:p>
        </w:tc>
        <w:tc>
          <w:tcPr>
            <w:tcW w:w="15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4"/>
        </w:trPr>
        <w:tc>
          <w:tcPr>
            <w:tcW w:w="4420" w:type="dxa"/>
            <w:vAlign w:val="bottom"/>
            <w:gridSpan w:val="3"/>
          </w:tcPr>
          <w:p>
            <w:pPr>
              <w:spacing w:after="0"/>
              <w:rPr>
                <w:sz w:val="20"/>
                <w:szCs w:val="20"/>
                <w:color w:val="auto"/>
              </w:rPr>
            </w:pPr>
            <w:r>
              <w:rPr>
                <w:rFonts w:ascii="Arial" w:cs="Arial" w:eastAsia="Arial" w:hAnsi="Arial"/>
                <w:sz w:val="22"/>
                <w:szCs w:val="22"/>
                <w:color w:val="auto"/>
              </w:rPr>
              <w:t>Title: General Counsel and Secretary</w:t>
            </w:r>
          </w:p>
        </w:tc>
        <w:tc>
          <w:tcPr>
            <w:tcW w:w="15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469" w:lineRule="auto"/>
        <w:rPr>
          <w:sz w:val="20"/>
          <w:szCs w:val="20"/>
          <w:color w:val="auto"/>
        </w:rPr>
      </w:pPr>
      <w:r>
        <w:rPr>
          <w:rFonts w:ascii="Arial" w:cs="Arial" w:eastAsia="Arial" w:hAnsi="Arial"/>
          <w:sz w:val="21"/>
          <w:szCs w:val="21"/>
          <w:color w:val="auto"/>
        </w:rPr>
        <w:t>STATE OF NEW JERSEY COUNTY OF MIDDLESEX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187" w:lineRule="exact"/>
        <w:rPr>
          <w:sz w:val="20"/>
          <w:szCs w:val="20"/>
          <w:color w:val="auto"/>
        </w:rPr>
      </w:pPr>
    </w:p>
    <w:p>
      <w:pPr>
        <w:sectPr>
          <w:pgSz w:w="11900" w:h="16838" w:orient="portrait"/>
          <w:cols w:equalWidth="0" w:num="2">
            <w:col w:w="2660" w:space="720"/>
            <w:col w:w="7860"/>
          </w:cols>
          <w:pgMar w:left="320" w:top="571" w:right="339" w:bottom="1440" w:gutter="0" w:footer="0" w:header="0"/>
          <w:type w:val="continuous"/>
        </w:sectPr>
      </w:pPr>
    </w:p>
    <w:p>
      <w:pPr>
        <w:ind w:right="380"/>
        <w:spacing w:after="0" w:line="239" w:lineRule="auto"/>
        <w:rPr>
          <w:sz w:val="20"/>
          <w:szCs w:val="20"/>
          <w:color w:val="auto"/>
        </w:rPr>
      </w:pPr>
      <w:r>
        <w:rPr>
          <w:rFonts w:ascii="Arial" w:cs="Arial" w:eastAsia="Arial" w:hAnsi="Arial"/>
          <w:sz w:val="22"/>
          <w:szCs w:val="22"/>
          <w:color w:val="auto"/>
        </w:rPr>
        <w:t>The foregoing instrument was acknowledged before me this 25th day of March, 2021, by A. Bruce O’Connor, as President of Tidewater Utilities, Inc., a Delaware corporation, on behalf of said corporation.</w:t>
      </w:r>
    </w:p>
    <w:p>
      <w:pPr>
        <w:ind w:firstLine="648"/>
        <w:spacing w:after="0" w:line="236" w:lineRule="auto"/>
        <w:rPr>
          <w:sz w:val="20"/>
          <w:szCs w:val="20"/>
          <w:color w:val="auto"/>
        </w:rPr>
      </w:pPr>
      <w:r>
        <w:rPr>
          <w:rFonts w:ascii="Arial" w:cs="Arial" w:eastAsia="Arial" w:hAnsi="Arial"/>
          <w:sz w:val="22"/>
          <w:szCs w:val="22"/>
          <w:color w:val="auto"/>
        </w:rPr>
        <w:t>IN WITNESS WHEREOF, I have hereunto set my hand and affixed my official seal in the County and State aforesaid, the day and year in first above written.</w:t>
      </w:r>
    </w:p>
    <w:p>
      <w:pPr>
        <w:spacing w:after="0" w:line="187" w:lineRule="exact"/>
        <w:rPr>
          <w:sz w:val="20"/>
          <w:szCs w:val="20"/>
          <w:color w:val="auto"/>
        </w:rPr>
      </w:pPr>
    </w:p>
    <w:p>
      <w:pPr>
        <w:ind w:left="3580"/>
        <w:spacing w:after="0"/>
        <w:rPr>
          <w:sz w:val="20"/>
          <w:szCs w:val="20"/>
          <w:color w:val="auto"/>
        </w:rPr>
      </w:pPr>
      <w:r>
        <w:rPr>
          <w:rFonts w:ascii="Arial" w:cs="Arial" w:eastAsia="Arial" w:hAnsi="Arial"/>
          <w:sz w:val="22"/>
          <w:szCs w:val="22"/>
          <w:u w:val="single" w:color="auto"/>
          <w:color w:val="auto"/>
        </w:rPr>
        <w:t>/s/ Selena Montero</w:t>
      </w:r>
    </w:p>
    <w:p>
      <w:pPr>
        <w:ind w:left="3580"/>
        <w:spacing w:after="0" w:line="238" w:lineRule="auto"/>
        <w:rPr>
          <w:sz w:val="20"/>
          <w:szCs w:val="20"/>
          <w:color w:val="auto"/>
        </w:rPr>
      </w:pPr>
      <w:r>
        <w:rPr>
          <w:rFonts w:ascii="Arial" w:cs="Arial" w:eastAsia="Arial" w:hAnsi="Arial"/>
          <w:sz w:val="22"/>
          <w:szCs w:val="22"/>
          <w:color w:val="auto"/>
        </w:rPr>
        <w:t>Notary Public</w:t>
      </w:r>
    </w:p>
    <w:p>
      <w:pPr>
        <w:ind w:left="3580"/>
        <w:spacing w:after="0" w:line="230" w:lineRule="auto"/>
        <w:rPr>
          <w:sz w:val="20"/>
          <w:szCs w:val="20"/>
          <w:color w:val="auto"/>
        </w:rPr>
      </w:pPr>
      <w:r>
        <w:rPr>
          <w:rFonts w:ascii="Arial" w:cs="Arial" w:eastAsia="Arial" w:hAnsi="Arial"/>
          <w:sz w:val="22"/>
          <w:szCs w:val="22"/>
          <w:color w:val="auto"/>
        </w:rPr>
        <w:t>Name: Selena Montero</w:t>
      </w:r>
    </w:p>
    <w:p>
      <w:pPr>
        <w:spacing w:after="0" w:line="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My commission expires: December 28, 2023</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Amendment to Combination Water Utility Real Estate Mortgage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39" w:name="page40"/>
    <w:bookmarkEnd w:id="39"/>
    <w:p>
      <w:pPr>
        <w:jc w:val="both"/>
        <w:ind w:firstLine="648"/>
        <w:spacing w:after="0" w:line="243"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w:t>
      </w:r>
      <w:r>
        <w:rPr>
          <w:rFonts w:ascii="Arial" w:cs="Arial" w:eastAsia="Arial" w:hAnsi="Arial"/>
          <w:sz w:val="22"/>
          <w:szCs w:val="22"/>
          <w:b w:val="1"/>
          <w:bCs w:val="1"/>
          <w:color w:val="auto"/>
        </w:rPr>
        <w:t xml:space="preserve"> CoBANK, ACB</w:t>
      </w:r>
      <w:r>
        <w:rPr>
          <w:rFonts w:ascii="Arial" w:cs="Arial" w:eastAsia="Arial" w:hAnsi="Arial"/>
          <w:sz w:val="22"/>
          <w:szCs w:val="22"/>
          <w:color w:val="auto"/>
        </w:rPr>
        <w:t>, as Mortgagee, has caused this Amendment to be signed in its name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seal to be hereunto affixed and attested by its officers thereunto duly authorized, all as of the day and year first above written.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80" w:type="dxa"/>
            <w:vAlign w:val="bottom"/>
            <w:gridSpan w:val="4"/>
            <w:vMerge w:val="restart"/>
          </w:tcPr>
          <w:p>
            <w:pPr>
              <w:spacing w:after="0"/>
              <w:rPr>
                <w:sz w:val="20"/>
                <w:szCs w:val="20"/>
                <w:color w:val="auto"/>
              </w:rPr>
            </w:pPr>
            <w:r>
              <w:rPr>
                <w:rFonts w:ascii="Arial" w:cs="Arial" w:eastAsia="Arial" w:hAnsi="Arial"/>
                <w:sz w:val="22"/>
                <w:szCs w:val="22"/>
                <w:color w:val="auto"/>
              </w:rPr>
              <w:t>Signed, sealed and delivered</w:t>
            </w:r>
          </w:p>
        </w:tc>
        <w:tc>
          <w:tcPr>
            <w:tcW w:w="4340" w:type="dxa"/>
            <w:vAlign w:val="bottom"/>
            <w:gridSpan w:val="3"/>
          </w:tcPr>
          <w:p>
            <w:pPr>
              <w:ind w:left="1240"/>
              <w:spacing w:after="0"/>
              <w:rPr>
                <w:sz w:val="20"/>
                <w:szCs w:val="20"/>
                <w:color w:val="auto"/>
              </w:rPr>
            </w:pPr>
            <w:r>
              <w:rPr>
                <w:rFonts w:ascii="Arial" w:cs="Arial" w:eastAsia="Arial" w:hAnsi="Arial"/>
                <w:sz w:val="22"/>
                <w:szCs w:val="22"/>
                <w:b w:val="1"/>
                <w:bCs w:val="1"/>
                <w:color w:val="auto"/>
              </w:rPr>
              <w:t>CoBANK, ACB</w:t>
            </w:r>
            <w:r>
              <w:rPr>
                <w:rFonts w:ascii="Arial" w:cs="Arial" w:eastAsia="Arial" w:hAnsi="Arial"/>
                <w:sz w:val="22"/>
                <w:szCs w:val="22"/>
                <w:color w:val="auto"/>
              </w:rPr>
              <w:t>,</w:t>
            </w:r>
            <w:r>
              <w:rPr>
                <w:rFonts w:ascii="Arial" w:cs="Arial" w:eastAsia="Arial" w:hAnsi="Arial"/>
                <w:sz w:val="22"/>
                <w:szCs w:val="22"/>
                <w:b w:val="1"/>
                <w:bCs w:val="1"/>
                <w:color w:val="auto"/>
              </w:rPr>
              <w:t xml:space="preserve"> Mortgagee</w:t>
            </w:r>
          </w:p>
        </w:tc>
        <w:tc>
          <w:tcPr>
            <w:tcW w:w="0" w:type="dxa"/>
            <w:vAlign w:val="bottom"/>
          </w:tcPr>
          <w:p>
            <w:pPr>
              <w:spacing w:after="0"/>
              <w:rPr>
                <w:sz w:val="1"/>
                <w:szCs w:val="1"/>
                <w:color w:val="auto"/>
              </w:rPr>
            </w:pPr>
          </w:p>
        </w:tc>
      </w:tr>
      <w:tr>
        <w:trPr>
          <w:trHeight w:val="212"/>
        </w:trPr>
        <w:tc>
          <w:tcPr>
            <w:tcW w:w="4380" w:type="dxa"/>
            <w:vAlign w:val="bottom"/>
            <w:gridSpan w:val="4"/>
            <w:vMerge w:val="continue"/>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80" w:type="dxa"/>
            <w:vAlign w:val="bottom"/>
            <w:gridSpan w:val="4"/>
          </w:tcPr>
          <w:p>
            <w:pPr>
              <w:spacing w:after="0"/>
              <w:rPr>
                <w:sz w:val="20"/>
                <w:szCs w:val="20"/>
                <w:color w:val="auto"/>
              </w:rPr>
            </w:pPr>
            <w:r>
              <w:rPr>
                <w:rFonts w:ascii="Arial" w:cs="Arial" w:eastAsia="Arial" w:hAnsi="Arial"/>
                <w:sz w:val="22"/>
                <w:szCs w:val="22"/>
                <w:color w:val="auto"/>
              </w:rPr>
              <w:t>in the presence of:</w:t>
            </w: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4380" w:type="dxa"/>
            <w:vAlign w:val="bottom"/>
            <w:gridSpan w:val="4"/>
          </w:tcPr>
          <w:p>
            <w:pPr>
              <w:spacing w:after="0"/>
              <w:rPr>
                <w:sz w:val="20"/>
                <w:szCs w:val="20"/>
                <w:color w:val="auto"/>
              </w:rPr>
            </w:pPr>
            <w:r>
              <w:rPr>
                <w:rFonts w:ascii="Arial" w:cs="Arial" w:eastAsia="Arial" w:hAnsi="Arial"/>
                <w:sz w:val="22"/>
                <w:szCs w:val="22"/>
                <w:color w:val="auto"/>
              </w:rPr>
              <w:t>/s/ Illegible Manual Signature_____</w:t>
            </w:r>
          </w:p>
        </w:tc>
        <w:tc>
          <w:tcPr>
            <w:tcW w:w="4340" w:type="dxa"/>
            <w:vAlign w:val="bottom"/>
            <w:gridSpan w:val="3"/>
          </w:tcPr>
          <w:p>
            <w:pPr>
              <w:ind w:left="1240"/>
              <w:spacing w:after="0"/>
              <w:rPr>
                <w:sz w:val="20"/>
                <w:szCs w:val="20"/>
                <w:color w:val="auto"/>
              </w:rPr>
            </w:pPr>
            <w:r>
              <w:rPr>
                <w:rFonts w:ascii="Arial" w:cs="Arial" w:eastAsia="Arial" w:hAnsi="Arial"/>
                <w:sz w:val="22"/>
                <w:szCs w:val="22"/>
                <w:color w:val="auto"/>
                <w:w w:val="94"/>
              </w:rPr>
              <w:t>By: /s/ Christian Spencer  (SEAL)</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580" w:type="dxa"/>
            <w:vAlign w:val="bottom"/>
            <w:gridSpan w:val="3"/>
          </w:tcPr>
          <w:p>
            <w:pPr>
              <w:spacing w:after="0" w:line="242" w:lineRule="exact"/>
              <w:rPr>
                <w:sz w:val="20"/>
                <w:szCs w:val="20"/>
                <w:color w:val="auto"/>
              </w:rPr>
            </w:pPr>
            <w:r>
              <w:rPr>
                <w:rFonts w:ascii="Arial" w:cs="Arial" w:eastAsia="Arial" w:hAnsi="Arial"/>
                <w:sz w:val="22"/>
                <w:szCs w:val="22"/>
                <w:color w:val="auto"/>
              </w:rPr>
              <w:t>Witness</w:t>
            </w:r>
          </w:p>
        </w:tc>
        <w:tc>
          <w:tcPr>
            <w:tcW w:w="1800" w:type="dxa"/>
            <w:vAlign w:val="bottom"/>
          </w:tcPr>
          <w:p>
            <w:pPr>
              <w:spacing w:after="0"/>
              <w:rPr>
                <w:sz w:val="21"/>
                <w:szCs w:val="21"/>
                <w:color w:val="auto"/>
              </w:rPr>
            </w:pPr>
          </w:p>
        </w:tc>
        <w:tc>
          <w:tcPr>
            <w:tcW w:w="4340" w:type="dxa"/>
            <w:vAlign w:val="bottom"/>
            <w:gridSpan w:val="3"/>
          </w:tcPr>
          <w:p>
            <w:pPr>
              <w:ind w:left="1240"/>
              <w:spacing w:after="0" w:line="242" w:lineRule="exact"/>
              <w:rPr>
                <w:sz w:val="20"/>
                <w:szCs w:val="20"/>
                <w:color w:val="auto"/>
              </w:rPr>
            </w:pPr>
            <w:r>
              <w:rPr>
                <w:rFonts w:ascii="Arial" w:cs="Arial" w:eastAsia="Arial" w:hAnsi="Arial"/>
                <w:sz w:val="22"/>
                <w:szCs w:val="22"/>
                <w:color w:val="auto"/>
              </w:rPr>
              <w:t>Name: Christian Spencer</w:t>
            </w:r>
          </w:p>
        </w:tc>
        <w:tc>
          <w:tcPr>
            <w:tcW w:w="0" w:type="dxa"/>
            <w:vAlign w:val="bottom"/>
          </w:tcPr>
          <w:p>
            <w:pPr>
              <w:spacing w:after="0"/>
              <w:rPr>
                <w:sz w:val="1"/>
                <w:szCs w:val="1"/>
                <w:color w:val="auto"/>
              </w:rPr>
            </w:pPr>
          </w:p>
        </w:tc>
      </w:tr>
      <w:tr>
        <w:trPr>
          <w:trHeight w:val="274"/>
        </w:trPr>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340" w:type="dxa"/>
            <w:vAlign w:val="bottom"/>
            <w:gridSpan w:val="3"/>
          </w:tcPr>
          <w:p>
            <w:pPr>
              <w:ind w:left="1240"/>
              <w:spacing w:after="0"/>
              <w:rPr>
                <w:sz w:val="20"/>
                <w:szCs w:val="20"/>
                <w:color w:val="auto"/>
              </w:rPr>
            </w:pPr>
            <w:r>
              <w:rPr>
                <w:rFonts w:ascii="Arial" w:cs="Arial" w:eastAsia="Arial" w:hAnsi="Arial"/>
                <w:sz w:val="22"/>
                <w:szCs w:val="22"/>
                <w:color w:val="auto"/>
                <w:w w:val="88"/>
              </w:rPr>
              <w:t>Title: Assistant Corporate Secretary</w:t>
            </w:r>
          </w:p>
        </w:tc>
        <w:tc>
          <w:tcPr>
            <w:tcW w:w="0" w:type="dxa"/>
            <w:vAlign w:val="bottom"/>
          </w:tcPr>
          <w:p>
            <w:pPr>
              <w:spacing w:after="0"/>
              <w:rPr>
                <w:sz w:val="1"/>
                <w:szCs w:val="1"/>
                <w:color w:val="auto"/>
              </w:rPr>
            </w:pPr>
          </w:p>
        </w:tc>
      </w:tr>
      <w:tr>
        <w:trPr>
          <w:trHeight w:val="729"/>
        </w:trPr>
        <w:tc>
          <w:tcPr>
            <w:tcW w:w="4380" w:type="dxa"/>
            <w:vAlign w:val="bottom"/>
            <w:gridSpan w:val="4"/>
          </w:tcPr>
          <w:p>
            <w:pPr>
              <w:spacing w:after="0"/>
              <w:rPr>
                <w:sz w:val="20"/>
                <w:szCs w:val="20"/>
                <w:color w:val="auto"/>
              </w:rPr>
            </w:pPr>
            <w:r>
              <w:rPr>
                <w:rFonts w:ascii="Arial" w:cs="Arial" w:eastAsia="Arial" w:hAnsi="Arial"/>
                <w:sz w:val="22"/>
                <w:szCs w:val="22"/>
                <w:color w:val="auto"/>
              </w:rPr>
              <w:t>Attest:</w:t>
            </w: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380" w:type="dxa"/>
            <w:vAlign w:val="bottom"/>
            <w:gridSpan w:val="4"/>
          </w:tcPr>
          <w:p>
            <w:pPr>
              <w:spacing w:after="0"/>
              <w:rPr>
                <w:sz w:val="20"/>
                <w:szCs w:val="20"/>
                <w:color w:val="auto"/>
              </w:rPr>
            </w:pPr>
            <w:r>
              <w:rPr>
                <w:rFonts w:ascii="Arial" w:cs="Arial" w:eastAsia="Arial" w:hAnsi="Arial"/>
                <w:sz w:val="22"/>
                <w:szCs w:val="22"/>
                <w:color w:val="auto"/>
              </w:rPr>
              <w:t>By: /s/ Carey Norton</w:t>
            </w: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80" w:type="dxa"/>
            <w:vAlign w:val="bottom"/>
            <w:gridSpan w:val="4"/>
          </w:tcPr>
          <w:p>
            <w:pPr>
              <w:spacing w:after="0" w:line="242" w:lineRule="exact"/>
              <w:rPr>
                <w:sz w:val="20"/>
                <w:szCs w:val="20"/>
                <w:color w:val="auto"/>
              </w:rPr>
            </w:pPr>
            <w:r>
              <w:rPr>
                <w:rFonts w:ascii="Arial" w:cs="Arial" w:eastAsia="Arial" w:hAnsi="Arial"/>
                <w:sz w:val="22"/>
                <w:szCs w:val="22"/>
                <w:color w:val="auto"/>
              </w:rPr>
              <w:t>Name: Carey Norton</w:t>
            </w: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380" w:type="dxa"/>
            <w:vAlign w:val="bottom"/>
            <w:gridSpan w:val="4"/>
          </w:tcPr>
          <w:p>
            <w:pPr>
              <w:spacing w:after="0"/>
              <w:rPr>
                <w:sz w:val="20"/>
                <w:szCs w:val="20"/>
                <w:color w:val="auto"/>
              </w:rPr>
            </w:pPr>
            <w:r>
              <w:rPr>
                <w:rFonts w:ascii="Arial" w:cs="Arial" w:eastAsia="Arial" w:hAnsi="Arial"/>
                <w:sz w:val="22"/>
                <w:szCs w:val="22"/>
                <w:color w:val="auto"/>
              </w:rPr>
              <w:t>Title: Assistant Corporate Secretary</w:t>
            </w: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0"/>
                <w:szCs w:val="20"/>
                <w:color w:val="auto"/>
              </w:rPr>
            </w:pPr>
            <w:r>
              <w:rPr>
                <w:rFonts w:ascii="Arial" w:cs="Arial" w:eastAsia="Arial" w:hAnsi="Arial"/>
                <w:sz w:val="22"/>
                <w:szCs w:val="22"/>
                <w:color w:val="auto"/>
              </w:rPr>
              <w:t>STATE OF Colorado</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2800" w:type="dxa"/>
            <w:vAlign w:val="bottom"/>
            <w:vMerge w:val="restart"/>
          </w:tcPr>
          <w:p>
            <w:pPr>
              <w:spacing w:after="0"/>
              <w:rPr>
                <w:sz w:val="20"/>
                <w:szCs w:val="20"/>
                <w:color w:val="auto"/>
              </w:rPr>
            </w:pPr>
            <w:r>
              <w:rPr>
                <w:rFonts w:ascii="Arial" w:cs="Arial" w:eastAsia="Arial" w:hAnsi="Arial"/>
                <w:sz w:val="22"/>
                <w:szCs w:val="22"/>
                <w:color w:val="auto"/>
              </w:rPr>
              <w:t>COUNTY OF Arapohoe)</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80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The foregoing instrument was acknowledged before me this 29</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day of March , 2021, by Christian Spencer, as Assistant Corporate Secretary of CoBank, ACB, a federally chartered instrumentality of the United States, on behalf of said corporation.</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WITNESS WHEREOF, I have hereunto set my hand and affixed my official seal in the County and State aforesaid, the day and year in first above written.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Karen Buxman</w:t>
      </w:r>
    </w:p>
    <w:p>
      <w:pPr>
        <w:ind w:left="3900"/>
        <w:spacing w:after="0" w:line="238" w:lineRule="auto"/>
        <w:rPr>
          <w:sz w:val="20"/>
          <w:szCs w:val="20"/>
          <w:color w:val="auto"/>
        </w:rPr>
      </w:pPr>
      <w:r>
        <w:rPr>
          <w:rFonts w:ascii="Arial" w:cs="Arial" w:eastAsia="Arial" w:hAnsi="Arial"/>
          <w:sz w:val="22"/>
          <w:szCs w:val="22"/>
          <w:color w:val="auto"/>
        </w:rPr>
        <w:t>Notary Public</w:t>
      </w:r>
    </w:p>
    <w:p>
      <w:pPr>
        <w:ind w:left="3900"/>
        <w:spacing w:after="0" w:line="230" w:lineRule="auto"/>
        <w:rPr>
          <w:sz w:val="20"/>
          <w:szCs w:val="20"/>
          <w:color w:val="auto"/>
        </w:rPr>
      </w:pPr>
      <w:r>
        <w:rPr>
          <w:rFonts w:ascii="Arial" w:cs="Arial" w:eastAsia="Arial" w:hAnsi="Arial"/>
          <w:sz w:val="22"/>
          <w:szCs w:val="22"/>
          <w:color w:val="auto"/>
        </w:rPr>
        <w:t>Name: Karen Buxman</w:t>
      </w:r>
    </w:p>
    <w:p>
      <w:pPr>
        <w:spacing w:after="0" w:line="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My commission expires: 09-13-2024</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Amendment to Combination Water Utility Real Estate Mortgage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jc w:val="center"/>
        <w:ind w:right="292"/>
        <w:spacing w:after="0"/>
        <w:rPr>
          <w:sz w:val="20"/>
          <w:szCs w:val="20"/>
          <w:color w:val="auto"/>
        </w:rPr>
      </w:pPr>
      <w:r>
        <w:rPr>
          <w:rFonts w:ascii="Arial" w:cs="Arial" w:eastAsia="Arial" w:hAnsi="Arial"/>
          <w:sz w:val="22"/>
          <w:szCs w:val="22"/>
          <w:b w:val="1"/>
          <w:bCs w:val="1"/>
          <w:color w:val="auto"/>
        </w:rPr>
        <w:t>APPENDIX A - - CERTAIN OBLIGATIONS; ETC.</w:t>
      </w:r>
    </w:p>
    <w:p>
      <w:pPr>
        <w:spacing w:after="0" w:line="239"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“Credit Agreement” referred to in Section 1.01 of the Mortgage are as follows:</w:t>
      </w:r>
    </w:p>
    <w:p>
      <w:pPr>
        <w:spacing w:after="0" w:line="8" w:lineRule="exact"/>
        <w:rPr>
          <w:rFonts w:ascii="Arial" w:cs="Arial" w:eastAsia="Arial" w:hAnsi="Arial"/>
          <w:sz w:val="22"/>
          <w:szCs w:val="22"/>
          <w:color w:val="auto"/>
        </w:rPr>
      </w:pPr>
    </w:p>
    <w:p>
      <w:pPr>
        <w:ind w:left="1028"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Master Loan Agreement dated as of May 23, 2003 and numbered RX0024;</w:t>
      </w:r>
    </w:p>
    <w:p>
      <w:pPr>
        <w:ind w:left="1028" w:right="10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May 23, 2003 and numbered RX0024T1 in the principal amount of $3,187,241.75;</w:t>
      </w:r>
    </w:p>
    <w:p>
      <w:pPr>
        <w:spacing w:after="0" w:line="1" w:lineRule="exact"/>
        <w:rPr>
          <w:rFonts w:ascii="Arial" w:cs="Arial" w:eastAsia="Arial" w:hAnsi="Arial"/>
          <w:sz w:val="22"/>
          <w:szCs w:val="22"/>
          <w:color w:val="auto"/>
        </w:rPr>
      </w:pPr>
    </w:p>
    <w:p>
      <w:pPr>
        <w:ind w:left="1028" w:right="10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May 23, 2003 and numbered RX0024T2 in the principal amount of $10,500,000;</w:t>
      </w:r>
    </w:p>
    <w:p>
      <w:pPr>
        <w:spacing w:after="0" w:line="1" w:lineRule="exact"/>
        <w:rPr>
          <w:rFonts w:ascii="Arial" w:cs="Arial" w:eastAsia="Arial" w:hAnsi="Arial"/>
          <w:sz w:val="22"/>
          <w:szCs w:val="22"/>
          <w:color w:val="auto"/>
        </w:rPr>
      </w:pPr>
    </w:p>
    <w:p>
      <w:pPr>
        <w:ind w:left="1028" w:right="4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August 22, 2005, and numbered RX0024T3 in the principal amount of $7,000,000;</w:t>
      </w:r>
    </w:p>
    <w:p>
      <w:pPr>
        <w:spacing w:after="0" w:line="1" w:lineRule="exact"/>
        <w:rPr>
          <w:rFonts w:ascii="Arial" w:cs="Arial" w:eastAsia="Arial" w:hAnsi="Arial"/>
          <w:sz w:val="22"/>
          <w:szCs w:val="22"/>
          <w:color w:val="auto"/>
        </w:rPr>
      </w:pPr>
    </w:p>
    <w:p>
      <w:pPr>
        <w:ind w:left="1028" w:right="4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August 22, 2005, and numbered RX0024T4 in the principal amount of $7,000,000;</w:t>
      </w:r>
    </w:p>
    <w:p>
      <w:pPr>
        <w:spacing w:after="0" w:line="1" w:lineRule="exact"/>
        <w:rPr>
          <w:rFonts w:ascii="Arial" w:cs="Arial" w:eastAsia="Arial" w:hAnsi="Arial"/>
          <w:sz w:val="22"/>
          <w:szCs w:val="22"/>
          <w:color w:val="auto"/>
        </w:rPr>
      </w:pPr>
    </w:p>
    <w:p>
      <w:pPr>
        <w:ind w:left="1028" w:right="4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August 22, 2005, and numbered RX0024T5 in the principal amount of $7,000,000;</w:t>
      </w:r>
    </w:p>
    <w:p>
      <w:pPr>
        <w:spacing w:after="0" w:line="1" w:lineRule="exact"/>
        <w:rPr>
          <w:rFonts w:ascii="Arial" w:cs="Arial" w:eastAsia="Arial" w:hAnsi="Arial"/>
          <w:sz w:val="22"/>
          <w:szCs w:val="22"/>
          <w:color w:val="auto"/>
        </w:rPr>
      </w:pPr>
    </w:p>
    <w:p>
      <w:pPr>
        <w:ind w:left="1028" w:right="10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March 19, 2009, and numbered RX0024T6 in the principal amount of $10,000,000;</w:t>
      </w:r>
    </w:p>
    <w:p>
      <w:pPr>
        <w:spacing w:after="0" w:line="1" w:lineRule="exact"/>
        <w:rPr>
          <w:rFonts w:ascii="Arial" w:cs="Arial" w:eastAsia="Arial" w:hAnsi="Arial"/>
          <w:sz w:val="22"/>
          <w:szCs w:val="22"/>
          <w:color w:val="auto"/>
        </w:rPr>
      </w:pPr>
    </w:p>
    <w:p>
      <w:pPr>
        <w:ind w:left="1028" w:right="10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March 19, 2009, and numbered RX0024T7 in the principal amount of $7,000,000;</w:t>
      </w:r>
    </w:p>
    <w:p>
      <w:pPr>
        <w:spacing w:after="0" w:line="1" w:lineRule="exact"/>
        <w:rPr>
          <w:rFonts w:ascii="Arial" w:cs="Arial" w:eastAsia="Arial" w:hAnsi="Arial"/>
          <w:sz w:val="22"/>
          <w:szCs w:val="22"/>
          <w:color w:val="auto"/>
        </w:rPr>
      </w:pPr>
    </w:p>
    <w:p>
      <w:pPr>
        <w:ind w:left="1028" w:right="10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March 19, 2009, and numbered RX0024T8 in the principal amount of $15,000,000;</w:t>
      </w:r>
    </w:p>
    <w:p>
      <w:pPr>
        <w:spacing w:after="0" w:line="1" w:lineRule="exact"/>
        <w:rPr>
          <w:rFonts w:ascii="Arial" w:cs="Arial" w:eastAsia="Arial" w:hAnsi="Arial"/>
          <w:sz w:val="22"/>
          <w:szCs w:val="22"/>
          <w:color w:val="auto"/>
        </w:rPr>
      </w:pPr>
    </w:p>
    <w:p>
      <w:pPr>
        <w:ind w:left="1028" w:right="680"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October 15, 2014, and numbered RX0024T9 in the principal amount of $15,000,000;</w:t>
      </w:r>
    </w:p>
    <w:p>
      <w:pPr>
        <w:spacing w:after="0" w:line="1" w:lineRule="exact"/>
        <w:rPr>
          <w:rFonts w:ascii="Arial" w:cs="Arial" w:eastAsia="Arial" w:hAnsi="Arial"/>
          <w:sz w:val="22"/>
          <w:szCs w:val="22"/>
          <w:color w:val="auto"/>
        </w:rPr>
      </w:pPr>
    </w:p>
    <w:p>
      <w:pPr>
        <w:ind w:left="1028" w:hanging="380"/>
        <w:spacing w:after="0" w:line="230" w:lineRule="auto"/>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Promissory Note and Supplement dated as of March 29, 2021, and numbered RX0024T10 in the principal amount of $20,000,000; and</w:t>
      </w:r>
    </w:p>
    <w:p>
      <w:pPr>
        <w:spacing w:after="0" w:line="1" w:lineRule="exact"/>
        <w:rPr>
          <w:rFonts w:ascii="Arial" w:cs="Arial" w:eastAsia="Arial" w:hAnsi="Arial"/>
          <w:sz w:val="22"/>
          <w:szCs w:val="22"/>
          <w:color w:val="auto"/>
        </w:rPr>
      </w:pPr>
    </w:p>
    <w:p>
      <w:pPr>
        <w:ind w:left="1028" w:hanging="380"/>
        <w:spacing w:after="0"/>
        <w:tabs>
          <w:tab w:leader="none" w:pos="10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amendments to and restatements of any of the foregoing.</w:t>
      </w:r>
    </w:p>
    <w:p>
      <w:pPr>
        <w:spacing w:after="0" w:line="215" w:lineRule="exact"/>
        <w:rPr>
          <w:rFonts w:ascii="Arial" w:cs="Arial" w:eastAsia="Arial" w:hAnsi="Arial"/>
          <w:sz w:val="22"/>
          <w:szCs w:val="22"/>
          <w:color w:val="auto"/>
        </w:rPr>
      </w:pPr>
    </w:p>
    <w:p>
      <w:pPr>
        <w:ind w:left="208" w:right="580" w:hanging="208"/>
        <w:spacing w:after="0" w:line="274" w:lineRule="auto"/>
        <w:tabs>
          <w:tab w:leader="none" w:pos="208"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“Maximum Debt Limit” is: $102,000,000.00 plus: (1) all accrued interest, prepayment premiums, fees and other charges owing to the Mortgagee; and (2) other sums as provided in Section 6.09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263525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571"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10.29(b)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144780</wp:posOffset>
            </wp:positionV>
            <wp:extent cx="1714500" cy="80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Amendment to Loan Documents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THIS AMENDMENT TO LOAN DOCUMENTS </w:t>
      </w:r>
      <w:r>
        <w:rPr>
          <w:rFonts w:ascii="Arial" w:cs="Arial" w:eastAsia="Arial" w:hAnsi="Arial"/>
          <w:sz w:val="20"/>
          <w:szCs w:val="20"/>
          <w:color w:val="auto"/>
        </w:rPr>
        <w:t>(this “</w:t>
      </w:r>
      <w:r>
        <w:rPr>
          <w:rFonts w:ascii="Arial" w:cs="Arial" w:eastAsia="Arial" w:hAnsi="Arial"/>
          <w:sz w:val="20"/>
          <w:szCs w:val="20"/>
          <w:b w:val="1"/>
          <w:bCs w:val="1"/>
          <w:color w:val="auto"/>
        </w:rPr>
        <w:t>Amendment</w:t>
      </w:r>
      <w:r>
        <w:rPr>
          <w:rFonts w:ascii="Arial" w:cs="Arial" w:eastAsia="Arial" w:hAnsi="Arial"/>
          <w:sz w:val="20"/>
          <w:szCs w:val="20"/>
          <w:color w:val="auto"/>
        </w:rPr>
        <w:t>”) is made as of April 5, 2021, by and between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MIDDLESEX WATER 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WHITE MARSH ENVIRONMENTAL SYSTEMS, INC.</w:t>
      </w:r>
      <w:r>
        <w:rPr>
          <w:rFonts w:ascii="Arial" w:cs="Arial" w:eastAsia="Arial" w:hAnsi="Arial"/>
          <w:sz w:val="20"/>
          <w:szCs w:val="20"/>
          <w:color w:val="auto"/>
        </w:rPr>
        <w:t>,</w:t>
      </w:r>
      <w:r>
        <w:rPr>
          <w:rFonts w:ascii="Arial" w:cs="Arial" w:eastAsia="Arial" w:hAnsi="Arial"/>
          <w:sz w:val="20"/>
          <w:szCs w:val="20"/>
          <w:b w:val="1"/>
          <w:bCs w:val="1"/>
          <w:color w:val="auto"/>
        </w:rPr>
        <w:t xml:space="preserve"> UTILITY SERVICE AFFILIATES (PERTH AMBOY) INC.</w:t>
      </w:r>
      <w:r>
        <w:rPr>
          <w:rFonts w:ascii="Arial" w:cs="Arial" w:eastAsia="Arial" w:hAnsi="Arial"/>
          <w:sz w:val="20"/>
          <w:szCs w:val="20"/>
          <w:color w:val="auto"/>
        </w:rPr>
        <w:t>,</w:t>
      </w:r>
      <w:r>
        <w:rPr>
          <w:rFonts w:ascii="Arial" w:cs="Arial" w:eastAsia="Arial" w:hAnsi="Arial"/>
          <w:sz w:val="20"/>
          <w:szCs w:val="20"/>
          <w:b w:val="1"/>
          <w:bCs w:val="1"/>
          <w:color w:val="auto"/>
        </w:rPr>
        <w:t xml:space="preserve"> TIDEWATER ENVIRONMENTAL SERVICES, INC.</w:t>
      </w:r>
      <w:r>
        <w:rPr>
          <w:rFonts w:ascii="Arial" w:cs="Arial" w:eastAsia="Arial" w:hAnsi="Arial"/>
          <w:sz w:val="20"/>
          <w:szCs w:val="20"/>
          <w:color w:val="auto"/>
        </w:rPr>
        <w:t>,</w:t>
      </w:r>
      <w:r>
        <w:rPr>
          <w:rFonts w:ascii="Arial" w:cs="Arial" w:eastAsia="Arial" w:hAnsi="Arial"/>
          <w:sz w:val="20"/>
          <w:szCs w:val="20"/>
          <w:b w:val="1"/>
          <w:bCs w:val="1"/>
          <w:color w:val="auto"/>
        </w:rPr>
        <w:t xml:space="preserve"> PINELANDS WASTEWATER COMPANY</w:t>
      </w:r>
      <w:r>
        <w:rPr>
          <w:rFonts w:ascii="Arial" w:cs="Arial" w:eastAsia="Arial" w:hAnsi="Arial"/>
          <w:sz w:val="20"/>
          <w:szCs w:val="20"/>
          <w:color w:val="auto"/>
        </w:rPr>
        <w:t>,</w:t>
      </w:r>
      <w:r>
        <w:rPr>
          <w:rFonts w:ascii="Arial" w:cs="Arial" w:eastAsia="Arial" w:hAnsi="Arial"/>
          <w:sz w:val="20"/>
          <w:szCs w:val="20"/>
          <w:b w:val="1"/>
          <w:bCs w:val="1"/>
          <w:color w:val="auto"/>
        </w:rPr>
        <w:t xml:space="preserve"> TIDEWATER UTILITIES, INC.</w:t>
      </w:r>
      <w:r>
        <w:rPr>
          <w:rFonts w:ascii="Arial" w:cs="Arial" w:eastAsia="Arial" w:hAnsi="Arial"/>
          <w:sz w:val="20"/>
          <w:szCs w:val="20"/>
          <w:color w:val="auto"/>
        </w:rPr>
        <w:t>,</w:t>
      </w:r>
      <w:r>
        <w:rPr>
          <w:rFonts w:ascii="Arial" w:cs="Arial" w:eastAsia="Arial" w:hAnsi="Arial"/>
          <w:sz w:val="20"/>
          <w:szCs w:val="20"/>
          <w:b w:val="1"/>
          <w:bCs w:val="1"/>
          <w:color w:val="auto"/>
        </w:rPr>
        <w:t xml:space="preserve"> PINELANDS WATER COMPANY </w:t>
      </w:r>
      <w:r>
        <w:rPr>
          <w:rFonts w:ascii="Arial" w:cs="Arial" w:eastAsia="Arial" w:hAnsi="Arial"/>
          <w:sz w:val="20"/>
          <w:szCs w:val="20"/>
          <w:color w:val="auto"/>
        </w:rPr>
        <w:t>and</w:t>
      </w:r>
      <w:r>
        <w:rPr>
          <w:rFonts w:ascii="Arial" w:cs="Arial" w:eastAsia="Arial" w:hAnsi="Arial"/>
          <w:sz w:val="20"/>
          <w:szCs w:val="20"/>
          <w:b w:val="1"/>
          <w:bCs w:val="1"/>
          <w:color w:val="auto"/>
        </w:rPr>
        <w:t xml:space="preserve"> UTILITY SERVICE AFFILIATES INC. </w:t>
      </w:r>
      <w:r>
        <w:rPr>
          <w:rFonts w:ascii="Arial" w:cs="Arial" w:eastAsia="Arial" w:hAnsi="Arial"/>
          <w:sz w:val="20"/>
          <w:szCs w:val="20"/>
          <w:color w:val="auto"/>
        </w:rPr>
        <w:t>(individually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the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and </w:t>
      </w: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xml:space="preserve"> (the “</w:t>
      </w: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35" w:lineRule="exact"/>
        <w:rPr>
          <w:sz w:val="20"/>
          <w:szCs w:val="20"/>
          <w:color w:val="auto"/>
        </w:rPr>
      </w:pPr>
    </w:p>
    <w:p>
      <w:pPr>
        <w:jc w:val="both"/>
        <w:ind w:firstLine="656"/>
        <w:spacing w:after="0" w:line="242" w:lineRule="auto"/>
        <w:tabs>
          <w:tab w:leader="none" w:pos="103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Borrower or another obligor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Arial" w:cs="Arial" w:eastAsia="Arial" w:hAnsi="Arial"/>
          <w:sz w:val="20"/>
          <w:szCs w:val="20"/>
          <w:b w:val="1"/>
          <w:bCs w:val="1"/>
          <w:color w:val="auto"/>
        </w:rPr>
        <w:t>Loan</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Documents</w:t>
      </w:r>
      <w:r>
        <w:rPr>
          <w:rFonts w:ascii="Arial" w:cs="Arial" w:eastAsia="Arial" w:hAnsi="Arial"/>
          <w:sz w:val="20"/>
          <w:szCs w:val="20"/>
          <w:color w:val="auto"/>
        </w:rPr>
        <w:t>”) which evidence or secure some or all of the indebtedness and other obligations of the Borrower to the Bank for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loans or other extensions of credit (as used herein, collectively, together with the Obligations, if and as defined in the Loan Documents, the “</w:t>
      </w:r>
      <w:r>
        <w:rPr>
          <w:rFonts w:ascii="Arial" w:cs="Arial" w:eastAsia="Arial" w:hAnsi="Arial"/>
          <w:sz w:val="20"/>
          <w:szCs w:val="20"/>
          <w:b w:val="1"/>
          <w:bCs w:val="1"/>
          <w:color w:val="auto"/>
        </w:rPr>
        <w:t>Obligations</w:t>
      </w:r>
      <w:r>
        <w:rPr>
          <w:rFonts w:ascii="Arial" w:cs="Arial" w:eastAsia="Arial" w:hAnsi="Arial"/>
          <w:sz w:val="20"/>
          <w:szCs w:val="20"/>
          <w:color w:val="auto"/>
        </w:rPr>
        <w:t>”). Any initially capitalized terms used in this Amendment without definition shall have the meanings assigned to those terms in the Loan Documents.</w:t>
      </w:r>
    </w:p>
    <w:p>
      <w:pPr>
        <w:spacing w:after="0" w:line="210" w:lineRule="exact"/>
        <w:rPr>
          <w:rFonts w:ascii="Arial" w:cs="Arial" w:eastAsia="Arial" w:hAnsi="Arial"/>
          <w:sz w:val="20"/>
          <w:szCs w:val="20"/>
          <w:color w:val="auto"/>
        </w:rPr>
      </w:pPr>
    </w:p>
    <w:p>
      <w:pPr>
        <w:ind w:left="1040" w:hanging="384"/>
        <w:spacing w:after="0"/>
        <w:tabs>
          <w:tab w:leader="none" w:pos="10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Borrower and the Bank desire to amend the Loan Documents as provided for in this Amendment.</w:t>
      </w:r>
    </w:p>
    <w:p>
      <w:pPr>
        <w:spacing w:after="0" w:line="223"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herein contained and intending to be legally bound hereby,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83" w:lineRule="exact"/>
        <w:rPr>
          <w:sz w:val="20"/>
          <w:szCs w:val="20"/>
          <w:color w:val="auto"/>
        </w:rPr>
      </w:pPr>
    </w:p>
    <w:p>
      <w:pPr>
        <w:jc w:val="both"/>
        <w:ind w:firstLine="656"/>
        <w:spacing w:after="0" w:line="263" w:lineRule="auto"/>
        <w:tabs>
          <w:tab w:leader="none" w:pos="994" w:val="left"/>
        </w:tabs>
        <w:numPr>
          <w:ilvl w:val="0"/>
          <w:numId w:val="21"/>
        </w:numPr>
        <w:rPr>
          <w:rFonts w:ascii="Arial" w:cs="Arial" w:eastAsia="Arial" w:hAnsi="Arial"/>
          <w:sz w:val="19"/>
          <w:szCs w:val="19"/>
          <w:color w:val="auto"/>
        </w:rPr>
      </w:pPr>
      <w:r>
        <w:rPr>
          <w:rFonts w:ascii="Arial" w:cs="Arial" w:eastAsia="Arial" w:hAnsi="Arial"/>
          <w:sz w:val="19"/>
          <w:szCs w:val="19"/>
          <w:color w:val="auto"/>
        </w:rPr>
        <w:t>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To the extent that any term or provision of this Amendment is or may be inconsistent with any term or provision in any Loan Document, the terms and provisions of this Amendment shall control.</w:t>
      </w:r>
    </w:p>
    <w:p>
      <w:pPr>
        <w:spacing w:after="0" w:line="189" w:lineRule="exact"/>
        <w:rPr>
          <w:rFonts w:ascii="Arial" w:cs="Arial" w:eastAsia="Arial" w:hAnsi="Arial"/>
          <w:sz w:val="19"/>
          <w:szCs w:val="19"/>
          <w:color w:val="auto"/>
        </w:rPr>
      </w:pPr>
    </w:p>
    <w:p>
      <w:pPr>
        <w:jc w:val="both"/>
        <w:ind w:firstLine="656"/>
        <w:spacing w:after="0" w:line="272" w:lineRule="auto"/>
        <w:tabs>
          <w:tab w:leader="none" w:pos="9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183" w:lineRule="exact"/>
        <w:rPr>
          <w:rFonts w:ascii="Arial" w:cs="Arial" w:eastAsia="Arial" w:hAnsi="Arial"/>
          <w:sz w:val="18"/>
          <w:szCs w:val="18"/>
          <w:color w:val="auto"/>
        </w:rPr>
      </w:pPr>
    </w:p>
    <w:p>
      <w:pPr>
        <w:jc w:val="both"/>
        <w:ind w:firstLine="656"/>
        <w:spacing w:after="0" w:line="250" w:lineRule="auto"/>
        <w:tabs>
          <w:tab w:leader="none" w:pos="99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firstLine="656"/>
        <w:spacing w:after="0" w:line="260" w:lineRule="auto"/>
        <w:tabs>
          <w:tab w:leader="none" w:pos="983"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 a condition precedent to the effectiveness of this Amendment, the Borrower shall comply with the terms and conditions (if any) specified in Exhibit A.</w:t>
      </w:r>
    </w:p>
    <w:p>
      <w:pPr>
        <w:spacing w:after="0" w:line="190" w:lineRule="exact"/>
        <w:rPr>
          <w:rFonts w:ascii="Arial" w:cs="Arial" w:eastAsia="Arial" w:hAnsi="Arial"/>
          <w:sz w:val="20"/>
          <w:szCs w:val="20"/>
          <w:color w:val="auto"/>
        </w:rPr>
      </w:pPr>
    </w:p>
    <w:p>
      <w:pPr>
        <w:jc w:val="both"/>
        <w:ind w:firstLine="656"/>
        <w:spacing w:after="0" w:line="243" w:lineRule="auto"/>
        <w:tabs>
          <w:tab w:leader="none" w:pos="9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206" w:lineRule="exact"/>
        <w:rPr>
          <w:rFonts w:ascii="Arial" w:cs="Arial" w:eastAsia="Arial" w:hAnsi="Arial"/>
          <w:sz w:val="20"/>
          <w:szCs w:val="20"/>
          <w:color w:val="auto"/>
        </w:rPr>
      </w:pPr>
    </w:p>
    <w:p>
      <w:pPr>
        <w:jc w:val="both"/>
        <w:ind w:firstLine="656"/>
        <w:spacing w:after="0" w:line="243" w:lineRule="auto"/>
        <w:tabs>
          <w:tab w:leader="none" w:pos="9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Upon written request by the other party (which may be made by electronic mail), any party so executing this Amendment by facsimile transmission shall promptly deliver a manually executed counterpart, provided that any failure to do so shall not affect the validity of the counterpart executed by facsimile transmission.</w:t>
      </w:r>
    </w:p>
    <w:p>
      <w:pPr>
        <w:spacing w:after="0" w:line="209" w:lineRule="exact"/>
        <w:rPr>
          <w:rFonts w:ascii="Arial" w:cs="Arial" w:eastAsia="Arial" w:hAnsi="Arial"/>
          <w:sz w:val="20"/>
          <w:szCs w:val="20"/>
          <w:color w:val="auto"/>
        </w:rPr>
      </w:pPr>
    </w:p>
    <w:p>
      <w:pPr>
        <w:jc w:val="both"/>
        <w:ind w:firstLine="656"/>
        <w:spacing w:after="0" w:line="257" w:lineRule="auto"/>
        <w:tabs>
          <w:tab w:leader="none" w:pos="994"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Notwithstanding any other provision herein or in the other Loan Documents, the Borrower agrees that this Amendment, the Loan Documents, any other amendments thereto and any other information, notice, signature card, agreement or authorization related thereto (each, a “</w:t>
      </w:r>
      <w:r>
        <w:rPr>
          <w:rFonts w:ascii="Arial" w:cs="Arial" w:eastAsia="Arial" w:hAnsi="Arial"/>
          <w:sz w:val="19"/>
          <w:szCs w:val="19"/>
          <w:b w:val="1"/>
          <w:bCs w:val="1"/>
          <w:color w:val="auto"/>
        </w:rPr>
        <w:t>Communication</w:t>
      </w:r>
      <w:r>
        <w:rPr>
          <w:rFonts w:ascii="Arial" w:cs="Arial" w:eastAsia="Arial" w:hAnsi="Arial"/>
          <w:sz w:val="19"/>
          <w:szCs w:val="19"/>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 The Borrower and the Bank acknowledge and agree that the methods for delivering Communications, including notices, under the Loan Documents include electronic transmittal to any electronic address provided by either party to the other party from time to time.</w:t>
      </w:r>
    </w:p>
    <w:p>
      <w:pPr>
        <w:spacing w:after="0" w:line="193" w:lineRule="exact"/>
        <w:rPr>
          <w:rFonts w:ascii="Arial" w:cs="Arial" w:eastAsia="Arial" w:hAnsi="Arial"/>
          <w:sz w:val="19"/>
          <w:szCs w:val="19"/>
          <w:color w:val="auto"/>
        </w:rPr>
      </w:pPr>
    </w:p>
    <w:p>
      <w:pPr>
        <w:jc w:val="both"/>
        <w:ind w:firstLine="656"/>
        <w:spacing w:after="0" w:line="250" w:lineRule="auto"/>
        <w:tabs>
          <w:tab w:leader="none" w:pos="9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spacing w:after="0" w:line="199" w:lineRule="exact"/>
        <w:rPr>
          <w:rFonts w:ascii="Arial" w:cs="Arial" w:eastAsia="Arial" w:hAnsi="Arial"/>
          <w:sz w:val="20"/>
          <w:szCs w:val="20"/>
          <w:color w:val="auto"/>
        </w:rPr>
      </w:pPr>
    </w:p>
    <w:p>
      <w:pPr>
        <w:ind w:right="20" w:firstLine="656"/>
        <w:spacing w:after="0" w:line="260" w:lineRule="auto"/>
        <w:tabs>
          <w:tab w:leader="none" w:pos="9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Amendment will be binding upon and inure to the benefit of the Borrower and the Bank and their respective heirs, executors, administrators, successors and assigns.</w:t>
      </w:r>
    </w:p>
    <w:p>
      <w:pPr>
        <w:spacing w:after="0" w:line="190" w:lineRule="exact"/>
        <w:rPr>
          <w:rFonts w:ascii="Arial" w:cs="Arial" w:eastAsia="Arial" w:hAnsi="Arial"/>
          <w:sz w:val="20"/>
          <w:szCs w:val="20"/>
          <w:color w:val="auto"/>
        </w:rPr>
      </w:pPr>
    </w:p>
    <w:p>
      <w:pPr>
        <w:jc w:val="both"/>
        <w:ind w:firstLine="656"/>
        <w:spacing w:after="0" w:line="260" w:lineRule="auto"/>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This Amendment will be interpreted and the rights and liabilities of the parties hereto determined in accordance with the laws of the State identified in and governing the Loan Documents that are being amended hereby (the “</w:t>
      </w:r>
      <w:r>
        <w:rPr>
          <w:rFonts w:ascii="Arial" w:cs="Arial" w:eastAsia="Arial" w:hAnsi="Arial"/>
          <w:sz w:val="19"/>
          <w:szCs w:val="19"/>
          <w:b w:val="1"/>
          <w:bCs w:val="1"/>
          <w:color w:val="auto"/>
        </w:rPr>
        <w:t>State</w:t>
      </w:r>
      <w:r>
        <w:rPr>
          <w:rFonts w:ascii="Arial" w:cs="Arial" w:eastAsia="Arial" w:hAnsi="Arial"/>
          <w:sz w:val="19"/>
          <w:szCs w:val="19"/>
          <w:color w:val="auto"/>
        </w:rPr>
        <w:t>”),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 This Amendment has been delivered to and accepted by the Bank and will be deemed to be made in the State.</w:t>
      </w:r>
    </w:p>
    <w:p>
      <w:pPr>
        <w:spacing w:after="0" w:line="193" w:lineRule="exact"/>
        <w:rPr>
          <w:rFonts w:ascii="Arial" w:cs="Arial" w:eastAsia="Arial" w:hAnsi="Arial"/>
          <w:sz w:val="19"/>
          <w:szCs w:val="19"/>
          <w:color w:val="auto"/>
        </w:rPr>
      </w:pPr>
    </w:p>
    <w:p>
      <w:pPr>
        <w:jc w:val="both"/>
        <w:ind w:firstLine="656"/>
        <w:spacing w:after="0" w:line="257" w:lineRule="auto"/>
        <w:tabs>
          <w:tab w:leader="none" w:pos="103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Arial" w:cs="Arial" w:eastAsia="Arial" w:hAnsi="Arial"/>
          <w:sz w:val="19"/>
          <w:szCs w:val="19"/>
          <w:b w:val="1"/>
          <w:bCs w:val="1"/>
          <w:color w:val="auto"/>
        </w:rPr>
        <w:t>The Borrower expressly ratifies and confirms the confession of judgment</w:t>
      </w:r>
      <w:r>
        <w:rPr>
          <w:rFonts w:ascii="Arial" w:cs="Arial" w:eastAsia="Arial" w:hAnsi="Arial"/>
          <w:sz w:val="19"/>
          <w:szCs w:val="19"/>
          <w:color w:val="auto"/>
        </w:rPr>
        <w:t xml:space="preserve"> </w:t>
      </w:r>
      <w:r>
        <w:rPr>
          <w:rFonts w:ascii="Arial" w:cs="Arial" w:eastAsia="Arial" w:hAnsi="Arial"/>
          <w:sz w:val="19"/>
          <w:szCs w:val="19"/>
          <w:b w:val="1"/>
          <w:bCs w:val="1"/>
          <w:color w:val="auto"/>
        </w:rPr>
        <w:t>(if applicable) and dispute resolution, waiver of jury trial or arbitration provisions, as applicable, contained in the Loan Documents, all of which are incorporated herein by reference.</w:t>
      </w:r>
    </w:p>
    <w:p>
      <w:pPr>
        <w:spacing w:after="0" w:line="79" w:lineRule="exact"/>
        <w:rPr>
          <w:rFonts w:ascii="Arial" w:cs="Arial" w:eastAsia="Arial" w:hAnsi="Arial"/>
          <w:sz w:val="19"/>
          <w:szCs w:val="19"/>
          <w:color w:val="auto"/>
        </w:rPr>
      </w:pPr>
    </w:p>
    <w:p>
      <w:pPr>
        <w:ind w:left="5560" w:hanging="108"/>
        <w:spacing w:after="0"/>
        <w:tabs>
          <w:tab w:leader="none" w:pos="55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 xml:space="preserve">WITNESS </w:t>
      </w:r>
      <w:r>
        <w:rPr>
          <w:rFonts w:ascii="Arial" w:cs="Arial" w:eastAsia="Arial" w:hAnsi="Arial"/>
          <w:sz w:val="22"/>
          <w:szCs w:val="22"/>
          <w:color w:val="auto"/>
        </w:rPr>
        <w:t>the due execution of this Amendment as a document under seal as of the date first written above.</w:t>
      </w:r>
    </w:p>
    <w:p>
      <w:pPr>
        <w:spacing w:after="0" w:line="26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MIDDLESEX WATER COMPANY</w:t>
      </w:r>
    </w:p>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6985</wp:posOffset>
            </wp:positionV>
            <wp:extent cx="3317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11"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 Bruce O'connor</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Senior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PINELANDS WASTEWATER COMPANY</w:t>
      </w:r>
    </w:p>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6985</wp:posOffset>
            </wp:positionV>
            <wp:extent cx="33178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 Bruce O'connor</w:t>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Vice President &amp; Treasurer</w:t>
      </w:r>
    </w:p>
    <w:p>
      <w:pPr>
        <w:spacing w:after="0" w:line="200" w:lineRule="exact"/>
        <w:rPr>
          <w:sz w:val="20"/>
          <w:szCs w:val="20"/>
          <w:color w:val="auto"/>
        </w:rPr>
      </w:pPr>
    </w:p>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PINELANDS WATER COMPANY</w:t>
      </w:r>
    </w:p>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6985</wp:posOffset>
            </wp:positionV>
            <wp:extent cx="33178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 Bruce O'connor</w:t>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Vice President &amp; Treasurer</w:t>
      </w:r>
    </w:p>
    <w:p>
      <w:pPr>
        <w:spacing w:after="0" w:line="200" w:lineRule="exact"/>
        <w:rPr>
          <w:sz w:val="20"/>
          <w:szCs w:val="20"/>
          <w:color w:val="auto"/>
        </w:rPr>
      </w:pPr>
    </w:p>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TIDEWATER ENVIRONMENTAL SERVICES, INC.</w:t>
      </w:r>
    </w:p>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6985</wp:posOffset>
            </wp:positionV>
            <wp:extent cx="33178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 Bruce O'connor</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33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TIDEWATER UTILITIES, INC.</w:t>
      </w:r>
    </w:p>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6985</wp:posOffset>
            </wp:positionV>
            <wp:extent cx="33178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 Bruce O'connor</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40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- 3 -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571" w:right="339" w:bottom="1440" w:gutter="0" w:footer="0" w:header="0"/>
        </w:sectPr>
      </w:pPr>
    </w:p>
    <w:bookmarkStart w:id="44" w:name="page45"/>
    <w:bookmarkEnd w:id="44"/>
    <w:p>
      <w:pPr>
        <w:ind w:left="4520"/>
        <w:spacing w:after="0"/>
        <w:rPr>
          <w:sz w:val="20"/>
          <w:szCs w:val="20"/>
          <w:color w:val="auto"/>
        </w:rPr>
      </w:pPr>
      <w:r>
        <w:rPr>
          <w:rFonts w:ascii="Arial" w:cs="Arial" w:eastAsia="Arial" w:hAnsi="Arial"/>
          <w:sz w:val="22"/>
          <w:szCs w:val="22"/>
          <w:b w:val="1"/>
          <w:bCs w:val="1"/>
          <w:color w:val="auto"/>
        </w:rPr>
        <w:t>UTILITY SERVICE AFFILIATES (PERTH AMBOY) INC.</w:t>
      </w:r>
    </w:p>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6985</wp:posOffset>
            </wp:positionV>
            <wp:extent cx="33178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A. Bruce O'connor</w:t>
      </w:r>
    </w:p>
    <w:p>
      <w:pPr>
        <w:spacing w:after="0" w:line="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Vice President &amp; Treasurer</w:t>
      </w: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WHITE MARSH ENVIRONMENTAL SYSTEMS, INC.</w:t>
      </w:r>
    </w:p>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6985</wp:posOffset>
            </wp:positionV>
            <wp:extent cx="3317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480" w:right="2940" w:firstLine="9"/>
        <w:spacing w:after="0" w:line="323" w:lineRule="auto"/>
        <w:tabs>
          <w:tab w:leader="none" w:pos="58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Bruce O'connor President</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UTILITY SERVICE AFFILIATES INC.</w:t>
      </w:r>
    </w:p>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6985</wp:posOffset>
            </wp:positionV>
            <wp:extent cx="3317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480" w:right="2940" w:firstLine="9"/>
        <w:spacing w:after="0" w:line="323" w:lineRule="auto"/>
        <w:tabs>
          <w:tab w:leader="none" w:pos="5816" w:val="left"/>
        </w:tabs>
        <w:numPr>
          <w:ilvl w:val="0"/>
          <w:numId w:val="24"/>
        </w:numPr>
        <w:rPr>
          <w:rFonts w:ascii="Arial" w:cs="Arial" w:eastAsia="Arial" w:hAnsi="Arial"/>
          <w:sz w:val="19"/>
          <w:szCs w:val="19"/>
          <w:color w:val="auto"/>
        </w:rPr>
      </w:pPr>
      <w:r>
        <w:rPr>
          <w:rFonts w:ascii="Arial" w:cs="Arial" w:eastAsia="Arial" w:hAnsi="Arial"/>
          <w:sz w:val="19"/>
          <w:szCs w:val="19"/>
          <w:color w:val="auto"/>
        </w:rPr>
        <w:t>Bruce O'connor Treasurer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PNC BANK, NATIONAL ASSOCIATION</w:t>
      </w:r>
    </w:p>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Anthony Frasso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6985</wp:posOffset>
            </wp:positionV>
            <wp:extent cx="3317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2"/>
          <w:szCs w:val="22"/>
          <w:color w:val="auto"/>
        </w:rPr>
        <w:t>(SEAL)</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Anthony Frasso</w:t>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Vice President</w:t>
      </w:r>
    </w:p>
    <w:p>
      <w:pPr>
        <w:spacing w:after="0" w:line="1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- 4 -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EXHIBIT A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LOAN DOCUMENTS</w:t>
      </w:r>
    </w:p>
    <w:p>
      <w:pPr>
        <w:jc w:val="center"/>
        <w:spacing w:after="0"/>
        <w:rPr>
          <w:sz w:val="20"/>
          <w:szCs w:val="20"/>
          <w:color w:val="auto"/>
        </w:rPr>
      </w:pPr>
      <w:r>
        <w:rPr>
          <w:rFonts w:ascii="Arial" w:cs="Arial" w:eastAsia="Arial" w:hAnsi="Arial"/>
          <w:sz w:val="22"/>
          <w:szCs w:val="22"/>
          <w:b w:val="1"/>
          <w:bCs w:val="1"/>
          <w:color w:val="auto"/>
        </w:rPr>
        <w:t>DATED AS OF APRIL 5, 2021</w:t>
      </w:r>
    </w:p>
    <w:p>
      <w:pPr>
        <w:spacing w:after="0" w:line="200" w:lineRule="exact"/>
        <w:rPr>
          <w:sz w:val="20"/>
          <w:szCs w:val="20"/>
          <w:color w:val="auto"/>
        </w:rPr>
      </w:pPr>
    </w:p>
    <w:p>
      <w:pPr>
        <w:spacing w:after="0" w:line="257" w:lineRule="exact"/>
        <w:rPr>
          <w:sz w:val="20"/>
          <w:szCs w:val="20"/>
          <w:color w:val="auto"/>
        </w:rPr>
      </w:pPr>
    </w:p>
    <w:p>
      <w:pPr>
        <w:ind w:left="660" w:right="20" w:hanging="652"/>
        <w:spacing w:after="0" w:line="26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Loan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Documents” that are the subject of this Amendment include the following (as each of such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has been amended, modified or otherwise supplemented previously):</w:t>
      </w:r>
    </w:p>
    <w:p>
      <w:pPr>
        <w:spacing w:after="0" w:line="182"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Amended and Restated Loan Agreement between the Borrower and the Bank dated April 29, 2015 between the Borrower and the Bank</w:t>
      </w:r>
    </w:p>
    <w:p>
      <w:pPr>
        <w:spacing w:after="0" w:line="190"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$68,000,000.00 Amended and Restated Committed Line of Credit Note dated October 22, 2019 executed and delivered by the Borrower to the Bank (“</w:t>
      </w:r>
      <w:r>
        <w:rPr>
          <w:rFonts w:ascii="Arial" w:cs="Arial" w:eastAsia="Arial" w:hAnsi="Arial"/>
          <w:sz w:val="20"/>
          <w:szCs w:val="20"/>
          <w:b w:val="1"/>
          <w:bCs w:val="1"/>
          <w:color w:val="auto"/>
        </w:rPr>
        <w:t>Note</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Amendment to Loan Documents dated June 30, 2015 between the Borrower and the Bank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Amendment to Loan Documents dated September 26, 2017 between the Borrower and the Bank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Amendment to Loan Documents dated May 4, 2018 between the Borrower and the Bank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Amendment to Loan Documents dated February 19, 2019 between the Borrower and the Bank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Amendment to Loan Documents dated October 22, 2019 between the Borrower and the Bank</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other documents, instruments, agreements, and certificates executed and delivered in connection with the Loan Documents listed in this Section A.</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Documents are amended as follows:</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Expiration Date, as set forth in the Note, is hereby extended from January 31, 2022 to January 31, 2023.</w:t>
      </w:r>
    </w:p>
    <w:p>
      <w:pPr>
        <w:spacing w:after="0" w:line="134"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LIBOR Replacement Rider attached to this Amendment as Exhibit B is hereby added as a Rider to, and incorporated into, the Note.</w:t>
      </w:r>
    </w:p>
    <w:p>
      <w:pPr>
        <w:spacing w:after="0" w:line="184" w:lineRule="exact"/>
        <w:rPr>
          <w:rFonts w:ascii="Arial" w:cs="Arial" w:eastAsia="Arial" w:hAnsi="Arial"/>
          <w:sz w:val="20"/>
          <w:szCs w:val="20"/>
          <w:color w:val="auto"/>
        </w:rPr>
      </w:pPr>
    </w:p>
    <w:p>
      <w:pPr>
        <w:ind w:left="1300" w:hanging="644"/>
        <w:spacing w:after="0" w:line="26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Section 13 of the Note entitled “</w:t>
      </w:r>
      <w:r>
        <w:rPr>
          <w:rFonts w:ascii="Arial" w:cs="Arial" w:eastAsia="Arial" w:hAnsi="Arial"/>
          <w:sz w:val="20"/>
          <w:szCs w:val="20"/>
          <w:b w:val="1"/>
          <w:bCs w:val="1"/>
          <w:color w:val="auto"/>
        </w:rPr>
        <w:t>Anti-Money Laundering/International Trade Law Compliance</w:t>
      </w:r>
      <w:r>
        <w:rPr>
          <w:rFonts w:ascii="Arial" w:cs="Arial" w:eastAsia="Arial" w:hAnsi="Arial"/>
          <w:sz w:val="20"/>
          <w:szCs w:val="20"/>
          <w:color w:val="auto"/>
        </w:rPr>
        <w:t>” is hereby amended and restated to read in its entirety as follows:</w:t>
      </w:r>
    </w:p>
    <w:p>
      <w:pPr>
        <w:spacing w:after="0" w:line="176" w:lineRule="exact"/>
        <w:rPr>
          <w:rFonts w:ascii="Arial" w:cs="Arial" w:eastAsia="Arial" w:hAnsi="Arial"/>
          <w:sz w:val="20"/>
          <w:szCs w:val="20"/>
          <w:color w:val="auto"/>
        </w:rPr>
      </w:pPr>
    </w:p>
    <w:p>
      <w:pPr>
        <w:jc w:val="both"/>
        <w:ind w:left="1300"/>
        <w:spacing w:after="0" w:line="271"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Anti-Money Laundering/International Trade Law Compliance</w:t>
      </w:r>
      <w:r>
        <w:rPr>
          <w:rFonts w:ascii="Arial" w:cs="Arial" w:eastAsia="Arial" w:hAnsi="Arial"/>
          <w:sz w:val="18"/>
          <w:szCs w:val="18"/>
          <w:b w:val="1"/>
          <w:bCs w:val="1"/>
          <w:color w:val="auto"/>
        </w:rPr>
        <w:t>.</w:t>
      </w:r>
      <w:r>
        <w:rPr>
          <w:rFonts w:ascii="Arial" w:cs="Arial" w:eastAsia="Arial" w:hAnsi="Arial"/>
          <w:sz w:val="18"/>
          <w:szCs w:val="18"/>
          <w:color w:val="auto"/>
        </w:rPr>
        <w:t xml:space="preserve"> The Borrower represents, warrants and covenants to the Bank, as of the date hereof, 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w:t>
      </w:r>
    </w:p>
    <w:p>
      <w:pPr>
        <w:spacing w:after="0" w:line="70" w:lineRule="exact"/>
        <w:rPr>
          <w:rFonts w:ascii="Arial" w:cs="Arial" w:eastAsia="Arial" w:hAnsi="Arial"/>
          <w:sz w:val="20"/>
          <w:szCs w:val="20"/>
          <w:color w:val="auto"/>
        </w:rPr>
      </w:pPr>
    </w:p>
    <w:p>
      <w:pPr>
        <w:ind w:left="5560" w:hanging="108"/>
        <w:spacing w:after="0"/>
        <w:tabs>
          <w:tab w:leader="none" w:pos="55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5 -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jc w:val="both"/>
        <w:ind w:left="1300"/>
        <w:spacing w:after="0" w:line="291" w:lineRule="auto"/>
        <w:rPr>
          <w:sz w:val="20"/>
          <w:szCs w:val="20"/>
          <w:color w:val="auto"/>
        </w:rPr>
      </w:pPr>
      <w:r>
        <w:rPr>
          <w:rFonts w:ascii="Arial" w:cs="Arial" w:eastAsia="Arial" w:hAnsi="Arial"/>
          <w:sz w:val="18"/>
          <w:szCs w:val="18"/>
          <w:color w:val="auto"/>
        </w:rPr>
        <w:t>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spacing w:after="0" w:line="267"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means any laws relating to terrorism, trade sanctions programs and embargoes, import/export licensing, money laundering, or bribery, all as amended, supplemented or replaced from time to time;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means any collateral securing any debt, liabilities or other obligations of any Obligor to the Bank; “</w:t>
      </w:r>
      <w:r>
        <w:rPr>
          <w:rFonts w:ascii="Arial" w:cs="Arial" w:eastAsia="Arial" w:hAnsi="Arial"/>
          <w:sz w:val="18"/>
          <w:szCs w:val="18"/>
          <w:b w:val="1"/>
          <w:bCs w:val="1"/>
          <w:color w:val="auto"/>
        </w:rPr>
        <w:t>Compliance Authority</w:t>
      </w:r>
      <w:r>
        <w:rPr>
          <w:rFonts w:ascii="Arial" w:cs="Arial" w:eastAsia="Arial" w:hAnsi="Arial"/>
          <w:sz w:val="18"/>
          <w:szCs w:val="18"/>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Arial" w:cs="Arial" w:eastAsia="Arial" w:hAnsi="Arial"/>
          <w:sz w:val="18"/>
          <w:szCs w:val="18"/>
          <w:b w:val="1"/>
          <w:bCs w:val="1"/>
          <w:color w:val="auto"/>
        </w:rPr>
        <w:t>Covered Entity</w:t>
      </w:r>
      <w:r>
        <w:rPr>
          <w:rFonts w:ascii="Arial" w:cs="Arial" w:eastAsia="Arial" w:hAnsi="Arial"/>
          <w:sz w:val="18"/>
          <w:szCs w:val="18"/>
          <w:color w:val="auto"/>
        </w:rPr>
        <w:t>” means the Borrower, its affiliates and subsidiaries, all guarantors, pledgors of collateral, all owners of the foregoing, and all brokers or other agents of the Borrower acting in any capacity in connection with the Facility; “</w:t>
      </w:r>
      <w:r>
        <w:rPr>
          <w:rFonts w:ascii="Arial" w:cs="Arial" w:eastAsia="Arial" w:hAnsi="Arial"/>
          <w:sz w:val="18"/>
          <w:szCs w:val="18"/>
          <w:b w:val="1"/>
          <w:bCs w:val="1"/>
          <w:color w:val="auto"/>
        </w:rPr>
        <w:t>Embargoed Property</w:t>
      </w:r>
      <w:r>
        <w:rPr>
          <w:rFonts w:ascii="Arial" w:cs="Arial" w:eastAsia="Arial" w:hAnsi="Arial"/>
          <w:sz w:val="18"/>
          <w:szCs w:val="18"/>
          <w:color w:val="auto"/>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Arial" w:cs="Arial" w:eastAsia="Arial" w:hAnsi="Arial"/>
          <w:sz w:val="18"/>
          <w:szCs w:val="18"/>
          <w:b w:val="1"/>
          <w:bCs w:val="1"/>
          <w:color w:val="auto"/>
        </w:rPr>
        <w:t>Reportable</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 Event</w:t>
      </w:r>
      <w:r>
        <w:rPr>
          <w:rFonts w:ascii="Arial" w:cs="Arial" w:eastAsia="Arial" w:hAnsi="Arial"/>
          <w:sz w:val="18"/>
          <w:szCs w:val="18"/>
          <w:color w:val="auto"/>
        </w:rPr>
        <w:t>” means (1) any Covered Entity becomes a Sanctioned Person, or is indicted, arraigned, investigated or</w:t>
      </w:r>
      <w:r>
        <w:rPr>
          <w:rFonts w:ascii="Arial" w:cs="Arial" w:eastAsia="Arial" w:hAnsi="Arial"/>
          <w:sz w:val="18"/>
          <w:szCs w:val="18"/>
          <w:b w:val="1"/>
          <w:bCs w:val="1"/>
          <w:color w:val="auto"/>
        </w:rPr>
        <w:t xml:space="preserve"> </w:t>
      </w:r>
      <w:r>
        <w:rPr>
          <w:rFonts w:ascii="Arial" w:cs="Arial" w:eastAsia="Arial" w:hAnsi="Arial"/>
          <w:sz w:val="18"/>
          <w:szCs w:val="18"/>
          <w:color w:val="auto"/>
        </w:rPr>
        <w:t>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Arial" w:cs="Arial" w:eastAsia="Arial" w:hAnsi="Arial"/>
          <w:sz w:val="18"/>
          <w:szCs w:val="18"/>
          <w:b w:val="1"/>
          <w:bCs w:val="1"/>
          <w:color w:val="auto"/>
        </w:rPr>
        <w:t>Sanctioned Jurisdiction</w:t>
      </w:r>
      <w:r>
        <w:rPr>
          <w:rFonts w:ascii="Arial" w:cs="Arial" w:eastAsia="Arial" w:hAnsi="Arial"/>
          <w:sz w:val="18"/>
          <w:szCs w:val="18"/>
          <w:color w:val="auto"/>
        </w:rPr>
        <w:t>” means a country subject to a sanctions program maintained by any Compliance Authority; and “</w:t>
      </w:r>
      <w:r>
        <w:rPr>
          <w:rFonts w:ascii="Arial" w:cs="Arial" w:eastAsia="Arial" w:hAnsi="Arial"/>
          <w:sz w:val="18"/>
          <w:szCs w:val="18"/>
          <w:b w:val="1"/>
          <w:bCs w:val="1"/>
          <w:color w:val="auto"/>
        </w:rPr>
        <w:t>Sanctioned Person</w:t>
      </w:r>
      <w:r>
        <w:rPr>
          <w:rFonts w:ascii="Arial" w:cs="Arial" w:eastAsia="Arial" w:hAnsi="Arial"/>
          <w:sz w:val="18"/>
          <w:szCs w:val="18"/>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200" w:lineRule="exact"/>
        <w:rPr>
          <w:sz w:val="20"/>
          <w:szCs w:val="20"/>
          <w:color w:val="auto"/>
        </w:rPr>
      </w:pPr>
    </w:p>
    <w:p>
      <w:pPr>
        <w:spacing w:after="0" w:line="217" w:lineRule="exact"/>
        <w:rPr>
          <w:sz w:val="20"/>
          <w:szCs w:val="20"/>
          <w:color w:val="auto"/>
        </w:rPr>
      </w:pPr>
    </w:p>
    <w:p>
      <w:pPr>
        <w:ind w:left="660" w:hanging="652"/>
        <w:spacing w:after="0" w:line="267"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Effectiveness of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Bank’s willingness to agree to the amendments set forth in this Amendment 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prior satisfaction of the following conditions:</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Execution by all parties and delivery to the Bank of this Amendment.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Payment by the Borrower to the Bank of all fees and expenses required by the Bank in connection with this Amendment.</w:t>
      </w:r>
    </w:p>
    <w:p>
      <w:pPr>
        <w:spacing w:after="0" w:line="133" w:lineRule="exact"/>
        <w:rPr>
          <w:rFonts w:ascii="Arial" w:cs="Arial" w:eastAsia="Arial" w:hAnsi="Arial"/>
          <w:sz w:val="18"/>
          <w:szCs w:val="18"/>
          <w:color w:val="auto"/>
        </w:rPr>
      </w:pPr>
    </w:p>
    <w:p>
      <w:pPr>
        <w:ind w:left="5560" w:hanging="108"/>
        <w:spacing w:after="0"/>
        <w:tabs>
          <w:tab w:leader="none" w:pos="55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6 -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EXHIBIT B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LOAN DOCUMENTS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LIBOR Replacement Rider</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LIBOR Replacement Rider provides a mechanism for determining an alternative rate of interest in the event that the London interbank offered rate is no longer available or in certain other circumstances. The Bank does not warrant or accept any responsibility for and shall not have any liability with respect to, the administration, submission or any other matter related to the London interbank offered rate or other rates in the definition of “LIBOR” or with respect to any alternative or successor rate thereto, or replacement rate therefor. To the extent that any term or provision of this LIBOR Replacement Rider is or may be inconsistent with any term or provision in the remainder of this Note or any other Loan Document, the terms and provisions of this LIBOR Replacement Rider shall control.</w:t>
      </w:r>
    </w:p>
    <w:p>
      <w:pPr>
        <w:spacing w:after="0" w:line="172" w:lineRule="exact"/>
        <w:rPr>
          <w:sz w:val="20"/>
          <w:szCs w:val="20"/>
          <w:color w:val="auto"/>
        </w:rPr>
      </w:pPr>
    </w:p>
    <w:p>
      <w:pPr>
        <w:jc w:val="both"/>
        <w:ind w:firstLine="656"/>
        <w:spacing w:after="0" w:line="256" w:lineRule="auto"/>
        <w:tabs>
          <w:tab w:leader="none" w:pos="1065"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Benchmark Replacement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herein or in any other Loan Document, if a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Transition Event or an Early Opt-in Election, as applicable, and its related Benchmark Replacement Date have occurred prior to the Reference Time in respect of any setting of the then-current Benchmark, then, (x) if the Benchmark Replacement is determined in accordance with clause (1) or (2) of the definition of “Benchmark Replacement” on the Benchmark Replacement Date, such Benchmark Replacement will replace such Benchmark for all purposes hereunder and under any Loan Document in respect of such Benchmark setting and subsequent Benchmark settings without any amendment or further action or consent of any other party hereto or to any other Loan Document; and (y) if a Benchmark Replacement is determined in accordance with clause (3) of the definition of “Benchmark Replacement” on the Benchmark Replacement Date, such Benchmark Replacement will replace such Benchmark for all purposes hereunder and under any Loan Document in respect of any Benchmark setting at or after 5:00 p.m. (Eastern time) on the fifth (5th) Business Day after the date notice of such Benchmark Replacement is provided to the Borrower without any amendment hereto or to any other Loan Document, or further action or consent of the Borrower.</w:t>
      </w:r>
    </w:p>
    <w:p>
      <w:pPr>
        <w:spacing w:after="0" w:line="190" w:lineRule="exact"/>
        <w:rPr>
          <w:rFonts w:ascii="Arial" w:cs="Arial" w:eastAsia="Arial" w:hAnsi="Arial"/>
          <w:sz w:val="19"/>
          <w:szCs w:val="19"/>
          <w:color w:val="auto"/>
        </w:rPr>
      </w:pPr>
    </w:p>
    <w:p>
      <w:pPr>
        <w:jc w:val="both"/>
        <w:ind w:firstLine="656"/>
        <w:spacing w:after="0" w:line="248" w:lineRule="auto"/>
        <w:tabs>
          <w:tab w:leader="none" w:pos="1076"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Benchmark Replacement Conforming Changes</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the implementation of a Benchmark Replacement,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Bank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196" w:lineRule="exact"/>
        <w:rPr>
          <w:rFonts w:ascii="Arial" w:cs="Arial" w:eastAsia="Arial" w:hAnsi="Arial"/>
          <w:sz w:val="20"/>
          <w:szCs w:val="20"/>
          <w:color w:val="auto"/>
        </w:rPr>
      </w:pPr>
    </w:p>
    <w:p>
      <w:pPr>
        <w:jc w:val="both"/>
        <w:ind w:firstLine="656"/>
        <w:spacing w:after="0" w:line="274" w:lineRule="auto"/>
        <w:tabs>
          <w:tab w:leader="none" w:pos="1065"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Standards for Decisions and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 will promptly notify the Borrower of (i) any occurrence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paragraph (d) below and (v) the commencement or conclusion of any Benchmark Unavailability Period. Any determination, decision or election that may be made by the Bank pursuant to this Rider,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w:t>
      </w:r>
    </w:p>
    <w:p>
      <w:pPr>
        <w:spacing w:after="0" w:line="175" w:lineRule="exact"/>
        <w:rPr>
          <w:rFonts w:ascii="Arial" w:cs="Arial" w:eastAsia="Arial" w:hAnsi="Arial"/>
          <w:sz w:val="18"/>
          <w:szCs w:val="18"/>
          <w:color w:val="auto"/>
        </w:rPr>
      </w:pPr>
    </w:p>
    <w:p>
      <w:pPr>
        <w:jc w:val="both"/>
        <w:ind w:firstLine="656"/>
        <w:spacing w:after="0" w:line="259" w:lineRule="auto"/>
        <w:tabs>
          <w:tab w:leader="none" w:pos="1076"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Unavailability of Tenor of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herein or in any other Loan Document,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Bank in its reasonable discretion or (B) the regulatory supervisor for the administrator of such Benchmark has provided a public statement or publication of information announcing that any tenor for such Benchmark is or will be no longer representative, then the Bank may modify the definition of “Interest Period” for any Benchmark settings at or after such time to remove such unavailable or non-</w:t>
      </w:r>
    </w:p>
    <w:p>
      <w:pPr>
        <w:spacing w:after="0" w:line="72" w:lineRule="exact"/>
        <w:rPr>
          <w:rFonts w:ascii="Arial" w:cs="Arial" w:eastAsia="Arial" w:hAnsi="Arial"/>
          <w:sz w:val="19"/>
          <w:szCs w:val="19"/>
          <w:color w:val="auto"/>
        </w:rPr>
      </w:pPr>
    </w:p>
    <w:p>
      <w:pPr>
        <w:ind w:left="5560" w:hanging="108"/>
        <w:spacing w:after="0"/>
        <w:tabs>
          <w:tab w:leader="none" w:pos="5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7 -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color w:val="auto"/>
        </w:rPr>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Bank may modify the definition of “Interest Period” for all Benchmark settings at or after such time to reinstate such previously removed tenor.</w:t>
      </w:r>
    </w:p>
    <w:p>
      <w:pPr>
        <w:spacing w:after="0" w:line="169" w:lineRule="exact"/>
        <w:rPr>
          <w:sz w:val="20"/>
          <w:szCs w:val="20"/>
          <w:color w:val="auto"/>
        </w:rPr>
      </w:pPr>
    </w:p>
    <w:p>
      <w:pPr>
        <w:jc w:val="both"/>
        <w:ind w:firstLine="656"/>
        <w:spacing w:after="0" w:line="244" w:lineRule="auto"/>
        <w:tabs>
          <w:tab w:leader="none" w:pos="1065"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Benchmark Unavailability Period</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Borrower’s receipt of notice of the commencement of a Benchmark</w:t>
      </w:r>
      <w:r>
        <w:rPr>
          <w:rFonts w:ascii="Arial" w:cs="Arial" w:eastAsia="Arial" w:hAnsi="Arial"/>
          <w:sz w:val="20"/>
          <w:szCs w:val="20"/>
          <w:b w:val="1"/>
          <w:bCs w:val="1"/>
          <w:color w:val="auto"/>
        </w:rPr>
        <w:t xml:space="preserve"> </w:t>
      </w:r>
      <w:r>
        <w:rPr>
          <w:rFonts w:ascii="Arial" w:cs="Arial" w:eastAsia="Arial" w:hAnsi="Arial"/>
          <w:sz w:val="20"/>
          <w:szCs w:val="20"/>
          <w:color w:val="auto"/>
        </w:rPr>
        <w:t>Unavailability Period, the Borrower may revoke any request for a loan or advance of, conversion to or continuation of a USD LIBOR loan to be made, converted or continued during any Benchmark Unavailability Period and, failing that, the Borrower will be deemed to have converted any such request into a request for a loan or advance of or conversion to a loan or advance at the Fallback Rate. During any Benchmark Unavailability Period or at any time that a tenor for the then-current Benchmark is not an Available Tenor, the component of the Fallback Rate based upon the then-current Benchmark or such tenor for such Benchmark, as applicable, will not be used in any determination of the Fallback Rate.</w:t>
      </w:r>
    </w:p>
    <w:p>
      <w:pPr>
        <w:spacing w:after="0" w:line="199" w:lineRule="exact"/>
        <w:rPr>
          <w:rFonts w:ascii="Arial" w:cs="Arial" w:eastAsia="Arial" w:hAnsi="Arial"/>
          <w:sz w:val="20"/>
          <w:szCs w:val="20"/>
          <w:color w:val="auto"/>
        </w:rPr>
      </w:pPr>
    </w:p>
    <w:p>
      <w:pPr>
        <w:jc w:val="both"/>
        <w:ind w:firstLine="656"/>
        <w:spacing w:after="0" w:line="271" w:lineRule="auto"/>
        <w:tabs>
          <w:tab w:leader="none" w:pos="104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Secondary Term SOFR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or in any other Loan Document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proviso below in this paragraph, if a Term SOFR Transition Event and its related Benchmark Replacement Date have occurred prior to the Reference Time in respect of any setting of the then-current Benchmark, then (i) the applicable Benchmark Replacement will replace the then-current Benchmark for all purposes hereunder or under any Loan Document in respect of such Benchmark setting (the “</w:t>
      </w:r>
      <w:r>
        <w:rPr>
          <w:rFonts w:ascii="Arial" w:cs="Arial" w:eastAsia="Arial" w:hAnsi="Arial"/>
          <w:sz w:val="18"/>
          <w:szCs w:val="18"/>
          <w:b w:val="1"/>
          <w:bCs w:val="1"/>
          <w:color w:val="auto"/>
        </w:rPr>
        <w:t>Secondary Term SOFR Conversion Date</w:t>
      </w:r>
      <w:r>
        <w:rPr>
          <w:rFonts w:ascii="Arial" w:cs="Arial" w:eastAsia="Arial" w:hAnsi="Arial"/>
          <w:sz w:val="18"/>
          <w:szCs w:val="18"/>
          <w:color w:val="auto"/>
        </w:rPr>
        <w:t>”) and subsequent Benchmark settings, without any amendment or further action or consent of any other party hereto or to any other Loan Document; and (ii) loans outstanding on the Secondary Term SOFR Conversion Date bearing interest based on the then-current Benchmark shall be deemed to have been converted to loans bearing interest at the Benchmark Replacement with a tenor approximately the same length as the interest payment period of the then-current Benchmark; provided that, (A) this paragraph (f) shall not be effective unless the Bank has delivered to the Borrower a Term SOFR Notice and (B) this paragraph (f) shall not be effective with respect to the Facility if (I) the Borrower has outstanding an interest rate swap with the Bank to hedge, in whole or part, the floating rate risk under the Facility on the Secondary Term SOFR Conversion Date, and (II) such swap incorporates LIBOR fallback provisions with a Daily Simple SOFR rate as the primary alternative fallback rate for USD LIBOR.</w:t>
      </w:r>
    </w:p>
    <w:p>
      <w:pPr>
        <w:spacing w:after="0" w:line="178"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Certain Defined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in this Rider:</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Tenor</w:t>
      </w:r>
      <w:r>
        <w:rPr>
          <w:rFonts w:ascii="Arial" w:cs="Arial" w:eastAsia="Arial" w:hAnsi="Arial"/>
          <w:sz w:val="20"/>
          <w:szCs w:val="20"/>
          <w:color w:val="auto"/>
        </w:rPr>
        <w:t>” means, as of any date of determination and with respect to the then-current Benchmark, as applicable, (x) if the then-current Benchmark is a term rate or is based on a term rate, any tenor for such Benchmark that is or may be used for determining such Benchmark or the length of an Interest Period under the terms of the Facility as of such date and not including, for the avoidance of doubt, any tenor for such Benchmark that is then-removed from the definition of “Interest Period” pursuant to paragraph (d) of this Rider, or (y) if the then-current Benchmark is not a term rate nor based on a term rate, any payment period for interest calculated with reference to such Benchmark under the terms of the Facility as of such date. For the avoidance of doubt, the Available Tenor for the Daily LIBOR Rate is one month.</w:t>
      </w:r>
    </w:p>
    <w:p>
      <w:pPr>
        <w:spacing w:after="0" w:line="1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w:t>
      </w:r>
      <w:r>
        <w:rPr>
          <w:rFonts w:ascii="Arial" w:cs="Arial" w:eastAsia="Arial" w:hAnsi="Arial"/>
          <w:sz w:val="20"/>
          <w:szCs w:val="20"/>
          <w:color w:val="auto"/>
        </w:rPr>
        <w:t>” means, initially, USD LIBOR; provided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paragraph (a) of this Rider.</w:t>
      </w:r>
    </w:p>
    <w:p>
      <w:pPr>
        <w:spacing w:after="0" w:line="1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for any Available Tenor, the first alternative set forth in the order below that can be determined by the Bank on the applicable Benchmark Replacement Date; provided, however, if (i) the Borrower has outstanding an interest rate swap with the Bank on the Benchmark Replacement Date to hedge, in whole or part, the floating rate risk under the Facility, and (ii) such swap incorporates LIBOR fallback provisions with a Daily Simple SOFR rate as the primary alternative fallback rate for USD LIBOR, then the</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Benchmark Replacement alternative set forth in clause (1) below shall not apply to the Facility and the alternative set forth below in clause</w:t>
      </w:r>
    </w:p>
    <w:p>
      <w:pPr>
        <w:spacing w:after="0" w:line="39"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shall be the first alternative:</w:t>
      </w:r>
    </w:p>
    <w:p>
      <w:pPr>
        <w:spacing w:after="0" w:line="213" w:lineRule="exact"/>
        <w:rPr>
          <w:rFonts w:ascii="Arial" w:cs="Arial" w:eastAsia="Arial" w:hAnsi="Arial"/>
          <w:sz w:val="20"/>
          <w:szCs w:val="20"/>
          <w:color w:val="auto"/>
        </w:rPr>
      </w:pPr>
    </w:p>
    <w:p>
      <w:pPr>
        <w:ind w:left="1300" w:hanging="320"/>
        <w:spacing w:after="0"/>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29" w:lineRule="exact"/>
        <w:rPr>
          <w:rFonts w:ascii="Arial" w:cs="Arial" w:eastAsia="Arial" w:hAnsi="Arial"/>
          <w:sz w:val="20"/>
          <w:szCs w:val="20"/>
          <w:color w:val="auto"/>
        </w:rPr>
      </w:pPr>
    </w:p>
    <w:p>
      <w:pPr>
        <w:jc w:val="both"/>
        <w:ind w:left="1300" w:hanging="320"/>
        <w:spacing w:after="0" w:line="243" w:lineRule="auto"/>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Bank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Bank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 Term SOFR Transition Event, on the applicable Benchmark Replacement Date, the “Benchmark Replacement” shall revert to and shall be determined as set forth in clause (1) of this definition, all in accordance with paragraph (f) (Secondary Term SOFR Conversion) above. If the Benchmark Replacement as determined pursuant to clause (1), (2) or (3) above would be less than the Floor, the Benchmark Replacement will be deemed to be the Floor for the purposes hereof and of the other Loan Documents.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Adjustment</w:t>
      </w:r>
      <w:r>
        <w:rPr>
          <w:rFonts w:ascii="Arial" w:cs="Arial" w:eastAsia="Arial" w:hAnsi="Arial"/>
          <w:sz w:val="19"/>
          <w:szCs w:val="19"/>
          <w:color w:val="auto"/>
        </w:rPr>
        <w:t>” means, with respect to any replacement of the then-current Benchmark with an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Unadjusted Benchmark Replacement for any Available Tenor for any setting of such Unadjusted Benchmark Replacement:</w:t>
      </w:r>
    </w:p>
    <w:p>
      <w:pPr>
        <w:spacing w:after="0" w:line="213" w:lineRule="exact"/>
        <w:rPr>
          <w:sz w:val="20"/>
          <w:szCs w:val="20"/>
          <w:color w:val="auto"/>
        </w:rPr>
      </w:pPr>
    </w:p>
    <w:p>
      <w:pPr>
        <w:ind w:left="1300" w:hanging="320"/>
        <w:spacing w:after="0" w:line="260" w:lineRule="auto"/>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Bank:</w:t>
      </w:r>
    </w:p>
    <w:p>
      <w:pPr>
        <w:spacing w:after="0" w:line="190" w:lineRule="exact"/>
        <w:rPr>
          <w:rFonts w:ascii="Arial" w:cs="Arial" w:eastAsia="Arial" w:hAnsi="Arial"/>
          <w:sz w:val="20"/>
          <w:szCs w:val="20"/>
          <w:color w:val="auto"/>
        </w:rPr>
      </w:pPr>
    </w:p>
    <w:p>
      <w:pPr>
        <w:jc w:val="both"/>
        <w:ind w:left="1960" w:hanging="332"/>
        <w:spacing w:after="0" w:line="282"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time such Benchmark Replacement is first set for such Available Tenor that has been selected or recommended by the Relevant Governmental Body for the replacement of such Benchmark with the applicable Unadjusted Benchmark Replacement for the applicable Corresponding Tenor;</w:t>
      </w:r>
    </w:p>
    <w:p>
      <w:pPr>
        <w:spacing w:after="0" w:line="174" w:lineRule="exact"/>
        <w:rPr>
          <w:rFonts w:ascii="Arial" w:cs="Arial" w:eastAsia="Arial" w:hAnsi="Arial"/>
          <w:sz w:val="18"/>
          <w:szCs w:val="18"/>
          <w:color w:val="auto"/>
        </w:rPr>
      </w:pPr>
    </w:p>
    <w:p>
      <w:pPr>
        <w:jc w:val="both"/>
        <w:ind w:left="1960" w:hanging="332"/>
        <w:spacing w:after="0" w:line="246" w:lineRule="auto"/>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time such Benchmark Replacement is first set for such Available Tenor that would apply to the fallback rate for a derivative transaction referencing the ISDA Definitions to be effective upon an index cessation event with respect to such Benchmark for the applicable Corresponding Tenor; and</w:t>
      </w:r>
    </w:p>
    <w:p>
      <w:pPr>
        <w:spacing w:after="0" w:line="204" w:lineRule="exact"/>
        <w:rPr>
          <w:rFonts w:ascii="Arial" w:cs="Arial" w:eastAsia="Arial" w:hAnsi="Arial"/>
          <w:sz w:val="20"/>
          <w:szCs w:val="20"/>
          <w:color w:val="auto"/>
        </w:rPr>
      </w:pPr>
    </w:p>
    <w:p>
      <w:pPr>
        <w:jc w:val="both"/>
        <w:ind w:left="1300" w:hanging="320"/>
        <w:spacing w:after="0" w:line="27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Bank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w:t>
      </w:r>
    </w:p>
    <w:p>
      <w:pPr>
        <w:spacing w:after="0" w:line="292" w:lineRule="exact"/>
        <w:rPr>
          <w:rFonts w:ascii="Arial" w:cs="Arial" w:eastAsia="Arial" w:hAnsi="Arial"/>
          <w:sz w:val="18"/>
          <w:szCs w:val="18"/>
          <w:color w:val="auto"/>
        </w:rPr>
      </w:pPr>
    </w:p>
    <w:p>
      <w:pPr>
        <w:ind w:left="5560" w:hanging="108"/>
        <w:spacing w:after="0"/>
        <w:tabs>
          <w:tab w:leader="none" w:pos="5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9 -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0" w:name="page51"/>
    <w:bookmarkEnd w:id="50"/>
    <w:p>
      <w:pPr>
        <w:ind w:left="1300"/>
        <w:spacing w:after="0"/>
        <w:rPr>
          <w:sz w:val="20"/>
          <w:szCs w:val="20"/>
          <w:color w:val="auto"/>
        </w:rPr>
      </w:pPr>
      <w:r>
        <w:rPr>
          <w:rFonts w:ascii="Arial" w:cs="Arial" w:eastAsia="Arial" w:hAnsi="Arial"/>
          <w:sz w:val="20"/>
          <w:szCs w:val="20"/>
          <w:color w:val="auto"/>
        </w:rPr>
        <w:t>Unadjusted Benchmark Replacement for U.S. dollar-denominated syndicated or bilateral credit facilities;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in the case of clause (1) above, such adjustment is displayed on a screen or other information service that publishes such Benchmark Replacement Adjustment from time to time as selected by the Bank in its reasonable discretion and (y)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Bank decides may be appropriate to reflect the adoption and implementation of such Benchmark Replacement and to permit the administration thereof by the Bank in a manner substantially consistent with market practice (or, if the Bank decides that adoption of any portion of such market practice is not administratively feasible or if the Bank determines that no market practice for the administration of such Benchmark Replacement exists, in such other manner of administration as the Bank decides is reasonably necessary in connection with the administration of the Facility and the Loan Documents).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58" w:lineRule="exact"/>
        <w:rPr>
          <w:sz w:val="20"/>
          <w:szCs w:val="20"/>
          <w:color w:val="auto"/>
        </w:rPr>
      </w:pPr>
    </w:p>
    <w:p>
      <w:pPr>
        <w:jc w:val="both"/>
        <w:ind w:left="1300" w:hanging="320"/>
        <w:spacing w:after="0" w:line="246" w:lineRule="auto"/>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04" w:lineRule="exact"/>
        <w:rPr>
          <w:rFonts w:ascii="Arial" w:cs="Arial" w:eastAsia="Arial" w:hAnsi="Arial"/>
          <w:sz w:val="20"/>
          <w:szCs w:val="20"/>
          <w:color w:val="auto"/>
        </w:rPr>
      </w:pPr>
    </w:p>
    <w:p>
      <w:pPr>
        <w:ind w:left="1300" w:hanging="320"/>
        <w:spacing w:after="0" w:line="260" w:lineRule="auto"/>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determined by the Bank, which date shall promptly follow the date of the public statement or publication of information referenced therein;</w:t>
      </w:r>
    </w:p>
    <w:p>
      <w:pPr>
        <w:spacing w:after="0" w:line="190" w:lineRule="exact"/>
        <w:rPr>
          <w:rFonts w:ascii="Arial" w:cs="Arial" w:eastAsia="Arial" w:hAnsi="Arial"/>
          <w:sz w:val="20"/>
          <w:szCs w:val="20"/>
          <w:color w:val="auto"/>
        </w:rPr>
      </w:pPr>
    </w:p>
    <w:p>
      <w:pPr>
        <w:ind w:left="1300" w:hanging="320"/>
        <w:spacing w:after="0" w:line="260" w:lineRule="auto"/>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case of a Term SOFR Transition Event, the date that is set forth in the Term SOFR Notice provided to the Borrower pursuant to this Rider, which date shall be at least 30 days from the date of the Term SOFR Notice; or</w:t>
      </w:r>
    </w:p>
    <w:p>
      <w:pPr>
        <w:spacing w:after="0" w:line="190" w:lineRule="exact"/>
        <w:rPr>
          <w:rFonts w:ascii="Arial" w:cs="Arial" w:eastAsia="Arial" w:hAnsi="Arial"/>
          <w:sz w:val="20"/>
          <w:szCs w:val="20"/>
          <w:color w:val="auto"/>
        </w:rPr>
      </w:pPr>
    </w:p>
    <w:p>
      <w:pPr>
        <w:ind w:left="1300" w:hanging="320"/>
        <w:spacing w:after="0" w:line="260" w:lineRule="auto"/>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Borrower.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- 10 -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1" w:name="page52"/>
    <w:bookmarkEnd w:id="51"/>
    <w:p>
      <w:pPr>
        <w:jc w:val="both"/>
        <w:ind w:left="1300" w:hanging="320"/>
        <w:spacing w:after="0" w:line="244"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7" w:lineRule="exact"/>
        <w:rPr>
          <w:rFonts w:ascii="Arial" w:cs="Arial" w:eastAsia="Arial" w:hAnsi="Arial"/>
          <w:sz w:val="20"/>
          <w:szCs w:val="20"/>
          <w:color w:val="auto"/>
        </w:rPr>
      </w:pPr>
    </w:p>
    <w:p>
      <w:pPr>
        <w:jc w:val="both"/>
        <w:ind w:left="1300" w:hanging="320"/>
        <w:spacing w:after="0" w:line="272"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a Governmental Authority having jurisdiction over the Bank,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3" w:lineRule="exact"/>
        <w:rPr>
          <w:rFonts w:ascii="Arial" w:cs="Arial" w:eastAsia="Arial" w:hAnsi="Arial"/>
          <w:sz w:val="18"/>
          <w:szCs w:val="18"/>
          <w:color w:val="auto"/>
        </w:rPr>
      </w:pPr>
    </w:p>
    <w:p>
      <w:pPr>
        <w:jc w:val="both"/>
        <w:ind w:left="1300" w:hanging="320"/>
        <w:spacing w:after="0" w:line="29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or a Governmental Authority having jurisdiction over the Bank announcing that all Available Tenors of such Benchmark (or such component thereof) are no longer representative.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Unavailability Period</w:t>
      </w:r>
      <w:r>
        <w:rPr>
          <w:rFonts w:ascii="Arial" w:cs="Arial" w:eastAsia="Arial" w:hAnsi="Arial"/>
          <w:sz w:val="20"/>
          <w:szCs w:val="20"/>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Rider, and (y) ending at the time that a Benchmark Replacement has replaced the then-current Benchmark for all purposes hereunder and under any Loan Document in accordance with this Rider.</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means, for any day, SOFR, with the conventions for this rate (which may include a lookback) being established by the Bank in accordance with the conventions for this rate selected or recommended by the Relevant Governmental Body for determining “Daily Simple SOFR” for business loans; provided, that if the Bank decides that any such convention is not administratively feasible for the Bank, then the Bank may establish another convention in its reasonable discretion.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Early Opt-in Election</w:t>
      </w:r>
      <w:r>
        <w:rPr>
          <w:rFonts w:ascii="Arial" w:cs="Arial" w:eastAsia="Arial" w:hAnsi="Arial"/>
          <w:sz w:val="20"/>
          <w:szCs w:val="20"/>
          <w:color w:val="auto"/>
        </w:rPr>
        <w:t>” means, if the then-current Benchmark is USD LIBOR, the occurrence of:</w:t>
      </w:r>
    </w:p>
    <w:p>
      <w:pPr>
        <w:spacing w:after="0" w:line="235" w:lineRule="exact"/>
        <w:rPr>
          <w:sz w:val="20"/>
          <w:szCs w:val="20"/>
          <w:color w:val="auto"/>
        </w:rPr>
      </w:pPr>
    </w:p>
    <w:p>
      <w:pPr>
        <w:jc w:val="both"/>
        <w:ind w:left="1300" w:hanging="320"/>
        <w:spacing w:after="0" w:line="250"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determination by the Bank that at least five (5) currently outstanding U.S. dollar-denominated syndicated or bilateral credit facilities at such time contain (as a result of amendment or as originally executed) a SOFR-based rate (including SOFR, a term SOFR or any other rate based upon SOFR) as a benchmark rate, and</w:t>
      </w:r>
    </w:p>
    <w:p>
      <w:pPr>
        <w:spacing w:after="0" w:line="309" w:lineRule="exact"/>
        <w:rPr>
          <w:rFonts w:ascii="Arial" w:cs="Arial" w:eastAsia="Arial" w:hAnsi="Arial"/>
          <w:sz w:val="20"/>
          <w:szCs w:val="20"/>
          <w:color w:val="auto"/>
        </w:rPr>
      </w:pPr>
    </w:p>
    <w:p>
      <w:pPr>
        <w:ind w:left="5520" w:hanging="110"/>
        <w:spacing w:after="0"/>
        <w:tabs>
          <w:tab w:leader="none" w:pos="55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11 -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2" w:name="page53"/>
    <w:bookmarkEnd w:id="52"/>
    <w:p>
      <w:pPr>
        <w:ind w:left="1300" w:hanging="320"/>
        <w:spacing w:after="0" w:line="26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election by the Bank to trigger a fallback from USD LIBOR and the provision by the Bank of written notice of such election to the Borrower.</w:t>
      </w:r>
    </w:p>
    <w:p>
      <w:pPr>
        <w:spacing w:after="0" w:line="184"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Rate</w:t>
      </w:r>
      <w:r>
        <w:rPr>
          <w:rFonts w:ascii="Arial" w:cs="Arial" w:eastAsia="Arial" w:hAnsi="Arial"/>
          <w:sz w:val="18"/>
          <w:szCs w:val="18"/>
          <w:color w:val="auto"/>
        </w:rPr>
        <w:t>” means the alternative rate of interest that would have been applicable under the terms of the Facility (absent this Rider) if the Bank had given notice that USD LIBOR had become unavailable or, if no such alternative rate is specified, the Base Rate.</w:t>
      </w:r>
    </w:p>
    <w:p>
      <w:pPr>
        <w:spacing w:after="0" w:line="13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Floor</w:t>
      </w:r>
      <w:r>
        <w:rPr>
          <w:rFonts w:ascii="Arial" w:cs="Arial" w:eastAsia="Arial" w:hAnsi="Arial"/>
          <w:sz w:val="20"/>
          <w:szCs w:val="20"/>
          <w:color w:val="auto"/>
        </w:rPr>
        <w:t>” means the minimum rate of interest, if any, provided under the terms of the Facility with respect to USD LIBOR or, if no minimum rate of interest is specified, zero.</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Time</w:t>
      </w:r>
      <w:r>
        <w:rPr>
          <w:rFonts w:ascii="Arial" w:cs="Arial" w:eastAsia="Arial" w:hAnsi="Arial"/>
          <w:sz w:val="18"/>
          <w:szCs w:val="18"/>
          <w:color w:val="auto"/>
        </w:rPr>
        <w:t>” with respect to any setting of the then-current Benchmark means (1) if such Benchmark is USD LIBOR (other than the Daily LIBOR Rate), 11:00 a.m. (London time) on the day that is two London banking days preceding the date of such setting, and (2) if such Benchmark is not USD LIBOR or is the Daily LIBOR Rate, the time determined by the Bank in its reasonable discretion.</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9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3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Administrator’s Website</w:t>
      </w:r>
      <w:r>
        <w:rPr>
          <w:rFonts w:ascii="Arial" w:cs="Arial" w:eastAsia="Arial" w:hAnsi="Arial"/>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9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Notice</w:t>
      </w:r>
      <w:r>
        <w:rPr>
          <w:rFonts w:ascii="Arial" w:cs="Arial" w:eastAsia="Arial" w:hAnsi="Arial"/>
          <w:sz w:val="19"/>
          <w:szCs w:val="19"/>
          <w:color w:val="auto"/>
        </w:rPr>
        <w:t>” means a notification by the Bank to the Borrower of the occurrence of a Term SOFR Transition Event.</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 Transition Event</w:t>
      </w:r>
      <w:r>
        <w:rPr>
          <w:rFonts w:ascii="Arial" w:cs="Arial" w:eastAsia="Arial" w:hAnsi="Arial"/>
          <w:sz w:val="20"/>
          <w:szCs w:val="20"/>
          <w:color w:val="auto"/>
        </w:rPr>
        <w:t>” means the determination by the Bank that (1) Term SOFR has been recommended for use by the Relevant Governmental Body, and is determinable for each Available Tenor, (2) the administration of Term SOFR is administratively feasible for the Bank and (3) a Benchmark Transition Event has previously occurred resulting in a Benchmark Replacement in accordance with this Rider that is not Term SOFR.</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- 12 -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3" w:name="page54"/>
    <w:bookmarkEnd w:id="53"/>
    <w:p>
      <w:pPr>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LIBOR</w:t>
      </w:r>
      <w:r>
        <w:rPr>
          <w:rFonts w:ascii="Arial" w:cs="Arial" w:eastAsia="Arial" w:hAnsi="Arial"/>
          <w:sz w:val="18"/>
          <w:szCs w:val="18"/>
          <w:color w:val="auto"/>
        </w:rPr>
        <w:t>” means, for purposes of this Rider only, any interest rate that is based on the London interbank offered rate for U.S.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dollars.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LBR 15 (Bilat STD 2020-11 – HW)</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Non-Streamlined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- 13 -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17A – Multistate Rev. 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-10160</wp:posOffset>
            </wp:positionV>
            <wp:extent cx="10750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5" w:name="page56"/>
    <w:bookmarkEnd w:id="55"/>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-10160</wp:posOffset>
            </wp:positionV>
            <wp:extent cx="1269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121920</wp:posOffset>
            </wp:positionV>
            <wp:extent cx="715772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0750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-10160</wp:posOffset>
            </wp:positionV>
            <wp:extent cx="12693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04"/>
    </w:lvl>
  </w:abstractNum>
  <w:abstractNum w:abstractNumId="12">
    <w:nsid w:val="8EDBDAB"/>
    <w:multiLevelType w:val="hybridMultilevel"/>
    <w:lvl w:ilvl="0">
      <w:lvlJc w:val="left"/>
      <w:lvlText w:val="(%1)"/>
      <w:numFmt w:val="upperLetter"/>
      <w:start w:val="1"/>
    </w:lvl>
    <w:lvl w:ilvl="1">
      <w:lvlJc w:val="left"/>
      <w:lvlText w:val="(%2)"/>
      <w:numFmt w:val="decimal"/>
      <w:start w:val="1"/>
    </w:lvl>
  </w:abstractNum>
  <w:abstractNum w:abstractNumId="13">
    <w:nsid w:val="79838CB2"/>
    <w:multiLevelType w:val="hybridMultilevel"/>
    <w:lvl w:ilvl="0">
      <w:lvlJc w:val="left"/>
      <w:lvlText w:val="(%1)"/>
      <w:numFmt w:val="upperLetter"/>
      <w:start w:val="2"/>
    </w:lvl>
  </w:abstractNum>
  <w:abstractNum w:abstractNumId="14">
    <w:nsid w:val="4353D0CD"/>
    <w:multiLevelType w:val="hybridMultilevel"/>
    <w:lvl w:ilvl="0">
      <w:lvlJc w:val="left"/>
      <w:lvlText w:val="(%1)"/>
      <w:numFmt w:val="upperLetter"/>
      <w:start w:val="4"/>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upperLetter"/>
      <w:start w:val="1"/>
    </w:lvl>
  </w:abstractNum>
  <w:abstractNum w:abstractNumId="17">
    <w:nsid w:val="54E49EB4"/>
    <w:multiLevelType w:val="hybridMultilevel"/>
    <w:lvl w:ilvl="0">
      <w:lvlJc w:val="left"/>
      <w:lvlText w:val="(%1)"/>
      <w:numFmt w:val="upperLetter"/>
      <w:start w:val="2"/>
    </w:lvl>
  </w:abstractNum>
  <w:abstractNum w:abstractNumId="18">
    <w:nsid w:val="71F32454"/>
    <w:multiLevelType w:val="hybridMultilevel"/>
    <w:lvl w:ilvl="0">
      <w:lvlJc w:val="left"/>
      <w:lvlText w:val="%1."/>
      <w:numFmt w:val="decimal"/>
      <w:start w:val="1"/>
    </w:lvl>
    <w:lvl w:ilvl="1">
      <w:lvlJc w:val="left"/>
      <w:lvlText w:val="(%2)"/>
      <w:numFmt w:val="upperLetter"/>
      <w:start w:val="1"/>
    </w:lvl>
  </w:abstractNum>
  <w:abstractNum w:abstractNumId="19">
    <w:nsid w:val="2CA88611"/>
    <w:multiLevelType w:val="hybridMultilevel"/>
    <w:lvl w:ilvl="0">
      <w:lvlJc w:val="left"/>
      <w:lvlText w:val="%1."/>
      <w:numFmt w:val="upperLetter"/>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4"/>
    </w:lvl>
    <w:lvl w:ilvl="1">
      <w:lvlJc w:val="left"/>
      <w:lvlText w:val="-"/>
      <w:numFmt w:val="bullet"/>
      <w:start w:val="1"/>
    </w:lvl>
  </w:abstractNum>
  <w:abstractNum w:abstractNumId="22">
    <w:nsid w:val="3A95F874"/>
    <w:multiLevelType w:val="hybridMultilevel"/>
    <w:lvl w:ilvl="0">
      <w:lvlJc w:val="left"/>
      <w:lvlText w:val="%1."/>
      <w:numFmt w:val="upperLetter"/>
      <w:start w:val="1"/>
    </w:lvl>
  </w:abstractNum>
  <w:abstractNum w:abstractNumId="23">
    <w:nsid w:val="8138641"/>
    <w:multiLevelType w:val="hybridMultilevel"/>
    <w:lvl w:ilvl="0">
      <w:lvlJc w:val="left"/>
      <w:lvlText w:val="%1."/>
      <w:numFmt w:val="upperLetter"/>
      <w:start w:val="1"/>
    </w:lvl>
  </w:abstractNum>
  <w:abstractNum w:abstractNumId="24">
    <w:nsid w:val="1E7FF52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5">
    <w:nsid w:val="7C3DBD3D"/>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26">
    <w:nsid w:val="737B8DDC"/>
    <w:multiLevelType w:val="hybridMultilevel"/>
    <w:lvl w:ilvl="0">
      <w:lvlJc w:val="left"/>
      <w:lvlText w:val="(%1)"/>
      <w:numFmt w:val="lowerLetter"/>
      <w:start w:val="1"/>
    </w:lvl>
    <w:lvl w:ilvl="1">
      <w:lvlJc w:val="left"/>
      <w:lvlText w:val="-"/>
      <w:numFmt w:val="bullet"/>
      <w:start w:val="1"/>
    </w:lvl>
  </w:abstractNum>
  <w:abstractNum w:abstractNumId="27">
    <w:nsid w:val="6CEAF087"/>
    <w:multiLevelType w:val="hybridMultilevel"/>
    <w:lvl w:ilvl="0">
      <w:lvlJc w:val="left"/>
      <w:lvlText w:val="(%1)"/>
      <w:numFmt w:val="lowerLetter"/>
      <w:start w:val="5"/>
    </w:lvl>
  </w:abstractNum>
  <w:abstractNum w:abstractNumId="28">
    <w:nsid w:val="22221A70"/>
    <w:multiLevelType w:val="hybridMultilevel"/>
    <w:lvl w:ilvl="0">
      <w:lvlJc w:val="left"/>
      <w:lvlText w:val="(%1)"/>
      <w:numFmt w:val="decimal"/>
      <w:start w:val="2"/>
    </w:lvl>
    <w:lvl w:ilvl="1">
      <w:lvlJc w:val="left"/>
      <w:lvlText w:val="(%2)"/>
      <w:numFmt w:val="decimal"/>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
      <w:numFmt w:val="bullet"/>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2021-05-05T15:23:09Z</dcterms:created>
  <dcterms:modified xsi:type="dcterms:W3CDTF">2021-05-05T15:23:09Z</dcterms:modified>
</cp:coreProperties>
</file>