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685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256540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40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fiscal year ended December 31, 2019</w:t>
      </w:r>
    </w:p>
    <w:p>
      <w:pPr>
        <w:spacing w:after="0" w:line="7" w:lineRule="exact"/>
        <w:rPr>
          <w:rFonts w:ascii="MS PGothic" w:cs="MS PGothic" w:eastAsia="MS PGothic" w:hAnsi="MS PGothic"/>
          <w:sz w:val="17"/>
          <w:szCs w:val="17"/>
          <w:color w:val="auto"/>
        </w:rPr>
      </w:pPr>
    </w:p>
    <w:p>
      <w:pPr>
        <w:ind w:left="5580"/>
        <w:spacing w:after="0"/>
        <w:rPr>
          <w:rFonts w:ascii="MS PGothic" w:cs="MS PGothic" w:eastAsia="MS PGothic" w:hAnsi="MS PGothic"/>
          <w:sz w:val="17"/>
          <w:szCs w:val="17"/>
          <w:color w:val="auto"/>
        </w:rPr>
      </w:pPr>
      <w:r>
        <w:rPr>
          <w:rFonts w:ascii="Arial" w:cs="Arial" w:eastAsia="Arial" w:hAnsi="Arial"/>
          <w:sz w:val="18"/>
          <w:szCs w:val="18"/>
          <w:color w:val="auto"/>
        </w:rPr>
        <w:t>OR</w:t>
      </w:r>
    </w:p>
    <w:p>
      <w:pPr>
        <w:spacing w:after="0" w:line="4" w:lineRule="exact"/>
        <w:rPr>
          <w:sz w:val="24"/>
          <w:szCs w:val="24"/>
          <w:color w:val="auto"/>
        </w:rPr>
      </w:pPr>
    </w:p>
    <w:p>
      <w:pPr>
        <w:ind w:left="820" w:right="1900" w:hanging="488"/>
        <w:spacing w:after="0" w:line="266" w:lineRule="auto"/>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________to ________</w:t>
      </w:r>
    </w:p>
    <w:p>
      <w:pPr>
        <w:spacing w:after="0" w:line="72"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Commission File Number: 0-422</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61" w:right="239" w:bottom="1440" w:gutter="0" w:footer="0" w:header="0"/>
        </w:sectPr>
      </w:pPr>
    </w:p>
    <w:p>
      <w:pPr>
        <w:spacing w:after="0" w:line="9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(IRS employer identification no.)</w:t>
      </w:r>
    </w:p>
    <w:p>
      <w:pPr>
        <w:spacing w:after="0" w:line="122" w:lineRule="exact"/>
        <w:rPr>
          <w:sz w:val="24"/>
          <w:szCs w:val="24"/>
          <w:color w:val="auto"/>
        </w:rPr>
      </w:pPr>
    </w:p>
    <w:p>
      <w:pPr>
        <w:sectPr>
          <w:pgSz w:w="11900" w:h="16838" w:orient="portrait"/>
          <w:cols w:equalWidth="0" w:num="2">
            <w:col w:w="6460" w:space="720"/>
            <w:col w:w="4240"/>
          </w:cols>
          <w:pgMar w:left="240" w:top="661" w:right="239" w:bottom="1440" w:gutter="0" w:footer="0" w:header="0"/>
          <w:type w:val="continuous"/>
        </w:sectPr>
      </w:pPr>
    </w:p>
    <w:p>
      <w:pPr>
        <w:ind w:left="3640"/>
        <w:spacing w:after="0"/>
        <w:rPr>
          <w:sz w:val="20"/>
          <w:szCs w:val="20"/>
          <w:color w:val="auto"/>
        </w:rPr>
      </w:pPr>
      <w:r>
        <w:rPr>
          <w:rFonts w:ascii="Arial" w:cs="Arial" w:eastAsia="Arial" w:hAnsi="Arial"/>
          <w:sz w:val="18"/>
          <w:szCs w:val="18"/>
          <w:b w:val="1"/>
          <w:bCs w:val="1"/>
          <w:color w:val="auto"/>
        </w:rPr>
        <w:t>485C Route 1 South, Suite 400, IselinNew Jersey08830</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36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w w:val="89"/>
              </w:rPr>
              <w:t>Title of Each Class:</w:t>
            </w:r>
          </w:p>
        </w:tc>
        <w:tc>
          <w:tcPr>
            <w:tcW w:w="980" w:type="dxa"/>
            <w:vAlign w:val="bottom"/>
          </w:tcPr>
          <w:p>
            <w:pPr>
              <w:spacing w:after="0"/>
              <w:rPr>
                <w:sz w:val="19"/>
                <w:szCs w:val="19"/>
                <w:color w:val="auto"/>
              </w:rPr>
            </w:pPr>
          </w:p>
        </w:tc>
        <w:tc>
          <w:tcPr>
            <w:tcW w:w="3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Trading Symbol</w:t>
            </w:r>
            <w:r>
              <w:rPr>
                <w:rFonts w:ascii="Arial" w:cs="Arial" w:eastAsia="Arial" w:hAnsi="Arial"/>
                <w:sz w:val="18"/>
                <w:szCs w:val="18"/>
                <w:color w:val="auto"/>
                <w:w w:val="92"/>
              </w:rPr>
              <w:t>:</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Value</w:t>
            </w:r>
          </w:p>
        </w:tc>
        <w:tc>
          <w:tcPr>
            <w:tcW w:w="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60" w:type="dxa"/>
            <w:vAlign w:val="bottom"/>
            <w:gridSpan w:val="2"/>
          </w:tcPr>
          <w:p>
            <w:pPr>
              <w:spacing w:after="0"/>
              <w:rPr>
                <w:sz w:val="20"/>
                <w:szCs w:val="20"/>
                <w:color w:val="auto"/>
              </w:rPr>
            </w:pPr>
            <w:r>
              <w:rPr>
                <w:rFonts w:ascii="Arial" w:cs="Arial" w:eastAsia="Arial" w:hAnsi="Arial"/>
                <w:sz w:val="18"/>
                <w:szCs w:val="18"/>
                <w:color w:val="auto"/>
                <w:w w:val="97"/>
              </w:rPr>
              <w:t>Common Stock, No Par</w:t>
            </w:r>
          </w:p>
        </w:tc>
        <w:tc>
          <w:tcPr>
            <w:tcW w:w="9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2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MSEX</w:t>
            </w: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8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61" w:right="239" w:bottom="1440" w:gutter="0" w:footer="0" w:header="0"/>
          <w:type w:val="continuous"/>
        </w:sectPr>
      </w:pPr>
    </w:p>
    <w:p>
      <w:pPr>
        <w:spacing w:after="0" w:line="149" w:lineRule="exact"/>
        <w:rPr>
          <w:sz w:val="24"/>
          <w:szCs w:val="24"/>
          <w:color w:val="auto"/>
        </w:rPr>
      </w:pPr>
    </w:p>
    <w:p>
      <w:pPr>
        <w:ind w:left="13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7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80" w:space="720"/>
            <w:col w:w="2140" w:space="720"/>
            <w:col w:w="3560"/>
          </w:cols>
          <w:pgMar w:left="240" w:top="661" w:right="239" w:bottom="1440" w:gutter="0" w:footer="0" w:header="0"/>
          <w:type w:val="continuous"/>
        </w:sect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28, 2019 was $941,981,504 based on the closing market price of $59.25 per share on the NASDAQ Global Select Market.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for each of the registrant's classes of common stock, as of February 27,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 17,435,830 shares outstanding</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Proxy Statement to be filed in connection with the Registrant’s Annual Meeting of Stockholders to be held on May 19, 2020, which will be filed with the Securities and Exchange Commission within 120 days of the end of our 2019 fiscal year, is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60" w:type="dxa"/>
            <w:vAlign w:val="bottom"/>
            <w:gridSpan w:val="12"/>
          </w:tcPr>
          <w:p>
            <w:pPr>
              <w:jc w:val="center"/>
              <w:ind w:right="2720"/>
              <w:spacing w:after="0"/>
              <w:rPr>
                <w:sz w:val="20"/>
                <w:szCs w:val="20"/>
                <w:color w:val="auto"/>
              </w:rPr>
            </w:pPr>
            <w:r>
              <w:rPr>
                <w:rFonts w:ascii="Arial" w:cs="Arial" w:eastAsia="Arial" w:hAnsi="Arial"/>
                <w:sz w:val="18"/>
                <w:szCs w:val="18"/>
                <w:b w:val="1"/>
                <w:bCs w:val="1"/>
                <w:color w:val="auto"/>
              </w:rPr>
              <w:t>MIDDLESEX WATER COMPANYFORM</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w w:val="97"/>
              </w:rPr>
              <w:t>10-K</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9"/>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20" w:type="dxa"/>
            <w:vAlign w:val="bottom"/>
            <w:gridSpan w:val="9"/>
          </w:tcPr>
          <w:p>
            <w:pPr>
              <w:jc w:val="center"/>
              <w:ind w:right="3940"/>
              <w:spacing w:after="0"/>
              <w:rPr>
                <w:sz w:val="20"/>
                <w:szCs w:val="20"/>
                <w:color w:val="auto"/>
              </w:rPr>
            </w:pPr>
            <w:r>
              <w:rPr>
                <w:rFonts w:ascii="Arial" w:cs="Arial" w:eastAsia="Arial" w:hAnsi="Arial"/>
                <w:sz w:val="18"/>
                <w:szCs w:val="18"/>
                <w:color w:val="auto"/>
              </w:rPr>
              <w:t>INDEX</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gridSpan w:val="4"/>
          </w:tcPr>
          <w:p>
            <w:pPr>
              <w:ind w:left="580"/>
              <w:spacing w:after="0"/>
              <w:rPr>
                <w:sz w:val="20"/>
                <w:szCs w:val="20"/>
                <w:color w:val="auto"/>
              </w:rPr>
            </w:pPr>
            <w:r>
              <w:rPr>
                <w:rFonts w:ascii="Arial" w:cs="Arial" w:eastAsia="Arial" w:hAnsi="Arial"/>
                <w:sz w:val="14"/>
                <w:szCs w:val="14"/>
                <w:color w:val="auto"/>
              </w:rPr>
              <w:t>PAGE</w:t>
            </w:r>
          </w:p>
        </w:tc>
      </w:tr>
      <w:tr>
        <w:trPr>
          <w:trHeight w:val="48"/>
        </w:trPr>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180" w:type="dxa"/>
            <w:vAlign w:val="bottom"/>
            <w:shd w:val="clear" w:color="auto" w:fill="CCEEFF"/>
          </w:tcPr>
          <w:p>
            <w:pPr>
              <w:spacing w:after="0"/>
              <w:rPr>
                <w:sz w:val="24"/>
                <w:szCs w:val="24"/>
                <w:color w:val="auto"/>
              </w:rPr>
            </w:pPr>
          </w:p>
        </w:tc>
        <w:tc>
          <w:tcPr>
            <w:tcW w:w="9920" w:type="dxa"/>
            <w:vAlign w:val="bottom"/>
            <w:gridSpan w:val="41"/>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9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9"/>
              </w:rPr>
              <w:t>1</w:t>
            </w: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84"/>
        </w:trPr>
        <w:tc>
          <w:tcPr>
            <w:tcW w:w="180" w:type="dxa"/>
            <w:vAlign w:val="bottom"/>
            <w:tcBorders>
              <w:top w:val="single" w:sz="8" w:color="CCEEFF"/>
            </w:tcBorders>
          </w:tcPr>
          <w:p>
            <w:pPr>
              <w:spacing w:after="0"/>
              <w:rPr>
                <w:sz w:val="24"/>
                <w:szCs w:val="24"/>
                <w:color w:val="auto"/>
              </w:rPr>
            </w:pPr>
          </w:p>
        </w:tc>
        <w:tc>
          <w:tcPr>
            <w:tcW w:w="880" w:type="dxa"/>
            <w:vAlign w:val="bottom"/>
            <w:tcBorders>
              <w:top w:val="single" w:sz="8" w:color="0000EE"/>
            </w:tcBorders>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gridSpan w:val="2"/>
          </w:tcPr>
          <w:p>
            <w:pPr>
              <w:jc w:val="center"/>
              <w:ind w:left="490"/>
              <w:spacing w:after="0"/>
              <w:rPr>
                <w:sz w:val="20"/>
                <w:szCs w:val="20"/>
                <w:color w:val="auto"/>
              </w:rPr>
            </w:pPr>
            <w:r>
              <w:rPr>
                <w:rFonts w:ascii="Arial" w:cs="Arial" w:eastAsia="Arial" w:hAnsi="Arial"/>
                <w:sz w:val="18"/>
                <w:szCs w:val="18"/>
                <w:color w:val="auto"/>
                <w:w w:val="99"/>
              </w:rPr>
              <w:t>2</w:t>
            </w: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2</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Overview</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Financial Information</w:t>
              </w:r>
            </w:hyperlink>
          </w:p>
        </w:tc>
        <w:tc>
          <w:tcPr>
            <w:tcW w:w="7040" w:type="dxa"/>
            <w:vAlign w:val="bottom"/>
            <w:tcBorders>
              <w:bottom w:val="single" w:sz="8" w:color="CCEEFF"/>
            </w:tcBorders>
            <w:gridSpan w:val="15"/>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4</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Water Supplies and Contracts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20" w:type="dxa"/>
            <w:vAlign w:val="bottom"/>
            <w:gridSpan w:val="3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Wastewater Facilities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5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Employees</w:t>
              </w:r>
            </w:hyperlink>
          </w:p>
        </w:tc>
        <w:tc>
          <w:tcPr>
            <w:tcW w:w="7080" w:type="dxa"/>
            <w:vAlign w:val="bottom"/>
            <w:tcBorders>
              <w:top w:val="single" w:sz="8" w:color="CCEEFF"/>
            </w:tcBorders>
            <w:gridSpan w:val="16"/>
          </w:tcPr>
          <w:p>
            <w:pPr>
              <w:spacing w:after="0"/>
              <w:rPr>
                <w:sz w:val="15"/>
                <w:szCs w:val="15"/>
                <w:color w:val="auto"/>
              </w:rPr>
            </w:pPr>
          </w:p>
        </w:tc>
        <w:tc>
          <w:tcPr>
            <w:tcW w:w="920" w:type="dxa"/>
            <w:vAlign w:val="bottom"/>
            <w:tcBorders>
              <w:top w:val="single" w:sz="8" w:color="CCEEFF"/>
            </w:tcBorders>
            <w:gridSpan w:val="2"/>
          </w:tcPr>
          <w:p>
            <w:pPr>
              <w:jc w:val="center"/>
              <w:ind w:left="490"/>
              <w:spacing w:after="0" w:line="176" w:lineRule="exact"/>
              <w:rPr>
                <w:sz w:val="20"/>
                <w:szCs w:val="20"/>
                <w:color w:val="auto"/>
              </w:rPr>
            </w:pPr>
            <w:r>
              <w:rPr>
                <w:rFonts w:ascii="Arial" w:cs="Arial" w:eastAsia="Arial" w:hAnsi="Arial"/>
                <w:sz w:val="18"/>
                <w:szCs w:val="18"/>
                <w:color w:val="auto"/>
                <w:w w:val="99"/>
              </w:rPr>
              <w:t>5</w:t>
            </w: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20" w:type="dxa"/>
            <w:vAlign w:val="bottom"/>
            <w:gridSpan w:val="3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Competition</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Regulation</w:t>
              </w:r>
            </w:hyperlink>
          </w:p>
        </w:tc>
        <w:tc>
          <w:tcPr>
            <w:tcW w:w="7720" w:type="dxa"/>
            <w:vAlign w:val="bottom"/>
            <w:tcBorders>
              <w:top w:val="single" w:sz="8" w:color="CCEEFF"/>
            </w:tcBorders>
            <w:gridSpan w:val="24"/>
          </w:tcPr>
          <w:p>
            <w:pPr>
              <w:spacing w:after="0"/>
              <w:rPr>
                <w:sz w:val="15"/>
                <w:szCs w:val="15"/>
                <w:color w:val="auto"/>
              </w:rPr>
            </w:pPr>
          </w:p>
        </w:tc>
        <w:tc>
          <w:tcPr>
            <w:tcW w:w="920" w:type="dxa"/>
            <w:vAlign w:val="bottom"/>
            <w:tcBorders>
              <w:top w:val="single" w:sz="8" w:color="CCEEFF"/>
            </w:tcBorders>
            <w:gridSpan w:val="2"/>
          </w:tcPr>
          <w:p>
            <w:pPr>
              <w:jc w:val="center"/>
              <w:ind w:left="490"/>
              <w:spacing w:after="0" w:line="176" w:lineRule="exact"/>
              <w:rPr>
                <w:sz w:val="20"/>
                <w:szCs w:val="20"/>
                <w:color w:val="auto"/>
              </w:rPr>
            </w:pPr>
            <w:r>
              <w:rPr>
                <w:rFonts w:ascii="Arial" w:cs="Arial" w:eastAsia="Arial" w:hAnsi="Arial"/>
                <w:sz w:val="18"/>
                <w:szCs w:val="18"/>
                <w:color w:val="auto"/>
                <w:w w:val="99"/>
              </w:rPr>
              <w:t>6</w:t>
            </w: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Seasonality</w:t>
              </w:r>
            </w:hyperlink>
          </w:p>
        </w:tc>
        <w:tc>
          <w:tcPr>
            <w:tcW w:w="7780" w:type="dxa"/>
            <w:vAlign w:val="bottom"/>
            <w:tcBorders>
              <w:bottom w:val="single" w:sz="8" w:color="CCEEFF"/>
            </w:tcBorders>
            <w:gridSpan w:val="25"/>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99"/>
              </w:rPr>
              <w:t>8</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20" w:type="dxa"/>
            <w:vAlign w:val="bottom"/>
            <w:gridSpan w:val="32"/>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Management</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99"/>
              </w:rPr>
              <w:t>9</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1B.</w:t>
            </w:r>
          </w:p>
        </w:tc>
        <w:tc>
          <w:tcPr>
            <w:tcW w:w="100" w:type="dxa"/>
            <w:vAlign w:val="bottom"/>
          </w:tcPr>
          <w:p>
            <w:pPr>
              <w:spacing w:after="0"/>
              <w:rPr>
                <w:sz w:val="15"/>
                <w:szCs w:val="15"/>
                <w:color w:val="auto"/>
              </w:rPr>
            </w:pPr>
          </w:p>
        </w:tc>
        <w:tc>
          <w:tcPr>
            <w:tcW w:w="8940" w:type="dxa"/>
            <w:vAlign w:val="bottom"/>
            <w:gridSpan w:val="3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15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15</w:t>
            </w: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17</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17</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84"/>
        </w:trPr>
        <w:tc>
          <w:tcPr>
            <w:tcW w:w="1060" w:type="dxa"/>
            <w:vAlign w:val="bottom"/>
            <w:tcBorders>
              <w:top w:val="single" w:sz="8" w:color="CCEEFF"/>
            </w:tcBorders>
            <w:gridSpan w:val="7"/>
          </w:tcPr>
          <w:p>
            <w:pPr>
              <w:ind w:left="180"/>
              <w:spacing w:after="0"/>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gridSpan w:val="2"/>
          </w:tcPr>
          <w:p>
            <w:pPr>
              <w:jc w:val="center"/>
              <w:ind w:left="490"/>
              <w:spacing w:after="0"/>
              <w:rPr>
                <w:sz w:val="20"/>
                <w:szCs w:val="20"/>
                <w:color w:val="auto"/>
              </w:rPr>
            </w:pPr>
            <w:r>
              <w:rPr>
                <w:rFonts w:ascii="Arial" w:cs="Arial" w:eastAsia="Arial" w:hAnsi="Arial"/>
                <w:sz w:val="18"/>
                <w:szCs w:val="18"/>
                <w:color w:val="auto"/>
                <w:w w:val="89"/>
              </w:rPr>
              <w:t>18</w:t>
            </w: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834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the Registrant’s Common Equity, Related Stockholder Matters and Issuer Purchases of Equity Securities</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18</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20</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060" w:type="dxa"/>
            <w:vAlign w:val="bottom"/>
            <w:tcBorders>
              <w:top w:val="single" w:sz="8" w:color="CCEEFF"/>
            </w:tcBorders>
            <w:gridSpan w:val="7"/>
          </w:tcPr>
          <w:p>
            <w:pPr>
              <w:ind w:left="180"/>
              <w:spacing w:after="0" w:line="176" w:lineRule="exact"/>
              <w:rPr>
                <w:sz w:val="20"/>
                <w:szCs w:val="20"/>
                <w:color w:val="auto"/>
              </w:rPr>
            </w:pPr>
            <w:r>
              <w:rPr>
                <w:rFonts w:ascii="Arial" w:cs="Arial" w:eastAsia="Arial" w:hAnsi="Arial"/>
                <w:sz w:val="18"/>
                <w:szCs w:val="18"/>
                <w:color w:val="auto"/>
              </w:rPr>
              <w:t>Item 7A.</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44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Qualitative and Quantitative Disclosure About Market Risk</w:t>
              </w:r>
            </w:hyperlink>
          </w:p>
        </w:tc>
        <w:tc>
          <w:tcPr>
            <w:tcW w:w="2480" w:type="dxa"/>
            <w:vAlign w:val="bottom"/>
            <w:tcBorders>
              <w:top w:val="single" w:sz="8" w:color="CCEEFF"/>
            </w:tcBorders>
            <w:gridSpan w:val="4"/>
          </w:tcPr>
          <w:p>
            <w:pPr>
              <w:spacing w:after="0"/>
              <w:rPr>
                <w:sz w:val="15"/>
                <w:szCs w:val="15"/>
                <w:color w:val="auto"/>
              </w:rPr>
            </w:pPr>
          </w:p>
        </w:tc>
        <w:tc>
          <w:tcPr>
            <w:tcW w:w="920" w:type="dxa"/>
            <w:vAlign w:val="bottom"/>
            <w:tcBorders>
              <w:top w:val="single" w:sz="8" w:color="CCEEFF"/>
            </w:tcBorders>
            <w:gridSpan w:val="2"/>
          </w:tcPr>
          <w:p>
            <w:pPr>
              <w:jc w:val="center"/>
              <w:ind w:left="490"/>
              <w:spacing w:after="0" w:line="176" w:lineRule="exact"/>
              <w:rPr>
                <w:sz w:val="20"/>
                <w:szCs w:val="20"/>
                <w:color w:val="auto"/>
              </w:rPr>
            </w:pPr>
            <w:r>
              <w:rPr>
                <w:rFonts w:ascii="Arial" w:cs="Arial" w:eastAsia="Arial" w:hAnsi="Arial"/>
                <w:sz w:val="18"/>
                <w:szCs w:val="18"/>
                <w:color w:val="auto"/>
                <w:w w:val="89"/>
              </w:rPr>
              <w:t>34</w:t>
            </w: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Borders>
              <w:bottom w:val="single" w:sz="8" w:color="CCEEFF"/>
            </w:tcBorders>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8.</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33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Financial Statements and Supplementary Data</w:t>
              </w:r>
            </w:hyperlink>
          </w:p>
        </w:tc>
        <w:tc>
          <w:tcPr>
            <w:tcW w:w="5600" w:type="dxa"/>
            <w:vAlign w:val="bottom"/>
            <w:tcBorders>
              <w:bottom w:val="single" w:sz="8" w:color="CCEEFF"/>
            </w:tcBorders>
            <w:gridSpan w:val="10"/>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35</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65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9A.</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66</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060" w:type="dxa"/>
            <w:vAlign w:val="bottom"/>
            <w:tcBorders>
              <w:top w:val="single" w:sz="8" w:color="CCEEFF"/>
            </w:tcBorders>
            <w:gridSpan w:val="7"/>
          </w:tcPr>
          <w:p>
            <w:pPr>
              <w:ind w:left="180"/>
              <w:spacing w:after="0" w:line="176" w:lineRule="exact"/>
              <w:rPr>
                <w:sz w:val="20"/>
                <w:szCs w:val="20"/>
                <w:color w:val="auto"/>
              </w:rPr>
            </w:pPr>
            <w:r>
              <w:rPr>
                <w:rFonts w:ascii="Arial" w:cs="Arial" w:eastAsia="Arial" w:hAnsi="Arial"/>
                <w:sz w:val="18"/>
                <w:szCs w:val="18"/>
                <w:color w:val="auto"/>
              </w:rPr>
              <w:t>Item 9B.</w:t>
            </w:r>
          </w:p>
        </w:tc>
        <w:tc>
          <w:tcPr>
            <w:tcW w:w="100" w:type="dxa"/>
            <w:vAlign w:val="bottom"/>
            <w:tcBorders>
              <w:top w:val="single" w:sz="8" w:color="CCEEFF"/>
            </w:tcBorders>
          </w:tcPr>
          <w:p>
            <w:pPr>
              <w:spacing w:after="0"/>
              <w:rPr>
                <w:sz w:val="15"/>
                <w:szCs w:val="15"/>
                <w:color w:val="auto"/>
              </w:rPr>
            </w:pPr>
          </w:p>
        </w:tc>
        <w:tc>
          <w:tcPr>
            <w:tcW w:w="178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160" w:type="dxa"/>
            <w:vAlign w:val="bottom"/>
            <w:tcBorders>
              <w:top w:val="single" w:sz="8" w:color="CCEEFF"/>
            </w:tcBorders>
            <w:gridSpan w:val="18"/>
          </w:tcPr>
          <w:p>
            <w:pPr>
              <w:spacing w:after="0"/>
              <w:rPr>
                <w:sz w:val="15"/>
                <w:szCs w:val="15"/>
                <w:color w:val="auto"/>
              </w:rPr>
            </w:pPr>
          </w:p>
        </w:tc>
        <w:tc>
          <w:tcPr>
            <w:tcW w:w="920" w:type="dxa"/>
            <w:vAlign w:val="bottom"/>
            <w:tcBorders>
              <w:top w:val="single" w:sz="8" w:color="CCEEFF"/>
            </w:tcBorders>
            <w:gridSpan w:val="2"/>
          </w:tcPr>
          <w:p>
            <w:pPr>
              <w:jc w:val="center"/>
              <w:ind w:left="490"/>
              <w:spacing w:after="0" w:line="176" w:lineRule="exact"/>
              <w:rPr>
                <w:sz w:val="20"/>
                <w:szCs w:val="20"/>
                <w:color w:val="auto"/>
              </w:rPr>
            </w:pPr>
            <w:r>
              <w:rPr>
                <w:rFonts w:ascii="Arial" w:cs="Arial" w:eastAsia="Arial" w:hAnsi="Arial"/>
                <w:sz w:val="18"/>
                <w:szCs w:val="18"/>
                <w:color w:val="auto"/>
                <w:w w:val="89"/>
              </w:rPr>
              <w:t>66</w:t>
            </w: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80" w:type="dxa"/>
            <w:vAlign w:val="bottom"/>
            <w:shd w:val="clear" w:color="auto" w:fill="CCEEFF"/>
          </w:tcPr>
          <w:p>
            <w:pPr>
              <w:spacing w:after="0"/>
              <w:rPr>
                <w:sz w:val="24"/>
                <w:szCs w:val="24"/>
                <w:color w:val="auto"/>
              </w:rPr>
            </w:pPr>
          </w:p>
        </w:tc>
        <w:tc>
          <w:tcPr>
            <w:tcW w:w="880" w:type="dxa"/>
            <w:vAlign w:val="bottom"/>
            <w:gridSpan w:val="6"/>
            <w:shd w:val="clear" w:color="auto" w:fill="CCEEFF"/>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PART III</w:t>
              </w:r>
            </w:hyperlink>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67</w:t>
            </w: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w w:val="98"/>
              </w:rPr>
              <w:t>Item 10.</w:t>
            </w:r>
          </w:p>
        </w:tc>
        <w:tc>
          <w:tcPr>
            <w:tcW w:w="2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920" w:type="dxa"/>
            <w:vAlign w:val="bottom"/>
            <w:tcBorders>
              <w:top w:val="single" w:sz="8" w:color="CCEEFF"/>
            </w:tcBorders>
            <w:gridSpan w:val="3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920" w:type="dxa"/>
            <w:vAlign w:val="bottom"/>
            <w:tcBorders>
              <w:top w:val="single" w:sz="8" w:color="CCEEFF"/>
            </w:tcBorders>
            <w:gridSpan w:val="2"/>
          </w:tcPr>
          <w:p>
            <w:pPr>
              <w:jc w:val="center"/>
              <w:ind w:left="490"/>
              <w:spacing w:after="0" w:line="176" w:lineRule="exact"/>
              <w:rPr>
                <w:sz w:val="20"/>
                <w:szCs w:val="20"/>
                <w:color w:val="auto"/>
              </w:rPr>
            </w:pPr>
            <w:r>
              <w:rPr>
                <w:rFonts w:ascii="Arial" w:cs="Arial" w:eastAsia="Arial" w:hAnsi="Arial"/>
                <w:sz w:val="18"/>
                <w:szCs w:val="18"/>
                <w:color w:val="auto"/>
                <w:w w:val="89"/>
              </w:rPr>
              <w:t>67</w:t>
            </w: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Borders>
              <w:bottom w:val="single" w:sz="8" w:color="CCEEFF"/>
            </w:tcBorders>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8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Executive Compensation</w:t>
              </w:r>
            </w:hyperlink>
          </w:p>
        </w:tc>
        <w:tc>
          <w:tcPr>
            <w:tcW w:w="7120" w:type="dxa"/>
            <w:vAlign w:val="bottom"/>
            <w:tcBorders>
              <w:bottom w:val="single" w:sz="8" w:color="CCEEFF"/>
            </w:tcBorders>
            <w:gridSpan w:val="17"/>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67</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67</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Borders>
              <w:bottom w:val="single" w:sz="8" w:color="CCEEFF"/>
            </w:tcBorders>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Certain Relationships, and Related Transactions and Director Independence</w:t>
              </w:r>
            </w:hyperlink>
          </w:p>
        </w:tc>
        <w:tc>
          <w:tcPr>
            <w:tcW w:w="3460" w:type="dxa"/>
            <w:vAlign w:val="bottom"/>
            <w:tcBorders>
              <w:bottom w:val="single" w:sz="8" w:color="CCEEFF"/>
            </w:tcBorders>
            <w:gridSpan w:val="5"/>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67</w:t>
            </w: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67</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PART IV</w:t>
              </w:r>
            </w:hyperlink>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68</w:t>
            </w: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176"/>
        </w:trPr>
        <w:tc>
          <w:tcPr>
            <w:tcW w:w="10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Item 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33"/>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 and Financial Statement Schedules</w:t>
              </w:r>
            </w:hyperlink>
          </w:p>
        </w:tc>
        <w:tc>
          <w:tcPr>
            <w:tcW w:w="920" w:type="dxa"/>
            <w:vAlign w:val="bottom"/>
            <w:gridSpan w:val="2"/>
          </w:tcPr>
          <w:p>
            <w:pPr>
              <w:jc w:val="center"/>
              <w:ind w:left="490"/>
              <w:spacing w:after="0" w:line="176" w:lineRule="exact"/>
              <w:rPr>
                <w:sz w:val="20"/>
                <w:szCs w:val="20"/>
                <w:color w:val="auto"/>
              </w:rPr>
            </w:pPr>
            <w:r>
              <w:rPr>
                <w:rFonts w:ascii="Arial" w:cs="Arial" w:eastAsia="Arial" w:hAnsi="Arial"/>
                <w:sz w:val="18"/>
                <w:szCs w:val="18"/>
                <w:color w:val="auto"/>
                <w:w w:val="89"/>
              </w:rPr>
              <w:t>68</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gridSpan w:val="7"/>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920" w:type="dxa"/>
            <w:vAlign w:val="bottom"/>
            <w:gridSpan w:val="33"/>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Form 10-K Summary</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68</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84"/>
        </w:trPr>
        <w:tc>
          <w:tcPr>
            <w:tcW w:w="1060" w:type="dxa"/>
            <w:vAlign w:val="bottom"/>
            <w:tcBorders>
              <w:top w:val="single" w:sz="8" w:color="CCEEFF"/>
            </w:tcBorders>
            <w:gridSpan w:val="7"/>
          </w:tcPr>
          <w:p>
            <w:pPr>
              <w:ind w:left="180"/>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Signatures</w:t>
              </w:r>
            </w:hyperlink>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gridSpan w:val="2"/>
          </w:tcPr>
          <w:p>
            <w:pPr>
              <w:jc w:val="center"/>
              <w:ind w:left="490"/>
              <w:spacing w:after="0"/>
              <w:rPr>
                <w:sz w:val="20"/>
                <w:szCs w:val="20"/>
                <w:color w:val="auto"/>
              </w:rPr>
            </w:pPr>
            <w:r>
              <w:rPr>
                <w:rFonts w:ascii="Arial" w:cs="Arial" w:eastAsia="Arial" w:hAnsi="Arial"/>
                <w:sz w:val="18"/>
                <w:szCs w:val="18"/>
                <w:color w:val="auto"/>
                <w:w w:val="89"/>
              </w:rPr>
              <w:t>69</w:t>
            </w: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100" w:type="dxa"/>
            <w:vAlign w:val="bottom"/>
            <w:gridSpan w:val="42"/>
            <w:shd w:val="clear" w:color="auto" w:fill="CCEEFF"/>
          </w:tcPr>
          <w:p>
            <w:pPr>
              <w:ind w:left="1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 Index</w:t>
              </w:r>
            </w:hyperlink>
          </w:p>
        </w:tc>
        <w:tc>
          <w:tcPr>
            <w:tcW w:w="920" w:type="dxa"/>
            <w:vAlign w:val="bottom"/>
            <w:gridSpan w:val="2"/>
            <w:shd w:val="clear" w:color="auto" w:fill="CCEEFF"/>
          </w:tcPr>
          <w:p>
            <w:pPr>
              <w:jc w:val="center"/>
              <w:ind w:left="490"/>
              <w:spacing w:after="0" w:line="176" w:lineRule="exact"/>
              <w:rPr>
                <w:sz w:val="20"/>
                <w:szCs w:val="20"/>
                <w:color w:val="auto"/>
              </w:rPr>
            </w:pPr>
            <w:r>
              <w:rPr>
                <w:rFonts w:ascii="Arial" w:cs="Arial" w:eastAsia="Arial" w:hAnsi="Arial"/>
                <w:sz w:val="18"/>
                <w:szCs w:val="18"/>
                <w:color w:val="auto"/>
                <w:w w:val="89"/>
              </w:rPr>
              <w:t>70</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3"/>
        </w:trPr>
        <w:tc>
          <w:tcPr>
            <w:tcW w:w="180" w:type="dxa"/>
            <w:vAlign w:val="bottom"/>
            <w:tcBorders>
              <w:top w:val="single" w:sz="8" w:color="CCEEFF"/>
              <w:bottom w:val="single" w:sz="8" w:color="EEEEEE"/>
            </w:tcBorders>
          </w:tcPr>
          <w:p>
            <w:pPr>
              <w:spacing w:after="0"/>
              <w:rPr>
                <w:sz w:val="21"/>
                <w:szCs w:val="21"/>
                <w:color w:val="auto"/>
              </w:rPr>
            </w:pPr>
          </w:p>
        </w:tc>
        <w:tc>
          <w:tcPr>
            <w:tcW w:w="540" w:type="dxa"/>
            <w:vAlign w:val="bottom"/>
            <w:tcBorders>
              <w:top w:val="single" w:sz="8" w:color="0000EE"/>
              <w:bottom w:val="single" w:sz="8" w:color="EEEEEE"/>
            </w:tcBorders>
          </w:tcPr>
          <w:p>
            <w:pPr>
              <w:spacing w:after="0"/>
              <w:rPr>
                <w:sz w:val="21"/>
                <w:szCs w:val="21"/>
                <w:color w:val="auto"/>
              </w:rPr>
            </w:pPr>
          </w:p>
        </w:tc>
        <w:tc>
          <w:tcPr>
            <w:tcW w:w="60" w:type="dxa"/>
            <w:vAlign w:val="bottom"/>
            <w:tcBorders>
              <w:top w:val="single" w:sz="8" w:color="0000EE"/>
              <w:bottom w:val="single" w:sz="8" w:color="EEEEEE"/>
            </w:tcBorders>
          </w:tcPr>
          <w:p>
            <w:pPr>
              <w:spacing w:after="0"/>
              <w:rPr>
                <w:sz w:val="21"/>
                <w:szCs w:val="21"/>
                <w:color w:val="auto"/>
              </w:rPr>
            </w:pPr>
          </w:p>
        </w:tc>
        <w:tc>
          <w:tcPr>
            <w:tcW w:w="60" w:type="dxa"/>
            <w:vAlign w:val="bottom"/>
            <w:tcBorders>
              <w:top w:val="single" w:sz="8" w:color="0000EE"/>
              <w:bottom w:val="single" w:sz="8" w:color="EEEEEE"/>
            </w:tcBorders>
          </w:tcPr>
          <w:p>
            <w:pPr>
              <w:spacing w:after="0"/>
              <w:rPr>
                <w:sz w:val="21"/>
                <w:szCs w:val="21"/>
                <w:color w:val="auto"/>
              </w:rPr>
            </w:pPr>
          </w:p>
        </w:tc>
        <w:tc>
          <w:tcPr>
            <w:tcW w:w="20" w:type="dxa"/>
            <w:vAlign w:val="bottom"/>
            <w:tcBorders>
              <w:top w:val="single" w:sz="8" w:color="0000EE"/>
              <w:bottom w:val="single" w:sz="8" w:color="EEEEEE"/>
            </w:tcBorders>
          </w:tcPr>
          <w:p>
            <w:pPr>
              <w:spacing w:after="0"/>
              <w:rPr>
                <w:sz w:val="21"/>
                <w:szCs w:val="21"/>
                <w:color w:val="auto"/>
              </w:rPr>
            </w:pPr>
          </w:p>
        </w:tc>
        <w:tc>
          <w:tcPr>
            <w:tcW w:w="80" w:type="dxa"/>
            <w:vAlign w:val="bottom"/>
            <w:tcBorders>
              <w:top w:val="single" w:sz="8" w:color="0000EE"/>
              <w:bottom w:val="single" w:sz="8" w:color="EEEEEE"/>
            </w:tcBorders>
          </w:tcPr>
          <w:p>
            <w:pPr>
              <w:spacing w:after="0"/>
              <w:rPr>
                <w:sz w:val="21"/>
                <w:szCs w:val="21"/>
                <w:color w:val="auto"/>
              </w:rPr>
            </w:pPr>
          </w:p>
        </w:tc>
        <w:tc>
          <w:tcPr>
            <w:tcW w:w="120" w:type="dxa"/>
            <w:vAlign w:val="bottom"/>
            <w:tcBorders>
              <w:top w:val="single" w:sz="8" w:color="0000EE"/>
              <w:bottom w:val="single" w:sz="8" w:color="EEEEEE"/>
            </w:tcBorders>
          </w:tcPr>
          <w:p>
            <w:pPr>
              <w:spacing w:after="0"/>
              <w:rPr>
                <w:sz w:val="21"/>
                <w:szCs w:val="21"/>
                <w:color w:val="auto"/>
              </w:rPr>
            </w:pPr>
          </w:p>
        </w:tc>
        <w:tc>
          <w:tcPr>
            <w:tcW w:w="100" w:type="dxa"/>
            <w:vAlign w:val="bottom"/>
            <w:tcBorders>
              <w:top w:val="single" w:sz="8" w:color="0000EE"/>
              <w:bottom w:val="single" w:sz="8" w:color="EEEEEE"/>
            </w:tcBorders>
          </w:tcPr>
          <w:p>
            <w:pPr>
              <w:spacing w:after="0"/>
              <w:rPr>
                <w:sz w:val="21"/>
                <w:szCs w:val="21"/>
                <w:color w:val="auto"/>
              </w:rPr>
            </w:pPr>
          </w:p>
        </w:tc>
        <w:tc>
          <w:tcPr>
            <w:tcW w:w="20" w:type="dxa"/>
            <w:vAlign w:val="bottom"/>
            <w:tcBorders>
              <w:top w:val="single" w:sz="8" w:color="0000EE"/>
              <w:bottom w:val="single" w:sz="8" w:color="EEEEEE"/>
            </w:tcBorders>
          </w:tcPr>
          <w:p>
            <w:pPr>
              <w:spacing w:after="0"/>
              <w:rPr>
                <w:sz w:val="21"/>
                <w:szCs w:val="21"/>
                <w:color w:val="auto"/>
              </w:rPr>
            </w:pPr>
          </w:p>
        </w:tc>
        <w:tc>
          <w:tcPr>
            <w:tcW w:w="300" w:type="dxa"/>
            <w:vAlign w:val="bottom"/>
            <w:tcBorders>
              <w:top w:val="single" w:sz="8" w:color="CCEEFF"/>
              <w:bottom w:val="single" w:sz="8" w:color="EEEEEE"/>
            </w:tcBorders>
          </w:tcPr>
          <w:p>
            <w:pPr>
              <w:spacing w:after="0"/>
              <w:rPr>
                <w:sz w:val="21"/>
                <w:szCs w:val="21"/>
                <w:color w:val="auto"/>
              </w:rPr>
            </w:pPr>
          </w:p>
        </w:tc>
        <w:tc>
          <w:tcPr>
            <w:tcW w:w="380" w:type="dxa"/>
            <w:vAlign w:val="bottom"/>
            <w:tcBorders>
              <w:top w:val="single" w:sz="8" w:color="CCEEFF"/>
              <w:bottom w:val="single" w:sz="8" w:color="EEEEEE"/>
            </w:tcBorders>
          </w:tcPr>
          <w:p>
            <w:pPr>
              <w:spacing w:after="0"/>
              <w:rPr>
                <w:sz w:val="21"/>
                <w:szCs w:val="21"/>
                <w:color w:val="auto"/>
              </w:rPr>
            </w:pPr>
          </w:p>
        </w:tc>
        <w:tc>
          <w:tcPr>
            <w:tcW w:w="40" w:type="dxa"/>
            <w:vAlign w:val="bottom"/>
            <w:tcBorders>
              <w:top w:val="single" w:sz="8" w:color="CCEEFF"/>
              <w:bottom w:val="single" w:sz="8" w:color="EEEEEE"/>
            </w:tcBorders>
          </w:tcPr>
          <w:p>
            <w:pPr>
              <w:spacing w:after="0"/>
              <w:rPr>
                <w:sz w:val="21"/>
                <w:szCs w:val="21"/>
                <w:color w:val="auto"/>
              </w:rPr>
            </w:pPr>
          </w:p>
        </w:tc>
        <w:tc>
          <w:tcPr>
            <w:tcW w:w="180" w:type="dxa"/>
            <w:vAlign w:val="bottom"/>
            <w:tcBorders>
              <w:top w:val="single" w:sz="8" w:color="CCEEFF"/>
              <w:bottom w:val="single" w:sz="8" w:color="EEEEEE"/>
            </w:tcBorders>
          </w:tcPr>
          <w:p>
            <w:pPr>
              <w:spacing w:after="0"/>
              <w:rPr>
                <w:sz w:val="21"/>
                <w:szCs w:val="21"/>
                <w:color w:val="auto"/>
              </w:rPr>
            </w:pPr>
          </w:p>
        </w:tc>
        <w:tc>
          <w:tcPr>
            <w:tcW w:w="120" w:type="dxa"/>
            <w:vAlign w:val="bottom"/>
            <w:tcBorders>
              <w:top w:val="single" w:sz="8" w:color="CCEEFF"/>
              <w:bottom w:val="single" w:sz="8" w:color="EEEEEE"/>
            </w:tcBorders>
          </w:tcPr>
          <w:p>
            <w:pPr>
              <w:spacing w:after="0"/>
              <w:rPr>
                <w:sz w:val="21"/>
                <w:szCs w:val="21"/>
                <w:color w:val="auto"/>
              </w:rPr>
            </w:pPr>
          </w:p>
        </w:tc>
        <w:tc>
          <w:tcPr>
            <w:tcW w:w="8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bottom w:val="single" w:sz="8" w:color="EEEEEE"/>
            </w:tcBorders>
          </w:tcPr>
          <w:p>
            <w:pPr>
              <w:spacing w:after="0"/>
              <w:rPr>
                <w:sz w:val="21"/>
                <w:szCs w:val="21"/>
                <w:color w:val="auto"/>
              </w:rPr>
            </w:pPr>
          </w:p>
        </w:tc>
        <w:tc>
          <w:tcPr>
            <w:tcW w:w="60" w:type="dxa"/>
            <w:vAlign w:val="bottom"/>
            <w:tcBorders>
              <w:top w:val="single" w:sz="8" w:color="CCEEFF"/>
              <w:bottom w:val="single" w:sz="8" w:color="EEEEEE"/>
            </w:tcBorders>
          </w:tcPr>
          <w:p>
            <w:pPr>
              <w:spacing w:after="0"/>
              <w:rPr>
                <w:sz w:val="21"/>
                <w:szCs w:val="21"/>
                <w:color w:val="auto"/>
              </w:rPr>
            </w:pPr>
          </w:p>
        </w:tc>
        <w:tc>
          <w:tcPr>
            <w:tcW w:w="40" w:type="dxa"/>
            <w:vAlign w:val="bottom"/>
            <w:tcBorders>
              <w:top w:val="single" w:sz="8" w:color="CCEEFF"/>
              <w:bottom w:val="single" w:sz="8" w:color="EEEEEE"/>
            </w:tcBorders>
          </w:tcPr>
          <w:p>
            <w:pPr>
              <w:spacing w:after="0"/>
              <w:rPr>
                <w:sz w:val="21"/>
                <w:szCs w:val="21"/>
                <w:color w:val="auto"/>
              </w:rPr>
            </w:pPr>
          </w:p>
        </w:tc>
        <w:tc>
          <w:tcPr>
            <w:tcW w:w="6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bottom w:val="single" w:sz="8" w:color="EEEEEE"/>
            </w:tcBorders>
          </w:tcPr>
          <w:p>
            <w:pPr>
              <w:spacing w:after="0"/>
              <w:rPr>
                <w:sz w:val="21"/>
                <w:szCs w:val="21"/>
                <w:color w:val="auto"/>
              </w:rPr>
            </w:pPr>
          </w:p>
        </w:tc>
        <w:tc>
          <w:tcPr>
            <w:tcW w:w="220" w:type="dxa"/>
            <w:vAlign w:val="bottom"/>
            <w:tcBorders>
              <w:top w:val="single" w:sz="8" w:color="CCEEFF"/>
              <w:bottom w:val="single" w:sz="8" w:color="EEEEEE"/>
            </w:tcBorders>
          </w:tcPr>
          <w:p>
            <w:pPr>
              <w:spacing w:after="0"/>
              <w:rPr>
                <w:sz w:val="21"/>
                <w:szCs w:val="21"/>
                <w:color w:val="auto"/>
              </w:rPr>
            </w:pPr>
          </w:p>
        </w:tc>
        <w:tc>
          <w:tcPr>
            <w:tcW w:w="160" w:type="dxa"/>
            <w:vAlign w:val="bottom"/>
            <w:tcBorders>
              <w:top w:val="single" w:sz="8" w:color="CCEEFF"/>
              <w:bottom w:val="single" w:sz="8" w:color="EEEEEE"/>
            </w:tcBorders>
          </w:tcPr>
          <w:p>
            <w:pPr>
              <w:spacing w:after="0"/>
              <w:rPr>
                <w:sz w:val="21"/>
                <w:szCs w:val="21"/>
                <w:color w:val="auto"/>
              </w:rPr>
            </w:pPr>
          </w:p>
        </w:tc>
        <w:tc>
          <w:tcPr>
            <w:tcW w:w="60" w:type="dxa"/>
            <w:vAlign w:val="bottom"/>
            <w:tcBorders>
              <w:top w:val="single" w:sz="8" w:color="CCEEFF"/>
              <w:bottom w:val="single" w:sz="8" w:color="EEEEEE"/>
            </w:tcBorders>
          </w:tcPr>
          <w:p>
            <w:pPr>
              <w:spacing w:after="0"/>
              <w:rPr>
                <w:sz w:val="21"/>
                <w:szCs w:val="21"/>
                <w:color w:val="auto"/>
              </w:rPr>
            </w:pPr>
          </w:p>
        </w:tc>
        <w:tc>
          <w:tcPr>
            <w:tcW w:w="40" w:type="dxa"/>
            <w:vAlign w:val="bottom"/>
            <w:tcBorders>
              <w:top w:val="single" w:sz="8" w:color="CCEEFF"/>
              <w:bottom w:val="single" w:sz="8" w:color="EEEEEE"/>
            </w:tcBorders>
          </w:tcPr>
          <w:p>
            <w:pPr>
              <w:spacing w:after="0"/>
              <w:rPr>
                <w:sz w:val="21"/>
                <w:szCs w:val="21"/>
                <w:color w:val="auto"/>
              </w:rPr>
            </w:pPr>
          </w:p>
        </w:tc>
        <w:tc>
          <w:tcPr>
            <w:tcW w:w="40" w:type="dxa"/>
            <w:vAlign w:val="bottom"/>
            <w:tcBorders>
              <w:top w:val="single" w:sz="8" w:color="CCEEFF"/>
              <w:bottom w:val="single" w:sz="8" w:color="EEEEEE"/>
            </w:tcBorders>
          </w:tcPr>
          <w:p>
            <w:pPr>
              <w:spacing w:after="0"/>
              <w:rPr>
                <w:sz w:val="21"/>
                <w:szCs w:val="21"/>
                <w:color w:val="auto"/>
              </w:rPr>
            </w:pPr>
          </w:p>
        </w:tc>
        <w:tc>
          <w:tcPr>
            <w:tcW w:w="40" w:type="dxa"/>
            <w:vAlign w:val="bottom"/>
            <w:tcBorders>
              <w:top w:val="single" w:sz="8" w:color="CCEEFF"/>
              <w:bottom w:val="single" w:sz="8" w:color="EEEEEE"/>
            </w:tcBorders>
          </w:tcPr>
          <w:p>
            <w:pPr>
              <w:spacing w:after="0"/>
              <w:rPr>
                <w:sz w:val="21"/>
                <w:szCs w:val="21"/>
                <w:color w:val="auto"/>
              </w:rPr>
            </w:pPr>
          </w:p>
        </w:tc>
        <w:tc>
          <w:tcPr>
            <w:tcW w:w="160" w:type="dxa"/>
            <w:vAlign w:val="bottom"/>
            <w:tcBorders>
              <w:top w:val="single" w:sz="8" w:color="CCEEFF"/>
              <w:bottom w:val="single" w:sz="8" w:color="EEEEEE"/>
            </w:tcBorders>
          </w:tcPr>
          <w:p>
            <w:pPr>
              <w:spacing w:after="0"/>
              <w:rPr>
                <w:sz w:val="21"/>
                <w:szCs w:val="21"/>
                <w:color w:val="auto"/>
              </w:rPr>
            </w:pPr>
          </w:p>
        </w:tc>
        <w:tc>
          <w:tcPr>
            <w:tcW w:w="400" w:type="dxa"/>
            <w:vAlign w:val="bottom"/>
            <w:tcBorders>
              <w:top w:val="single" w:sz="8" w:color="CCEEFF"/>
              <w:bottom w:val="single" w:sz="8" w:color="EEEEEE"/>
            </w:tcBorders>
          </w:tcPr>
          <w:p>
            <w:pPr>
              <w:spacing w:after="0"/>
              <w:rPr>
                <w:sz w:val="21"/>
                <w:szCs w:val="21"/>
                <w:color w:val="auto"/>
              </w:rPr>
            </w:pPr>
          </w:p>
        </w:tc>
        <w:tc>
          <w:tcPr>
            <w:tcW w:w="420" w:type="dxa"/>
            <w:vAlign w:val="bottom"/>
            <w:tcBorders>
              <w:top w:val="single" w:sz="8" w:color="CCEEFF"/>
              <w:bottom w:val="single" w:sz="8" w:color="EEEEEE"/>
            </w:tcBorders>
          </w:tcPr>
          <w:p>
            <w:pPr>
              <w:spacing w:after="0"/>
              <w:rPr>
                <w:sz w:val="21"/>
                <w:szCs w:val="21"/>
                <w:color w:val="auto"/>
              </w:rPr>
            </w:pPr>
          </w:p>
        </w:tc>
        <w:tc>
          <w:tcPr>
            <w:tcW w:w="300" w:type="dxa"/>
            <w:vAlign w:val="bottom"/>
            <w:tcBorders>
              <w:top w:val="single" w:sz="8" w:color="CCEEFF"/>
              <w:bottom w:val="single" w:sz="8" w:color="EEEEEE"/>
            </w:tcBorders>
          </w:tcPr>
          <w:p>
            <w:pPr>
              <w:spacing w:after="0"/>
              <w:rPr>
                <w:sz w:val="21"/>
                <w:szCs w:val="21"/>
                <w:color w:val="auto"/>
              </w:rPr>
            </w:pPr>
          </w:p>
        </w:tc>
        <w:tc>
          <w:tcPr>
            <w:tcW w:w="160" w:type="dxa"/>
            <w:vAlign w:val="bottom"/>
            <w:tcBorders>
              <w:top w:val="single" w:sz="8" w:color="CCEEFF"/>
              <w:bottom w:val="single" w:sz="8" w:color="EEEEEE"/>
            </w:tcBorders>
          </w:tcPr>
          <w:p>
            <w:pPr>
              <w:spacing w:after="0"/>
              <w:rPr>
                <w:sz w:val="21"/>
                <w:szCs w:val="21"/>
                <w:color w:val="auto"/>
              </w:rPr>
            </w:pPr>
          </w:p>
        </w:tc>
        <w:tc>
          <w:tcPr>
            <w:tcW w:w="780" w:type="dxa"/>
            <w:vAlign w:val="bottom"/>
            <w:tcBorders>
              <w:top w:val="single" w:sz="8" w:color="CCEEFF"/>
              <w:bottom w:val="single" w:sz="8" w:color="EEEEEE"/>
            </w:tcBorders>
          </w:tcPr>
          <w:p>
            <w:pPr>
              <w:spacing w:after="0"/>
              <w:rPr>
                <w:sz w:val="21"/>
                <w:szCs w:val="21"/>
                <w:color w:val="auto"/>
              </w:rPr>
            </w:pPr>
          </w:p>
        </w:tc>
        <w:tc>
          <w:tcPr>
            <w:tcW w:w="16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bottom w:val="single" w:sz="8" w:color="EEEEEE"/>
            </w:tcBorders>
          </w:tcPr>
          <w:p>
            <w:pPr>
              <w:spacing w:after="0"/>
              <w:rPr>
                <w:sz w:val="21"/>
                <w:szCs w:val="21"/>
                <w:color w:val="auto"/>
              </w:rPr>
            </w:pPr>
          </w:p>
        </w:tc>
        <w:tc>
          <w:tcPr>
            <w:tcW w:w="540" w:type="dxa"/>
            <w:vAlign w:val="bottom"/>
            <w:tcBorders>
              <w:top w:val="single" w:sz="8" w:color="CCEEFF"/>
              <w:bottom w:val="single" w:sz="8" w:color="EEEEEE"/>
            </w:tcBorders>
          </w:tcPr>
          <w:p>
            <w:pPr>
              <w:spacing w:after="0"/>
              <w:rPr>
                <w:sz w:val="21"/>
                <w:szCs w:val="21"/>
                <w:color w:val="auto"/>
              </w:rPr>
            </w:pPr>
          </w:p>
        </w:tc>
        <w:tc>
          <w:tcPr>
            <w:tcW w:w="640" w:type="dxa"/>
            <w:vAlign w:val="bottom"/>
            <w:tcBorders>
              <w:top w:val="single" w:sz="8" w:color="CCEEFF"/>
              <w:bottom w:val="single" w:sz="8" w:color="EEEEEE"/>
            </w:tcBorders>
          </w:tcPr>
          <w:p>
            <w:pPr>
              <w:spacing w:after="0"/>
              <w:rPr>
                <w:sz w:val="21"/>
                <w:szCs w:val="21"/>
                <w:color w:val="auto"/>
              </w:rPr>
            </w:pPr>
          </w:p>
        </w:tc>
        <w:tc>
          <w:tcPr>
            <w:tcW w:w="98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bottom w:val="single" w:sz="8" w:color="EEEEEE"/>
            </w:tcBorders>
          </w:tcPr>
          <w:p>
            <w:pPr>
              <w:spacing w:after="0"/>
              <w:rPr>
                <w:sz w:val="21"/>
                <w:szCs w:val="21"/>
                <w:color w:val="auto"/>
              </w:rPr>
            </w:pPr>
          </w:p>
        </w:tc>
        <w:tc>
          <w:tcPr>
            <w:tcW w:w="840" w:type="dxa"/>
            <w:vAlign w:val="bottom"/>
            <w:tcBorders>
              <w:top w:val="single" w:sz="8" w:color="CCEEFF"/>
              <w:bottom w:val="single" w:sz="8" w:color="EEEEEE"/>
            </w:tcBorders>
          </w:tcPr>
          <w:p>
            <w:pPr>
              <w:spacing w:after="0"/>
              <w:rPr>
                <w:sz w:val="21"/>
                <w:szCs w:val="21"/>
                <w:color w:val="auto"/>
              </w:rPr>
            </w:pPr>
          </w:p>
        </w:tc>
        <w:tc>
          <w:tcPr>
            <w:tcW w:w="1040" w:type="dxa"/>
            <w:vAlign w:val="bottom"/>
            <w:tcBorders>
              <w:top w:val="single" w:sz="8" w:color="CCEEFF"/>
              <w:bottom w:val="single" w:sz="8" w:color="EEEEEE"/>
            </w:tcBorders>
          </w:tcPr>
          <w:p>
            <w:pPr>
              <w:spacing w:after="0"/>
              <w:rPr>
                <w:sz w:val="21"/>
                <w:szCs w:val="21"/>
                <w:color w:val="auto"/>
              </w:rPr>
            </w:pPr>
          </w:p>
        </w:tc>
        <w:tc>
          <w:tcPr>
            <w:tcW w:w="580" w:type="dxa"/>
            <w:vAlign w:val="bottom"/>
            <w:tcBorders>
              <w:top w:val="single" w:sz="8" w:color="CCEEFF"/>
              <w:bottom w:val="single" w:sz="8" w:color="EEEEEE"/>
            </w:tcBorders>
          </w:tcPr>
          <w:p>
            <w:pPr>
              <w:spacing w:after="0"/>
              <w:rPr>
                <w:sz w:val="21"/>
                <w:szCs w:val="21"/>
                <w:color w:val="auto"/>
              </w:rPr>
            </w:pPr>
          </w:p>
        </w:tc>
        <w:tc>
          <w:tcPr>
            <w:tcW w:w="580" w:type="dxa"/>
            <w:vAlign w:val="bottom"/>
            <w:tcBorders>
              <w:top w:val="single" w:sz="8" w:color="CCEEFF"/>
              <w:bottom w:val="single" w:sz="8" w:color="EEEEEE"/>
            </w:tcBorders>
          </w:tcPr>
          <w:p>
            <w:pPr>
              <w:spacing w:after="0"/>
              <w:rPr>
                <w:sz w:val="21"/>
                <w:szCs w:val="21"/>
                <w:color w:val="auto"/>
              </w:rPr>
            </w:pPr>
          </w:p>
        </w:tc>
        <w:tc>
          <w:tcPr>
            <w:tcW w:w="340" w:type="dxa"/>
            <w:vAlign w:val="bottom"/>
            <w:tcBorders>
              <w:top w:val="single" w:sz="8" w:color="CCEEFF"/>
              <w:bottom w:val="single" w:sz="8" w:color="EEEEEE"/>
            </w:tcBorders>
          </w:tcPr>
          <w:p>
            <w:pPr>
              <w:spacing w:after="0"/>
              <w:rPr>
                <w:sz w:val="21"/>
                <w:szCs w:val="21"/>
                <w:color w:val="auto"/>
              </w:rPr>
            </w:pPr>
          </w:p>
        </w:tc>
        <w:tc>
          <w:tcPr>
            <w:tcW w:w="380" w:type="dxa"/>
            <w:vAlign w:val="bottom"/>
            <w:tcBorders>
              <w:top w:val="single" w:sz="8" w:color="CCEEFF"/>
              <w:bottom w:val="single" w:sz="8" w:color="EEEE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p>
      <w:pPr>
        <w:ind w:left="660" w:hanging="328"/>
        <w:spacing w:after="0" w:line="184"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expected financial condition, performance, prospects and earnings of the Company;</w:t>
      </w:r>
    </w:p>
    <w:p>
      <w:pPr>
        <w:spacing w:after="0" w:line="43"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strategic plans for growth;</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45" w:lineRule="exact"/>
        <w:rPr>
          <w:rFonts w:ascii="Arial" w:cs="Arial" w:eastAsia="Arial" w:hAnsi="Arial"/>
          <w:sz w:val="17"/>
          <w:szCs w:val="17"/>
          <w:color w:val="auto"/>
        </w:rPr>
      </w:pPr>
    </w:p>
    <w:p>
      <w:pPr>
        <w:ind w:left="660" w:right="260" w:hanging="328"/>
        <w:spacing w:after="0" w:line="182" w:lineRule="auto"/>
        <w:tabs>
          <w:tab w:leader="none" w:pos="66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color w:val="auto"/>
        </w:rPr>
        <w:t>the Company’s expected liquidity needs during the upcoming fiscal year and beyond and the sources and availability of funds to meet its liquidity needs;</w:t>
      </w:r>
    </w:p>
    <w:p>
      <w:pPr>
        <w:spacing w:after="0" w:line="1" w:lineRule="exact"/>
        <w:rPr>
          <w:rFonts w:ascii="Arial" w:cs="Arial" w:eastAsia="Arial" w:hAnsi="Arial"/>
          <w:sz w:val="34"/>
          <w:szCs w:val="34"/>
          <w:color w:val="auto"/>
          <w:vertAlign w:val="superscript"/>
        </w:rPr>
      </w:pPr>
    </w:p>
    <w:p>
      <w:pPr>
        <w:ind w:left="660" w:hanging="328"/>
        <w:spacing w:after="0" w:line="184"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expected customer rates, consumption volumes, service fees, revenues, margins, expenses and operating results;</w:t>
      </w:r>
    </w:p>
    <w:p>
      <w:pPr>
        <w:spacing w:after="0" w:line="29"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33" w:lineRule="exact"/>
        <w:rPr>
          <w:rFonts w:ascii="Arial" w:cs="Arial" w:eastAsia="Arial" w:hAnsi="Arial"/>
          <w:sz w:val="18"/>
          <w:szCs w:val="18"/>
          <w:color w:val="auto"/>
        </w:rPr>
      </w:pPr>
    </w:p>
    <w:p>
      <w:pPr>
        <w:ind w:left="660" w:right="420" w:hanging="328"/>
        <w:spacing w:after="0" w:line="182" w:lineRule="auto"/>
        <w:tabs>
          <w:tab w:leader="none" w:pos="66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color w:val="auto"/>
        </w:rPr>
        <w:t>the expected amount of cash contributions to fund the Company’s retirement benefit plans, anticipated discount rates and rates of return on plan assets;</w:t>
      </w:r>
    </w:p>
    <w:p>
      <w:pPr>
        <w:spacing w:after="0" w:line="1" w:lineRule="exact"/>
        <w:rPr>
          <w:rFonts w:ascii="Arial" w:cs="Arial" w:eastAsia="Arial" w:hAnsi="Arial"/>
          <w:sz w:val="34"/>
          <w:szCs w:val="34"/>
          <w:color w:val="auto"/>
          <w:vertAlign w:val="superscript"/>
        </w:rPr>
      </w:pPr>
    </w:p>
    <w:p>
      <w:pPr>
        <w:ind w:left="660" w:hanging="328"/>
        <w:spacing w:after="0" w:line="184"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the ability of the Company to pay dividends;</w:t>
      </w:r>
    </w:p>
    <w:p>
      <w:pPr>
        <w:spacing w:after="0" w:line="29"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7"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the safety and reliability of the Company’s equipment, facilities and operations;</w:t>
      </w:r>
    </w:p>
    <w:p>
      <w:pPr>
        <w:spacing w:after="0" w:line="43"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Company’s plans to renew municipal franchises and consents in the territories it serves;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w:t>
      </w:r>
    </w:p>
    <w:p>
      <w:pPr>
        <w:spacing w:after="0" w:line="7"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the availability and quality of our water supply.</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color w:val="auto"/>
        </w:rPr>
        <w:t>increases in competition for growth in non-franchised markets to be potentially served by the Company;</w:t>
      </w:r>
    </w:p>
    <w:p>
      <w:pPr>
        <w:spacing w:after="0" w:line="43" w:lineRule="exact"/>
        <w:rPr>
          <w:rFonts w:ascii="Arial" w:cs="Arial" w:eastAsia="Arial" w:hAnsi="Arial"/>
          <w:sz w:val="29"/>
          <w:szCs w:val="29"/>
          <w:color w:val="auto"/>
          <w:vertAlign w:val="superscript"/>
        </w:rPr>
      </w:pPr>
    </w:p>
    <w:p>
      <w:pPr>
        <w:ind w:left="660" w:right="40" w:hanging="328"/>
        <w:spacing w:after="0" w:line="183" w:lineRule="auto"/>
        <w:tabs>
          <w:tab w:leader="none" w:pos="660" w:val="left"/>
        </w:tabs>
        <w:numPr>
          <w:ilvl w:val="0"/>
          <w:numId w:val="4"/>
        </w:numPr>
        <w:rPr>
          <w:rFonts w:ascii="Arial" w:cs="Arial" w:eastAsia="Arial" w:hAnsi="Arial"/>
          <w:sz w:val="32"/>
          <w:szCs w:val="32"/>
          <w:color w:val="auto"/>
          <w:vertAlign w:val="superscript"/>
        </w:rPr>
      </w:pPr>
      <w:r>
        <w:rPr>
          <w:rFonts w:ascii="Arial" w:cs="Arial" w:eastAsia="Arial" w:hAnsi="Arial"/>
          <w:sz w:val="17"/>
          <w:szCs w:val="17"/>
          <w:color w:val="auto"/>
        </w:rPr>
        <w:t>ability of the Company to adequately control selected operating expenses which are necessary to maintain safe and proper utility services, and which may be beyond the company’s control;</w:t>
      </w:r>
    </w:p>
    <w:p>
      <w:pPr>
        <w:spacing w:after="0" w:line="13" w:lineRule="exact"/>
        <w:rPr>
          <w:rFonts w:ascii="Arial" w:cs="Arial" w:eastAsia="Arial" w:hAnsi="Arial"/>
          <w:sz w:val="32"/>
          <w:szCs w:val="32"/>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supplies of water;</w:t>
      </w:r>
    </w:p>
    <w:p>
      <w:pPr>
        <w:spacing w:after="0" w:line="23"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color w:val="auto"/>
        </w:rPr>
        <w:t>actions taken by government regulators, including decisions on rate increase requests;</w:t>
      </w:r>
    </w:p>
    <w:p>
      <w:pPr>
        <w:spacing w:after="0" w:line="43"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new or modified water quality standards;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7"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color w:val="auto"/>
        </w:rPr>
        <w:t>financial and operating risks associated with acquisitions and, or privatizations;</w:t>
      </w:r>
    </w:p>
    <w:p>
      <w:pPr>
        <w:spacing w:after="0" w:line="43"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acts of war or terrorism;</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pace of housing development;</w:t>
      </w:r>
    </w:p>
    <w:p>
      <w:pPr>
        <w:spacing w:after="0" w:line="7" w:lineRule="exact"/>
        <w:rPr>
          <w:rFonts w:ascii="Arial" w:cs="Arial" w:eastAsia="Arial" w:hAnsi="Arial"/>
          <w:sz w:val="18"/>
          <w:szCs w:val="18"/>
          <w:color w:val="auto"/>
        </w:rPr>
      </w:pPr>
    </w:p>
    <w:p>
      <w:pPr>
        <w:ind w:left="660" w:hanging="328"/>
        <w:spacing w:after="0" w:line="184" w:lineRule="auto"/>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color w:val="auto"/>
        </w:rPr>
        <w:t>availability and cost of capital resources; and</w:t>
      </w:r>
    </w:p>
    <w:p>
      <w:pPr>
        <w:spacing w:after="0" w:line="43" w:lineRule="exact"/>
        <w:rPr>
          <w:rFonts w:ascii="Arial" w:cs="Arial" w:eastAsia="Arial" w:hAnsi="Arial"/>
          <w:sz w:val="29"/>
          <w:szCs w:val="29"/>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other factors discussed elsewhere in this annual report.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Middlesex Water Company (Middlesex) was incorporated as a water utility company in 1897 and owns and operates regulated water utility and wastewater systems in New Jersey, Delaware and Pennsylvania. Middlesex also operates water and wastewater systems under contract on behalf of municipal and private clients in New Jersey, Delaware and Maryland.</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Utility Service Affiliates (Perth Amboy) Inc., (USA-PA), Tidewater Environmental Services, Inc. (TESI) and Twin Lakes Utilities, Inc. (Twin Lakes).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principal executive offices are located at 485C Route 1 South, Suite 400, Iselin, New Jersey 08830. Our telephone number is (732) 634-1500. Our website address is http://www.middlesexwater.com.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Middlesex System in New Jersey provides water services to approximately 61,000 retail customers, primarily in eastern Middlesex County, New Jersey and provides water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60% of our 2019 consolidated operating revenues.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provides water service to approximately 300 customers in Cumberland County, New Jersey. This system is referred to as Bayview, and is not physically interconnected with the Middlesex System. Bayview produced less than 1% of our 2019 consolidated operating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Tidewater, together with its wholly-owned subsidiary, Southern Shores, provides water services to approximately 50,000 retail customers for residential, commercial and fire protection purposes in over 400 separate communities in New Castle, Kent and Sussex Counties, Delaware. The Tidewater System produced approximately 27% of our 2019 consolidated operating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USA-PA operates the City of Perth Amboy, New Jersey’s (Perth Amboy) water and wastewater systems under a 10-year agreement, which expires in December 2028. There are approximately 12,000 customers comprised of residential, commercial and industrial connections, most of which are served by both the water and wastewater systems. In addition to performing day-to day operations, USA-PA is also responsible for emergency responses and management of capital projects funded by Perth Amboy. USA-PA produced approximately 5% of our 2019 consolidated operating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Systems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Pinelands Water provides water services to approximately 2,500 residential customers in Burlington County, New Jersey. Pinelands Water is not physically interconnected with the Middlesex System. Pinelands Water produced approximately 1% of our 2019 consolidated operating revenues.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Pinelands Wastewater provides wastewater collection and treatment services to approximately 2,500 residential customers. Under contract, it also services one municipal wastewater system in Burlington County, New Jersey with approximately 200 residential customers. Pinelands Wastewater produced approximately 1% of our 2019 consolidated operating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2022. USA serves approximately 6,300 retail customers in Avalon, most of which are served by both the water system and wastewater collection system. In addition to performing day-to-day operations, USA is responsible for billing, collections, customer service, emergency responses and management of capital projects funded by Avalon.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USA also provides unregulated water and wastewater services under contract with several other smaller New Jersey municipalities.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a marketing agreement with HomeServe,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 The agreement expires in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USA produced approximately 2% of our 2019 consolidated operating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TESI provides wastewater collection and treatment services to approximately 3,700 retail customers in Sussex County, Delaware. TESI produced approximately 2% of our 2019 consolidated operating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White Marsh</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White Marsh operates or maintains water and/or wastewater systems that serve approximately 1,700 retail customers under more than 40 separate contracts. White Marsh also owns two commercial properties that are leased to Tidewater for its administrative office campus and its field operations center. White Marsh produced approximately 2% of our 2019 consolidated operating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Twin Lakes provides water services to approximately 115 residential customers in Shohola, Pennsylvania. Twin Lakes produced less than 1% of our 2019 consolidated operating revenues.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660" w:type="dxa"/>
            <w:vAlign w:val="bottom"/>
            <w:gridSpan w:val="2"/>
          </w:tcPr>
          <w:p>
            <w:pPr>
              <w:spacing w:after="0"/>
              <w:rPr>
                <w:sz w:val="20"/>
                <w:szCs w:val="20"/>
                <w:color w:val="auto"/>
              </w:rPr>
            </w:pPr>
            <w:r>
              <w:rPr>
                <w:rFonts w:ascii="Arial" w:cs="Arial" w:eastAsia="Arial" w:hAnsi="Arial"/>
                <w:sz w:val="18"/>
                <w:szCs w:val="18"/>
                <w:color w:val="auto"/>
              </w:rPr>
              <w:t>Consolidated operating revenues, operating income and net income are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89"/>
              </w:rPr>
              <w:t>(Thousands of Dollars)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13"/>
          </w:tcPr>
          <w:p>
            <w:pPr>
              <w:jc w:val="center"/>
              <w:ind w:right="22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134,598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138,077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35,520</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37,142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33,888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revenues were earned from the following sources: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0"/>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Fire Protection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Contract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Supplies and Contracts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New Jersey, Delaware and Pennsylvania water supply systems are physically separate and are not interconnected. In New Jersey, the Pinelands System and Bayview System are not interconnected with the Middlesex System or each other. We believe we have adequate sources of water supply to meet the current service requirements of our present customers in New Jersey, Delaware and Pennsylvania.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Middlesex System, which produced approximately 13.2 billion gallons in 2019, obtains water from surface sources and wells (groundwater sources). In 2019, surface sources of water provided approximately 72% of the Middlesex System’s water supply, groundwater sources provided approximately 20% from 31 Company-owned wells and the balance was purchased from a non-affiliated water utility regulated by the New Jersey Board of Public Utilities (NJBPU) under an agreement which expires February 27, 2021. This agreement provides for minimum purchases of 3.0 million gallons per day (mgd) of treated water with provisions for additional purchases. The Middlesex System’s distribution storage facilities are used to supply water to customers at times of peak demand, outages and emergencies.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principal source of surface water for the Middlesex System is the Delaware &amp; Raritan Canal, which is owned by the State of New Jersey and operated as a water resource by the New Jersey Water Supply Authority (NJWSA). Middlesex is under contract with the NJWSA, which expires November 30, 2023, and provides for average purchases of 27.0 mgd of untreated water from the Delaware &amp; Raritan Canal, augmented by the Round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Valley/Spruce Run Reservoir System. The untreated surface water is pumped to, and treated at, the Middlesex Carl J. Olsen (CJO) Water Treatment Plant.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Bayview customers is derived from two wells, which produced approximately 6.7 million gallons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Tidewater System produced approximately 2.4 billion gallons in 2019, primarily from 181 wells. Tidewater expects to submit applications to Delaware regulatory authorities for the approval of additional wells as growth, customer demand and water quality warrant. Tidewater augments its water production with annual minimum purchases of 15.0 million gallons of treated water under contract from the City of Dover, Delaware. Tidewater does not have a central water treatment facility for the over 400 separate communities it serves. As the number has grown, many of Tidewater’s individual systems have been interconnected, forming several regional systems that are served by multiple water treatment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supply to our Pinelands Water System is derived from four wells which produced approximately 127.4 million gallons in 2019. The aggregate pumping capacity of the four wells is 2.2 mgd.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Twin Lakes’ customers is derived from one well, which produced approximately 21.0 million gallons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Wastewater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Pinelands Wastewater System discharges into the South Branch of the Rancocas Creek through a tertiary treatment plant that provides clarification, sedimentation, filtration and disinfection. The total capacity of the plant is 0.5 mgd, and the system treated approximately 101.7 million gallons in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TESI System is comprised of seven wastewater collection and treatment systems, which are not interconnected. The treatment plants provide clarification, sedimentation, and disinfection. The combined total treatment capacity of the plants is 0.7 mgd. The TESI System treated approximately 115.8 million gallons in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a total of 352 employees. None of our employees are subject to a collective bargaining agreement. We believe our employee relations are positive. Wages and benefits are reviewed annually and both are considered competitive within the industry and the regions where we operate.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in our franchised service areas is substantially free from direct competition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and TESI have been granted exclusive franchises for each of their existing community water and wastewater systems, their ability to expand service areas can be affected by the Delaware Public Service Commission (DEPSC) awarding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franchises to other regulated water and wastewater utilities with whom we compete for such franchises and for projects.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1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rates charged to customers for water and wastewater services, the quality of the services we provide and certain other matters are regulated by the following state utility commissions (collectively, the Utility Commissions):</w:t>
      </w:r>
    </w:p>
    <w:p>
      <w:pPr>
        <w:ind w:left="660" w:hanging="328"/>
        <w:spacing w:after="0" w:line="209" w:lineRule="auto"/>
        <w:tabs>
          <w:tab w:leader="none" w:pos="660" w:val="left"/>
        </w:tabs>
        <w:numPr>
          <w:ilvl w:val="0"/>
          <w:numId w:val="5"/>
        </w:numPr>
        <w:rPr>
          <w:rFonts w:ascii="Arial" w:cs="Arial" w:eastAsia="Arial" w:hAnsi="Arial"/>
          <w:sz w:val="27"/>
          <w:szCs w:val="27"/>
          <w:color w:val="auto"/>
        </w:rPr>
      </w:pPr>
      <w:r>
        <w:rPr>
          <w:rFonts w:ascii="Arial" w:cs="Arial" w:eastAsia="Arial" w:hAnsi="Arial"/>
          <w:sz w:val="18"/>
          <w:szCs w:val="18"/>
          <w:color w:val="auto"/>
        </w:rPr>
        <w:t>NJBPU;</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5"/>
        </w:numPr>
        <w:rPr>
          <w:rFonts w:ascii="Arial" w:cs="Arial" w:eastAsia="Arial" w:hAnsi="Arial"/>
          <w:sz w:val="24"/>
          <w:szCs w:val="24"/>
          <w:color w:val="auto"/>
        </w:rPr>
      </w:pPr>
      <w:r>
        <w:rPr>
          <w:rFonts w:ascii="Arial" w:cs="Arial" w:eastAsia="Arial" w:hAnsi="Arial"/>
          <w:sz w:val="16"/>
          <w:szCs w:val="16"/>
          <w:color w:val="auto"/>
        </w:rPr>
        <w:t>DEPSC; and</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5"/>
        </w:numPr>
        <w:rPr>
          <w:rFonts w:ascii="Arial" w:cs="Arial" w:eastAsia="Arial" w:hAnsi="Arial"/>
          <w:sz w:val="24"/>
          <w:szCs w:val="24"/>
          <w:color w:val="auto"/>
        </w:rPr>
      </w:pPr>
      <w:r>
        <w:rPr>
          <w:rFonts w:ascii="Arial" w:cs="Arial" w:eastAsia="Arial" w:hAnsi="Arial"/>
          <w:sz w:val="16"/>
          <w:szCs w:val="16"/>
          <w:color w:val="auto"/>
        </w:rPr>
        <w:t>Pennsylvania-Pennsylvania Public Utilities Commission (PAPUC).</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subject to environmental and water quality regulation by the following regulatory agencies (collectively, the Government Environmental Regulatory Agencies):</w:t>
      </w:r>
    </w:p>
    <w:p>
      <w:pPr>
        <w:ind w:left="660" w:hanging="328"/>
        <w:spacing w:after="0" w:line="20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United States Environmental Protection Agency (EPA);</w:t>
      </w:r>
    </w:p>
    <w:p>
      <w:pPr>
        <w:spacing w:after="0" w:line="54" w:lineRule="exact"/>
        <w:rPr>
          <w:rFonts w:ascii="Arial" w:cs="Arial" w:eastAsia="Arial" w:hAnsi="Arial"/>
          <w:sz w:val="27"/>
          <w:szCs w:val="27"/>
          <w:color w:val="auto"/>
        </w:rPr>
      </w:pPr>
    </w:p>
    <w:p>
      <w:pPr>
        <w:ind w:left="660" w:hanging="328"/>
        <w:spacing w:after="0" w:line="181" w:lineRule="auto"/>
        <w:tabs>
          <w:tab w:leader="none" w:pos="660" w:val="left"/>
        </w:tabs>
        <w:numPr>
          <w:ilvl w:val="0"/>
          <w:numId w:val="6"/>
        </w:numPr>
        <w:rPr>
          <w:rFonts w:ascii="Arial" w:cs="Arial" w:eastAsia="Arial" w:hAnsi="Arial"/>
          <w:sz w:val="25"/>
          <w:szCs w:val="25"/>
          <w:color w:val="auto"/>
        </w:rPr>
      </w:pPr>
      <w:r>
        <w:rPr>
          <w:rFonts w:ascii="Arial" w:cs="Arial" w:eastAsia="Arial" w:hAnsi="Arial"/>
          <w:sz w:val="17"/>
          <w:szCs w:val="17"/>
          <w:color w:val="auto"/>
        </w:rPr>
        <w:t>New Jersey Department of Environmental Protection (NJDEP) with respect to operations in New Jersey;</w:t>
      </w:r>
    </w:p>
    <w:p>
      <w:pPr>
        <w:spacing w:after="0" w:line="42" w:lineRule="exact"/>
        <w:rPr>
          <w:rFonts w:ascii="Arial" w:cs="Arial" w:eastAsia="Arial" w:hAnsi="Arial"/>
          <w:sz w:val="25"/>
          <w:szCs w:val="25"/>
          <w:color w:val="auto"/>
        </w:rPr>
      </w:pPr>
    </w:p>
    <w:p>
      <w:pPr>
        <w:ind w:left="660" w:right="100" w:hanging="328"/>
        <w:spacing w:after="0" w:line="199"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Delaware Department of Natural Resources and Environmental Control, the Delaware Department of Health and Social Services-Division of Public Health (DEDPH), and the Delaware River Basin Commission (DRBC) with respect to operations in Delaware;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6"/>
        </w:numPr>
        <w:rPr>
          <w:rFonts w:ascii="Arial" w:cs="Arial" w:eastAsia="Arial" w:hAnsi="Arial"/>
          <w:sz w:val="27"/>
          <w:szCs w:val="27"/>
          <w:color w:val="auto"/>
        </w:rPr>
      </w:pPr>
      <w:r>
        <w:rPr>
          <w:rFonts w:ascii="Arial" w:cs="Arial" w:eastAsia="Arial" w:hAnsi="Arial"/>
          <w:sz w:val="18"/>
          <w:szCs w:val="18"/>
          <w:color w:val="auto"/>
        </w:rPr>
        <w:t>Pennsylvania Department of Environmental Protection (PADEP) with respect to operations in Pennsylvania.</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issuances of equity securities are subject to the prior approval of the NJBPU and require registration with the SEC. Our issuances of long-term debt securities are subject to the prior approval of the appropriate Utility Commissions.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Rates and Services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regulated rate setting purposes, we account separately for operations in New Jersey, Delaware and Pennsylvania to facilitate independent rate setting by the applicable Utility Commissions.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our regulated utility rates, the respective Utility Commissions consider the revenue, expenses, rate base of property used and useful in providing service to the public and a fair rate of return on investments within their separate jurisdictions. Rate determinations by the respective Utility Commissions do not guarantee achievement to us of specific rates of return for our New Jersey, Delaware and Pennsylvania regulated utility operations. Thus, we may not achieve the stated rates of return authorized by the Utility Commissions. In addition, there can be no assurance that any future rate increases will be granted or, if granted, that they will be in the amounts requested.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Rate Matters</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November 2019, Middlesex filed a petition with the NJBPU seeking approval to reset its Purchased Water Adjustment Clause (PWAC) tariff rate currently in effect to recover additional costs of $0.5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2018, the NJBPU approved Middlesex’s petition to establish its PWAC tariff rate to recover additional annual costs of less than $0.1 million, primarily for the purchase of treated water from a non-affiliated water utility. The PWAC tariff rate became effective on January 1, 2019.</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2020, Tidewater increased its DEPSC-approved Distribution System Improvement Charge (DSIC) rate, which is expected to generate revenues of approximately $0.5 million annually. A DSIC is a rate-mechanism that allows water utilities to recover investments in, and generate a return on, qualifying capital improvements made between base rate proceedings.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resulting in a 3.35% rate decrease for certain customer classes.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2019, Pinelands Water and Pinelands Wastewater concluded their base rate case matters when the NJBPU approved a negotiated settlement amongst the parties for a $0.5 million increase in annual base rates, effective November 4, 2019. In March 2019, Pinelands had filed their petitions seeking permission to increase base rates by approximately $0.7 million per year. The requests were necessitated by capital infrastructure investments both companies had made, and increased operations and maintenance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the DEPSC approved the renewal of a multi-year agreement for water service to a 2,200 unit condominium 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Rate Matters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2019, Twin Lakes filed a petition with the PAPUC seeking permission to increase base rates by approximately $0.2 million per year. This request was necessitated by capital infrastructure investments Twin Lakes has made and increased operations and maintenance costs. The matter has been fully litigated and is subject to a decision by an Administrative Law Judge (ALJ). We cannot predict what decision the ALJ will render or whether the PAPUC will ultimately approve or deny in part or its entirety the ALJ decision. A decision by the PAPUC is not expected before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Rate Filings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monitors the need for rate relief for our regulated entities on an ongoing basis. When capital improvements and/or increases in operation and maintenance costs require rate relief, base rate increase requests are expeditiously filed with the respective Utility Commissions.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Wastewater Quality and Environmental Regulations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Government environmental regulatory agencies regulate our operations in New Jersey, Delaware and Pennsylvania with respect to water supply, treatment and distribution systems and the quality of the water. They also regulate our operations with respect to wastewater collection, treatment and disposal.</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the various types of technology that might reduce the level of organic, inorganic and synthetic compounds found in water. The cost to water utilities to comply with the proposed water quality standards depends in part on the limits set in the regulations and on the method selected to treat the water to the required standards. We regularly test our water to determine compliance with existing required government environmental regulatory agencies’ water quality standards.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groundwater in our Middlesex System is by chlorination for primary disinfection purposes. In addition, at certain locations, air stripping is used for removal of volatile organic compounds.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Surface water treatment in our Middlesex System is by conventional treatment; coagulation, sedimentation and filtration. The treatment process includes pH adjustment, chlorination for disinfection, and corrosion control for the distribution system.</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Treatment of groundwater in our Tidewater System is by chlorination for disinfection purposes and, in some cases, pH correction and filtration for nitrate and iron removal and granular activated carbon filtration for organics removal. Chloramination is used for final disinfection at Southern Shores.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Treatment of groundwater in the Pinelands Water, Bayview and Twin Lakes Systems (primary disinfection only) is performed at individual well sites.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wastewater in the Pinelands Wastewater and TESI Systems includes rotating biological contactors. Membrane bioreactors, sequential batch reactors and lagoon treatment coupled with spray irrigation are also utilized in the TESI System.</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NJDEP, DEDPH and PADEP monitor our activities and review the results of water quality tests that are performed for adherence to applicable regulations. Other applicable regulations include the Federal Lead and Copper Rule, the Federal Surface Water Treatment Rule and the Federal Total Coliform Rule and regulations for maximum contaminant levels established for various volatile organic compounds.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table lists information concerning our executive management team:</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3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Position(s)</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W. Doll</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0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 Bruce O’Connor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Kooper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President-General Counsel and Secretary</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Bernadette M. Sohler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Vice President-Corporate Affairs</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Lorrie B. Ginegaw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President-Human Resources</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G. Christian Andreasen, Jr.</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Vice President-Enterprise Engineering</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Fullagar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President-Operations</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Georgia M. Simpson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Vice President-Information Technology</w:t>
            </w:r>
          </w:p>
        </w:tc>
      </w:tr>
    </w:tbl>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Dennis W. Doll </w:t>
      </w:r>
      <w:r>
        <w:rPr>
          <w:rFonts w:ascii="Arial" w:cs="Arial" w:eastAsia="Arial" w:hAnsi="Arial"/>
          <w:sz w:val="16"/>
          <w:szCs w:val="16"/>
          <w:color w:val="auto"/>
        </w:rPr>
        <w:t>– Mr. Doll joined the Company in 2004 and was named President and Chief Executive Officer and a Director of Middlesex effective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 2006. In May 2010, he was first elected Chairman of the Board. He is also Chairman for all subsidiaries of Middlesex. Prior to joining the Company, Mr. Doll had been employed in various executive leadership roles in the regulated water utility business since 1985. Mr. Doll also serves as a volunteer Director on selected non-profit Boards including The Water Research Foundation (current Chairman), American Water Works Association (Executive Committee and Board Member) and Court Appointed Special Advocates (CASA) of Middlesex County, New Jersey (Executive Committee, Board Member and Treasurer).</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 Bruce O’Connor </w:t>
      </w:r>
      <w:r>
        <w:rPr>
          <w:rFonts w:ascii="Arial" w:cs="Arial" w:eastAsia="Arial" w:hAnsi="Arial"/>
          <w:sz w:val="18"/>
          <w:szCs w:val="18"/>
          <w:color w:val="auto"/>
        </w:rPr>
        <w:t>– Mr. O’Connor, a Certified Public Accountant, joined the Company in 1990 and was named Vice President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1996 and Treasurer in 2014. On January 1, 2019, Mr. O’Connor was appointed Senior Vice President of Middlesex and President of Tidewater, TESI and White Marsh. Mr. O’Connor is also the principal financial officer and a Director of all Middlesex subsidiaries.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Jay L. Kooper </w:t>
      </w:r>
      <w:r>
        <w:rPr>
          <w:rFonts w:ascii="Arial" w:cs="Arial" w:eastAsia="Arial" w:hAnsi="Arial"/>
          <w:sz w:val="16"/>
          <w:szCs w:val="16"/>
          <w:color w:val="auto"/>
        </w:rPr>
        <w:t>– Mr. Kooper joined the Company in March 2014 as Vice President and General Counsel and serves as Secretary for the Company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Bernadette M. Sohler </w:t>
      </w:r>
      <w:r>
        <w:rPr>
          <w:rFonts w:ascii="Arial" w:cs="Arial" w:eastAsia="Arial" w:hAnsi="Arial"/>
          <w:sz w:val="18"/>
          <w:szCs w:val="18"/>
          <w:color w:val="auto"/>
        </w:rPr>
        <w:t>– Ms. Sohler joined the Company in 1994 and was named Vice President-Corporate Affairs in March 2007. She also serves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USA. Prior to joining the Company, Ms. Sohler held marketing and public relations management positions in the financial services industry. Ms. Sohler serves as a volunteer director on area Chambers of Commerce and several other non-profit Boards and is the Chair of the New Jersey Utilities Association’s Communications Committee.</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Lorrie B. Ginegaw </w:t>
      </w:r>
      <w:r>
        <w:rPr>
          <w:rFonts w:ascii="Arial" w:cs="Arial" w:eastAsia="Arial" w:hAnsi="Arial"/>
          <w:sz w:val="16"/>
          <w:szCs w:val="16"/>
          <w:color w:val="auto"/>
        </w:rPr>
        <w:t>– Ms. Ginegaw joined Tidewater in 2004 and in 2007 was promoted to Director of Human Resources for Middlesex. In March 2012, Ms.</w:t>
      </w:r>
      <w:r>
        <w:rPr>
          <w:rFonts w:ascii="Arial" w:cs="Arial" w:eastAsia="Arial" w:hAnsi="Arial"/>
          <w:sz w:val="16"/>
          <w:szCs w:val="16"/>
          <w:i w:val="1"/>
          <w:iCs w:val="1"/>
          <w:color w:val="auto"/>
        </w:rPr>
        <w:t xml:space="preserve"> </w:t>
      </w:r>
      <w:r>
        <w:rPr>
          <w:rFonts w:ascii="Arial" w:cs="Arial" w:eastAsia="Arial" w:hAnsi="Arial"/>
          <w:sz w:val="16"/>
          <w:szCs w:val="16"/>
          <w:color w:val="auto"/>
        </w:rPr>
        <w:t>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 Christian Andreasen, Jr. </w:t>
      </w:r>
      <w:r>
        <w:rPr>
          <w:rFonts w:ascii="Arial" w:cs="Arial" w:eastAsia="Arial" w:hAnsi="Arial"/>
          <w:sz w:val="18"/>
          <w:szCs w:val="18"/>
          <w:color w:val="auto"/>
        </w:rPr>
        <w:t>– Mr. Andreasen, a licensed professional engineer, joined the Company in 1982, was named Assistant Vice President-Enterprise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in January 2019 and promoted to Vice President-Enterprise Engineering in July 2019. He is President and a Director of Pinelands Water and Pinelands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Wastewater. Mr. Andreasen serves as a Director of the American Water Works Association and is Vice Chair of the NJDEP’s Water Supply Advisory Council.</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Robert K. Fullagar </w:t>
      </w:r>
      <w:r>
        <w:rPr>
          <w:rFonts w:ascii="Arial" w:cs="Arial" w:eastAsia="Arial" w:hAnsi="Arial"/>
          <w:sz w:val="18"/>
          <w:szCs w:val="18"/>
          <w:color w:val="auto"/>
        </w:rPr>
        <w:t>– Mr. Fullagar, a licensed professional engineer, joined the Company in 1997, was named Assistant Vice President-Operations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promoted to Vice President-Operations in July 2019. He is President and a Director of USA-PA, USA and Twin Lakes. Mr. Fullagar serves as Sector Chair of the New Jersey Infrastructure Advisory Committee.</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Georgia M. Simpson </w:t>
      </w:r>
      <w:r>
        <w:rPr>
          <w:rFonts w:ascii="Arial" w:cs="Arial" w:eastAsia="Arial" w:hAnsi="Arial"/>
          <w:sz w:val="18"/>
          <w:szCs w:val="18"/>
          <w:color w:val="auto"/>
        </w:rPr>
        <w:t>– Ms. Simpson joined the Company in 2009, was named Assistant Vice President-Information Technology in January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to Vice President- Information Technology in July 2019. Prior to joining the Company, Ms. Simpson held various Information Technology positions and has gained an extensive array of technical and business computer certifications.</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revenue and earnings depend on the rates we charge our customers. We cannot raise utility rates in our regulated businesses without filing a petition with the appropriate Utility Commissions. If these agencies modify, delay, or deny our petition, our revenues will not increase and our earnings will decline unless we are able to reduce costs.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filing a petition with the NJBPU and going through a lengthy administrative process. In much the same way, the DEPSC and the PAPUC regulate our public utility companies in Delaware and Pennsylvania, respectively. We cannot give assurance of when we will request approval for any such matter, nor can we predict whether these Utility Commissions will approve, deny or reduce the amount of such requests.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costs of doing business are not completely within our control. The failure to obtain any rate increase would prevent us from increasing our revenues and, unless we are able to reduce costs, would result in reduced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may materially and adversely affect our financial condition and results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were negatively impacted, our financial condition and results of operations could continue to be negatively impacted.</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environmental regulatory agencies regulate our operations in New Jersey, Delaware and Pennsylvania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environmental regulatory agencies’ regulations relating to water quality require us to perform expanded types of testing to ensure that our water meets state and federal water quality requirements. We are subject to EPA regulations under the Federal Safe Drinking Water Act, which include the Lead and Copper Rule, the maximum contaminant levels established for various volatile organic compounds, the Federal Surface Water Treatment Rule and the Total Coliform Rule. There are also similar NJDEP regulations for our New Jersey water systems. The NJDEP, DEDPH and PADEP monitor our activities and review the results of water quality tests that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cost of compliance with the water and wastewater effluent quality standards depends in part on the limits set in the regulations and on the method selected to implement them. If new or more restrictive standards are imposed, the cost of compliance could be very high and have an adverse impact on our revenues and results of operations if we cannot recover those costs through our rates that we charge our customers. The cost of compliance with fire protection requirements could also be high and make us less profitable if we cannot recover those costs through our rates charged to our customers.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we fail to comply with environmental or other laws and regulations to which our business is subject, we could be fined or subject to other sanctions, which could adversely impact our business or results of operations.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require financing to fund the ongoing capital program for the improvement in our utility system assets and for planned expansion of those systems. We expect to spend approximately $295 million for capital projects through 2022. We must obtain prior approval from our economic regulators to sell debt or equity securities to raise money for these projects. If sufficient capital is not available, or the cost of capital is too high, or if the regulatory authorities deny a petition of ours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information technology systems to help manage our operations.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information technology systems require periodic modifications, upgrades and or replacement which subject us to costs and risks including potential disruption of our internal control structure, substantial capital expenditures, additional administration and operating expenses, retention of sufficiently skilled personnel to implement and operate existing or new systems, and other risks and costs of delays or difficulties in transitioning to new systems or of integrating new systems into our current systems. In addition, challenges implementing new technology systems may cause disruptions in our business operations and have an adverse effect on our business operations, if not anticipated and appropriately mitigated.</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Cyber-attacks on entities around the world have caused operational failures and/or compromised corporate and personal data. Such 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 including standards for drinking water, litigation and reputational damage.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Weather conditions and overuse of underground aquifers may interfere with our sources of water, demand for water services and our ability to supply water to customers.</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spacing w:after="0" w:line="1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Climate variability may cause worsening of weather volatility in the future, which may impact water usage and related revenue or may require additional expenditures to reduce the risk associated with any increasing storm, flood and drought occurrences.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issue of climate variability is receiving increasing attention nationally and worldwide. Some scientific experts are predicting a worsening of weather volatility in the future associated with climate variability. If true, increased climate variability may cause increased precipitation and flooding, increased frequency and severity of storms and other weather events, potential degradation of water quality, decreases in available water supply, changes in water usage patterns and increases in disruptions in service. Because of the uncertainty of weather volatility related to climate variability, we cannot predict its potential impact on our business, financial condition, results of operations, cash flows and liquidity. Although some or all potential expenditures and costs with respect to our regulated businesses could be recovered through rates, there can be no assurance that the NJBPU, DEPSC or PAPUC would authorize rate increases to enable us to recover such expenditures and costs, in whole or in part.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seasonal fluctuations, which could affect demand for our water service and our revenues.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water during the warmer months is generally greater than during cooler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and make us less profitable.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unable to recover costs associated with treating or decontaminating water supplies through rates, or recovery of these costs may not occur in a timely manner. In addition, we could be subject to claims for damages arising from government enforcement actions or other lawsuits arising out of interruption of service or human exposure to hazardous substances in our drinking water and water supplies. Such costs could adversely affect our financial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Contamination of the water supply or the water service provided to our customers could result in substantial injury or damage to our customers, employees or others and we could be exposed to substantial claims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which are inherently subject to uncertainties and are potentially subject to unfavorable rulings. Negative impacts to our profitability and our reputation may occur even if we are not responsible for the contamination or the consequences arising out of human exposure to contamination or hazardous substances in the water or water supplies. Pending or future claims against us could have a material adverse impact on our business,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water and wastewater utilities and service providers which might hinder our growth and reduce our profitability.</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face risks of competition from other utilities or other entities authorized by federal, state or local agencies to provide utility services. Once a state utility regulator grants a franchise to a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long-term agreements to operate municipal utility systems may adversely affect our long-term agreements to supply water or wastewater services on a contract basis to municipalities, which could adversely affect our financial results.</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USA-PA operates and maintains the water and wastewater systems of Perth Amboy under a 10-year contract expiring in 2028. USA operates and maintains the water, wastewater and storm water systems of Avalon under a 10-year contract expiring in 2022. These contracts do not protect us against incurring costs in excess of revenues we earn pursuant to the contracts. There can be no absolute assurance that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serve as guarantor of performance of an unaffiliated company under a contract to operate a leachate pretreatment facility at the Monmouth County Reclamation Center in Tinton Falls, New Jersey.</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Middlesex entered into agreements, expiring in 2029, with Applied Water Management, Inc. (AWM), Natural Systems Utilities, LLC, (NSU) the parent company of AWM, and the County of Monmouth, New Jersey (County) for the operation of a leachate pretreatment facility at the Monmouth County Reclamation Center in Tinton Falls, New Jersey. Under the terms of the agreement, AWM operates the County-owned landfill leachate pretreatment facility. Middlesex is the guarantor of AWM's performance under the agreement (the Guaranty), for which Middlesex earns a fee, in addition to providing operational support if necessary. If asked to perform under the Guaranty, Middlesex could be required to fulfill the remaining operational commitments of AWM. There can be no absolute assurance that we will not experience losses if asked to perform under the Guaranty. Losses from performance under this Guaranty, or our failure or inability to perform, may have a material adverse effect on our financial condition and results of operations. NSU and AWM have indemnified Middlesex for any costs Middlesex may incur in connection with its Guaranty to the County.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 conditions and key assumptions may adversely impact the value of our postretirement benefit plan assets and liabilities.</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factors can adversely affect the rate of return on assets held in trusts to satisfy our future postretirement benefit obligations as well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and/or operation of water and wastewater systems is an element of our growth strategy. This strategy depends on identifying suitable opportunities and reaching mutually agreeable terms with acquisition candidates or contract parties. Further, acquisitions may result in dilution of our equity securities, incurrence of debt and contingent liabilities, fluctuations in quarterly results and other related expenses. In addition, the assets, operations, contracts or companies we acquire may not achieve the revenues and profitability expected.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current concentration of our business in central New Jersey and Delaware makes us susceptible to adverse development in local regulatory, economic, demographic, competitive and weather conditions.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New Jersey water and wastewater businesses provide services to customers who are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and wastewater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necessity for ongoing security has resulted, and may continue to result, in increased operating costs.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physical and operational threats to the health and security of the United States of America, we employ procedures to review and modify, as necessary, physical and other security measures at our facilities. We provide ongoing training and communications to our employees about threats to our water supply, our assets and related systems and our employees’ personal safety. We have incurred, and will continue to incur, costs for security measures to protect against such risks.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achieve organic customer growth in our market area is dependent on the residential building market. New housing starts are one element that impacts our rate of growth and therefore, may not meet our expectations.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revenues to increase from customer growth for our regulated water and wastewater operations as a result of anticipated construction and sale of new housing units. If housing starts decline, or do not increase as we have projected,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can be no assurance we will continue to pay dividends in the future or, if dividends are paid, that they will be in amounts similar to past dividends.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that we will continue to pay dividends in the future or, if dividends are paid, that they will be in amounts similar to past dividends.</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cash generated from operations and, if necessary, borrowings under existing credit facilities, will be sufficient to enable us to make our debt payments as they become due. If, however, we do not generate sufficient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we may be required to refinance our obligations or sell additional equity, which may be on terms that are less favorable than we desire.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depend significantly on the technical and management services of our senior management team, and the departure of any of those persons could cause our operating results to temporarily be short of our expectations.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significantly on the continued individual and collective contributions of our senior management team. If we lose the services of any member of our senior management, or are unable to attract and retain qualified senior management personnel, our operating results could be negatively impacted.</w:t>
      </w:r>
    </w:p>
    <w:p>
      <w:pPr>
        <w:spacing w:after="0" w:line="1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anti-takeover measures that may be used to discourage, delay or prevent changes of control that might benefit non-management shareholders.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that the Board of Directors determines is not in the best interest of the common shareholders.</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Plant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wastewater utility plant in our systems consist of pumping, treatment, collection mains, general facilities and all appurtenances, including all connecting pipes.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principal source of surface supply is the Delaware &amp; Raritan Canal owned by the State of New Jersey and operated as a water resource by the NJWSA.</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Water Treatment Plant in Edison, New Jersey.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CJO Water Treatment Plant includes chemical storage and chemical feed equipment, two dual rapid mixing basins, four upflow clarifiers which are also called superpulsators, four underground reinforced chlorine contact tanks, twelve rapid filters containing gravel, sand and anthracite for water treatment and a steel washwater tank. The CJO Water Treatment Plant also includes a computerized Supervisory Control and Data Acquisitions system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monitor and control the CJO Water Treatment Plant and the water supply and distribution system in the Middlesex System. There is an on-site State of New Jersey certified laboratory capable of performing bacteriological, chemical, process control and advanced instrumental chemical sampling and analysis. The firm design capacity of the CJO Water Treatment Plant is 55 mgd (60 mgd maximum capacity). The five electric motor-driven, vertical turbine pumps presently installed have an aggregate capacity of 85 mgd.</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there is a 15 mgd auxiliary pumping station located at the CJO Water Treatment Plant location. It has a dedicated substation and emergency power supply provided by a diesel-driven generator. It pumps from the 10 million gallon distribution storage reservoir directly into the distribution system.</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transmission and distribution system is comprised of 741 miles of mains and includes 24,300 feet of 48-inch concrete transmission main connecting the CJO Water Treatment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storage facilities consist of a 10 million gallon reservoir at the CJO Water Treatment Plant, 5 million gallon and 2 million gallon reservoirs in Edison and a 2 million gallon reservoir at the Park Avenue Well Field.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New Jersey, we own the properties on which the Middlesex System’s 31 wells are located, the properties on which our storage tanks are located as well as the property where the CJO Water Treatment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across the street from the Ronson Road complex. The leased space, which is under contract through 2028, is home to our corporate administrative departments including executive, accounting, customer service and billing, engineering, human resources, information technology and legal.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Tidewater System is comprised of 86 production plants that vary in pumping capacity from 46,000 gallons per day to 4.4 mgd. Water is transported to our customers through 792 miles of transmission and distribution mains. Storage facilities include 48 tanks, with an aggregate capacity of 7.8 million gallons. The Delaware office property, located on an eleven-acre parcel owned by White Marsh, consists of two office buildings totaling approximately 17,000 square feet. In addition, Tidewater maintains a field operations center servicing its largest service territory area in Sussex County, Delaware. The operations center is located on a 2.9 acre parcel owned by White Marsh, and consists of two buildings totaling approximately 8,400 square feet.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Wastewater owns a 12 acre site on which its 0.5 mgd capacity tertiary treatment plant and connecting pipes are located. Its wastewater collection system is comprised of approximately 24 miles of sewer 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Bayview owns two well sites, which are located in Downe Township, Cumberland County, New Jersey. Water is transported to its customers through our 4.2 mile distribution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TESI System is comprised of seven wastewater treatment systems in Southern Delaware. The treatment plants provide clarification, sedimentation, and disinfection. The combined total capacity of the plants is 0.7 mgd. TESI’s wastewater collection system is comprised of approximately 47.5 miles of sewer lines.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Twin Lakes owns one operational well site, which is located in the Township of Shohola, Pike County, Pennsylvania. Water is transported to our customers through 3.7 miles of distribution mains.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 USA and White Marsh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non-regulated subsidiaries, namely USA-PA, USA and White Marsh, do not own utility plant property.</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a defendant in lawsuits in the normal course of business. We believe the resolution of pending claims and legal proceedings will not have a material adverse effect on the Company’s consolidated financial statements.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80" w:right="4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traded on the NASDAQ Stock Market, LLC, under the symbol MSEX. As of December 31, 2019, there were 1,845 holders of record.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2019, the Company sold and issued 0.8 million shares of its common stock in a public offering priced at $60.50 per share. The net proceeds of $43.7 million were used for general corporate purposes including repayment of a portion of the Company’s short-term debt outstanding.</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there remains 0.4 million shares registered with the SEC for the Investment Plan and available for potential issuance to participants. In January 2019, the Company activated a limited share purchase discount feature of the Investment Plan. Investment Plan participants were invited to purchase shares directly as well as reinvest their common stock dividends at a 5% discount. In August 2019, the 0.2 million share purchase limit was reached and the discount offer terminated. The Company raised approximately $12.7 million through the issuance of over 0.2 million shares under the Investment Plan during 2019.</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incentive compensation plan for certain management employees (the 2018 Restricted Stock Plan). Shares issued in connection with the 2018 Restricted Stock Plan are subject to forfeiture by the employee in the event of termination of employment within five years of the award other than as a result of normal retirement, death, disability or change in control. The maximum number of shares authorized for grant under the 2018 Restricted Stock Plan is 0.3 million shares, of which approximately 94% remain available for award.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compensation plan for its outside directors (the Outside Director Stock Compensation Plan). In 2019, 3,521 shares of the Company’s common stock were granted and issued to the Company’s outside directors under the Outside Director Stock Compensation Plan. The maximum number of shares authorized for grant under the Outside Director Stock Compensation Plan is 0.1 million. Approximately 57% of the authorized shares remain available for future.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a line graph comparing the yearly change in the cumulative total return (which includes reinvestment of dividends) of a $100 investment for the Company’s common stock, a peer group of investor-owned water utilities, and the Dow Jones Wilshire 5000 Stock Index for the period of five years commencing December 31, 2014. The Dow Jones Wilshire 5000 Stock Index measures the performance of all U.S. headquartered equity securities with readily available price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Middlesex Water Company, the Dow Jones Wilshire 5000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wp:posOffset>
            </wp:positionV>
            <wp:extent cx="4339590" cy="3198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3959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80" w:right="20" w:firstLine="8"/>
        <w:spacing w:after="0" w:line="277" w:lineRule="auto"/>
        <w:tabs>
          <w:tab w:leader="none" w:pos="1227" w:val="left"/>
        </w:tabs>
        <w:numPr>
          <w:ilvl w:val="0"/>
          <w:numId w:val="7"/>
        </w:numPr>
        <w:rPr>
          <w:rFonts w:ascii="Arial" w:cs="Arial" w:eastAsia="Arial" w:hAnsi="Arial"/>
          <w:sz w:val="18"/>
          <w:szCs w:val="18"/>
          <w:color w:val="auto"/>
        </w:rPr>
      </w:pPr>
      <w:r>
        <w:rPr>
          <w:rFonts w:ascii="Arial" w:cs="Arial" w:eastAsia="Arial" w:hAnsi="Arial"/>
          <w:sz w:val="18"/>
          <w:szCs w:val="18"/>
          <w:color w:val="auto"/>
        </w:rPr>
        <w:t>Peer group includes American States Water Company, Artesian Resources Corp., California Water Service Group, SJW Corp., York Water Company and Middlesex.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3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80" w:type="dxa"/>
            <w:vAlign w:val="bottom"/>
          </w:tcPr>
          <w:p>
            <w:pPr>
              <w:spacing w:after="0"/>
              <w:rPr>
                <w:sz w:val="19"/>
                <w:szCs w:val="19"/>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2016</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Middlesex Water Company</w:t>
            </w:r>
          </w:p>
        </w:tc>
        <w:tc>
          <w:tcPr>
            <w:tcW w:w="1680" w:type="dxa"/>
            <w:vAlign w:val="bottom"/>
            <w:gridSpan w:val="3"/>
            <w:shd w:val="clear" w:color="auto" w:fill="CCEEFF"/>
          </w:tcPr>
          <w:p>
            <w:pPr>
              <w:jc w:val="center"/>
              <w:ind w:left="870"/>
              <w:spacing w:after="0"/>
              <w:rPr>
                <w:sz w:val="20"/>
                <w:szCs w:val="20"/>
                <w:color w:val="auto"/>
              </w:rPr>
            </w:pPr>
            <w:r>
              <w:rPr>
                <w:rFonts w:ascii="Arial" w:cs="Arial" w:eastAsia="Arial" w:hAnsi="Arial"/>
                <w:sz w:val="18"/>
                <w:szCs w:val="18"/>
                <w:color w:val="auto"/>
                <w:w w:val="87"/>
              </w:rPr>
              <w:t>100.00</w:t>
            </w:r>
          </w:p>
        </w:tc>
        <w:tc>
          <w:tcPr>
            <w:tcW w:w="136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0"/>
              </w:rPr>
              <w:t>119.03</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197.15</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187.44</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255.93</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309.99</w:t>
            </w:r>
          </w:p>
        </w:tc>
        <w:tc>
          <w:tcPr>
            <w:tcW w:w="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Dow Jones Wilshire 5000 Stock Index</w:t>
            </w:r>
          </w:p>
        </w:tc>
        <w:tc>
          <w:tcPr>
            <w:tcW w:w="1680" w:type="dxa"/>
            <w:vAlign w:val="bottom"/>
            <w:gridSpan w:val="3"/>
          </w:tcPr>
          <w:p>
            <w:pPr>
              <w:jc w:val="center"/>
              <w:ind w:left="870"/>
              <w:spacing w:after="0"/>
              <w:rPr>
                <w:sz w:val="20"/>
                <w:szCs w:val="20"/>
                <w:color w:val="auto"/>
              </w:rPr>
            </w:pPr>
            <w:r>
              <w:rPr>
                <w:rFonts w:ascii="Arial" w:cs="Arial" w:eastAsia="Arial" w:hAnsi="Arial"/>
                <w:sz w:val="18"/>
                <w:szCs w:val="18"/>
                <w:color w:val="auto"/>
                <w:w w:val="87"/>
              </w:rPr>
              <w:t>100.00</w:t>
            </w:r>
          </w:p>
        </w:tc>
        <w:tc>
          <w:tcPr>
            <w:tcW w:w="136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100.67</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114.13</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138.08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130.81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171.38</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680" w:type="dxa"/>
            <w:vAlign w:val="bottom"/>
            <w:gridSpan w:val="3"/>
            <w:shd w:val="clear" w:color="auto" w:fill="CCEEFF"/>
          </w:tcPr>
          <w:p>
            <w:pPr>
              <w:jc w:val="center"/>
              <w:ind w:left="870"/>
              <w:spacing w:after="0"/>
              <w:rPr>
                <w:sz w:val="20"/>
                <w:szCs w:val="20"/>
                <w:color w:val="auto"/>
              </w:rPr>
            </w:pPr>
            <w:r>
              <w:rPr>
                <w:rFonts w:ascii="Arial" w:cs="Arial" w:eastAsia="Arial" w:hAnsi="Arial"/>
                <w:sz w:val="18"/>
                <w:szCs w:val="18"/>
                <w:color w:val="auto"/>
                <w:w w:val="87"/>
              </w:rPr>
              <w:t>100.00</w:t>
            </w:r>
          </w:p>
        </w:tc>
        <w:tc>
          <w:tcPr>
            <w:tcW w:w="1360" w:type="dxa"/>
            <w:vAlign w:val="bottom"/>
            <w:gridSpan w:val="3"/>
            <w:shd w:val="clear" w:color="auto" w:fill="CCEEFF"/>
          </w:tcPr>
          <w:p>
            <w:pPr>
              <w:jc w:val="center"/>
              <w:ind w:left="130"/>
              <w:spacing w:after="0"/>
              <w:rPr>
                <w:sz w:val="20"/>
                <w:szCs w:val="20"/>
                <w:color w:val="auto"/>
              </w:rPr>
            </w:pPr>
            <w:r>
              <w:rPr>
                <w:rFonts w:ascii="Arial" w:cs="Arial" w:eastAsia="Arial" w:hAnsi="Arial"/>
                <w:sz w:val="18"/>
                <w:szCs w:val="18"/>
                <w:color w:val="auto"/>
                <w:w w:val="90"/>
              </w:rPr>
              <w:t>108.74</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155.64</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183.60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183.78</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228.74</w:t>
            </w:r>
          </w:p>
        </w:tc>
        <w:tc>
          <w:tcPr>
            <w:tcW w:w="20" w:type="dxa"/>
            <w:vAlign w:val="bottom"/>
            <w:shd w:val="clear" w:color="auto" w:fill="CCEEFF"/>
          </w:tcPr>
          <w:p>
            <w:pPr>
              <w:spacing w:after="0"/>
              <w:rPr>
                <w:sz w:val="18"/>
                <w:szCs w:val="18"/>
                <w:color w:val="auto"/>
              </w:rPr>
            </w:pPr>
          </w:p>
        </w:tc>
      </w:tr>
      <w:tr>
        <w:trPr>
          <w:trHeight w:val="432"/>
        </w:trPr>
        <w:tc>
          <w:tcPr>
            <w:tcW w:w="3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384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60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134,598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138,077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130,775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132,906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126,025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and Maintenance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67,980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71,570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65,490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65,864</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64,759</w:t>
            </w: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16,716</w:t>
            </w: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15,037</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13,922</w:t>
            </w:r>
          </w:p>
        </w:tc>
        <w:tc>
          <w:tcPr>
            <w:tcW w:w="3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12,796</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12,051</w:t>
            </w:r>
          </w:p>
        </w:tc>
      </w:tr>
      <w:tr>
        <w:trPr>
          <w:trHeight w:val="216"/>
        </w:trPr>
        <w:tc>
          <w:tcPr>
            <w:tcW w:w="3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Taxes</w:t>
            </w:r>
          </w:p>
        </w:tc>
        <w:tc>
          <w:tcPr>
            <w:tcW w:w="9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14,382</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14,328</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13,565</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13,944</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12,967</w:t>
            </w:r>
          </w:p>
        </w:tc>
      </w:tr>
      <w:tr>
        <w:trPr>
          <w:trHeight w:val="210"/>
        </w:trPr>
        <w:tc>
          <w:tcPr>
            <w:tcW w:w="3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99,078</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100,935</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92,977</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92,604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89,777</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35,520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37,142</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37,798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40,302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36,248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2,492</w:t>
            </w: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2,992</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1,617</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(115 )</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7,264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6,758</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5,293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5,554</w:t>
            </w:r>
          </w:p>
        </w:tc>
      </w:tr>
      <w:tr>
        <w:trPr>
          <w:trHeight w:val="21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w:t>
            </w: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11,100</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11,735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10,551</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33,888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32,452</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22,809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22,742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20,028</w:t>
            </w:r>
          </w:p>
        </w:tc>
      </w:tr>
      <w:tr>
        <w:trPr>
          <w:trHeight w:val="21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w:t>
            </w: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132</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r>
      <w:tr>
        <w:trPr>
          <w:trHeight w:val="210"/>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33,756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32,308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22,665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19,884</w:t>
            </w: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Earnings per Share:</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w:t>
            </w:r>
          </w:p>
        </w:tc>
      </w:tr>
      <w:tr>
        <w:trPr>
          <w:trHeight w:val="216"/>
        </w:trPr>
        <w:tc>
          <w:tcPr>
            <w:tcW w:w="3480" w:type="dxa"/>
            <w:vAlign w:val="bottom"/>
          </w:tcPr>
          <w:p>
            <w:pPr>
              <w:ind w:left="66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1.38</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1.22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480" w:type="dxa"/>
            <w:vAlign w:val="bottom"/>
          </w:tcPr>
          <w:p>
            <w:pPr>
              <w:ind w:left="66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16,685</w:t>
            </w:r>
          </w:p>
        </w:tc>
        <w:tc>
          <w:tcPr>
            <w:tcW w:w="3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16,384</w:t>
            </w: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16,330</w:t>
            </w:r>
          </w:p>
        </w:tc>
        <w:tc>
          <w:tcPr>
            <w:tcW w:w="3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16,270</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16,175</w:t>
            </w:r>
          </w:p>
        </w:tc>
      </w:tr>
      <w:tr>
        <w:trPr>
          <w:trHeight w:val="216"/>
        </w:trPr>
        <w:tc>
          <w:tcPr>
            <w:tcW w:w="3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16,829</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16,540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16,486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16,426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16,331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0.976</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0.911</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0.858</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0.808</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0.776</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909,878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767,830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661,140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620,161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581,383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1,354</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1,354</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1,356</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1,356</w:t>
            </w:r>
          </w:p>
        </w:tc>
      </w:tr>
      <w:tr>
        <w:trPr>
          <w:trHeight w:val="216"/>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230,777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152,851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139,045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134,538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132,908</w:t>
            </w: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of the Company’s historical results of operations and financial condition should be read in conjunction with the Company’s consolidated financial statements and related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Middlesex Water Company (Middlesex or the Company)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water and wastewater systems under contract for governmental entities and private entities in New Jersey, Delaware and Maryland and provide regulated wastewater services in New Jersey and Delaware through five subsidiaries. We are regulated by public utility commissions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Marsh) subsidiaries are not regulated public utilities as related to rates and services quality. All entities however, are subject to environmental regulation at the federal and state levels.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50,000 retail customers in New Castle, Kent and Sussex Counties, Delaware. Tidewater’s subsidiary, White Marsh, services approximately 1,700 customers in Kent and Sussex Counties, as well as portions of Maryland, through various operations and maintenance contracts.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3,700 retail customers in Sussex Counties, Delaware.</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10-year operations and maintenance contract expiring in 2022. In addition to performing day-to-day operations, USA is responsible for billing, collections, customer service, emergency response and management of capital projects funded by Avalon. Under a marketing agreement with HomeServe,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38" w:lineRule="exact"/>
        <w:rPr>
          <w:sz w:val="20"/>
          <w:szCs w:val="20"/>
          <w:color w:val="auto"/>
        </w:rPr>
      </w:pPr>
    </w:p>
    <w:p>
      <w:pPr>
        <w:ind w:right="860"/>
        <w:spacing w:after="0" w:line="459" w:lineRule="auto"/>
        <w:rPr>
          <w:sz w:val="20"/>
          <w:szCs w:val="20"/>
          <w:color w:val="auto"/>
        </w:rPr>
      </w:pPr>
      <w:r>
        <w:rPr>
          <w:rFonts w:ascii="Arial" w:cs="Arial" w:eastAsia="Arial" w:hAnsi="Arial"/>
          <w:sz w:val="18"/>
          <w:szCs w:val="18"/>
          <w:color w:val="auto"/>
        </w:rPr>
        <w:t xml:space="preserve">Our Pennsylvania subsidiary, Twin Lakes, provides water services to 115 retail customers in the Township of Shohola, Pike County, Pennsylvania. </w:t>
      </w:r>
      <w:r>
        <w:rPr>
          <w:rFonts w:ascii="Arial" w:cs="Arial" w:eastAsia="Arial" w:hAnsi="Arial"/>
          <w:sz w:val="18"/>
          <w:szCs w:val="18"/>
          <w:b w:val="1"/>
          <w:bCs w:val="1"/>
          <w:i w:val="1"/>
          <w:iCs w:val="1"/>
          <w:color w:val="auto"/>
        </w:rPr>
        <w:t>Recent Developments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Capital Construction Program - </w:t>
      </w:r>
      <w:r>
        <w:rPr>
          <w:rFonts w:ascii="Arial" w:cs="Arial" w:eastAsia="Arial" w:hAnsi="Arial"/>
          <w:sz w:val="16"/>
          <w:szCs w:val="16"/>
          <w:color w:val="auto"/>
        </w:rPr>
        <w:t>The Company’s multi-year capital construction program encompasses numerous projects designed to upgrade and replace</w:t>
      </w:r>
      <w:r>
        <w:rPr>
          <w:rFonts w:ascii="Arial" w:cs="Arial" w:eastAsia="Arial" w:hAnsi="Arial"/>
          <w:sz w:val="16"/>
          <w:szCs w:val="16"/>
          <w:b w:val="1"/>
          <w:bCs w:val="1"/>
          <w:color w:val="auto"/>
        </w:rPr>
        <w:t xml:space="preserve"> </w:t>
      </w:r>
      <w:r>
        <w:rPr>
          <w:rFonts w:ascii="Arial" w:cs="Arial" w:eastAsia="Arial" w:hAnsi="Arial"/>
          <w:sz w:val="16"/>
          <w:szCs w:val="16"/>
          <w:color w:val="auto"/>
        </w:rPr>
        <w:t>utility infrastructure as well as enhance the integrity and reliability of assets to better serve the current and future generations of water and wastewater customers. The Company plans to invest approximately $124 million in 2020 in connection with this plan for projects that include, but are not limited to:</w:t>
      </w:r>
    </w:p>
    <w:p>
      <w:pPr>
        <w:spacing w:after="0" w:line="42" w:lineRule="exact"/>
        <w:rPr>
          <w:sz w:val="20"/>
          <w:szCs w:val="20"/>
          <w:color w:val="auto"/>
        </w:rPr>
      </w:pPr>
    </w:p>
    <w:p>
      <w:pPr>
        <w:ind w:left="660" w:right="44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Enhanced treatment process at the Company’s largest water treatment plant in Edison, New Jersey, to mitigate the formation of disinfection by-products that can develop during the water treatment process;</w:t>
      </w:r>
    </w:p>
    <w:p>
      <w:pPr>
        <w:spacing w:after="0" w:line="26" w:lineRule="exact"/>
        <w:rPr>
          <w:rFonts w:ascii="Arial" w:cs="Arial" w:eastAsia="Arial" w:hAnsi="Arial"/>
          <w:sz w:val="27"/>
          <w:szCs w:val="27"/>
          <w:color w:val="auto"/>
        </w:rPr>
      </w:pPr>
    </w:p>
    <w:p>
      <w:pPr>
        <w:ind w:left="660" w:right="120" w:hanging="328"/>
        <w:spacing w:after="0" w:line="207"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Enhanced treatment processes at the Company’s primary wellfield in South Plainfield, New Jersey to comply with new more stringent water quality regulations and integrate surge mitigation along with revisions to corrosion control and chlorination;</w:t>
      </w:r>
    </w:p>
    <w:p>
      <w:pPr>
        <w:sectPr>
          <w:pgSz w:w="11900" w:h="16838" w:orient="portrait"/>
          <w:cols w:equalWidth="0" w:num="1">
            <w:col w:w="11420"/>
          </w:cols>
          <w:pgMar w:left="240" w:top="269" w:right="239" w:bottom="1440" w:gutter="0" w:footer="0" w:header="0"/>
        </w:sectPr>
      </w:pPr>
    </w:p>
    <w:p>
      <w:pPr>
        <w:ind w:left="340"/>
        <w:spacing w:after="0"/>
        <w:rPr>
          <w:sz w:val="20"/>
          <w:szCs w:val="20"/>
          <w:color w:val="auto"/>
        </w:rPr>
      </w:pPr>
      <w:r>
        <w:rPr>
          <w:rFonts w:ascii="Arial" w:cs="Arial" w:eastAsia="Arial" w:hAnsi="Arial"/>
          <w:sz w:val="22"/>
          <w:szCs w:val="22"/>
          <w:color w:val="auto"/>
        </w:rPr>
        <w: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Replacement of approximately six miles of water mains including service lines, valves, fire hydrants and meters in Edison and South Amboy, New Jersey;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a new replacement wastewater treatment plant to serve our customers in the Town of Milton, Delaware;</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113665</wp:posOffset>
            </wp:positionV>
            <wp:extent cx="72720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2">
            <w:col w:w="420" w:space="240"/>
            <w:col w:w="10760"/>
          </w:cols>
          <w:pgMar w:left="240" w:top="269"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20" w:lineRule="exact"/>
        <w:rPr>
          <w:sz w:val="20"/>
          <w:szCs w:val="20"/>
          <w:color w:val="auto"/>
        </w:rPr>
      </w:pPr>
    </w:p>
    <w:p>
      <w:pPr>
        <w:jc w:val="right"/>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Relocation of water meters from inside customers’ premises to exterior meter pits to allow more timely access by crews in emergencies, enhance customer safety and convenience and reduce non-revenue water;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Additional standby emergency power generation.</w:t>
      </w:r>
    </w:p>
    <w:p>
      <w:pPr>
        <w:spacing w:after="0" w:line="194" w:lineRule="exact"/>
        <w:rPr>
          <w:sz w:val="20"/>
          <w:szCs w:val="20"/>
          <w:color w:val="auto"/>
        </w:rPr>
      </w:pPr>
    </w:p>
    <w:p>
      <w:pPr>
        <w:sectPr>
          <w:pgSz w:w="11900" w:h="16838" w:orient="portrait"/>
          <w:cols w:equalWidth="0" w:num="2">
            <w:col w:w="420" w:space="240"/>
            <w:col w:w="10760"/>
          </w:cols>
          <w:pgMar w:left="240" w:top="269" w:right="239" w:bottom="1440" w:gutter="0" w:footer="0" w:header="0"/>
        </w:sect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Acquires Water Systems – </w:t>
      </w:r>
      <w:r>
        <w:rPr>
          <w:rFonts w:ascii="Arial" w:cs="Arial" w:eastAsia="Arial" w:hAnsi="Arial"/>
          <w:sz w:val="18"/>
          <w:szCs w:val="18"/>
          <w:color w:val="auto"/>
        </w:rPr>
        <w:t>In November 2019, Tidewater completed a $1.8 million Delaware Public Service Commission (DEPSC)-approved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the water utility assets of J.H. Wilkerson and Son, Inc. and transfer of the Certificate of Public Convenience and Necessity in order for Tidewater to serve the approximate 1,000 customers currently connected to eight community water systems located mostly in eastern Sussex County, Delaware. The DEPSC also authorized Tidewater to maintain the existing customer rates.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Common Stock Offering - </w:t>
      </w:r>
      <w:r>
        <w:rPr>
          <w:rFonts w:ascii="Arial" w:cs="Arial" w:eastAsia="Arial" w:hAnsi="Arial"/>
          <w:sz w:val="18"/>
          <w:szCs w:val="18"/>
          <w:color w:val="auto"/>
        </w:rPr>
        <w:t>In November 2019, the Company sold and issued 0.8 million shares of common stock in a public offering priced at $60.50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The net proceeds of $43.7 million were used for general corporate purposes including repayment of a portion of the Company’s outstanding short-term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for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ectPr>
          <w:pgSz w:w="11900" w:h="16838" w:orient="portrait"/>
          <w:cols w:equalWidth="0" w:num="1">
            <w:col w:w="11420"/>
          </w:cols>
          <w:pgMar w:left="240" w:top="269" w:right="2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ind w:right="3320"/>
        <w:spacing w:after="0" w:line="346" w:lineRule="auto"/>
        <w:rPr>
          <w:sz w:val="20"/>
          <w:szCs w:val="20"/>
          <w:color w:val="auto"/>
        </w:rPr>
      </w:pPr>
      <w:r>
        <w:rPr>
          <w:rFonts w:ascii="Arial" w:cs="Arial" w:eastAsia="Arial" w:hAnsi="Arial"/>
          <w:sz w:val="16"/>
          <w:szCs w:val="16"/>
          <w:color w:val="auto"/>
        </w:rPr>
        <w:t>Invest in projects, products and services that complement our core water and wastewater competencies; Timely and adequate recovery of infrastructure investments and other costs to maintain service quality; Prudent acquisitions of investor and municipally-owned water and wastewater utilities;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Operation of municipal and industrial water and wastewater systems on a contract basis which meet our risk profile.</w:t>
      </w:r>
    </w:p>
    <w:p>
      <w:pPr>
        <w:spacing w:after="0" w:line="194"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Rates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November 2019, Middlesex filed a petition with the New Jersey Board of Public Utilities (NJBPU) seeking approval to reset its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Water Adjustment Clause (PWAC) tariff rate currently in effect to recover additional costs of $0.5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2018, the NJBPU approved Middlesex’s petition to establish its PWAC tariff rate to recover additional annual costs of less than $0.1 million, primarily for the purchase of treated water from a non-affiliated water utility. The PWAC tariff rate became effective on January 1, 2019.</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2020, Tidewater increased its DEPSC-approved Distribution System Improvement Charge (DSIC) rate, which is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revenues of approximately $0.5 million annually. A DSIC is a rate-mechanism that allows water utilities to recover investments in, and generate a return on, qualifying capital improvements made between base rate proceedings.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(the Tax Act), resulting in a 3.35% rate decrease for certain customer classes.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Pinelands - </w:t>
      </w:r>
      <w:r>
        <w:rPr>
          <w:rFonts w:ascii="Arial" w:cs="Arial" w:eastAsia="Arial" w:hAnsi="Arial"/>
          <w:sz w:val="18"/>
          <w:szCs w:val="18"/>
          <w:color w:val="auto"/>
        </w:rPr>
        <w:t>In October 2019, Pinelands Water and Pinelands Wastewater concluded their base rate case matters when the NJBPU approved a negotiated</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amongst the parties for a $0.5 million increase in annual base rates, effective November 4, 2019. In March 2019, Pinelands had filed their petitions seeking permission to increase base rates by approximately $0.7 million per year. The requests were necessitated by capital infrastructure investments both companies had made, and increased operations and maintenance costs.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Twin Lakes - </w:t>
      </w:r>
      <w:r>
        <w:rPr>
          <w:rFonts w:ascii="Arial" w:cs="Arial" w:eastAsia="Arial" w:hAnsi="Arial"/>
          <w:sz w:val="18"/>
          <w:szCs w:val="18"/>
          <w:color w:val="auto"/>
        </w:rPr>
        <w:t>In July 2019, Twin Lakes filed a petition with the Pennsylvania Public Utilities Commission (PAPUC) seeking permission to increase base</w:t>
      </w:r>
      <w:r>
        <w:rPr>
          <w:rFonts w:ascii="Arial" w:cs="Arial" w:eastAsia="Arial" w:hAnsi="Arial"/>
          <w:sz w:val="18"/>
          <w:szCs w:val="18"/>
          <w:b w:val="1"/>
          <w:bCs w:val="1"/>
          <w:color w:val="auto"/>
        </w:rPr>
        <w:t xml:space="preserve"> </w:t>
      </w:r>
      <w:r>
        <w:rPr>
          <w:rFonts w:ascii="Arial" w:cs="Arial" w:eastAsia="Arial" w:hAnsi="Arial"/>
          <w:sz w:val="18"/>
          <w:szCs w:val="18"/>
          <w:color w:val="auto"/>
        </w:rPr>
        <w:t>rates by approximately $0.2 million per year. This request was necessitated by capital infrastructure investments Twin Lakes has made and increased operations and maintenance costs. The matter has been fully litigated and is subject to a decision by an Administrative Law Judge (ALJ). We cannot predict what decision the ALJ will render or whether the PAPUC will ultimately approve or deny in part or its entirety the ALJ decision. A decision by the PAPUC is not expected before March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Weather patterns over the last three years in our service territories, which resulted in lower customer demand for water, may reoccur in 2020. As operating costs are anticipated to increase in 2020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2020 is expected to be consistent with that experienced in recent years.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projected to spend approximately $295 million on its 2020-2022 capital investment program, including approximately $53 million for the upgrade of Middlesex’s main water treatment plant in New Jersey, $34 million on our RENEW Program, our ongoing initiative to eliminate unlined mains in the Middlesex System, $25 million for wellfield upgrades in the Middlesex System, $13 million for construction of a new replacement wastewater treatment plant in Milton, Delaware and $13 million to relocate water meters from inside customers’ premises to exterior meter pits in our Middlesex system.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by Segment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operating segments, Regulated and Non-Regulated. Our Regulated segment contributed approximately 91%, 88% and 88% of total revenues for the years ended December 31, 2019, 2018 and 2017, respectively and approximately 93%, 93% and 94% of net income for the years ended December 31, 2019, 2018 and 2017, respectively. The discussion of the Company’s results of operations is on a consolidated basis and includes significant factors by subsidiary. The segments in the tables included below are comprised of the following companies: Regulated- Middlesex, Tidewater, Pinelands, Southern Shores, TESI and Twin Lakes; Non-Regulated- USA, USA-PA, and White Marsh.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gridSpan w:val="7"/>
          </w:tcPr>
          <w:p>
            <w:pPr>
              <w:spacing w:after="0"/>
              <w:rPr>
                <w:sz w:val="20"/>
                <w:szCs w:val="20"/>
                <w:color w:val="auto"/>
              </w:rPr>
            </w:pPr>
            <w:r>
              <w:rPr>
                <w:rFonts w:ascii="Arial" w:cs="Arial" w:eastAsia="Arial" w:hAnsi="Arial"/>
                <w:sz w:val="18"/>
                <w:szCs w:val="18"/>
                <w:b w:val="1"/>
                <w:bCs w:val="1"/>
                <w:color w:val="auto"/>
                <w:w w:val="98"/>
              </w:rPr>
              <w:t>Results of Operations for 2019 as Compared to 2018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(In Millions)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8"/>
                <w:szCs w:val="18"/>
                <w:color w:val="auto"/>
                <w:w w:val="90"/>
              </w:rPr>
              <w:t>Years Ended December 31,</w:t>
            </w:r>
          </w:p>
        </w:tc>
        <w:tc>
          <w:tcPr>
            <w:tcW w:w="200" w:type="dxa"/>
            <w:vAlign w:val="bottom"/>
          </w:tcPr>
          <w:p>
            <w:pPr>
              <w:spacing w:after="0"/>
              <w:rPr>
                <w:sz w:val="20"/>
                <w:szCs w:val="20"/>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Non-Regulated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Regulated</w:t>
            </w: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Non-Regulated</w:t>
            </w:r>
          </w:p>
        </w:tc>
        <w:tc>
          <w:tcPr>
            <w:tcW w:w="2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0"/>
              </w:rPr>
              <w:t>Operations and maintenance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(0.1 )</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31.6</w:t>
            </w:r>
          </w:p>
        </w:tc>
        <w:tc>
          <w:tcPr>
            <w:tcW w:w="3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33.9</w:t>
            </w:r>
          </w:p>
        </w:tc>
        <w:tc>
          <w:tcPr>
            <w:tcW w:w="3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revenues for the year ended December 31, 2019 decreased $3.5 million from the same period in 2018. This decrease was related to the following factors:</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Middlesex System total revenues remained consistent with the same period in 2018 due to the following:</w:t>
      </w:r>
    </w:p>
    <w:p>
      <w:pPr>
        <w:spacing w:after="0" w:line="28" w:lineRule="exact"/>
        <w:rPr>
          <w:rFonts w:ascii="Arial" w:cs="Arial" w:eastAsia="Arial" w:hAnsi="Arial"/>
          <w:sz w:val="27"/>
          <w:szCs w:val="27"/>
          <w:color w:val="auto"/>
        </w:rPr>
      </w:pPr>
    </w:p>
    <w:p>
      <w:pPr>
        <w:ind w:left="980" w:right="120" w:hanging="324"/>
        <w:spacing w:after="0" w:line="204" w:lineRule="auto"/>
        <w:rPr>
          <w:rFonts w:ascii="Arial" w:cs="Arial" w:eastAsia="Arial" w:hAnsi="Arial"/>
          <w:sz w:val="27"/>
          <w:szCs w:val="27"/>
          <w:color w:val="auto"/>
        </w:rPr>
      </w:pPr>
      <w:r>
        <w:rPr>
          <w:rFonts w:ascii="Arial" w:cs="Arial" w:eastAsia="Arial" w:hAnsi="Arial"/>
          <w:sz w:val="22"/>
          <w:szCs w:val="22"/>
          <w:color w:val="auto"/>
        </w:rPr>
        <w:t xml:space="preserve">o </w:t>
      </w:r>
      <w:r>
        <w:rPr>
          <w:rFonts w:ascii="Arial" w:cs="Arial" w:eastAsia="Arial" w:hAnsi="Arial"/>
          <w:sz w:val="18"/>
          <w:szCs w:val="18"/>
          <w:color w:val="auto"/>
        </w:rPr>
        <w:t>Reduced water consumption related to lower demand from our industrial and contract customers, resulting in reduced revenues of $1.2 million;</w:t>
      </w:r>
      <w:r>
        <w:rPr>
          <w:rFonts w:ascii="Arial" w:cs="Arial" w:eastAsia="Arial" w:hAnsi="Arial"/>
          <w:sz w:val="22"/>
          <w:szCs w:val="22"/>
          <w:color w:val="auto"/>
        </w:rPr>
        <w:t xml:space="preserve"> </w:t>
      </w:r>
      <w:r>
        <w:rPr>
          <w:rFonts w:ascii="Arial" w:cs="Arial" w:eastAsia="Arial" w:hAnsi="Arial"/>
          <w:sz w:val="18"/>
          <w:szCs w:val="18"/>
          <w:color w:val="auto"/>
        </w:rPr>
        <w:t>and</w:t>
      </w:r>
    </w:p>
    <w:p>
      <w:pPr>
        <w:ind w:left="660"/>
        <w:spacing w:after="0"/>
        <w:rPr>
          <w:rFonts w:ascii="Arial" w:cs="Arial" w:eastAsia="Arial" w:hAnsi="Arial"/>
          <w:sz w:val="27"/>
          <w:szCs w:val="27"/>
          <w:color w:val="auto"/>
        </w:rPr>
      </w:pPr>
      <w:r>
        <w:rPr>
          <w:rFonts w:ascii="Arial" w:cs="Arial" w:eastAsia="Arial" w:hAnsi="Arial"/>
          <w:sz w:val="22"/>
          <w:szCs w:val="22"/>
          <w:color w:val="auto"/>
        </w:rPr>
        <w:t xml:space="preserve">o  </w:t>
      </w:r>
      <w:r>
        <w:rPr>
          <w:rFonts w:ascii="Arial" w:cs="Arial" w:eastAsia="Arial" w:hAnsi="Arial"/>
          <w:sz w:val="18"/>
          <w:szCs w:val="18"/>
          <w:color w:val="auto"/>
        </w:rPr>
        <w:t>Effective April 1, 2018, a NJBPU-approved base rate increase resulted in higher revenues of $1.2 million;</w:t>
      </w:r>
    </w:p>
    <w:p>
      <w:pPr>
        <w:spacing w:after="0" w:line="16" w:lineRule="exact"/>
        <w:rPr>
          <w:rFonts w:ascii="Arial" w:cs="Arial" w:eastAsia="Arial" w:hAnsi="Arial"/>
          <w:sz w:val="27"/>
          <w:szCs w:val="27"/>
          <w:color w:val="auto"/>
        </w:rPr>
      </w:pPr>
    </w:p>
    <w:p>
      <w:pPr>
        <w:ind w:left="660" w:right="120" w:hanging="328"/>
        <w:spacing w:after="0" w:line="219"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Tidewater System revenues increased $1.0 million primarily due to additional customers, which was mitigated by reduced base tariff rates. The reduction in base rates was approved by the DEPSC and became effective March 1, 2019, and was prompted by the lower corporate income tax rate enacted under the Tax Act. There is a corresponding decrease in income tax expense; and</w:t>
      </w:r>
    </w:p>
    <w:p>
      <w:pPr>
        <w:spacing w:after="0" w:line="41" w:lineRule="exact"/>
        <w:rPr>
          <w:rFonts w:ascii="Arial" w:cs="Arial" w:eastAsia="Arial" w:hAnsi="Arial"/>
          <w:sz w:val="27"/>
          <w:szCs w:val="27"/>
          <w:color w:val="auto"/>
        </w:rPr>
      </w:pPr>
    </w:p>
    <w:p>
      <w:pPr>
        <w:ind w:left="660" w:right="160" w:hanging="328"/>
        <w:spacing w:after="0" w:line="254"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Non-regulated revenues decreased $4.6 million, primarily due to changes resulting from USA-PA’s new 10-year contract with Perth Amboy. Under the new contract, effective January 1, 2019, USA-PA has direct management control for wastewater services, for which USA-PA is compensated. Under the prior contract, USA-PA utilized, and was compensated for, subcontracted wastewater services. Elimination of these subcontracted wastewater services resulted in a related decrease in operations and maintenance expense along with an increase in operating margin; and</w:t>
      </w:r>
    </w:p>
    <w:p>
      <w:pPr>
        <w:spacing w:after="0" w:line="2" w:lineRule="exact"/>
        <w:rPr>
          <w:rFonts w:ascii="Arial" w:cs="Arial" w:eastAsia="Arial" w:hAnsi="Arial"/>
          <w:sz w:val="24"/>
          <w:szCs w:val="24"/>
          <w:color w:val="auto"/>
        </w:rPr>
      </w:pPr>
    </w:p>
    <w:p>
      <w:pPr>
        <w:ind w:left="660" w:hanging="328"/>
        <w:spacing w:after="0" w:line="20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All other operating revenue categories increased $0.1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year ended December 31, 2019 decreased $3.6 million from the same period in 2018, primarily related to the following factors:</w:t>
      </w:r>
    </w:p>
    <w:p>
      <w:pPr>
        <w:sectPr>
          <w:pgSz w:w="11900" w:h="16838" w:orient="portrait"/>
          <w:cols w:equalWidth="0" w:num="1">
            <w:col w:w="11420"/>
          </w:cols>
          <w:pgMar w:left="240" w:top="262" w:right="239" w:bottom="1440" w:gutter="0" w:footer="0" w:header="0"/>
        </w:sectPr>
      </w:pPr>
    </w:p>
    <w:p>
      <w:pPr>
        <w:spacing w:after="0" w:line="15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Operation and maintenance expenses in our non-regulated subsidiaries decreased $5.2 million, primarily due to our new Perth Amboy operating contract, effective January 1, 2019, under which USA-PA no longer incurs sub-contractor fees for wastewater services. This results in a related decrease in operating revenues along with an increase in operating margin;</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Retirement benefit plan expenses decreased $0.4 million primarily due to lower actuarially-determined retirement benefit plan service expense;</w:t>
      </w:r>
    </w:p>
    <w:p>
      <w:pPr>
        <w:spacing w:after="0" w:line="221"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113665</wp:posOffset>
            </wp:positionV>
            <wp:extent cx="727202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2">
            <w:col w:w="420" w:space="240"/>
            <w:col w:w="10760"/>
          </w:cols>
          <w:pgMar w:left="240" w:top="262" w:right="239" w:bottom="1440" w:gutter="0" w:footer="0" w:header="0"/>
          <w:type w:val="continuous"/>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Index</w:t>
        </w:r>
      </w:hyperlink>
    </w:p>
    <w:p>
      <w:pPr>
        <w:sectPr>
          <w:pgSz w:w="11900" w:h="16838" w:orient="portrait"/>
          <w:cols w:equalWidth="0" w:num="1">
            <w:col w:w="11420"/>
          </w:cols>
          <w:pgMar w:left="240" w:top="269" w:right="2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0"/>
        <w:spacing w:after="0" w:line="340" w:lineRule="auto"/>
        <w:rPr>
          <w:sz w:val="20"/>
          <w:szCs w:val="20"/>
          <w:color w:val="auto"/>
        </w:rPr>
      </w:pPr>
      <w:r>
        <w:rPr>
          <w:rFonts w:ascii="Arial" w:cs="Arial" w:eastAsia="Arial" w:hAnsi="Arial"/>
          <w:sz w:val="18"/>
          <w:szCs w:val="18"/>
          <w:color w:val="auto"/>
        </w:rPr>
        <w:t>Labor costs increased $2.1 million due to increased headcount, increased average labor rates and payments relative to certain retiring employees; and All other operation and maintenance expense categories decreased $0.1 million.</w:t>
      </w:r>
    </w:p>
    <w:p>
      <w:pPr>
        <w:spacing w:after="0" w:line="62"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2019 increased $1.7 million from the same period in 2018 due to a higher level of utility plant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2019 increased $0.1 million from the same period in 2018 primarily due to higher payroll taxes offset by lower revenue related taxes on lower revenues in our Middlesex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for the year ended December 31, 2019 decreased $0.5 million from the same period in 2018, primarily due to higher actuarially-determined retirement benefit plan non-service expense, White Marsh contract compliance costs, TESI business development costs and the sale of wastewater franchise rights by our TESI subsidiary in 2018. These decreases were partially offset by higher Allowance for Funds Used During Construction resulting from a higher level of capital construction projects in progress.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charges for the year ended December 31, 2019 increased $0.5 million from the same period in 2018 due to higher average short-term and long-term debt outstanding in 2019 as compared to 2018 partially offset by lower interest associated with IRS examinations of the Company’s federal income tax returns.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for year ended December 31, 2019 decreased $4.1 million from the same period in 2018, primarily due to lower pre-tax income and the regulatory accounting treatment of tax benefits associated with the adoption of the tangible property regulations, prescribed by the IRS, which was approved in Middlesex’s 2018 base rate case decision. In addition, Tidewater’s effective income tax rate was decreased in March 2019, reflecting the rate reduction approved by the DEPSC to reflect the lower corporate income tax rate resulting from implementation of the Tax Act. This has resulted in a corresponding decrease in operating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year ended December 31, 2019 increased $1.4 million as compared with the same period in 2018. Basic earnings per share were $2.02 and $1.97 for the years ended December 31, 2019 and 2018, respectively. Diluted earnings per share were $2.01 and $1.96 for the years ended December 31, 2019 and 2018,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gridSpan w:val="7"/>
          </w:tcPr>
          <w:p>
            <w:pPr>
              <w:spacing w:after="0"/>
              <w:rPr>
                <w:sz w:val="20"/>
                <w:szCs w:val="20"/>
                <w:color w:val="auto"/>
              </w:rPr>
            </w:pPr>
            <w:r>
              <w:rPr>
                <w:rFonts w:ascii="Arial" w:cs="Arial" w:eastAsia="Arial" w:hAnsi="Arial"/>
                <w:sz w:val="18"/>
                <w:szCs w:val="18"/>
                <w:b w:val="1"/>
                <w:bCs w:val="1"/>
                <w:color w:val="auto"/>
                <w:w w:val="98"/>
              </w:rPr>
              <w:t>Results of Operations for 2018 as Compared to 2017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ind w:left="450"/>
              <w:spacing w:after="0"/>
              <w:rPr>
                <w:sz w:val="20"/>
                <w:szCs w:val="20"/>
                <w:color w:val="auto"/>
              </w:rPr>
            </w:pPr>
            <w:r>
              <w:rPr>
                <w:rFonts w:ascii="Arial" w:cs="Arial" w:eastAsia="Arial" w:hAnsi="Arial"/>
                <w:sz w:val="18"/>
                <w:szCs w:val="18"/>
                <w:color w:val="auto"/>
                <w:w w:val="99"/>
              </w:rPr>
              <w:t>(In Millions)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center"/>
              <w:ind w:right="700"/>
              <w:spacing w:after="0"/>
              <w:rPr>
                <w:sz w:val="20"/>
                <w:szCs w:val="20"/>
                <w:color w:val="auto"/>
              </w:rPr>
            </w:pPr>
            <w:r>
              <w:rPr>
                <w:rFonts w:ascii="Arial" w:cs="Arial" w:eastAsia="Arial" w:hAnsi="Arial"/>
                <w:sz w:val="18"/>
                <w:szCs w:val="18"/>
                <w:color w:val="auto"/>
                <w:w w:val="88"/>
              </w:rPr>
              <w:t>Years Ended December 31,</w:t>
            </w:r>
          </w:p>
        </w:tc>
        <w:tc>
          <w:tcPr>
            <w:tcW w:w="200" w:type="dxa"/>
            <w:vAlign w:val="bottom"/>
          </w:tcPr>
          <w:p>
            <w:pPr>
              <w:spacing w:after="0"/>
              <w:rPr>
                <w:sz w:val="20"/>
                <w:szCs w:val="20"/>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Non-Regulated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Regulated</w:t>
            </w: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Non-Regulated</w:t>
            </w:r>
          </w:p>
        </w:tc>
        <w:tc>
          <w:tcPr>
            <w:tcW w:w="20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0"/>
              </w:rPr>
              <w:t>Operations and maintenance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30.5</w:t>
            </w:r>
          </w:p>
        </w:tc>
        <w:tc>
          <w:tcPr>
            <w:tcW w:w="3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32.5</w:t>
            </w:r>
          </w:p>
        </w:tc>
        <w:tc>
          <w:tcPr>
            <w:tcW w:w="3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revenues for the year ended December 31, 2018 increased $7.3 million from the same period in 2017. This increase was related to the following factors:</w:t>
      </w:r>
    </w:p>
    <w:p>
      <w:pPr>
        <w:spacing w:after="0" w:line="1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Middlesex System revenues increased $4.9 million due to the following:</w:t>
      </w:r>
    </w:p>
    <w:p>
      <w:pPr>
        <w:spacing w:after="0" w:line="28" w:lineRule="exact"/>
        <w:rPr>
          <w:rFonts w:ascii="Arial" w:cs="Arial" w:eastAsia="Arial" w:hAnsi="Arial"/>
          <w:sz w:val="27"/>
          <w:szCs w:val="27"/>
          <w:color w:val="auto"/>
        </w:rPr>
      </w:pPr>
    </w:p>
    <w:p>
      <w:pPr>
        <w:ind w:left="660" w:right="2800"/>
        <w:spacing w:after="0" w:line="221" w:lineRule="auto"/>
        <w:rPr>
          <w:rFonts w:ascii="Arial" w:cs="Arial" w:eastAsia="Arial" w:hAnsi="Arial"/>
          <w:sz w:val="27"/>
          <w:szCs w:val="27"/>
          <w:color w:val="auto"/>
        </w:rPr>
      </w:pPr>
      <w:r>
        <w:rPr>
          <w:rFonts w:ascii="Arial" w:cs="Arial" w:eastAsia="Arial" w:hAnsi="Arial"/>
          <w:sz w:val="22"/>
          <w:szCs w:val="22"/>
          <w:color w:val="auto"/>
        </w:rPr>
        <w:t xml:space="preserve">o </w:t>
      </w:r>
      <w:r>
        <w:rPr>
          <w:rFonts w:ascii="Arial" w:cs="Arial" w:eastAsia="Arial" w:hAnsi="Arial"/>
          <w:sz w:val="18"/>
          <w:szCs w:val="18"/>
          <w:color w:val="auto"/>
        </w:rPr>
        <w:t>Effective April 1, 2018, a NJBPU-approved base rate increase resulted in higher revenues of $4.3 million;</w:t>
      </w:r>
      <w:r>
        <w:rPr>
          <w:rFonts w:ascii="Arial" w:cs="Arial" w:eastAsia="Arial" w:hAnsi="Arial"/>
          <w:sz w:val="22"/>
          <w:szCs w:val="22"/>
          <w:color w:val="auto"/>
        </w:rPr>
        <w:t xml:space="preserve"> o </w:t>
      </w:r>
      <w:r>
        <w:rPr>
          <w:rFonts w:ascii="Arial" w:cs="Arial" w:eastAsia="Arial" w:hAnsi="Arial"/>
          <w:sz w:val="18"/>
          <w:szCs w:val="18"/>
          <w:color w:val="auto"/>
        </w:rPr>
        <w:t>Higher water demand from Contract customers of $0.6 million;</w:t>
      </w:r>
    </w:p>
    <w:p>
      <w:pPr>
        <w:spacing w:after="0" w:line="1" w:lineRule="exact"/>
        <w:rPr>
          <w:rFonts w:ascii="Arial" w:cs="Arial" w:eastAsia="Arial" w:hAnsi="Arial"/>
          <w:sz w:val="27"/>
          <w:szCs w:val="27"/>
          <w:color w:val="auto"/>
        </w:rPr>
      </w:pPr>
    </w:p>
    <w:p>
      <w:pPr>
        <w:ind w:left="660" w:hanging="328"/>
        <w:spacing w:after="0" w:line="190"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Tidewater System revenues increased $1.4 million due to additional customers;</w:t>
      </w:r>
    </w:p>
    <w:p>
      <w:pPr>
        <w:spacing w:after="0" w:line="56" w:lineRule="exact"/>
        <w:rPr>
          <w:rFonts w:ascii="Arial" w:cs="Arial" w:eastAsia="Arial" w:hAnsi="Arial"/>
          <w:sz w:val="27"/>
          <w:szCs w:val="27"/>
          <w:color w:val="auto"/>
        </w:rPr>
      </w:pPr>
    </w:p>
    <w:p>
      <w:pPr>
        <w:ind w:left="660" w:right="540" w:hanging="328"/>
        <w:spacing w:after="0" w:line="199"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Non-Regulated revenues rose by $0.9 million as White Marsh increased the number of contracts to operate water and wastewater systems and increased the level of supplemental services to existing customers under contract.;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All other operating revenue categories increased $0.1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2018 increased $6.1 million from the same period in 2017, primarily related to the following factors:</w:t>
      </w:r>
    </w:p>
    <w:p>
      <w:pPr>
        <w:spacing w:after="0" w:line="211" w:lineRule="exact"/>
        <w:rPr>
          <w:sz w:val="20"/>
          <w:szCs w:val="20"/>
          <w:color w:val="auto"/>
        </w:rPr>
      </w:pPr>
    </w:p>
    <w:p>
      <w:pPr>
        <w:ind w:left="660" w:right="140" w:hanging="328"/>
        <w:spacing w:after="0" w:line="207"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Variable production costs increased $1.2 million due to increased volumes and higher rates paid for purchased water and higher treatment costs due to weather-impacted changes in raw water quality;</w:t>
      </w:r>
    </w:p>
    <w:p>
      <w:pPr>
        <w:spacing w:after="0" w:line="26" w:lineRule="exact"/>
        <w:rPr>
          <w:rFonts w:ascii="Arial" w:cs="Arial" w:eastAsia="Arial" w:hAnsi="Arial"/>
          <w:sz w:val="27"/>
          <w:szCs w:val="27"/>
          <w:color w:val="auto"/>
        </w:rPr>
      </w:pPr>
    </w:p>
    <w:p>
      <w:pPr>
        <w:ind w:left="660" w:right="960" w:hanging="328"/>
        <w:spacing w:after="0" w:line="207"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Labor costs rose $1.5 million due to increases in headcount for regulatory and other operational needs, wage increases overall averaging approximately 3% and overtime costs for weather related water main break activity;</w:t>
      </w:r>
    </w:p>
    <w:p>
      <w:pPr>
        <w:ind w:left="660" w:hanging="328"/>
        <w:spacing w:after="0" w:line="208"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Employee healthcare and business liability insurance costs increased $0.9 million due to higher net policy premiums;</w:t>
      </w:r>
    </w:p>
    <w:p>
      <w:pPr>
        <w:spacing w:after="0" w:line="54" w:lineRule="exact"/>
        <w:rPr>
          <w:rFonts w:ascii="Arial" w:cs="Arial" w:eastAsia="Arial" w:hAnsi="Arial"/>
          <w:sz w:val="27"/>
          <w:szCs w:val="27"/>
          <w:color w:val="auto"/>
        </w:rPr>
      </w:pPr>
    </w:p>
    <w:p>
      <w:pPr>
        <w:ind w:left="660" w:hanging="328"/>
        <w:spacing w:after="0" w:line="181" w:lineRule="auto"/>
        <w:tabs>
          <w:tab w:leader="none" w:pos="660" w:val="left"/>
        </w:tabs>
        <w:numPr>
          <w:ilvl w:val="0"/>
          <w:numId w:val="11"/>
        </w:numPr>
        <w:rPr>
          <w:rFonts w:ascii="Arial" w:cs="Arial" w:eastAsia="Arial" w:hAnsi="Arial"/>
          <w:sz w:val="25"/>
          <w:szCs w:val="25"/>
          <w:color w:val="auto"/>
        </w:rPr>
      </w:pPr>
      <w:r>
        <w:rPr>
          <w:rFonts w:ascii="Arial" w:cs="Arial" w:eastAsia="Arial" w:hAnsi="Arial"/>
          <w:sz w:val="17"/>
          <w:szCs w:val="17"/>
          <w:color w:val="auto"/>
        </w:rPr>
        <w:t>Higher employee retirement related incentive compensation costs of $0.4 million;</w:t>
      </w:r>
    </w:p>
    <w:p>
      <w:pPr>
        <w:spacing w:after="0" w:line="42" w:lineRule="exact"/>
        <w:rPr>
          <w:rFonts w:ascii="Arial" w:cs="Arial" w:eastAsia="Arial" w:hAnsi="Arial"/>
          <w:sz w:val="25"/>
          <w:szCs w:val="25"/>
          <w:color w:val="auto"/>
        </w:rPr>
      </w:pPr>
    </w:p>
    <w:p>
      <w:pPr>
        <w:ind w:left="660" w:right="640" w:hanging="328"/>
        <w:spacing w:after="0" w:line="199"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Higher rent expense of $0.4 million due to an increase in the square footage of commercial office space under lease to accommodate various operational and administrative needs;</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color w:val="auto"/>
        </w:rPr>
        <w:t>Compliance with the State of New Jersey Water Quality Accountability Act increased regulatory related costs by $0.3 million;</w:t>
      </w:r>
    </w:p>
    <w:p>
      <w:pPr>
        <w:spacing w:after="0" w:line="54" w:lineRule="exact"/>
        <w:rPr>
          <w:rFonts w:ascii="Arial" w:cs="Arial" w:eastAsia="Arial" w:hAnsi="Arial"/>
          <w:sz w:val="27"/>
          <w:szCs w:val="27"/>
          <w:color w:val="auto"/>
        </w:rPr>
      </w:pPr>
    </w:p>
    <w:p>
      <w:pPr>
        <w:ind w:left="660" w:hanging="328"/>
        <w:spacing w:after="0" w:line="181" w:lineRule="auto"/>
        <w:tabs>
          <w:tab w:leader="none" w:pos="660" w:val="left"/>
        </w:tabs>
        <w:numPr>
          <w:ilvl w:val="0"/>
          <w:numId w:val="11"/>
        </w:numPr>
        <w:rPr>
          <w:rFonts w:ascii="Arial" w:cs="Arial" w:eastAsia="Arial" w:hAnsi="Arial"/>
          <w:sz w:val="25"/>
          <w:szCs w:val="25"/>
          <w:color w:val="auto"/>
        </w:rPr>
      </w:pPr>
      <w:r>
        <w:rPr>
          <w:rFonts w:ascii="Arial" w:cs="Arial" w:eastAsia="Arial" w:hAnsi="Arial"/>
          <w:sz w:val="17"/>
          <w:szCs w:val="17"/>
          <w:color w:val="auto"/>
        </w:rPr>
        <w:t>Transportation expenses increased $0.3 million due to higher fuel prices;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Index</w:t>
        </w:r>
      </w:hyperlink>
    </w:p>
    <w:p>
      <w:pPr>
        <w:sectPr>
          <w:pgSz w:w="11900" w:h="16838" w:orient="portrait"/>
          <w:cols w:equalWidth="0" w:num="1">
            <w:col w:w="11420"/>
          </w:cols>
          <w:pgMar w:left="240" w:top="269" w:right="2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060"/>
        <w:spacing w:after="0" w:line="305" w:lineRule="auto"/>
        <w:rPr>
          <w:sz w:val="20"/>
          <w:szCs w:val="20"/>
          <w:color w:val="auto"/>
        </w:rPr>
      </w:pPr>
      <w:r>
        <w:rPr>
          <w:rFonts w:ascii="Arial" w:cs="Arial" w:eastAsia="Arial" w:hAnsi="Arial"/>
          <w:sz w:val="18"/>
          <w:szCs w:val="18"/>
          <w:color w:val="auto"/>
        </w:rPr>
        <w:t>Higher weather-related water main break repair activity in our Middlesex system resulted in additional $0.3 million of non-labor costs; Higher information technology costs of $0.2 million due to increased licensing fees;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other operation and maintenance expense categories increased $0.6 million.</w:t>
      </w:r>
    </w:p>
    <w:p>
      <w:pPr>
        <w:spacing w:after="0" w:line="171"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2018 increased $1.1 million from the same period in 2017 due to a higher level of utility plant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2018 increased $0.8 million from the same period in 2017 primarily due to higher revenue related taxes on increased revenues in our Middlesex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net for the year ended December 31, 2018 increased $1.4 million from the same period in 2017 primarily due to higher Allowance for Funds Used During Construction resulting from a higher level of capital projects in progress, higher actuarially-determined retirement benefit plan non-service credits and the sale of wastewater franchise rights by our TESI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charges for the year ended December 31, 2018 increased $1.3 million from the same period in 2017 due to higher average amounts of total debt outstanding, increased short-term debt interest rates and accrued interest associated with the IRS examination of the Company’s 2014 federal income tax return.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for the year ended December 31, 2018 decreased $10.2 million from the same period in 2017, primarily due to regulatory accounting treatment of tangible property regulations tax deductions, which were approved in Middlesex’s most recent base rate case and a lower effective tax rate resulting from the Tax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year ended December 31, 2018 increased $9.6 million as compared with the same period in 2017. Basic earnings per share were $1.97 and $1.39 for the years ended December 31, 2018 and 2017, respectively. Diluted earnings per share were $1.96 and $1.38 for the years ended December 31, 2018 and 2017,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2019, cash flows from operating activities decreased $9.8 million to $36.1 million. The majority of the decrease resulted from higher income tax and interest payments. Utility plant expenditures for the period were primarily funded by financing activities.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2019, cash flows used in investing activities increased $17.0 million to $89.1 million, which was attributable to higher utility plant expenditures.</w:t>
      </w:r>
    </w:p>
    <w:p>
      <w:pPr>
        <w:spacing w:after="0" w:line="157" w:lineRule="exact"/>
        <w:rPr>
          <w:sz w:val="20"/>
          <w:szCs w:val="20"/>
          <w:color w:val="auto"/>
        </w:rPr>
      </w:pPr>
    </w:p>
    <w:p>
      <w:pPr>
        <w:ind w:right="380"/>
        <w:spacing w:after="0" w:line="461" w:lineRule="auto"/>
        <w:rPr>
          <w:sz w:val="20"/>
          <w:szCs w:val="20"/>
          <w:color w:val="auto"/>
        </w:rPr>
      </w:pPr>
      <w:r>
        <w:rPr>
          <w:rFonts w:ascii="Arial" w:cs="Arial" w:eastAsia="Arial" w:hAnsi="Arial"/>
          <w:sz w:val="18"/>
          <w:szCs w:val="18"/>
          <w:color w:val="auto"/>
        </w:rPr>
        <w:t xml:space="preserve">For further discussion on the Company’s future capital expenditures and expected funding sources, see </w:t>
      </w: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xml:space="preserve"> below. </w:t>
      </w:r>
      <w:r>
        <w:rPr>
          <w:rFonts w:ascii="Arial" w:cs="Arial" w:eastAsia="Arial" w:hAnsi="Arial"/>
          <w:sz w:val="18"/>
          <w:szCs w:val="18"/>
          <w:b w:val="1"/>
          <w:bCs w:val="1"/>
          <w:i w:val="1"/>
          <w:iCs w:val="1"/>
          <w:color w:val="auto"/>
        </w:rPr>
        <w:t>Cash Flows from Financing Activities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cash flows provided by financing activities increased $68.4 million to $93.9 million. The majority of the increase in cash flows provided by financing activities is due to the net increase in long-term debt funding, Middlesex’s November 2019 common stock offering and increased proceeds from the issuance of common stock under the Middlesex Water Company Investment Plan (the Investment Plan), which was partially offset by a reduction in the Company’s short-term debt balances.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on the Company’s short-term and long-term debt, see </w:t>
      </w:r>
      <w:r>
        <w:rPr>
          <w:rFonts w:ascii="Arial" w:cs="Arial" w:eastAsia="Arial" w:hAnsi="Arial"/>
          <w:sz w:val="18"/>
          <w:szCs w:val="18"/>
          <w:i w:val="1"/>
          <w:iCs w:val="1"/>
          <w:color w:val="auto"/>
        </w:rPr>
        <w:t>“Sources of Liquidity”</w:t>
      </w:r>
      <w:r>
        <w:rPr>
          <w:rFonts w:ascii="Arial" w:cs="Arial" w:eastAsia="Arial" w:hAnsi="Arial"/>
          <w:sz w:val="18"/>
          <w:szCs w:val="18"/>
          <w:color w:val="auto"/>
        </w:rPr>
        <w:t xml:space="preserve">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Commitments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estimated capital expenditures for the years 2020-2022.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(Millions)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4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2020-2022</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Distribution/Network System</w:t>
            </w:r>
          </w:p>
        </w:tc>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Production System</w:t>
            </w:r>
          </w:p>
        </w:tc>
        <w:tc>
          <w:tcPr>
            <w:tcW w:w="208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111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Technolgy (IT) Systems</w:t>
            </w:r>
          </w:p>
        </w:tc>
        <w:tc>
          <w:tcPr>
            <w:tcW w:w="20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r>
      <w:tr>
        <w:trPr>
          <w:trHeight w:val="210"/>
        </w:trPr>
        <w:tc>
          <w:tcPr>
            <w:tcW w:w="4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Estimated Capital Expenditures</w:t>
            </w:r>
          </w:p>
        </w:tc>
        <w:tc>
          <w:tcPr>
            <w:tcW w:w="20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124</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295</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Our estimated capital expenditures for the items listed above are primarily comprised of the following:</w:t>
      </w:r>
    </w:p>
    <w:p>
      <w:pPr>
        <w:spacing w:after="0" w:line="262" w:lineRule="exact"/>
        <w:rPr>
          <w:sz w:val="20"/>
          <w:szCs w:val="20"/>
          <w:color w:val="auto"/>
        </w:rPr>
      </w:pPr>
    </w:p>
    <w:p>
      <w:pPr>
        <w:ind w:left="660" w:right="20" w:hanging="328"/>
        <w:spacing w:after="0" w:line="227" w:lineRule="auto"/>
        <w:tabs>
          <w:tab w:leader="none" w:pos="660" w:val="left"/>
        </w:tabs>
        <w:numPr>
          <w:ilvl w:val="0"/>
          <w:numId w:val="12"/>
        </w:numPr>
        <w:rPr>
          <w:rFonts w:ascii="Arial" w:cs="Arial" w:eastAsia="Arial" w:hAnsi="Arial"/>
          <w:sz w:val="27"/>
          <w:szCs w:val="27"/>
          <w:color w:val="auto"/>
        </w:rPr>
      </w:pPr>
      <w:r>
        <w:rPr>
          <w:rFonts w:ascii="Arial" w:cs="Arial" w:eastAsia="Arial" w:hAnsi="Arial"/>
          <w:sz w:val="18"/>
          <w:szCs w:val="18"/>
          <w:b w:val="1"/>
          <w:bCs w:val="1"/>
          <w:color w:val="auto"/>
        </w:rPr>
        <w:t>Distribution/Network System-</w:t>
      </w:r>
      <w:r>
        <w:rPr>
          <w:rFonts w:ascii="Arial" w:cs="Arial" w:eastAsia="Arial" w:hAnsi="Arial"/>
          <w:sz w:val="18"/>
          <w:szCs w:val="18"/>
          <w:color w:val="auto"/>
        </w:rPr>
        <w:t>Projects associated with installation and relocation of water mains and service lines and wastewater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construction of water storage tanks, installation and replacement of hydrants and meters and our RENEW Program. RENEW is our ongoing initiative to eliminate unlined water mains in the Middlesex System. In connection with our RENEW Program, we expect to spend approximately $12 million in 2020, $12 million in 2021 and $11 million in 2022.</w:t>
      </w:r>
    </w:p>
    <w:p>
      <w:pPr>
        <w:spacing w:after="0" w:line="23" w:lineRule="exact"/>
        <w:rPr>
          <w:rFonts w:ascii="Arial" w:cs="Arial" w:eastAsia="Arial" w:hAnsi="Arial"/>
          <w:sz w:val="27"/>
          <w:szCs w:val="27"/>
          <w:color w:val="auto"/>
        </w:rPr>
      </w:pPr>
    </w:p>
    <w:p>
      <w:pPr>
        <w:ind w:left="660" w:right="300" w:hanging="328"/>
        <w:spacing w:after="0" w:line="227" w:lineRule="auto"/>
        <w:tabs>
          <w:tab w:leader="none" w:pos="660" w:val="left"/>
        </w:tabs>
        <w:numPr>
          <w:ilvl w:val="0"/>
          <w:numId w:val="12"/>
        </w:numPr>
        <w:rPr>
          <w:rFonts w:ascii="Arial" w:cs="Arial" w:eastAsia="Arial" w:hAnsi="Arial"/>
          <w:sz w:val="27"/>
          <w:szCs w:val="27"/>
          <w:color w:val="auto"/>
        </w:rPr>
      </w:pPr>
      <w:r>
        <w:rPr>
          <w:rFonts w:ascii="Arial" w:cs="Arial" w:eastAsia="Arial" w:hAnsi="Arial"/>
          <w:sz w:val="18"/>
          <w:szCs w:val="18"/>
          <w:b w:val="1"/>
          <w:bCs w:val="1"/>
          <w:color w:val="auto"/>
        </w:rPr>
        <w:t>Production System-</w:t>
      </w:r>
      <w:r>
        <w:rPr>
          <w:rFonts w:ascii="Arial" w:cs="Arial" w:eastAsia="Arial" w:hAnsi="Arial"/>
          <w:sz w:val="18"/>
          <w:szCs w:val="18"/>
          <w:color w:val="auto"/>
        </w:rPr>
        <w:t>Projects associated with our water production and water/wastewater treatment plants, including $53 million of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2020 and 2022 for the upgrade of the Carl J. Olsen (CJO) water treatment plant, $25 million of expenditures between 2020 and 2022 for wellfield upgrades in our Middlesex System and $13 million of expenditures between 2020 and 2021 for construction of a new replacement wastewater treatment plant in Milton, Delaware.</w:t>
      </w:r>
    </w:p>
    <w:p>
      <w:pPr>
        <w:sectPr>
          <w:pgSz w:w="11900" w:h="16838" w:orient="portrait"/>
          <w:cols w:equalWidth="0" w:num="1">
            <w:col w:w="11420"/>
          </w:cols>
          <w:pgMar w:left="240" w:top="269"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Systems-</w:t>
      </w:r>
      <w:r>
        <w:rPr>
          <w:rFonts w:ascii="Arial" w:cs="Arial" w:eastAsia="Arial" w:hAnsi="Arial"/>
          <w:sz w:val="16"/>
          <w:szCs w:val="16"/>
          <w:color w:val="auto"/>
        </w:rPr>
        <w:t>Further upgrade of our enterprise resource planning system and hardware and software purchases for our other IT systems.</w:t>
      </w:r>
    </w:p>
    <w:p>
      <w:pPr>
        <w:spacing w:after="0" w:line="8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Purchase of transportation equipment, tools, furniture, laboratory equipment, security systems and other general infrastructure needs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improvements to our operations center in Iselin, New Jersey.</w:t>
      </w:r>
    </w:p>
    <w:p>
      <w:pPr>
        <w:spacing w:after="0" w:line="139"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pay for our capital program in 2020, we plan on utilizing some or all of the following:</w:t>
      </w:r>
    </w:p>
    <w:p>
      <w:pPr>
        <w:sectPr>
          <w:pgSz w:w="11900" w:h="16838" w:orient="portrait"/>
          <w:cols w:equalWidth="0" w:num="1">
            <w:col w:w="11420"/>
          </w:cols>
          <w:pgMar w:left="240" w:top="269" w:right="239" w:bottom="1440" w:gutter="0" w:footer="0" w:header="0"/>
        </w:sectPr>
      </w:pPr>
    </w:p>
    <w:p>
      <w:pPr>
        <w:spacing w:after="0" w:line="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63"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 xml:space="preserve">Short-term borrowings, as needed, through $140 million of available lines of credit with several financial institutions. As of December 31, 2019, there was $120.0 million of available credit under these lines (see discussion under </w:t>
      </w:r>
      <w:r>
        <w:rPr>
          <w:rFonts w:ascii="Arial" w:cs="Arial" w:eastAsia="Arial" w:hAnsi="Arial"/>
          <w:sz w:val="17"/>
          <w:szCs w:val="17"/>
          <w:i w:val="1"/>
          <w:iCs w:val="1"/>
          <w:color w:val="auto"/>
        </w:rPr>
        <w:t>“Sources of Liquidity-Short-term Debt”</w:t>
      </w:r>
      <w:r>
        <w:rPr>
          <w:rFonts w:ascii="Arial" w:cs="Arial" w:eastAsia="Arial" w:hAnsi="Arial"/>
          <w:sz w:val="17"/>
          <w:szCs w:val="17"/>
          <w:color w:val="auto"/>
        </w:rPr>
        <w:t xml:space="preserve"> below);</w:t>
      </w:r>
    </w:p>
    <w:p>
      <w:pPr>
        <w:spacing w:after="0" w:line="26"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ind w:left="660" w:right="220" w:hanging="328"/>
        <w:spacing w:after="0" w:line="216" w:lineRule="auto"/>
        <w:tabs>
          <w:tab w:leader="none" w:pos="660" w:val="left"/>
        </w:tabs>
        <w:numPr>
          <w:ilvl w:val="0"/>
          <w:numId w:val="13"/>
        </w:numPr>
        <w:rPr>
          <w:rFonts w:ascii="Arial" w:cs="Arial" w:eastAsia="Arial" w:hAnsi="Arial"/>
          <w:sz w:val="26"/>
          <w:szCs w:val="26"/>
          <w:color w:val="auto"/>
        </w:rPr>
      </w:pPr>
      <w:r>
        <w:rPr>
          <w:rFonts w:ascii="Arial" w:cs="Arial" w:eastAsia="Arial" w:hAnsi="Arial"/>
          <w:sz w:val="17"/>
          <w:szCs w:val="17"/>
          <w:color w:val="auto"/>
        </w:rPr>
        <w:t xml:space="preserve">Proceeds from the New Jersey and Delaware State Revolving Fund (SRF). SRF programs provide low cost financing for projects that meet certain water quality and system improvement benchmarks (see discussion under </w:t>
      </w:r>
      <w:r>
        <w:rPr>
          <w:rFonts w:ascii="Arial" w:cs="Arial" w:eastAsia="Arial" w:hAnsi="Arial"/>
          <w:sz w:val="17"/>
          <w:szCs w:val="17"/>
          <w:i w:val="1"/>
          <w:iCs w:val="1"/>
          <w:color w:val="auto"/>
        </w:rPr>
        <w:t>“Sources of Liquidity-Long-term Debt”</w:t>
      </w:r>
      <w:r>
        <w:rPr>
          <w:rFonts w:ascii="Arial" w:cs="Arial" w:eastAsia="Arial" w:hAnsi="Arial"/>
          <w:sz w:val="17"/>
          <w:szCs w:val="17"/>
          <w:color w:val="auto"/>
        </w:rPr>
        <w:t xml:space="preserve"> below);</w:t>
      </w:r>
    </w:p>
    <w:p>
      <w:pPr>
        <w:spacing w:after="0" w:line="41" w:lineRule="exact"/>
        <w:rPr>
          <w:rFonts w:ascii="Arial" w:cs="Arial" w:eastAsia="Arial" w:hAnsi="Arial"/>
          <w:sz w:val="26"/>
          <w:szCs w:val="26"/>
          <w:color w:val="auto"/>
        </w:rPr>
      </w:pPr>
    </w:p>
    <w:p>
      <w:pPr>
        <w:ind w:left="660" w:right="200" w:hanging="328"/>
        <w:spacing w:after="0" w:line="207" w:lineRule="auto"/>
        <w:tabs>
          <w:tab w:leader="none" w:pos="660" w:val="left"/>
        </w:tabs>
        <w:numPr>
          <w:ilvl w:val="0"/>
          <w:numId w:val="13"/>
        </w:numPr>
        <w:rPr>
          <w:rFonts w:ascii="Arial" w:cs="Arial" w:eastAsia="Arial" w:hAnsi="Arial"/>
          <w:sz w:val="27"/>
          <w:szCs w:val="27"/>
          <w:color w:val="auto"/>
        </w:rPr>
      </w:pPr>
      <w:r>
        <w:rPr>
          <w:rFonts w:ascii="Arial" w:cs="Arial" w:eastAsia="Arial" w:hAnsi="Arial"/>
          <w:sz w:val="18"/>
          <w:szCs w:val="18"/>
          <w:color w:val="auto"/>
        </w:rPr>
        <w:t xml:space="preserve">Proceeds from the issuance and sale of First Mortgage Bonds through the New Jersey Economic Development Authority (NJEDA)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xml:space="preserve"> below);</w:t>
      </w:r>
    </w:p>
    <w:p>
      <w:pPr>
        <w:sectPr>
          <w:pgSz w:w="11900" w:h="16838" w:orient="portrait"/>
          <w:cols w:equalWidth="0" w:num="1">
            <w:col w:w="11420"/>
          </w:cols>
          <w:pgMar w:left="240" w:top="269" w:right="2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920"/>
        <w:spacing w:after="0" w:line="395" w:lineRule="auto"/>
        <w:rPr>
          <w:sz w:val="20"/>
          <w:szCs w:val="20"/>
          <w:color w:val="auto"/>
        </w:rPr>
      </w:pPr>
      <w:r>
        <w:rPr>
          <w:rFonts w:ascii="Arial" w:cs="Arial" w:eastAsia="Arial" w:hAnsi="Arial"/>
          <w:sz w:val="16"/>
          <w:szCs w:val="16"/>
          <w:color w:val="auto"/>
        </w:rPr>
        <w:t xml:space="preserve">Proceeds from the Investment Plan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xml:space="preserve"> below); and Proceeds from a common stock sale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xml:space="preserve"> below).</w:t>
      </w:r>
    </w:p>
    <w:p>
      <w:pPr>
        <w:spacing w:after="0" w:line="29"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Short-term Debt. </w:t>
      </w:r>
      <w:r>
        <w:rPr>
          <w:rFonts w:ascii="Arial" w:cs="Arial" w:eastAsia="Arial" w:hAnsi="Arial"/>
          <w:sz w:val="18"/>
          <w:szCs w:val="18"/>
          <w:color w:val="auto"/>
        </w:rPr>
        <w:t>The Company had available lines of credit of $140.0 million at December 31, 2019, and the outstanding borrowings under the credit 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were$20.0 million, at a weighted average interest rate of 2.86%.</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$52.4 million and $37.3 million at 3.33% and 3.17% for the years ended December 31, 2019 and 2018, respectively.</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Subject to regulatory approval, the Company periodically issues long-term debt to fund its investments in utility plant and other assets.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extent possible, the Company finances qualifying capital projects under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w:t>
      </w:r>
    </w:p>
    <w:p>
      <w:pPr>
        <w:spacing w:after="0" w:line="1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New Jersey SRF program:</w:t>
      </w:r>
    </w:p>
    <w:p>
      <w:pPr>
        <w:spacing w:after="0" w:line="116" w:lineRule="exact"/>
        <w:rPr>
          <w:sz w:val="20"/>
          <w:szCs w:val="20"/>
          <w:color w:val="auto"/>
        </w:rPr>
      </w:pPr>
    </w:p>
    <w:p>
      <w:pPr>
        <w:jc w:val="both"/>
        <w:ind w:left="700" w:hanging="368"/>
        <w:spacing w:after="0" w:line="259"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interest-free construction loan in August 2018. Through December 31, 2019, Middlesex has drawn a total of $31.8 million and expects to draw down the remaining proceeds through the first quarter of 2020.</w:t>
      </w:r>
    </w:p>
    <w:p>
      <w:pPr>
        <w:spacing w:after="0" w:line="132"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all unlined water distribution mains in the Middlesex system. Middlesex closed on an $8.7 million NJIB construction loan in September 2018 and completed drawing on the proceeds in October 2019.</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May 2020 long-term debt financing program.</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2018, the NJIB announced changes to the SRF program for project funding priority ranking, the proportions of interest free loans and market interest rate loans and overall loan limits on interest free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does not include participating in the NJIB SRF program.</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help ensure adherence to its comprehensive financing plan, Middlesex received approval from the NJBPU in February 2019 to issue and sell up to $140 million of First Mortgage Bonds (FMB) through the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2019, Middlesex priced and closed on an NJEDA debt financing transaction of $53.7 million by issuing FMBs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is held in escrow by a bond trustee and are drawn down by requisition for the qualifying projects. Through December 31, 2019, Middlesex has drawn a total of $17.3 million and currently expects to draw the remaining $43.8 million of proceeds, currently included in Restricted Cash, through the third quarter of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Middlesex repaid its RENEW 2017 interest-free construction loan by issuing to the NJIB FMBs in the amount of $9.5 million designated as Series 2018A ($7.1 million) and Series 2018B ($2.4 million). The interest rate on the Series 2018A bond is zero and the interest rate on the Series 2018B bond ranges between 3.0% and 5.0%. The final maturity date for these FMBs is August 1, 2047, with scheduled debt service payments over the life of the loans.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Through December 31, 2019, Tidewater has drawn a total of $1.3 million and expects to draw down the remaining proceeds through the first quarter of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 2019, the NJIB de-obligated principal payments of $0.1 million on Series NN of the Company’s FMBs.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 November 2019, the Company sold and issued 0.8 million shares of common stock in a public offering priced at $60.50 per share. The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of $43.7 million were used for general corporate purposes including repayment of a portion of the Company’s short-term debt outstanding.</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activated a limited share purchase discount feature of the Investment Plan. Investment Plan participants were invited to purchase shares directly as well as reinvest their common stock dividends at a 5% discount. In August 2019, the 0.2 million share purchase limit was reached and the discount offer terminated. The Company raised approximately $12.7 million through the issuance of over 0.2 million shares under the Investment Plan during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fully fund the ongoing large investment program in our utility plant infrastructure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known contractual obligations for the periods specified as of December 31, 2019.</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b w:val="1"/>
                <w:bCs w:val="1"/>
                <w:color w:val="auto"/>
                <w:w w:val="92"/>
              </w:rPr>
              <w:t>Payment Due by Period(Millions of Dollars)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88"/>
              </w:rPr>
              <w:t>Less than 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1"/>
              </w:rPr>
              <w:t>More than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2-3Years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2"/>
              </w:rPr>
              <w:t>4-5 Years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Notes Payable</w:t>
            </w:r>
          </w:p>
        </w:tc>
        <w:tc>
          <w:tcPr>
            <w:tcW w:w="8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Purchased Water Contracts</w:t>
            </w:r>
          </w:p>
        </w:tc>
        <w:tc>
          <w:tcPr>
            <w:tcW w:w="8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Office Leases</w:t>
            </w:r>
          </w:p>
        </w:tc>
        <w:tc>
          <w:tcPr>
            <w:tcW w:w="8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does not reflect any anticipated cash payments for retirement benefit plan obligations. The effect on the timing and amount of these payments resulting from potential changes in actuarial assumptions and returns on plan assets cannot be estimated. In 2019, the Company contributed $5.3 million to its retirement benefit plans and expects to contribute approximately $5.0 million in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Accounting</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maintain our books and records in accordance with accounting principles generally accepted in the United States of America. Middlesex and certain of its subsidiaries, which account for approximately 91% of Operating Revenues and 99% of Total Assets,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(Regulatory Accounting).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customary termination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amounts included in operating revenues are from contracts with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noncontributory defined benefit pension plan (Pension Plan) which covers all currently active employees who were hired prior to April 1, 2007. In addition, the Company maintains an unfunded supplemental plan for its executive officers.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1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by asset category of retirement benefit plan assets at December 31, 2019 and 2018 is as follows:</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0"/>
              </w:rPr>
              <w:t>Pension Plan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Other Benefits Plan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Arial" w:cs="Arial" w:eastAsia="Arial" w:hAnsi="Arial"/>
                <w:sz w:val="18"/>
                <w:szCs w:val="18"/>
                <w:b w:val="1"/>
                <w:bCs w:val="1"/>
                <w:color w:val="auto"/>
                <w:w w:val="98"/>
              </w:rPr>
              <w:t>Target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Target</w:t>
            </w: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03"/>
        </w:trPr>
        <w:tc>
          <w:tcPr>
            <w:tcW w:w="2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Securities</w:t>
            </w:r>
          </w:p>
        </w:tc>
        <w:tc>
          <w:tcPr>
            <w:tcW w:w="132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61.5%</w:t>
            </w:r>
          </w:p>
        </w:tc>
        <w:tc>
          <w:tcPr>
            <w:tcW w:w="134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59.5%</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9"/>
              </w:rPr>
              <w:t>55%</w:t>
            </w:r>
          </w:p>
        </w:tc>
        <w:tc>
          <w:tcPr>
            <w:tcW w:w="136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60.0%</w:t>
            </w:r>
          </w:p>
        </w:tc>
        <w:tc>
          <w:tcPr>
            <w:tcW w:w="134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54.7%</w:t>
            </w:r>
          </w:p>
        </w:tc>
        <w:tc>
          <w:tcPr>
            <w:tcW w:w="1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43%</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36.5%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36.5%</w:t>
            </w:r>
          </w:p>
        </w:tc>
        <w:tc>
          <w:tcPr>
            <w:tcW w:w="8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38%</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33.0%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22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primary assumptions used for determining future postretirement benefit plans’ obligations and costs are as follows:</w:t>
      </w:r>
    </w:p>
    <w:p>
      <w:pPr>
        <w:spacing w:after="0" w:line="59" w:lineRule="exact"/>
        <w:rPr>
          <w:sz w:val="20"/>
          <w:szCs w:val="20"/>
          <w:color w:val="auto"/>
        </w:rPr>
      </w:pPr>
    </w:p>
    <w:p>
      <w:pPr>
        <w:ind w:left="660" w:right="160" w:hanging="328"/>
        <w:spacing w:after="0" w:line="208" w:lineRule="auto"/>
        <w:tabs>
          <w:tab w:leader="none" w:pos="660" w:val="left"/>
        </w:tabs>
        <w:numPr>
          <w:ilvl w:val="0"/>
          <w:numId w:val="15"/>
        </w:numPr>
        <w:rPr>
          <w:rFonts w:ascii="Arial" w:cs="Arial" w:eastAsia="Arial" w:hAnsi="Arial"/>
          <w:sz w:val="27"/>
          <w:szCs w:val="27"/>
          <w:color w:val="auto"/>
        </w:rPr>
      </w:pPr>
      <w:r>
        <w:rPr>
          <w:rFonts w:ascii="Arial" w:cs="Arial" w:eastAsia="Arial" w:hAnsi="Arial"/>
          <w:sz w:val="18"/>
          <w:szCs w:val="18"/>
          <w:b w:val="1"/>
          <w:bCs w:val="1"/>
          <w:color w:val="auto"/>
        </w:rPr>
        <w:t xml:space="preserve">Discount Rate </w:t>
      </w:r>
      <w:r>
        <w:rPr>
          <w:rFonts w:ascii="Arial" w:cs="Arial" w:eastAsia="Arial" w:hAnsi="Arial"/>
          <w:sz w:val="18"/>
          <w:szCs w:val="18"/>
          <w:color w:val="auto"/>
        </w:rPr>
        <w:t>- calculated based on market rates for long-term, high-quality corporate bonds specific to the expected duration of our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Benefits Plan’s liabilities;</w:t>
      </w:r>
    </w:p>
    <w:p>
      <w:pPr>
        <w:sectPr>
          <w:pgSz w:w="11900" w:h="16838" w:orient="portrait"/>
          <w:cols w:equalWidth="0" w:num="1">
            <w:col w:w="11420"/>
          </w:cols>
          <w:pgMar w:left="240" w:top="269"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color w:val="auto"/>
        </w:rPr>
        <w:t xml:space="preserve">Compensation Increase </w:t>
      </w:r>
      <w:r>
        <w:rPr>
          <w:rFonts w:ascii="Arial" w:cs="Arial" w:eastAsia="Arial" w:hAnsi="Arial"/>
          <w:sz w:val="18"/>
          <w:szCs w:val="18"/>
          <w:color w:val="auto"/>
        </w:rPr>
        <w:t>- based on management projected future employee compensation increases;</w:t>
      </w:r>
      <w:r>
        <w:rPr>
          <w:rFonts w:ascii="Arial" w:cs="Arial" w:eastAsia="Arial" w:hAnsi="Arial"/>
          <w:sz w:val="18"/>
          <w:szCs w:val="18"/>
          <w:b w:val="1"/>
          <w:bCs w:val="1"/>
          <w:color w:val="auto"/>
        </w:rPr>
        <w:t xml:space="preserve"> Long-Term Rate of Return </w:t>
      </w:r>
      <w:r>
        <w:rPr>
          <w:rFonts w:ascii="Arial" w:cs="Arial" w:eastAsia="Arial" w:hAnsi="Arial"/>
          <w:sz w:val="18"/>
          <w:szCs w:val="18"/>
          <w:color w:val="auto"/>
        </w:rPr>
        <w:t>- determined based on expected returns from our asset allocation for our Pension Plan and Other Benefits Plan assets;</w:t>
      </w:r>
    </w:p>
    <w:p>
      <w:pPr>
        <w:spacing w:after="0" w:line="35"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ind w:left="660" w:right="740" w:hanging="328"/>
        <w:spacing w:after="0" w:line="208" w:lineRule="auto"/>
        <w:tabs>
          <w:tab w:leader="none" w:pos="660" w:val="left"/>
        </w:tabs>
        <w:numPr>
          <w:ilvl w:val="0"/>
          <w:numId w:val="16"/>
        </w:numPr>
        <w:rPr>
          <w:rFonts w:ascii="Arial" w:cs="Arial" w:eastAsia="Arial" w:hAnsi="Arial"/>
          <w:sz w:val="27"/>
          <w:szCs w:val="27"/>
          <w:color w:val="auto"/>
        </w:rPr>
      </w:pPr>
      <w:r>
        <w:rPr>
          <w:rFonts w:ascii="Arial" w:cs="Arial" w:eastAsia="Arial" w:hAnsi="Arial"/>
          <w:sz w:val="18"/>
          <w:szCs w:val="18"/>
          <w:b w:val="1"/>
          <w:bCs w:val="1"/>
          <w:color w:val="auto"/>
        </w:rPr>
        <w:t xml:space="preserve">Mortality </w:t>
      </w:r>
      <w:r>
        <w:rPr>
          <w:rFonts w:ascii="Arial" w:cs="Arial" w:eastAsia="Arial" w:hAnsi="Arial"/>
          <w:sz w:val="18"/>
          <w:szCs w:val="18"/>
          <w:color w:val="auto"/>
        </w:rPr>
        <w:t>–The Company utilizes the Society of Actuaries’ mortality table (Pri-2012) (Mortality Improvement Scale MP2019 for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and</w:t>
      </w:r>
    </w:p>
    <w:p>
      <w:pPr>
        <w:spacing w:after="0" w:line="2" w:lineRule="exact"/>
        <w:rPr>
          <w:rFonts w:ascii="Arial" w:cs="Arial" w:eastAsia="Arial" w:hAnsi="Arial"/>
          <w:sz w:val="27"/>
          <w:szCs w:val="27"/>
          <w:color w:val="auto"/>
        </w:rPr>
      </w:pPr>
    </w:p>
    <w:p>
      <w:pPr>
        <w:ind w:left="660" w:hanging="328"/>
        <w:spacing w:after="0" w:line="198" w:lineRule="auto"/>
        <w:tabs>
          <w:tab w:leader="none" w:pos="660" w:val="left"/>
        </w:tabs>
        <w:numPr>
          <w:ilvl w:val="0"/>
          <w:numId w:val="16"/>
        </w:numPr>
        <w:rPr>
          <w:rFonts w:ascii="Arial" w:cs="Arial" w:eastAsia="Arial" w:hAnsi="Arial"/>
          <w:sz w:val="27"/>
          <w:szCs w:val="27"/>
          <w:color w:val="auto"/>
        </w:rPr>
      </w:pPr>
      <w:r>
        <w:rPr>
          <w:rFonts w:ascii="Arial" w:cs="Arial" w:eastAsia="Arial" w:hAnsi="Arial"/>
          <w:sz w:val="18"/>
          <w:szCs w:val="18"/>
          <w:b w:val="1"/>
          <w:bCs w:val="1"/>
          <w:color w:val="auto"/>
        </w:rPr>
        <w:t xml:space="preserve">Healthcare Cost Trend Rate </w:t>
      </w:r>
      <w:r>
        <w:rPr>
          <w:rFonts w:ascii="Arial" w:cs="Arial" w:eastAsia="Arial" w:hAnsi="Arial"/>
          <w:sz w:val="18"/>
          <w:szCs w:val="18"/>
          <w:color w:val="auto"/>
        </w:rPr>
        <w:t>- based on management projected future healthcare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compensation increase rate and long-term rate of return used to determine future obligations of our postretirement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as follows:</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5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Pension Plan</w:t>
            </w:r>
          </w:p>
        </w:tc>
        <w:tc>
          <w:tcPr>
            <w:tcW w:w="21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Other Benefits Plan</w:t>
            </w: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1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0"/>
              </w:rPr>
              <w:t>3.12%</w:t>
            </w:r>
          </w:p>
        </w:tc>
        <w:tc>
          <w:tcPr>
            <w:tcW w:w="2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3.12%</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Compensation Increase</w:t>
            </w:r>
          </w:p>
        </w:tc>
        <w:tc>
          <w:tcPr>
            <w:tcW w:w="2100" w:type="dxa"/>
            <w:vAlign w:val="bottom"/>
          </w:tcPr>
          <w:p>
            <w:pPr>
              <w:jc w:val="center"/>
              <w:ind w:left="230"/>
              <w:spacing w:after="0"/>
              <w:rPr>
                <w:sz w:val="20"/>
                <w:szCs w:val="20"/>
                <w:color w:val="auto"/>
              </w:rPr>
            </w:pPr>
            <w:r>
              <w:rPr>
                <w:rFonts w:ascii="Arial" w:cs="Arial" w:eastAsia="Arial" w:hAnsi="Arial"/>
                <w:sz w:val="18"/>
                <w:szCs w:val="18"/>
                <w:color w:val="auto"/>
                <w:w w:val="90"/>
              </w:rPr>
              <w:t>3.00%</w:t>
            </w:r>
          </w:p>
        </w:tc>
        <w:tc>
          <w:tcPr>
            <w:tcW w:w="2180" w:type="dxa"/>
            <w:vAlign w:val="bottom"/>
          </w:tcPr>
          <w:p>
            <w:pPr>
              <w:jc w:val="center"/>
              <w:ind w:left="30"/>
              <w:spacing w:after="0"/>
              <w:rPr>
                <w:sz w:val="20"/>
                <w:szCs w:val="20"/>
                <w:color w:val="auto"/>
              </w:rPr>
            </w:pPr>
            <w:r>
              <w:rPr>
                <w:rFonts w:ascii="Arial" w:cs="Arial" w:eastAsia="Arial" w:hAnsi="Arial"/>
                <w:sz w:val="18"/>
                <w:szCs w:val="18"/>
                <w:color w:val="auto"/>
                <w:w w:val="90"/>
              </w:rPr>
              <w:t>3.00%</w:t>
            </w:r>
          </w:p>
        </w:tc>
      </w:tr>
      <w:tr>
        <w:trPr>
          <w:trHeight w:val="216"/>
        </w:trPr>
        <w:tc>
          <w:tcPr>
            <w:tcW w:w="2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210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0"/>
              </w:rPr>
              <w:t>7.00%</w:t>
            </w:r>
          </w:p>
        </w:tc>
        <w:tc>
          <w:tcPr>
            <w:tcW w:w="21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7.00%</w:t>
            </w: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2019 valuation, costs and obligations for our Other Benefits Plan assumed an 8.0% annual rate of increase in the per capita cost of covered healthcare benefits in 2020 with the annual rate of increase declining 1.0% per year for 2021-2022 and 0.5% per year for 2023-2024, resulting in an annual rate of increase in the per capita cost of covered healthcare benefits of 5% by year 2024.</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sensitivity analysis for certain actuarial assumptions used in determining projected benefit obligations (PBO) and expenses for our postretirement benefit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3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Estimated</w:t>
            </w:r>
          </w:p>
        </w:tc>
        <w:tc>
          <w:tcPr>
            <w:tcW w:w="22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Increase/</w:t>
            </w:r>
          </w:p>
        </w:tc>
        <w:tc>
          <w:tcPr>
            <w:tcW w:w="3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Increase/</w:t>
            </w:r>
          </w:p>
        </w:tc>
        <w:tc>
          <w:tcPr>
            <w:tcW w:w="22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c>
          <w:tcPr>
            <w:tcW w:w="3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(Decrease)</w:t>
            </w:r>
          </w:p>
        </w:tc>
        <w:tc>
          <w:tcPr>
            <w:tcW w:w="22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on PBO</w:t>
            </w:r>
          </w:p>
        </w:tc>
        <w:tc>
          <w:tcPr>
            <w:tcW w:w="3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on Expense</w:t>
            </w:r>
          </w:p>
        </w:tc>
        <w:tc>
          <w:tcPr>
            <w:tcW w:w="2260" w:type="dxa"/>
            <w:vAlign w:val="bottom"/>
          </w:tcPr>
          <w:p>
            <w:pPr>
              <w:spacing w:after="0"/>
              <w:rPr>
                <w:sz w:val="18"/>
                <w:szCs w:val="18"/>
                <w:color w:val="auto"/>
              </w:rPr>
            </w:pPr>
          </w:p>
        </w:tc>
      </w:tr>
      <w:tr>
        <w:trPr>
          <w:trHeight w:val="234"/>
        </w:trPr>
        <w:tc>
          <w:tcPr>
            <w:tcW w:w="4960" w:type="dxa"/>
            <w:vAlign w:val="bottom"/>
            <w:gridSpan w:val="3"/>
          </w:tcPr>
          <w:p>
            <w:pPr>
              <w:ind w:left="2300"/>
              <w:spacing w:after="0"/>
              <w:rPr>
                <w:sz w:val="20"/>
                <w:szCs w:val="20"/>
                <w:color w:val="auto"/>
              </w:rPr>
            </w:pPr>
            <w:r>
              <w:rPr>
                <w:rFonts w:ascii="Arial" w:cs="Arial" w:eastAsia="Arial" w:hAnsi="Arial"/>
                <w:sz w:val="18"/>
                <w:szCs w:val="18"/>
                <w:b w:val="1"/>
                <w:bCs w:val="1"/>
                <w:color w:val="auto"/>
              </w:rPr>
              <w:t>Actuarial Assumptions</w:t>
            </w:r>
          </w:p>
        </w:tc>
        <w:tc>
          <w:tcPr>
            <w:tcW w:w="104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(000s)</w:t>
            </w:r>
          </w:p>
        </w:tc>
        <w:tc>
          <w:tcPr>
            <w:tcW w:w="380" w:type="dxa"/>
            <w:vAlign w:val="bottom"/>
          </w:tcPr>
          <w:p>
            <w:pPr>
              <w:spacing w:after="0"/>
              <w:rPr>
                <w:sz w:val="20"/>
                <w:szCs w:val="20"/>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(000s)</w:t>
            </w:r>
          </w:p>
        </w:tc>
        <w:tc>
          <w:tcPr>
            <w:tcW w:w="226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Discount Rate 1%</w:t>
            </w:r>
          </w:p>
        </w:tc>
        <w:tc>
          <w:tcPr>
            <w:tcW w:w="1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Increase</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(13,849)</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(1,149)</w:t>
            </w:r>
          </w:p>
        </w:tc>
        <w:tc>
          <w:tcPr>
            <w:tcW w:w="22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Discount Rate 1%</w:t>
            </w: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Decrease</w:t>
            </w:r>
          </w:p>
        </w:tc>
        <w:tc>
          <w:tcPr>
            <w:tcW w:w="10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17,563</w:t>
            </w:r>
          </w:p>
        </w:tc>
        <w:tc>
          <w:tcPr>
            <w:tcW w:w="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1,379</w:t>
            </w:r>
          </w:p>
        </w:tc>
        <w:tc>
          <w:tcPr>
            <w:tcW w:w="2260" w:type="dxa"/>
            <w:vAlign w:val="bottom"/>
          </w:tcPr>
          <w:p>
            <w:pPr>
              <w:spacing w:after="0"/>
              <w:rPr>
                <w:sz w:val="18"/>
                <w:szCs w:val="18"/>
                <w:color w:val="auto"/>
              </w:rPr>
            </w:pPr>
          </w:p>
        </w:tc>
      </w:tr>
      <w:tr>
        <w:trPr>
          <w:trHeight w:val="426"/>
        </w:trPr>
        <w:tc>
          <w:tcPr>
            <w:tcW w:w="2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2300" w:type="dxa"/>
            <w:vAlign w:val="bottom"/>
            <w:tcBorders>
              <w:bottom w:val="single" w:sz="8" w:color="EEEEEE"/>
            </w:tcBorders>
          </w:tcPr>
          <w:p>
            <w:pPr>
              <w:spacing w:after="0"/>
              <w:rPr>
                <w:sz w:val="17"/>
                <w:szCs w:val="17"/>
                <w:color w:val="auto"/>
              </w:rPr>
            </w:pPr>
          </w:p>
        </w:tc>
        <w:tc>
          <w:tcPr>
            <w:tcW w:w="1320" w:type="dxa"/>
            <w:vAlign w:val="bottom"/>
            <w:tcBorders>
              <w:bottom w:val="single" w:sz="8" w:color="EEEEEE"/>
            </w:tcBorders>
          </w:tcPr>
          <w:p>
            <w:pPr>
              <w:spacing w:after="0"/>
              <w:rPr>
                <w:sz w:val="17"/>
                <w:szCs w:val="17"/>
                <w:color w:val="auto"/>
              </w:rPr>
            </w:pPr>
          </w:p>
        </w:tc>
        <w:tc>
          <w:tcPr>
            <w:tcW w:w="134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22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99"/>
        </w:trPr>
        <w:tc>
          <w:tcPr>
            <w:tcW w:w="5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Benefits Plan</w:t>
            </w: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c>
          <w:tcPr>
            <w:tcW w:w="26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Increase/</w:t>
            </w:r>
          </w:p>
        </w:tc>
        <w:tc>
          <w:tcPr>
            <w:tcW w:w="2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on PBO</w:t>
            </w:r>
          </w:p>
        </w:tc>
        <w:tc>
          <w:tcPr>
            <w:tcW w:w="2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on Expense</w:t>
            </w:r>
          </w:p>
        </w:tc>
      </w:tr>
      <w:tr>
        <w:trPr>
          <w:trHeight w:val="234"/>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Actuarial Assumptions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(000s)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1% Decrease</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10,837</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1,017</w:t>
            </w:r>
          </w:p>
        </w:tc>
      </w:tr>
      <w:tr>
        <w:trPr>
          <w:trHeight w:val="210"/>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 Rate 1% Increase</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9,036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1,374</w:t>
            </w: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Healthcare Cost Trend Rate 1% Decrease</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1(r) of the Notes to Consolidated Financial Statements for a discussion of recent accounting pronouncements.</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2021 to 2059. Over the next twelve months, approximately $7.2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Our risk is reduced through our ability to recover retirement benefit plan costs through customer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Middlesex Water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1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and consolidated statements of capital stock and long-term debt of Middlesex Water Company (the "Company") as of December 31, 2019 and 2018, the related consolidated statements of income, common stockholders' equity, and cash flows for each of the three years in the period ended December 31, 2019, and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present fairly, in all material respects, the financial position of the Company as of December 31, 2019 and 2018, and the results of their operations and their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1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360"/>
          </w:cols>
          <w:pgMar w:left="240" w:top="269"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660" w:type="dxa"/>
            <w:vAlign w:val="bottom"/>
          </w:tcPr>
          <w:p>
            <w:pPr>
              <w:jc w:val="center"/>
              <w:ind w:left="170"/>
              <w:spacing w:after="0"/>
              <w:rPr>
                <w:sz w:val="20"/>
                <w:szCs w:val="20"/>
                <w:color w:val="auto"/>
              </w:rPr>
            </w:pPr>
            <w:r>
              <w:rPr>
                <w:rFonts w:ascii="Arial" w:cs="Arial" w:eastAsia="Arial" w:hAnsi="Arial"/>
                <w:sz w:val="18"/>
                <w:szCs w:val="18"/>
                <w:b w:val="1"/>
                <w:bCs w:val="1"/>
                <w:color w:val="auto"/>
              </w:rPr>
              <w:t>MIDDLESEX WATER COMPANY</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7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6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134,598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138,077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Operations and Maintenance</w:t>
            </w:r>
          </w:p>
        </w:tc>
        <w:tc>
          <w:tcPr>
            <w:tcW w:w="36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67,980</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71,570</w:t>
            </w:r>
          </w:p>
        </w:tc>
        <w:tc>
          <w:tcPr>
            <w:tcW w:w="4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16,716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15,037</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Other Taxes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14,382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Operating Expenses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99,078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100,935</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92,977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35,520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37,142</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Allowance for Funds Used During Construction</w:t>
            </w: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3,146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(Expense), net</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2,492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2,992</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7,264</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30,748</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33,376</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(3,140)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33,888</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32,452</w:t>
            </w:r>
          </w:p>
        </w:tc>
        <w:tc>
          <w:tcPr>
            <w:tcW w:w="4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3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33,756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32,308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$ 2.02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36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$ 2.01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Average Number of</w:t>
            </w:r>
          </w:p>
        </w:tc>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Shares Outstanding :</w:t>
            </w: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6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16,685</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16,384</w:t>
            </w:r>
          </w:p>
        </w:tc>
        <w:tc>
          <w:tcPr>
            <w:tcW w:w="4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16,829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16,486</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6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5300" w:type="dxa"/>
            <w:vAlign w:val="bottom"/>
          </w:tcPr>
          <w:p>
            <w:pPr>
              <w:ind w:left="1700"/>
              <w:spacing w:after="0"/>
              <w:rPr>
                <w:sz w:val="20"/>
                <w:szCs w:val="20"/>
                <w:color w:val="auto"/>
              </w:rPr>
            </w:pPr>
            <w:r>
              <w:rPr>
                <w:rFonts w:ascii="Arial" w:cs="Arial" w:eastAsia="Arial" w:hAnsi="Arial"/>
                <w:sz w:val="18"/>
                <w:szCs w:val="18"/>
                <w:b w:val="1"/>
                <w:bCs w:val="1"/>
                <w:color w:val="auto"/>
              </w:rPr>
              <w:t>MIDDLESEX WATER COMPANY</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520"/>
              <w:spacing w:after="0"/>
              <w:rPr>
                <w:sz w:val="20"/>
                <w:szCs w:val="20"/>
                <w:color w:val="auto"/>
              </w:rPr>
            </w:pPr>
            <w:r>
              <w:rPr>
                <w:rFonts w:ascii="Arial" w:cs="Arial" w:eastAsia="Arial" w:hAnsi="Arial"/>
                <w:sz w:val="18"/>
                <w:szCs w:val="18"/>
                <w:b w:val="1"/>
                <w:bCs w:val="1"/>
                <w:color w:val="auto"/>
              </w:rPr>
              <w:t>CONSOLIDATED BALANCE SHEETS</w:t>
            </w: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00" w:type="dxa"/>
            <w:vAlign w:val="bottom"/>
          </w:tcPr>
          <w:p>
            <w:pPr>
              <w:ind w:left="1520"/>
              <w:spacing w:after="0"/>
              <w:rPr>
                <w:sz w:val="20"/>
                <w:szCs w:val="20"/>
                <w:color w:val="auto"/>
              </w:rPr>
            </w:pPr>
            <w:r>
              <w:rPr>
                <w:rFonts w:ascii="Arial" w:cs="Arial" w:eastAsia="Arial" w:hAnsi="Arial"/>
                <w:sz w:val="18"/>
                <w:szCs w:val="18"/>
                <w:b w:val="1"/>
                <w:bCs w:val="1"/>
                <w:color w:val="auto"/>
              </w:rPr>
              <w:t>(In thousands except per share amounts)</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c>
          <w:tcPr>
            <w:tcW w:w="20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160,870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556,517</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83,043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75,520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875,950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170,220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705,730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2,230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11,908</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7,183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5,445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2,367</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29,133</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DEFERRED CHARGES</w:t>
            </w:r>
          </w:p>
        </w:tc>
        <w:tc>
          <w:tcPr>
            <w:tcW w:w="5300" w:type="dxa"/>
            <w:vAlign w:val="bottom"/>
          </w:tcPr>
          <w:p>
            <w:pPr>
              <w:ind w:left="120"/>
              <w:spacing w:after="0"/>
              <w:rPr>
                <w:sz w:val="20"/>
                <w:szCs w:val="20"/>
                <w:color w:val="auto"/>
              </w:rPr>
            </w:pPr>
            <w:r>
              <w:rPr>
                <w:rFonts w:ascii="Arial" w:cs="Arial" w:eastAsia="Arial" w:hAnsi="Arial"/>
                <w:sz w:val="18"/>
                <w:szCs w:val="18"/>
                <w:color w:val="auto"/>
              </w:rPr>
              <w:t>Operating Lease Right of Use Asset</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5,944</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OTHER ASSETS:</w:t>
            </w: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110,479</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44,269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Non-utility Assets - Net</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10,370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1,899</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DEFERRED CHARGES AND OTHER ASSETS</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175,015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909,878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5300" w:type="dxa"/>
            <w:vAlign w:val="bottom"/>
          </w:tcPr>
          <w:p>
            <w:pPr>
              <w:ind w:left="120"/>
              <w:spacing w:after="0"/>
              <w:rPr>
                <w:sz w:val="20"/>
                <w:szCs w:val="20"/>
                <w:color w:val="auto"/>
              </w:rPr>
            </w:pPr>
            <w:r>
              <w:rPr>
                <w:rFonts w:ascii="Arial" w:cs="Arial" w:eastAsia="Arial" w:hAnsi="Arial"/>
                <w:sz w:val="18"/>
                <w:szCs w:val="18"/>
                <w:color w:val="auto"/>
              </w:rPr>
              <w:t>Common Stock, No Par Value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215,125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108,667</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COMMON EQUITY</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323,792</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Long-term Debt</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230,777</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556,653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7,178</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30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20,000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23,306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7,635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1,211</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3,620</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64,981</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20" w:type="dxa"/>
            <w:vAlign w:val="bottom"/>
            <w:tcBorders>
              <w:bottom w:val="single" w:sz="8" w:color="auto"/>
            </w:tcBorders>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CONTINGENT LIABILITIES (Note 4)</w:t>
            </w: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DEFERRED CREDITS</w:t>
            </w:r>
          </w:p>
        </w:tc>
        <w:tc>
          <w:tcPr>
            <w:tcW w:w="530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23,905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OTHER LIABILITIES:</w:t>
            </w: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5,732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Accumulated Deferred Income Taxes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54,408</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34,671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69,152</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2,546</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TOTAL DEFERRED CREDITS AND OTHER LIABILITIES</w:t>
            </w:r>
          </w:p>
        </w:tc>
        <w:tc>
          <w:tcPr>
            <w:tcW w:w="7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190,414</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20" w:type="dxa"/>
            <w:vAlign w:val="bottom"/>
            <w:tcBorders>
              <w:bottom w:val="single" w:sz="8" w:color="auto"/>
            </w:tcBorders>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97,830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5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CAPITALIZATION AND LIABILITIES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909,878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767,830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26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202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33,888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32,452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17,232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15,780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Provision for Deferred Income Taxes and ITC</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(11,719)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(8,724)</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Portion of AFUDC</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Cash Surrender Value of Life Insurance</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(252)</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Unbilled Revenues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110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Materials &amp; Supplies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Prepayments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277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3,981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5,396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Accrued Taxes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(6,595</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2,812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742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(1,112)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 &amp; Advanced Service Fees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866</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2,589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36,053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45,864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200"/>
              <w:spacing w:after="0" w:line="201" w:lineRule="exact"/>
              <w:rPr>
                <w:sz w:val="20"/>
                <w:szCs w:val="20"/>
                <w:color w:val="auto"/>
              </w:rPr>
            </w:pPr>
            <w:r>
              <w:rPr>
                <w:rFonts w:ascii="Arial" w:cs="Arial" w:eastAsia="Arial" w:hAnsi="Arial"/>
                <w:sz w:val="18"/>
                <w:szCs w:val="18"/>
                <w:color w:val="auto"/>
                <w:w w:val="95"/>
              </w:rPr>
              <w:t>Utility Plant Expenditures, Including AFUDC of $1,149 in 2019, $443 in 2018 and $221 in</w:t>
            </w:r>
          </w:p>
        </w:tc>
        <w:tc>
          <w:tcPr>
            <w:tcW w:w="40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(89,125)</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(72,094)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(89,125)</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Redemption of Long-term Debt</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(7,343)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78,967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22,076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Proceeds from Premium Issuance of Long-term Debt</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7,083</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Short-term Bank Borrowings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(28,500</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20,500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Deferred Debt Issuance Expense</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(769)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Issuance Expense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56,784</w:t>
            </w:r>
          </w:p>
        </w:tc>
        <w:tc>
          <w:tcPr>
            <w:tcW w:w="3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Common Dividends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(16,165)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Payment of Preferred Dividends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Advances and Contributions-Net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4,342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4,746</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93,910</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25,494</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40,838</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CASH, CASH EQUIVALENTS AND RESTRICTED CASH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5,661</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6,397</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46,499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7,770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3,835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Deobligation</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6,938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6,113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1,149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10,339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4,689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26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27202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41" w:name="page42"/>
    <w:bookmarkEnd w:id="41"/>
    <w:p>
      <w:pPr>
        <w:spacing w:after="0" w:line="5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Shares Authorized - 40,000</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- 2019 - 17,434; 2018 - 16,403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108,667</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 COMMON EQUITY</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323,792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Authorized - 120</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Shares Outstanding - 2019-20; 2018-23</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Shares Outstanding, $7.00 Series - 10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$8.00 Series - 2019-0; 2018-3</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Nonredeemable:</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$7.00 Series - 1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Shares Outstanding, $4.75 Series - 10</w:t>
            </w:r>
          </w:p>
        </w:tc>
        <w:tc>
          <w:tcPr>
            <w:tcW w:w="1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TOTAL PREFERRED STOCK</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8.05%, Amortizing Secured Note, due December 20, 2021</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6.25%, Amortizing Secured Note, due May 19, 2028</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3,535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6.44%, Amortizing Secured Note, due August 25, 2030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2,987</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6.46%, Amortizing Secured Note, due September 19, 2031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4.22%, State Revolving Trust Note, due December 31, 2022</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3.60%, State Revolving Trust Note, due May 1, 2025</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3.30% State Revolving Trust Note, due March 1, 2026</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309</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3.49%, State Revolving Trust Note, due January 25, 2027</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4.03%, State Revolving Trust Note, due December 1, 2026</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446</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4.00% to 5.00%, State Revolving Trust Bond, due August 1, 2021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0.00%, State Revolving Fund Bond, due August 1, 2021</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3.64%, State Revolving Trust Note, due July 1, 2028</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3.64%, State Revolving Trust Note, due January 1, 2028</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3.45%, State Revolving Trust Note, due August 1, 2031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6.59%, Amortizing Secured Note, due April 20, 2029</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3,255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7.05%, Amortizing Secured Note, due January 20, 2030</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5.69%, Amortizing Secured Note, due January 20, 2030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5,171</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4.45%, Amortizing Secured Note, due April 20, 2040</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4.47%, Amortizing Secured Note, due April 20, 2040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3,320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3.75%, State Revolving Trust Note, due July 1, 2031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2.00%, State Revolving Trust Note, due February 1, 2036</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1,013</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 State Revolving Trust Note, due February 1, 2038</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3.75%, State Revolving Trust Note, due November 30, 2030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955</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 Construction Loans</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40,467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First Mortgage Bonds:</w:t>
            </w:r>
          </w:p>
        </w:tc>
        <w:tc>
          <w:tcPr>
            <w:tcW w:w="1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Z, due August 1, 2019</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5.25% to 5.75%, Series AA, due August 1, 2019</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BB, due August 1, 2021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4.00% to 5.00%, Series CC, due August 1, 2021</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331</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EE, due August 1, 2023</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3.00% to 5.50%, Series FF, due August 1, 2024</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2,440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GG, due August 1, 2026</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4.00% to 5.00%, Series HH, due August 1, 2026</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710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II, due August 1, 2024</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3.40% to 5.00%, Series JJ, due August 1, 2027</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588</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KK, due August 1, 2028</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5.00% to 5.50%, Series LL, due August 1, 2028</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928</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MM, due August 1, 2030</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3.00% to 4.375%, Series NN, due August 1, 2030</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1,190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0.00%, Series OO, due August 1, 2031</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2.00% to 5.00%, Series PP, due August 1, 2031</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660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 Series QQ, due October 1, 2023</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3.80%, Series RR, due October 1, 2038</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4.25%, Series SS, due October 1, 2047</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0.00%, Series TT, due August 1, 2032</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1,957</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3.00% to 3.25%, Series UU, due August 1, 2032</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0.00%, Series VV, due August 1, 2033</w:t>
            </w:r>
          </w:p>
        </w:tc>
        <w:tc>
          <w:tcPr>
            <w:tcW w:w="19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3.00% to 5.00%, Series WW, due August 1, 2033</w:t>
            </w:r>
          </w:p>
        </w:tc>
        <w:tc>
          <w:tcPr>
            <w:tcW w:w="19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0.00%, Series XX, due August 1, 2047</w:t>
            </w:r>
          </w:p>
        </w:tc>
        <w:tc>
          <w:tcPr>
            <w:tcW w:w="19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10,627</w:t>
            </w:r>
          </w:p>
        </w:tc>
        <w:tc>
          <w:tcPr>
            <w:tcW w:w="2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11,006</w:t>
            </w:r>
          </w:p>
        </w:tc>
        <w:tc>
          <w:tcPr>
            <w:tcW w:w="0" w:type="dxa"/>
            <w:vAlign w:val="bottom"/>
          </w:tcPr>
          <w:p>
            <w:pPr>
              <w:spacing w:after="0"/>
              <w:rPr>
                <w:sz w:val="1"/>
                <w:szCs w:val="1"/>
                <w:color w:val="auto"/>
              </w:rPr>
            </w:pPr>
          </w:p>
        </w:tc>
      </w:tr>
    </w:tbl>
    <w:p>
      <w:pPr>
        <w:sectPr>
          <w:pgSz w:w="11900" w:h="16889" w:orient="portrait"/>
          <w:cols w:equalWidth="0" w:num="1">
            <w:col w:w="11420"/>
          </w:cols>
          <w:pgMar w:left="240" w:top="269"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0"/>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 to 5.00%, Series YY, due August 1, 2047</w:t>
            </w: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3,785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3,860</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0.00%, Series 2018A, due August 1, 2047</w:t>
            </w:r>
          </w:p>
        </w:tc>
        <w:tc>
          <w:tcPr>
            <w:tcW w:w="24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6,678</w:t>
            </w: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6,917</w:t>
            </w: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3.00%-5.00%, Series 2018B, due August 1, 2047</w:t>
            </w: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2,320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4.00%, Series 2019A, due August 1, 2059</w:t>
            </w:r>
          </w:p>
        </w:tc>
        <w:tc>
          <w:tcPr>
            <w:tcW w:w="24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32,500</w:t>
            </w:r>
          </w:p>
        </w:tc>
        <w:tc>
          <w:tcPr>
            <w:tcW w:w="16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5.00%, Series 2019B, due August 1, 2059</w:t>
            </w:r>
          </w:p>
        </w:tc>
        <w:tc>
          <w:tcPr>
            <w:tcW w:w="2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21,200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SUBTOTAL LONG-TERM DEBT</w:t>
            </w:r>
          </w:p>
        </w:tc>
        <w:tc>
          <w:tcPr>
            <w:tcW w:w="2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234,397</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162,904</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 Premium on Issuance of Long-term Debt</w:t>
            </w: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8,064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Unamortized Debt Expense</w:t>
            </w:r>
          </w:p>
        </w:tc>
        <w:tc>
          <w:tcPr>
            <w:tcW w:w="2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(4,506)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(3,969)</w:t>
            </w:r>
          </w:p>
        </w:tc>
      </w:tr>
      <w:tr>
        <w:trPr>
          <w:trHeight w:val="216"/>
        </w:trPr>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(7,178)</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r>
      <w:tr>
        <w:trPr>
          <w:trHeight w:val="210"/>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DEBT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230,777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152,851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Retained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Earnings</w:t>
            </w:r>
          </w:p>
        </w:tc>
        <w:tc>
          <w:tcPr>
            <w:tcW w:w="26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16,296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153,045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Forfeited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Cash Dividends on Common Stock ($0.858 per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(14,002)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155,120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229,175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32,452</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Shares 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 ($0.911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157,354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33,888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Dividend Reinvestment &amp; Common Stock Purchase Plan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12,738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Forefeited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Conversion of $8.00 Convertible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44,046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Cash Dividends on Common Stock ($0.976 per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(16,165)</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Common Stock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$ 215,125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Summary of Significant Accounting Policies and Recent Developments</w:t>
      </w:r>
    </w:p>
    <w:p>
      <w:pPr>
        <w:spacing w:after="0" w:line="198" w:lineRule="exact"/>
        <w:rPr>
          <w:sz w:val="20"/>
          <w:szCs w:val="20"/>
          <w:color w:val="auto"/>
        </w:rPr>
      </w:pPr>
    </w:p>
    <w:p>
      <w:pPr>
        <w:jc w:val="both"/>
        <w:ind w:firstLine="8"/>
        <w:spacing w:after="0" w:line="258" w:lineRule="auto"/>
        <w:tabs>
          <w:tab w:leader="none" w:pos="26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Middlesex Water Company (Middlesex) is the parent company and sole shareholder of Tidewater Utilities, Inc. (Tidewater), Tidewater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Water Company has operated as a water utility in New Jersey since 1897, in Delaware, through our wholly-owned subsidiary, Tidewater, since 1992 and in Pennsylvania, through our wholly-owned subsidiary, Twin Lakes, since 2009.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Delaware and Pennsylvania by the New Jersey Board of Public Utilities (NJBPU), Delaware Public Service Commission (DEPSC) and Pennsylvania Public Utilities Commission (PAPUC), respectively. Our USA, USA-PA and White Marsh subsidiaries are not regulated utilities.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have been made to the prior year financial statements to conform with current period presentation. The reclassifications are immaterial to the overall presentation of our consolidated financial statements.</w:t>
      </w:r>
    </w:p>
    <w:p>
      <w:pPr>
        <w:spacing w:after="0" w:line="139" w:lineRule="exact"/>
        <w:rPr>
          <w:sz w:val="20"/>
          <w:szCs w:val="20"/>
          <w:color w:val="auto"/>
        </w:rPr>
      </w:pPr>
    </w:p>
    <w:p>
      <w:pPr>
        <w:jc w:val="both"/>
        <w:ind w:firstLine="8"/>
        <w:spacing w:after="0" w:line="258" w:lineRule="auto"/>
        <w:tabs>
          <w:tab w:leader="none" w:pos="27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for Middlesex and its wholly-owned subsidiaries (the Company) are reported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spacing w:after="0" w:line="170" w:lineRule="exact"/>
        <w:rPr>
          <w:rFonts w:ascii="Arial" w:cs="Arial" w:eastAsia="Arial" w:hAnsi="Arial"/>
          <w:sz w:val="18"/>
          <w:szCs w:val="18"/>
          <w:b w:val="1"/>
          <w:bCs w:val="1"/>
          <w:color w:val="auto"/>
        </w:rPr>
      </w:pPr>
    </w:p>
    <w:p>
      <w:pPr>
        <w:jc w:val="both"/>
        <w:ind w:firstLine="8"/>
        <w:spacing w:after="0" w:line="266" w:lineRule="auto"/>
        <w:tabs>
          <w:tab w:leader="none" w:pos="24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System of Accounts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Middlesex, Pinelands Water and Pinelands Wastewater maintain their accounts in accordance with the Uniform System of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prescribed by the NJBPU. Tidewater, TESI and Southern Shores maintain their accounts in accordance with DEPSC requirements. Twin Lakes maintains its accounts in accordance with PAPUC requirements.</w:t>
      </w:r>
    </w:p>
    <w:p>
      <w:pPr>
        <w:spacing w:after="0" w:line="162" w:lineRule="exact"/>
        <w:rPr>
          <w:rFonts w:ascii="Arial" w:cs="Arial" w:eastAsia="Arial" w:hAnsi="Arial"/>
          <w:sz w:val="18"/>
          <w:szCs w:val="18"/>
          <w:b w:val="1"/>
          <w:bCs w:val="1"/>
          <w:color w:val="auto"/>
        </w:rPr>
      </w:pPr>
    </w:p>
    <w:p>
      <w:pPr>
        <w:jc w:val="both"/>
        <w:ind w:firstLine="8"/>
        <w:spacing w:after="0" w:line="258" w:lineRule="auto"/>
        <w:tabs>
          <w:tab w:leader="none" w:pos="2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 We maintain our books and records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America. Middlesex and certain of its subsidiaries, which account for 91%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Arial" w:cs="Arial" w:eastAsia="Arial" w:hAnsi="Arial"/>
          <w:sz w:val="18"/>
          <w:szCs w:val="18"/>
          <w:i w:val="1"/>
          <w:iCs w:val="1"/>
          <w:color w:val="auto"/>
        </w:rPr>
        <w:t>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Matters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both"/>
        <w:ind w:firstLine="8"/>
        <w:spacing w:after="0" w:line="261" w:lineRule="auto"/>
        <w:tabs>
          <w:tab w:leader="none" w:pos="25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Plans </w:t>
      </w:r>
      <w:r>
        <w:rPr>
          <w:rFonts w:ascii="Arial" w:cs="Arial" w:eastAsia="Arial" w:hAnsi="Arial"/>
          <w:sz w:val="18"/>
          <w:szCs w:val="18"/>
          <w:color w:val="auto"/>
        </w:rPr>
        <w:t>- We maintain a noncontributory defined benefit pension plan (Pension Plan) which covers all active employees who were</w:t>
      </w:r>
      <w:r>
        <w:rPr>
          <w:rFonts w:ascii="Arial" w:cs="Arial" w:eastAsia="Arial" w:hAnsi="Arial"/>
          <w:sz w:val="18"/>
          <w:szCs w:val="18"/>
          <w:b w:val="1"/>
          <w:bCs w:val="1"/>
          <w:color w:val="auto"/>
        </w:rPr>
        <w:t xml:space="preserve"> </w:t>
      </w:r>
      <w:r>
        <w:rPr>
          <w:rFonts w:ascii="Arial" w:cs="Arial" w:eastAsia="Arial" w:hAnsi="Arial"/>
          <w:sz w:val="18"/>
          <w:szCs w:val="18"/>
          <w:color w:val="auto"/>
        </w:rPr>
        <w:t>hired prior to April 1, 2007. In addition, the Company maintains an unfunded supplemental plan for a limited number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69" w:lineRule="exact"/>
        <w:rPr>
          <w:sz w:val="20"/>
          <w:szCs w:val="20"/>
          <w:color w:val="auto"/>
        </w:rPr>
      </w:pPr>
    </w:p>
    <w:p>
      <w:pPr>
        <w:jc w:val="both"/>
        <w:ind w:firstLine="8"/>
        <w:spacing w:after="0" w:line="258" w:lineRule="auto"/>
        <w:tabs>
          <w:tab w:leader="none" w:pos="23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Utility Plant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is stated at original cost as defined for regulatory purposes. Property accounts are charged with the cost of betterments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2019, there was no event or change in circumstance that would indicate that the carrying amount of any long-lived asset was not recoverable.</w:t>
      </w:r>
    </w:p>
    <w:p>
      <w:pPr>
        <w:spacing w:after="0" w:line="156" w:lineRule="exact"/>
        <w:rPr>
          <w:rFonts w:ascii="Arial" w:cs="Arial" w:eastAsia="Arial" w:hAnsi="Arial"/>
          <w:sz w:val="18"/>
          <w:szCs w:val="18"/>
          <w:b w:val="1"/>
          <w:bCs w:val="1"/>
          <w:color w:val="auto"/>
        </w:rPr>
      </w:pPr>
    </w:p>
    <w:p>
      <w:pPr>
        <w:jc w:val="both"/>
        <w:ind w:firstLine="8"/>
        <w:spacing w:after="0" w:line="261" w:lineRule="auto"/>
        <w:tabs>
          <w:tab w:leader="none" w:pos="25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is computed by each regulated member of the Company utilizing a rate approved by the applicable regulatory authority.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accumulated provision for depreciation is charged with the cost of property retired, less salvage. The following table sets forth the range of depreciation rates for the major utility plant categories used to calculate depreciation for the years ended December 31, 2019, 2018 and 2017. These rates have been approved by the NJBPU, DEPSC or PAPUC:</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Source of Supply</w:t>
            </w:r>
          </w:p>
        </w:tc>
        <w:tc>
          <w:tcPr>
            <w:tcW w:w="1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1.15% - 3.44%</w:t>
            </w: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Transmission and Distribution (T&amp;D):</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Pumping</w:t>
            </w:r>
          </w:p>
        </w:tc>
        <w:tc>
          <w:tcPr>
            <w:tcW w:w="1760" w:type="dxa"/>
            <w:vAlign w:val="bottom"/>
          </w:tcPr>
          <w:p>
            <w:pPr>
              <w:jc w:val="center"/>
              <w:ind w:left="70"/>
              <w:spacing w:after="0"/>
              <w:rPr>
                <w:sz w:val="20"/>
                <w:szCs w:val="20"/>
                <w:color w:val="auto"/>
              </w:rPr>
            </w:pPr>
            <w:r>
              <w:rPr>
                <w:rFonts w:ascii="Arial" w:cs="Arial" w:eastAsia="Arial" w:hAnsi="Arial"/>
                <w:sz w:val="18"/>
                <w:szCs w:val="18"/>
                <w:color w:val="auto"/>
                <w:w w:val="91"/>
              </w:rPr>
              <w:t>2.00% - 5.39%</w:t>
            </w:r>
          </w:p>
        </w:tc>
        <w:tc>
          <w:tcPr>
            <w:tcW w:w="1800" w:type="dxa"/>
            <w:vAlign w:val="bottom"/>
          </w:tcPr>
          <w:p>
            <w:pPr>
              <w:ind w:left="200"/>
              <w:spacing w:after="0"/>
              <w:rPr>
                <w:sz w:val="20"/>
                <w:szCs w:val="20"/>
                <w:color w:val="auto"/>
              </w:rPr>
            </w:pPr>
            <w:r>
              <w:rPr>
                <w:rFonts w:ascii="Arial" w:cs="Arial" w:eastAsia="Arial" w:hAnsi="Arial"/>
                <w:sz w:val="18"/>
                <w:szCs w:val="18"/>
                <w:color w:val="auto"/>
              </w:rPr>
              <w:t>T&amp;D – Mains</w:t>
            </w:r>
          </w:p>
        </w:tc>
        <w:tc>
          <w:tcPr>
            <w:tcW w:w="2420" w:type="dxa"/>
            <w:vAlign w:val="bottom"/>
          </w:tcPr>
          <w:p>
            <w:pPr>
              <w:jc w:val="right"/>
              <w:ind w:right="850"/>
              <w:spacing w:after="0"/>
              <w:rPr>
                <w:sz w:val="20"/>
                <w:szCs w:val="20"/>
                <w:color w:val="auto"/>
              </w:rPr>
            </w:pPr>
            <w:r>
              <w:rPr>
                <w:rFonts w:ascii="Arial" w:cs="Arial" w:eastAsia="Arial" w:hAnsi="Arial"/>
                <w:sz w:val="18"/>
                <w:szCs w:val="18"/>
                <w:color w:val="auto"/>
              </w:rPr>
              <w:t>1.10% - 3.13%</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1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1.65% - 7.09%</w:t>
            </w: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T&amp;D – Services</w:t>
            </w:r>
          </w:p>
        </w:tc>
        <w:tc>
          <w:tcPr>
            <w:tcW w:w="24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2.12% - 3.16%</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General Plant</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2"/>
              </w:rPr>
              <w:t>2.08% - 17.84%</w:t>
            </w:r>
          </w:p>
        </w:tc>
        <w:tc>
          <w:tcPr>
            <w:tcW w:w="1800" w:type="dxa"/>
            <w:vAlign w:val="bottom"/>
          </w:tcPr>
          <w:p>
            <w:pPr>
              <w:ind w:left="200"/>
              <w:spacing w:after="0"/>
              <w:rPr>
                <w:sz w:val="20"/>
                <w:szCs w:val="20"/>
                <w:color w:val="auto"/>
              </w:rPr>
            </w:pPr>
            <w:r>
              <w:rPr>
                <w:rFonts w:ascii="Arial" w:cs="Arial" w:eastAsia="Arial" w:hAnsi="Arial"/>
                <w:sz w:val="18"/>
                <w:szCs w:val="18"/>
                <w:color w:val="auto"/>
              </w:rPr>
              <w:t>T&amp;D – Other</w:t>
            </w:r>
          </w:p>
        </w:tc>
        <w:tc>
          <w:tcPr>
            <w:tcW w:w="2420" w:type="dxa"/>
            <w:vAlign w:val="bottom"/>
          </w:tcPr>
          <w:p>
            <w:pPr>
              <w:jc w:val="right"/>
              <w:ind w:right="850"/>
              <w:spacing w:after="0"/>
              <w:rPr>
                <w:sz w:val="20"/>
                <w:szCs w:val="20"/>
                <w:color w:val="auto"/>
              </w:rPr>
            </w:pPr>
            <w:r>
              <w:rPr>
                <w:rFonts w:ascii="Arial" w:cs="Arial" w:eastAsia="Arial" w:hAnsi="Arial"/>
                <w:sz w:val="18"/>
                <w:szCs w:val="18"/>
                <w:color w:val="auto"/>
              </w:rPr>
              <w:t>1.61% - 4.63%</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Wastewater Collection</w:t>
            </w:r>
          </w:p>
        </w:tc>
        <w:tc>
          <w:tcPr>
            <w:tcW w:w="17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1.42% - 1.81%</w:t>
            </w:r>
          </w:p>
        </w:tc>
        <w:tc>
          <w:tcPr>
            <w:tcW w:w="18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42 years.</w:t>
      </w:r>
    </w:p>
    <w:p>
      <w:pPr>
        <w:spacing w:after="0" w:line="153" w:lineRule="exact"/>
        <w:rPr>
          <w:sz w:val="20"/>
          <w:szCs w:val="20"/>
          <w:color w:val="auto"/>
        </w:rPr>
      </w:pPr>
    </w:p>
    <w:p>
      <w:pPr>
        <w:jc w:val="both"/>
        <w:ind w:firstLine="8"/>
        <w:spacing w:after="0" w:line="258" w:lineRule="auto"/>
        <w:tabs>
          <w:tab w:leader="none" w:pos="26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Preliminary Survey and Investigation (PS&amp;I)Costs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design of water and wastewater systems that the Company ultimately intends to construct,</w:t>
      </w:r>
      <w:r>
        <w:rPr>
          <w:rFonts w:ascii="Arial" w:cs="Arial" w:eastAsia="Arial" w:hAnsi="Arial"/>
          <w:sz w:val="18"/>
          <w:szCs w:val="18"/>
          <w:b w:val="1"/>
          <w:bCs w:val="1"/>
          <w:color w:val="auto"/>
        </w:rPr>
        <w:t xml:space="preserve"> </w:t>
      </w:r>
      <w:r>
        <w:rPr>
          <w:rFonts w:ascii="Arial" w:cs="Arial" w:eastAsia="Arial" w:hAnsi="Arial"/>
          <w:sz w:val="18"/>
          <w:szCs w:val="18"/>
          <w:color w:val="auto"/>
        </w:rPr>
        <w:t>own and operate certain expenditures are incurred to advance those project activities. These PS&amp;I costs are recorded as deferred charges on the balance sheet because these costs are expected to be recovered through future rates charged to customers as the underlying projects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spacing w:after="0" w:line="156" w:lineRule="exact"/>
        <w:rPr>
          <w:rFonts w:ascii="Arial" w:cs="Arial" w:eastAsia="Arial" w:hAnsi="Arial"/>
          <w:sz w:val="18"/>
          <w:szCs w:val="18"/>
          <w:b w:val="1"/>
          <w:bCs w:val="1"/>
          <w:color w:val="auto"/>
        </w:rPr>
      </w:pPr>
    </w:p>
    <w:p>
      <w:pPr>
        <w:jc w:val="both"/>
        <w:ind w:firstLine="8"/>
        <w:spacing w:after="0" w:line="258" w:lineRule="auto"/>
        <w:tabs>
          <w:tab w:leader="none" w:pos="21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Customers’ Advances for Construction (CAC)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and/or cash advances are provided to the Company by customers, real estate developers</w:t>
      </w:r>
      <w:r>
        <w:rPr>
          <w:rFonts w:ascii="Arial" w:cs="Arial" w:eastAsia="Arial" w:hAnsi="Arial"/>
          <w:sz w:val="18"/>
          <w:szCs w:val="18"/>
          <w:b w:val="1"/>
          <w:bCs w:val="1"/>
          <w:color w:val="auto"/>
        </w:rPr>
        <w:t xml:space="preserve"> </w:t>
      </w:r>
      <w:r>
        <w:rPr>
          <w:rFonts w:ascii="Arial" w:cs="Arial" w:eastAsia="Arial" w:hAnsi="Arial"/>
          <w:sz w:val="18"/>
          <w:szCs w:val="18"/>
          <w:color w:val="auto"/>
        </w:rPr>
        <w:t>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Contributions in Aid of Construction(CIAC) </w:t>
      </w:r>
      <w:r>
        <w:rPr>
          <w:rFonts w:ascii="Arial" w:cs="Arial" w:eastAsia="Arial" w:hAnsi="Arial"/>
          <w:sz w:val="18"/>
          <w:szCs w:val="18"/>
          <w:color w:val="auto"/>
        </w:rPr>
        <w:t>– CIAC include direct non-refundable contributions of utility plant and/or cash and the portion of CAC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non-refundable.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CAC and CIAC are not depreciated in accordance with regulatory requirements. In addition, these amounts reduce the investment base for purposes of setting rates.</w:t>
      </w:r>
    </w:p>
    <w:p>
      <w:pPr>
        <w:spacing w:after="0" w:line="153" w:lineRule="exact"/>
        <w:rPr>
          <w:sz w:val="20"/>
          <w:szCs w:val="20"/>
          <w:color w:val="auto"/>
        </w:rPr>
      </w:pPr>
    </w:p>
    <w:p>
      <w:pPr>
        <w:jc w:val="both"/>
        <w:ind w:firstLine="8"/>
        <w:spacing w:after="0" w:line="258" w:lineRule="auto"/>
        <w:tabs>
          <w:tab w:leader="none" w:pos="22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Allowance for Funds Used During Construction (AFUDC) </w:t>
      </w:r>
      <w:r>
        <w:rPr>
          <w:rFonts w:ascii="Arial" w:cs="Arial" w:eastAsia="Arial" w:hAnsi="Arial"/>
          <w:sz w:val="18"/>
          <w:szCs w:val="18"/>
          <w:color w:val="auto"/>
        </w:rPr>
        <w:t>- Middlesex and its regulated subsidiaries capitalize AFUDC, which represents the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projects during construction. AFUDC is added to the construction costs of individual projects exceeding specific cost and construction period thresholds established for each company and then depreciated along with the rest of the utility plant’s costs over its estimated useful life. AFUDC is calculated using each company’s weighted cost of debt and equity as approved in their most recent respective regulatory rate order. The AFUDC rates for the years ended December 31, 2019, 2018 and 2017 for Middlesex and Tidewater are as follows: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2019</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2018</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Middlesex</w:t>
            </w:r>
          </w:p>
        </w:tc>
        <w:tc>
          <w:tcPr>
            <w:tcW w:w="1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6.50%</w:t>
            </w:r>
          </w:p>
        </w:tc>
        <w:tc>
          <w:tcPr>
            <w:tcW w:w="7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6.50%</w:t>
            </w:r>
          </w:p>
        </w:tc>
        <w:tc>
          <w:tcPr>
            <w:tcW w:w="176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6.73%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Tidewater</w:t>
            </w:r>
          </w:p>
        </w:tc>
        <w:tc>
          <w:tcPr>
            <w:tcW w:w="2420" w:type="dxa"/>
            <w:vAlign w:val="bottom"/>
            <w:gridSpan w:val="3"/>
          </w:tcPr>
          <w:p>
            <w:pPr>
              <w:jc w:val="right"/>
              <w:ind w:right="640"/>
              <w:spacing w:after="0"/>
              <w:rPr>
                <w:sz w:val="20"/>
                <w:szCs w:val="20"/>
                <w:color w:val="auto"/>
              </w:rPr>
            </w:pPr>
            <w:r>
              <w:rPr>
                <w:rFonts w:ascii="Arial" w:cs="Arial" w:eastAsia="Arial" w:hAnsi="Arial"/>
                <w:sz w:val="18"/>
                <w:szCs w:val="18"/>
                <w:color w:val="auto"/>
              </w:rPr>
              <w:t>7.92%</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0"/>
              </w:rPr>
              <w:t>7.92%</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7.92%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8"/>
        <w:spacing w:after="0" w:line="261" w:lineRule="auto"/>
        <w:tabs>
          <w:tab w:leader="none" w:pos="26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We record bad debt expense based on historical write-offs combined with an evaluation of current conditions. The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was $1.4 million and $1.0 million as of December 31, 2019 and 2018, respectively. For the years ended December 31, 2019, 2018 and 2017, bad debt expense was $1.0 million, $0.8 million and $0.5 million, respectively. For the years ended December 31, 2019, 2018 and 2017, write-offs were $0.6 million, $0.7 million and $0.5 million, respectively.</w:t>
      </w:r>
    </w:p>
    <w:p>
      <w:pPr>
        <w:spacing w:after="0" w:line="166" w:lineRule="exact"/>
        <w:rPr>
          <w:rFonts w:ascii="Arial" w:cs="Arial" w:eastAsia="Arial" w:hAnsi="Arial"/>
          <w:sz w:val="18"/>
          <w:szCs w:val="18"/>
          <w:b w:val="1"/>
          <w:bCs w:val="1"/>
          <w:color w:val="auto"/>
        </w:rPr>
      </w:pPr>
    </w:p>
    <w:p>
      <w:pPr>
        <w:jc w:val="both"/>
        <w:ind w:firstLine="8"/>
        <w:spacing w:after="0" w:line="261" w:lineRule="auto"/>
        <w:tabs>
          <w:tab w:leader="none" w:pos="24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 The Company’s revenues are primarily generated from regulated tariff-based sales of water and wastewater services and non-regulated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contracts for services on water and wastewater systems owned by others.Revenue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customary termination provisions.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6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99"/>
        </w:trPr>
        <w:tc>
          <w:tcPr>
            <w:tcW w:w="698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1"/>
        </w:trPr>
        <w:tc>
          <w:tcPr>
            <w:tcW w:w="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gridSpan w:val="4"/>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18"/>
                <w:szCs w:val="18"/>
                <w:color w:val="auto"/>
              </w:rPr>
            </w:pPr>
          </w:p>
        </w:tc>
      </w:tr>
      <w:tr>
        <w:trPr>
          <w:trHeight w:val="230"/>
        </w:trPr>
        <w:tc>
          <w:tcPr>
            <w:tcW w:w="320" w:type="dxa"/>
            <w:vAlign w:val="bottom"/>
            <w:tcBorders>
              <w:bottom w:val="single" w:sz="8" w:color="CCEEFF"/>
            </w:tcBorders>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r>
      <w:tr>
        <w:trPr>
          <w:trHeight w:val="196"/>
        </w:trPr>
        <w:tc>
          <w:tcPr>
            <w:tcW w:w="6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Regulated Tariff Sales</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Residential</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71,487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69,785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66,483</w:t>
            </w:r>
          </w:p>
        </w:tc>
      </w:tr>
      <w:tr>
        <w:trPr>
          <w:trHeight w:val="216"/>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15,198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14,844</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13,956</w:t>
            </w:r>
          </w:p>
        </w:tc>
      </w:tr>
      <w:tr>
        <w:trPr>
          <w:trHeight w:val="216"/>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Industrial</w:t>
            </w:r>
          </w:p>
        </w:tc>
        <w:tc>
          <w:tcPr>
            <w:tcW w:w="4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9,390</w:t>
            </w:r>
          </w:p>
        </w:tc>
        <w:tc>
          <w:tcPr>
            <w:tcW w:w="1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10,183</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9,321</w:t>
            </w:r>
          </w:p>
        </w:tc>
      </w:tr>
      <w:tr>
        <w:trPr>
          <w:trHeight w:val="216"/>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Fire Protection</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12,291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12,099</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11,812</w:t>
            </w:r>
          </w:p>
        </w:tc>
      </w:tr>
      <w:tr>
        <w:trPr>
          <w:trHeight w:val="216"/>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Wholesale</w:t>
            </w:r>
          </w:p>
        </w:tc>
        <w:tc>
          <w:tcPr>
            <w:tcW w:w="4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14,319</w:t>
            </w:r>
          </w:p>
        </w:tc>
        <w:tc>
          <w:tcPr>
            <w:tcW w:w="1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14,655</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13,553</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11,773</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16,374</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15,508</w:t>
            </w: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134,458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137,940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130,633</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4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404</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134,598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138,077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130,775</w:t>
            </w:r>
          </w:p>
        </w:tc>
      </w:tr>
    </w:tbl>
    <w:p>
      <w:pPr>
        <w:spacing w:after="0" w:line="171" w:lineRule="exact"/>
        <w:rPr>
          <w:sz w:val="20"/>
          <w:szCs w:val="20"/>
          <w:color w:val="auto"/>
        </w:rPr>
      </w:pPr>
    </w:p>
    <w:p>
      <w:pPr>
        <w:ind w:firstLine="8"/>
        <w:spacing w:after="0" w:line="282" w:lineRule="auto"/>
        <w:tabs>
          <w:tab w:leader="none" w:pos="32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Unamortized Debt Expense and Premiums on Long-Term Debt </w:t>
      </w:r>
      <w:r>
        <w:rPr>
          <w:rFonts w:ascii="Arial" w:cs="Arial" w:eastAsia="Arial" w:hAnsi="Arial"/>
          <w:sz w:val="18"/>
          <w:szCs w:val="18"/>
          <w:color w:val="auto"/>
        </w:rPr>
        <w:t>- Unamortized Debt Expense and Premiums on Long-Term Debt, included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in long-term debt, are amortized over the lives of the related debt issues.</w:t>
      </w:r>
    </w:p>
    <w:p>
      <w:pPr>
        <w:spacing w:after="0" w:line="148" w:lineRule="exact"/>
        <w:rPr>
          <w:rFonts w:ascii="Arial" w:cs="Arial" w:eastAsia="Arial" w:hAnsi="Arial"/>
          <w:sz w:val="18"/>
          <w:szCs w:val="18"/>
          <w:b w:val="1"/>
          <w:bCs w:val="1"/>
          <w:color w:val="auto"/>
        </w:rPr>
      </w:pPr>
    </w:p>
    <w:p>
      <w:pPr>
        <w:jc w:val="both"/>
        <w:ind w:firstLine="8"/>
        <w:spacing w:after="0" w:line="261" w:lineRule="auto"/>
        <w:tabs>
          <w:tab w:leader="none" w:pos="26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Middlesex files a consolidated federal income tax return for the Company and income taxes are allocated based on the separate return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expense and other expense, respectively. For more information on income taxes, see Note 3 –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jc w:val="both"/>
        <w:ind w:right="20" w:firstLine="8"/>
        <w:spacing w:after="0" w:line="266" w:lineRule="auto"/>
        <w:tabs>
          <w:tab w:leader="none" w:pos="25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considers all highly liquid investments with original maturity dates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represent bank balances and money market funds with investments maturing in less than 90 days.</w:t>
      </w:r>
    </w:p>
    <w:p>
      <w:pPr>
        <w:spacing w:after="0" w:line="149" w:lineRule="exact"/>
        <w:rPr>
          <w:rFonts w:ascii="Arial" w:cs="Arial" w:eastAsia="Arial" w:hAnsi="Arial"/>
          <w:sz w:val="18"/>
          <w:szCs w:val="18"/>
          <w:b w:val="1"/>
          <w:bCs w:val="1"/>
          <w:color w:val="auto"/>
        </w:rPr>
      </w:pPr>
    </w:p>
    <w:p>
      <w:pPr>
        <w:ind w:firstLine="8"/>
        <w:spacing w:after="0" w:line="282" w:lineRule="auto"/>
        <w:tabs>
          <w:tab w:leader="none" w:pos="279"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includes cash proceeds from loan transactions entered into through government financing programs and are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trusts for specific capital expenditures or debt service.</w:t>
      </w:r>
    </w:p>
    <w:p>
      <w:pPr>
        <w:spacing w:after="0" w:line="148" w:lineRule="exact"/>
        <w:rPr>
          <w:rFonts w:ascii="Arial" w:cs="Arial" w:eastAsia="Arial" w:hAnsi="Arial"/>
          <w:sz w:val="18"/>
          <w:szCs w:val="18"/>
          <w:b w:val="1"/>
          <w:bCs w:val="1"/>
          <w:color w:val="auto"/>
        </w:rPr>
      </w:pPr>
    </w:p>
    <w:p>
      <w:pPr>
        <w:ind w:firstLine="8"/>
        <w:spacing w:after="0" w:line="282" w:lineRule="auto"/>
        <w:tabs>
          <w:tab w:leader="none" w:pos="27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Conformity with accounting principles generally accepted in the United States of America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in the financial statements. Actual results could differ from those estimates.</w:t>
      </w:r>
    </w:p>
    <w:p>
      <w:pPr>
        <w:spacing w:after="0" w:line="148" w:lineRule="exact"/>
        <w:rPr>
          <w:rFonts w:ascii="Arial" w:cs="Arial" w:eastAsia="Arial" w:hAnsi="Arial"/>
          <w:sz w:val="18"/>
          <w:szCs w:val="18"/>
          <w:b w:val="1"/>
          <w:bCs w:val="1"/>
          <w:color w:val="auto"/>
        </w:rPr>
      </w:pPr>
    </w:p>
    <w:p>
      <w:pPr>
        <w:ind w:left="260" w:hanging="252"/>
        <w:spacing w:after="0"/>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The Financial Accounting Standards Board (FASB) issued guidance, which replaces most of the existing guidance with a single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principles for recognizing revenue from contracts with customers. The guidance became effective January 1, 2018 and did not have a material impact on the Company’s financial statements. Disclosures related to Revenue Recognition are included above in </w:t>
      </w:r>
      <w:r>
        <w:rPr>
          <w:rFonts w:ascii="Arial" w:cs="Arial" w:eastAsia="Arial" w:hAnsi="Arial"/>
          <w:sz w:val="17"/>
          <w:szCs w:val="17"/>
          <w:i w:val="1"/>
          <w:iCs w:val="1"/>
          <w:color w:val="auto"/>
        </w:rPr>
        <w:t>Revenues</w:t>
      </w:r>
      <w:r>
        <w:rPr>
          <w:rFonts w:ascii="Arial" w:cs="Arial" w:eastAsia="Arial" w:hAnsi="Arial"/>
          <w:sz w:val="17"/>
          <w:szCs w:val="17"/>
          <w:color w:val="auto"/>
        </w:rPr>
        <w:t>.</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Recognition and Measurement of Financial Assets and FinancialLiabilities </w:t>
      </w:r>
      <w:r>
        <w:rPr>
          <w:rFonts w:ascii="Arial" w:cs="Arial" w:eastAsia="Arial" w:hAnsi="Arial"/>
          <w:sz w:val="18"/>
          <w:szCs w:val="18"/>
          <w:color w:val="auto"/>
        </w:rPr>
        <w:t>- The FASB issued guidance which (i) requires all investments in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except those accounted for under the equity method of accounting or that result in consolidation of the investee, unincorporated joint ventures and limited liability companies, to be carried at fair value through net income, (ii) requires an incremental recognition and disclosure requirement related to the presentation of fair value changes of financial liabilities for which the fair value option has been elected, (iii) amends several disclosure requirements, including the methods and significant assumptions used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estimate fair value or a description of the changes in the methods and assumptions used to estimate fair value, and (iv) requires disclosure of the fair value of financial assets and liabilities measured at amortized cost at the amount that would be received to sell the asset or paid to transfer the liability. The guidance became effective January 1, 2018 and did not have a material impact on the Company’s financial statements.</w:t>
      </w:r>
    </w:p>
    <w:p>
      <w:pPr>
        <w:spacing w:after="0" w:line="1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Statement of Cash Flows - </w:t>
      </w:r>
      <w:r>
        <w:rPr>
          <w:rFonts w:ascii="Arial" w:cs="Arial" w:eastAsia="Arial" w:hAnsi="Arial"/>
          <w:sz w:val="16"/>
          <w:szCs w:val="16"/>
          <w:color w:val="auto"/>
        </w:rPr>
        <w:t>The FASB issued guidance which amends the previous guidance on the classification of certain cash receipts and payments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of cash flows. The primary purpose of the amendment is to reduce the diversity in practice that has resulted from the lack of consistent principles on this topic. The guidance became effective January 1, 2018 and did not have a material impact on the Company’s financial statements.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Restricted Cash - </w:t>
      </w:r>
      <w:r>
        <w:rPr>
          <w:rFonts w:ascii="Arial" w:cs="Arial" w:eastAsia="Arial" w:hAnsi="Arial"/>
          <w:sz w:val="18"/>
          <w:szCs w:val="18"/>
          <w:color w:val="auto"/>
        </w:rPr>
        <w:t>The FASB issued guidance related to the classification and presentation of restricted cash in the statement of cash flows, which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 a) include restricted cash balances in its cash and cash-equivalent balances in the statement of cash flows and b) include a reconciliation of cash and cash-equivalents per the statement of financial position as compared to the statement of cash flows. Changes in restricted cash and restricted cash equivalents that result from transfers between cash, cash equivalents, and restricted cash and restricted cash equivalents will not be presented as cash flow activities in the statement of cash flows. In addition, an entity with a material balance of amounts described as restricted cash and restricted cash equivalents must disclose information about the nature of the restrictions. The guidance became effective January 1, 2018 and did not have a material impact on the Company’s financial statements.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Employee Benefit Plans-Net Periodic Benefit Cost – </w:t>
      </w:r>
      <w:r>
        <w:rPr>
          <w:rFonts w:ascii="Arial" w:cs="Arial" w:eastAsia="Arial" w:hAnsi="Arial"/>
          <w:sz w:val="17"/>
          <w:szCs w:val="17"/>
          <w:color w:val="auto"/>
        </w:rPr>
        <w:t>The FASB issued guidance which requires entities to (1) disaggregate the current-service-cost</w:t>
      </w:r>
      <w:r>
        <w:rPr>
          <w:rFonts w:ascii="Arial" w:cs="Arial" w:eastAsia="Arial" w:hAnsi="Arial"/>
          <w:sz w:val="17"/>
          <w:szCs w:val="17"/>
          <w:b w:val="1"/>
          <w:bCs w:val="1"/>
          <w:color w:val="auto"/>
        </w:rPr>
        <w:t xml:space="preserve"> </w:t>
      </w:r>
      <w:r>
        <w:rPr>
          <w:rFonts w:ascii="Arial" w:cs="Arial" w:eastAsia="Arial" w:hAnsi="Arial"/>
          <w:sz w:val="17"/>
          <w:szCs w:val="17"/>
          <w:color w:val="auto"/>
        </w:rPr>
        <w:t>component from the other components of net benefit cost and present it with other current compensation costs for related employees in the income statement and (2) present the other components elsewhere in the income statement and outside of income from operations if that subtotal is presented. In addition, the guidance requires entities to disclose the income statement lines that contain the other components if they are not presented on appropriately described separate lines. The guidance became effective January 1, 2018 and did not have a material impact on the Company’s financial statements. As a result of adopting this guidance, the consolidated statement of income for the year ended December 31, 2017 was revised, which resulted in increases in Operations and Maintenance expense and Other Income (Expense), net of $0.8 million.</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Leases - </w:t>
      </w:r>
      <w:r>
        <w:rPr>
          <w:rFonts w:ascii="Arial" w:cs="Arial" w:eastAsia="Arial" w:hAnsi="Arial"/>
          <w:sz w:val="17"/>
          <w:szCs w:val="17"/>
          <w:color w:val="auto"/>
        </w:rPr>
        <w:t>The FASB issued guidance related to leases which requires lessees to recognize a lease liability (a lessee’s obligation to make lease payments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from a lease, measured on a discounted basis) and a right-of-use asset (an asset that represents the lessee’s right to use, or control the use of, a specified asset for the lease term). The guidance became effective on January 1, 2019. The Company elected the optional transition method of adoption option to apply the requirements of the standard in the period of adoption with no restatement of prior periods. The Company utilized the package of transition practical expedients provided by the new guidance, including carrying forward prior conclusions related to contracts that contain leases and lease classification. The Company also utilized the transition practical expedient permitting entities to forgo the evaluation of existing land easement arrangements to determine if they contain a lease. Land easement arrangements, or modifications to existing arrangements, entered into after adoption of this guidance will need to be evaluated to determine if they meet the definition of a lease. The adoption of this guidance resulted in the recording of a $6.7 million right-of-use asset, a $7.1 million lease liability and a $0.4 million regulatory asset on the Company’s consolidated balance sheet as of January 1, 2019. For further discussion, see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4 – Commitments and Contingent Liabilities</w:t>
      </w:r>
      <w:r>
        <w:rPr>
          <w:rFonts w:ascii="Arial" w:cs="Arial" w:eastAsia="Arial" w:hAnsi="Arial"/>
          <w:sz w:val="17"/>
          <w:szCs w:val="17"/>
          <w:color w:val="auto"/>
        </w:rPr>
        <w:t>.</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Matters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Middlesex </w:t>
      </w:r>
      <w:r>
        <w:rPr>
          <w:rFonts w:ascii="Arial" w:cs="Arial" w:eastAsia="Arial" w:hAnsi="Arial"/>
          <w:sz w:val="18"/>
          <w:szCs w:val="18"/>
          <w:color w:val="auto"/>
        </w:rPr>
        <w:t>- In November 2019, Middlesex filed a petition with the NJBPU seeking approval to reset its Purchased Water Adjustment Clause (PWAC) tariff</w:t>
      </w:r>
      <w:r>
        <w:rPr>
          <w:rFonts w:ascii="Arial" w:cs="Arial" w:eastAsia="Arial" w:hAnsi="Arial"/>
          <w:sz w:val="18"/>
          <w:szCs w:val="18"/>
          <w:b w:val="1"/>
          <w:bCs w:val="1"/>
          <w:color w:val="auto"/>
        </w:rPr>
        <w:t xml:space="preserve"> </w:t>
      </w:r>
      <w:r>
        <w:rPr>
          <w:rFonts w:ascii="Arial" w:cs="Arial" w:eastAsia="Arial" w:hAnsi="Arial"/>
          <w:sz w:val="18"/>
          <w:szCs w:val="18"/>
          <w:color w:val="auto"/>
        </w:rPr>
        <w:t>rate currently in effect to recover additional costs of $0.5 million for the purchase of treated water from a non-affiliated regulated water utility regulated by the NJBPU. A PWAC is a rate mechanism that allows for recovery of increased purchased water costs between base rate case filings. The PWAC is reset to zero once those increased costs are included in base rates. We cannot predict whether the NJBPU will ultimately approve, deny or reduce the amount of our request.</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2018, the NJBPU approved Middlesex’s petition to establish its PWAC tariff rate to recover additional annual costs of less than $0.1 million, primarily for the purchase of treated water from a non-affiliated water utility. The PWAC tariff rate became effective on January 1, 2019.</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2018, Middlesex’s petition to the NJBPU seeking permission to increase its base water rates was concluded, based on a negotiated settlement, resulting in an increase in annual operating revenues of $5.5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2020, Tidewater increased its DEPSC-approved Distribution System Improvement Charge (DSIC) rate, which is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revenues of approximately $0.5 million annually. A DSIC is a rate-mechanism that allows water utilities to recover investments in, and generate a return on, qualifying capital improvements made between base rate proceedings.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2019, Tidewater completed a $1.8 million DEPSC-approved purchase of the water utility assets of J.H. Wilkerson and Son, Inc. and transfer of the Certificate of Public Convenience and Necessity in order for Tidewater to serve the approximate 1,000 customers currently connected to eight community water systems located mostly in eastern Sussex County, Delaware. The DEPSC also authorized Tidewater to maintain the existing customer rates.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(the Tax Act), resulting in a 3.35% rate decrease for certain customer classes.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Pinelands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October 2019, Pinelands Water and Pinelands Wastewater concluded their base rate case matters when the NJBPU approved a negotiated</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amongst the parties for a $0.5 million increase in annual base rates, effective November 4, 2019. In March 2019, Pinelands had filed their petitions seeking permission to increase base rates by approximately $0.7 million per year. The requests were necessitated by capital infrastructure investments both companies had made, and increased operations and maintenance costs.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in Sussex County, Delaware. Under the agreement, current rates will remain in effect until December 31, 2024, but should there be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new agreement expires on December 31, 2029.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Twin Lakes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July 2019, Twin Lakes filed a petition with the PAPUC seeking permission to increase base rates by approximately $0.2 million per year.</w:t>
      </w:r>
      <w:r>
        <w:rPr>
          <w:rFonts w:ascii="Arial" w:cs="Arial" w:eastAsia="Arial" w:hAnsi="Arial"/>
          <w:sz w:val="16"/>
          <w:szCs w:val="16"/>
          <w:b w:val="1"/>
          <w:bCs w:val="1"/>
          <w:color w:val="auto"/>
        </w:rPr>
        <w:t xml:space="preserve"> </w:t>
      </w:r>
      <w:r>
        <w:rPr>
          <w:rFonts w:ascii="Arial" w:cs="Arial" w:eastAsia="Arial" w:hAnsi="Arial"/>
          <w:sz w:val="16"/>
          <w:szCs w:val="16"/>
          <w:color w:val="auto"/>
        </w:rPr>
        <w:t>This request was necessitated by capital infrastructure investments Twin Lakes has made and increased operations and maintenance costs. The matter has been fully litigated and is subject to a decision by an Administrative Law Judge (ALJ). We cannot predict what decision the ALJ will render or whether the PAPUC will ultimately approve or deny in part or in its entirety the ALJ decision. A decision by the PAPUC is not expected before March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spacing w:after="0" w:line="137"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4"/>
          </w:tcPr>
          <w:p>
            <w:pPr>
              <w:jc w:val="right"/>
              <w:ind w:right="205"/>
              <w:spacing w:after="0"/>
              <w:rPr>
                <w:sz w:val="20"/>
                <w:szCs w:val="20"/>
                <w:color w:val="auto"/>
              </w:rPr>
            </w:pPr>
            <w:r>
              <w:rPr>
                <w:rFonts w:ascii="Arial" w:cs="Arial" w:eastAsia="Arial" w:hAnsi="Arial"/>
                <w:sz w:val="18"/>
                <w:szCs w:val="18"/>
                <w:b w:val="1"/>
                <w:bCs w:val="1"/>
                <w:color w:val="auto"/>
              </w:rPr>
              <w:t>(Thousands of Dollars)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80" w:type="dxa"/>
            <w:vAlign w:val="bottom"/>
            <w:gridSpan w:val="3"/>
          </w:tcPr>
          <w:p>
            <w:pPr>
              <w:jc w:val="right"/>
              <w:ind w:right="565"/>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Regulatory Assets</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Recovery Periods</w:t>
            </w:r>
          </w:p>
        </w:tc>
      </w:tr>
      <w:tr>
        <w:trPr>
          <w:trHeight w:val="20"/>
        </w:trPr>
        <w:tc>
          <w:tcPr>
            <w:tcW w:w="138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203"/>
        </w:trPr>
        <w:tc>
          <w:tcPr>
            <w:tcW w:w="4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Retirement Benefits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44,281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39,158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Various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60,151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Various</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Cases, Tank Painting, and Other</w:t>
            </w:r>
          </w:p>
        </w:tc>
        <w:tc>
          <w:tcPr>
            <w:tcW w:w="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6,047</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 years</w:t>
            </w:r>
          </w:p>
        </w:tc>
      </w:tr>
      <w:tr>
        <w:trPr>
          <w:trHeight w:val="210"/>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110,479</w:t>
            </w:r>
          </w:p>
        </w:tc>
        <w:tc>
          <w:tcPr>
            <w:tcW w:w="1180" w:type="dxa"/>
            <w:vAlign w:val="bottom"/>
            <w:tcBorders>
              <w:bottom w:val="single" w:sz="8" w:color="auto"/>
            </w:tcBorders>
            <w:gridSpan w:val="2"/>
          </w:tcPr>
          <w:p>
            <w:pPr>
              <w:jc w:val="right"/>
              <w:ind w:right="92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99,236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Retirement benefits include pension and other retirement benefits that have been recorded on the Consolidated Balance Sheet in accordance with the guidance provided in ASC 715</w:t>
      </w:r>
      <w:r>
        <w:rPr>
          <w:rFonts w:ascii="Arial" w:cs="Arial" w:eastAsia="Arial" w:hAnsi="Arial"/>
          <w:sz w:val="18"/>
          <w:szCs w:val="18"/>
          <w:i w:val="1"/>
          <w:iCs w:val="1"/>
          <w:color w:val="auto"/>
        </w:rPr>
        <w:t>, Compensation – Retirement Benefits.</w:t>
      </w:r>
      <w:r>
        <w:rPr>
          <w:rFonts w:ascii="Arial" w:cs="Arial" w:eastAsia="Arial" w:hAnsi="Arial"/>
          <w:sz w:val="18"/>
          <w:szCs w:val="18"/>
          <w:color w:val="auto"/>
        </w:rPr>
        <w:t xml:space="preserve"> These amounts represent obligations in excess of current funding, which the Company believes will be fully recovered in rates set by the regulatory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recovery period for income taxes is dependent upon when the temporary differences between the tax and book treatment of various items reverse.</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December 2017, the Tax Act was signed into law making significant changes to the Internal Revenue Code, including a corporate tax rate decrease from 35% to 21% effective for tax years beginning after December 31, 2017. The tariff rates charged to customers in the Company’s regulated companies include recovery of income taxes at the statutory rate at the time those rates are approved by the respective state public utility commissions that regulate each of our regulated subsidiaries. As of December 31, 2019 and December 31, 2018, the Company has recorded regulatory liabilities of $31.5 million and $31.7 million, respectively for excess income taxes collected through rates due to the lower income tax rate under the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conclusion of Middlesex’s and Pinelands’ base rate cases and the resulting rates implemented in April 2018 and November 2019, respectively, reflect the impact of the Tax Act on their revenue requirements. In February 2019, Tidewater received approval from the DEPSC to reduce its rates to reflect the lower corporate income tax rate enacted by the Tax Act (see </w:t>
      </w:r>
      <w:r>
        <w:rPr>
          <w:rFonts w:ascii="Arial" w:cs="Arial" w:eastAsia="Arial" w:hAnsi="Arial"/>
          <w:sz w:val="17"/>
          <w:szCs w:val="17"/>
          <w:i w:val="1"/>
          <w:iCs w:val="1"/>
          <w:color w:val="auto"/>
        </w:rPr>
        <w:t>Rate Matters-Tidewater</w:t>
      </w:r>
      <w:r>
        <w:rPr>
          <w:rFonts w:ascii="Arial" w:cs="Arial" w:eastAsia="Arial" w:hAnsi="Arial"/>
          <w:sz w:val="17"/>
          <w:szCs w:val="17"/>
          <w:color w:val="auto"/>
        </w:rPr>
        <w:t xml:space="preserve"> above).</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As part of Middlesex’s March 2018 base water rate settlement with the NJBPU, Middlesex received approval for regulatory accounting treatment of accumulated deferred income tax benefits associated with the adoption of tangible property regulations issued by the IRS (see </w:t>
      </w:r>
      <w:r>
        <w:rPr>
          <w:rFonts w:ascii="Arial" w:cs="Arial" w:eastAsia="Arial" w:hAnsi="Arial"/>
          <w:sz w:val="17"/>
          <w:szCs w:val="17"/>
          <w:i w:val="1"/>
          <w:iCs w:val="1"/>
          <w:color w:val="auto"/>
        </w:rPr>
        <w:t>Rate Matters-Middlesex</w:t>
      </w:r>
      <w:r>
        <w:rPr>
          <w:rFonts w:ascii="Arial" w:cs="Arial" w:eastAsia="Arial" w:hAnsi="Arial"/>
          <w:sz w:val="17"/>
          <w:szCs w:val="17"/>
          <w:color w:val="auto"/>
        </w:rPr>
        <w:t xml:space="preserve"> above), and, as of December 31, 2019 and 2018, the Company has recorded $24.2 million and $34.6 million of related regulatory liabilities.</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2019 and 2018, the Company has approximately $13.4 million and $12.8 million, respectively, of expected costs of removal recovered currently in rates in excess of actual costs incurred as regulatory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differs from the amount computed by applying the statutory rate on book income subject to tax for the following reasons: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(Thousands of Dollars)</w:t>
            </w:r>
          </w:p>
        </w:tc>
        <w:tc>
          <w:tcPr>
            <w:tcW w:w="8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10"/>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7,009</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11,868</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Tax Effect of:</w:t>
            </w: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Utility Plant Related</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Tangible Property Repairs</w:t>
            </w:r>
          </w:p>
        </w:tc>
        <w:tc>
          <w:tcPr>
            <w:tcW w:w="19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(10,156)</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(7,763)</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 – Net</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Tax Act</w:t>
            </w:r>
          </w:p>
        </w:tc>
        <w:tc>
          <w:tcPr>
            <w:tcW w:w="19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924</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11,100</w:t>
            </w:r>
          </w:p>
        </w:tc>
      </w:tr>
      <w:tr>
        <w:trPr>
          <w:trHeight w:val="507"/>
        </w:trPr>
        <w:tc>
          <w:tcPr>
            <w:tcW w:w="5300" w:type="dxa"/>
            <w:vAlign w:val="bottom"/>
            <w:gridSpan w:val="3"/>
          </w:tcPr>
          <w:p>
            <w:pPr>
              <w:spacing w:after="0"/>
              <w:rPr>
                <w:sz w:val="20"/>
                <w:szCs w:val="20"/>
                <w:color w:val="auto"/>
              </w:rPr>
            </w:pPr>
            <w:r>
              <w:rPr>
                <w:rFonts w:ascii="Arial" w:cs="Arial" w:eastAsia="Arial" w:hAnsi="Arial"/>
                <w:sz w:val="18"/>
                <w:szCs w:val="18"/>
                <w:color w:val="auto"/>
              </w:rPr>
              <w:t>Income tax expense is comprised of the following:</w:t>
            </w:r>
          </w:p>
        </w:tc>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(Thousands of Dollars)</w:t>
            </w:r>
          </w:p>
        </w:tc>
        <w:tc>
          <w:tcPr>
            <w:tcW w:w="86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10"/>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Current:</w:t>
            </w: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2,090</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State</w:t>
            </w:r>
          </w:p>
        </w:tc>
        <w:tc>
          <w:tcPr>
            <w:tcW w:w="19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2,246</w:t>
            </w:r>
          </w:p>
        </w:tc>
        <w:tc>
          <w:tcPr>
            <w:tcW w:w="3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2,073</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1,066</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Federal</w:t>
            </w:r>
          </w:p>
        </w:tc>
        <w:tc>
          <w:tcPr>
            <w:tcW w:w="19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7,713</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r>
      <w:tr>
        <w:trPr>
          <w:trHeight w:val="216"/>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Investment Tax Credits</w:t>
            </w:r>
          </w:p>
        </w:tc>
        <w:tc>
          <w:tcPr>
            <w:tcW w:w="1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924</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11,100</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part of Middlesex’s March 2018 base water rate settlement with the NJBPU, Middlesex received approval for regulatory accounting treatment of accumulated deferred income tax benefits associated with the adoption of tangible property regulations issued by the IRS as well as immediate recognition of current year tangible property regulations tax benefits (see Note 2 – </w:t>
      </w:r>
      <w:r>
        <w:rPr>
          <w:rFonts w:ascii="Arial" w:cs="Arial" w:eastAsia="Arial" w:hAnsi="Arial"/>
          <w:sz w:val="18"/>
          <w:szCs w:val="18"/>
          <w:i w:val="1"/>
          <w:iCs w:val="1"/>
          <w:color w:val="auto"/>
        </w:rPr>
        <w:t>Rate and Regulatory Matters</w:t>
      </w:r>
      <w:r>
        <w:rPr>
          <w:rFonts w:ascii="Arial" w:cs="Arial" w:eastAsia="Arial" w:hAnsi="Arial"/>
          <w:sz w:val="18"/>
          <w:szCs w:val="18"/>
          <w:color w:val="auto"/>
        </w:rPr>
        <w:t>). This results in significant reductions in the Company’s effective income tax rate, current income tax expense and deferred income tax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6"/>
              </w:rPr>
              <w:t>(Thousands of Dollars)</w:t>
            </w:r>
          </w:p>
        </w:tc>
      </w:tr>
      <w:tr>
        <w:trPr>
          <w:trHeight w:val="216"/>
        </w:trPr>
        <w:tc>
          <w:tcPr>
            <w:tcW w:w="5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3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Related</w:t>
            </w:r>
          </w:p>
        </w:tc>
        <w:tc>
          <w:tcPr>
            <w:tcW w:w="2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50,608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44,777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Customer Advances</w:t>
            </w:r>
          </w:p>
        </w:tc>
        <w:tc>
          <w:tcPr>
            <w:tcW w:w="2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Investment Tax Credits (ITC)</w:t>
            </w:r>
          </w:p>
        </w:tc>
        <w:tc>
          <w:tcPr>
            <w:tcW w:w="27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596</w:t>
            </w:r>
          </w:p>
        </w:tc>
      </w:tr>
      <w:tr>
        <w:trPr>
          <w:trHeight w:val="216"/>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1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 Liability and ITC</w:t>
            </w:r>
          </w:p>
        </w:tc>
        <w:tc>
          <w:tcPr>
            <w:tcW w:w="2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54,408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47,270</w:t>
            </w:r>
          </w:p>
        </w:tc>
      </w:tr>
    </w:tbl>
    <w:p>
      <w:pPr>
        <w:spacing w:after="0" w:line="2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its 2014 Federal income tax return, the Company adopted the final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2018, the Company increased its income tax reserve provision to $4.1 million. During the first quarter of 2019, the Company agreed to certain modifications of its accounting method for expenditures that qualify as deductible repairs and the IRS concluded its audit of the Company’s 2014 federal income tax return. The modifications also impacted the Company’s filed 2015, 2016 and 2017 federal income tax returns. In March 2019 and June 2019, the Company paid $0.8 million in income taxes and $0.1 million in interest, respectively, in connection with the conclusion and closing of the 2014 and 2015 tax return audits. In October 2019, the Company paid $1.9 million in income taxes in connection with the conclusion and closing of the 2016 and 2017 tax return audits. As of December 31, 2019, the Company has reduced its income tax reserve provision and interest expense liability to $0.5 million and $0.1 million, respectively.</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statutory review periods for federal income tax returns for the years prior to 2016 have been closed. Other than the effects of the provision against refundable taxes discussed above, there are no unrecognized tax benefits resulting from prior period tax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Contingent Liabilities</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also has an agreement with a non-affiliated water utility regulated by the NJBPU for the purchase of treated water. This agreement, which expires February 27, 2021, provides for the minimum purchase of 3.0 mgd of treated water with provisions for additional purchases.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treated water of 15.0 million gallons annually.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940" w:type="dxa"/>
            <w:vAlign w:val="bottom"/>
            <w:gridSpan w:val="3"/>
          </w:tcPr>
          <w:p>
            <w:pPr>
              <w:spacing w:after="0"/>
              <w:rPr>
                <w:sz w:val="20"/>
                <w:szCs w:val="20"/>
                <w:color w:val="auto"/>
              </w:rPr>
            </w:pPr>
            <w:r>
              <w:rPr>
                <w:rFonts w:ascii="Arial" w:cs="Arial" w:eastAsia="Arial" w:hAnsi="Arial"/>
                <w:sz w:val="18"/>
                <w:szCs w:val="18"/>
                <w:color w:val="auto"/>
              </w:rPr>
              <w:t>Purchased water costs are shown below:</w:t>
            </w: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gridSpan w:val="5"/>
          </w:tcPr>
          <w:p>
            <w:pPr>
              <w:ind w:left="300"/>
              <w:spacing w:after="0"/>
              <w:rPr>
                <w:sz w:val="20"/>
                <w:szCs w:val="20"/>
                <w:color w:val="auto"/>
              </w:rPr>
            </w:pPr>
            <w:r>
              <w:rPr>
                <w:rFonts w:ascii="Arial" w:cs="Arial" w:eastAsia="Arial" w:hAnsi="Arial"/>
                <w:sz w:val="18"/>
                <w:szCs w:val="18"/>
                <w:b w:val="1"/>
                <w:bCs w:val="1"/>
                <w:color w:val="auto"/>
                <w:w w:val="92"/>
              </w:rPr>
              <w:t>(Millions of Dollars)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Untreated</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Treated</w:t>
            </w:r>
          </w:p>
        </w:tc>
        <w:tc>
          <w:tcPr>
            <w:tcW w:w="20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w:t>
            </w:r>
          </w:p>
        </w:tc>
        <w:tc>
          <w:tcPr>
            <w:tcW w:w="20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As part of an agreement with the County of Monmouth, New Jersey (County), Middlesex serves as guarantor of the performance of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Water Management, Inc. (AWM), an unaffiliated wastewater treatment contractor, to operate a County-owned leachate pretreatment facility at the Monmouth County Reclamation Center in Tinton Falls, New Jersey. The performance guaranty is effective through 2029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agree to indemnify Middlesex against any claims that may arise under the Middlesex guaranty to the County.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The liability and asset for the guaranty are included in Other Non-Current Liabilities and Other Non-Current Assets on the balance sheet and are approximately $1.4 million and $1.5 million as of December 31, 2019 and 2018, respectively.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Middlesex was first notified that the County terminated its Agreement with AWM. AWM has filed a lawsuit against the County in the Superior Court of New Jersey, Monmouth County that in part contests the County’s exercise of this termination. Middlesex is examining the current status of its performance guaranty in light of these developments and continues to monitor this litigation for its implications on the future need to continue with the guaranty.</w:t>
      </w:r>
    </w:p>
    <w:p>
      <w:pPr>
        <w:spacing w:after="0" w:line="1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The Company determines if an arrangement is a lease at inception. Generally, a lease agreement exists if the Company determines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gives the Company control over the use of an identified asset and obtains substantially all of the benefits from the identified asset.</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was $0.7 million, $0.5 million and $0.1 million for the years ended December 31, 2019,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76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40" w:type="dxa"/>
            <w:vAlign w:val="bottom"/>
            <w:gridSpan w:val="3"/>
          </w:tcPr>
          <w:p>
            <w:pPr>
              <w:spacing w:after="0"/>
              <w:rPr>
                <w:sz w:val="20"/>
                <w:szCs w:val="20"/>
                <w:color w:val="auto"/>
              </w:rPr>
            </w:pPr>
            <w:r>
              <w:rPr>
                <w:rFonts w:ascii="Arial" w:cs="Arial" w:eastAsia="Arial" w:hAnsi="Arial"/>
                <w:sz w:val="18"/>
                <w:szCs w:val="18"/>
                <w:color w:val="auto"/>
              </w:rPr>
              <w:t>Information related to operating lease ROU assets and lease liabilities is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7"/>
              </w:rPr>
              <w:t>(In Millions)</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ROU Asset at Least Inception</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w w:val="92"/>
              </w:rPr>
              <w:t>The Company’s future minimum operating lease commitments as of December 31, 2019 are as follows:</w:t>
            </w: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5"/>
              </w:rPr>
              <w:t>(In Millions)</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Imputed Interest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Payments</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Lease Liability</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Included in Other Current Liabilities</w:t>
      </w:r>
    </w:p>
    <w:p>
      <w:pPr>
        <w:spacing w:after="0" w:line="3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–The Company has projected to spend approximately $124 million in 2020, $112 million in 2021 and $59 million in 2022 on its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 has entered into several contractual construction agreements that in total obligate it to expend an estimated $63 million in the future. The actual amount and timing of capital expenditures is dependent on the need for replacement of existing infrastructure, customer growth, residential new home construction and sales, project scheduling and continued refinement of project scope and costs. There is no assurance that projected customer growth and residential new home construction and sales will occur.</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Based on our operations in the heavily-regulated water and wastewater industries, the Company is routinely involved in disputes, claims,</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 in Control Agreements </w:t>
      </w:r>
      <w:r>
        <w:rPr>
          <w:rFonts w:ascii="Arial" w:cs="Arial" w:eastAsia="Arial" w:hAnsi="Arial"/>
          <w:sz w:val="18"/>
          <w:szCs w:val="18"/>
          <w:color w:val="auto"/>
        </w:rPr>
        <w:t>– The Company has Change in Control Agreements with its executive officers that provide compensation and benefits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termination of employment in connection with a change in control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short-term borrowings for the years ended December 31, 2019 and 2018 is summarized below:</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360" w:type="dxa"/>
            <w:vAlign w:val="bottom"/>
            <w:gridSpan w:val="3"/>
          </w:tcPr>
          <w:p>
            <w:pPr>
              <w:ind w:left="260"/>
              <w:spacing w:after="0"/>
              <w:rPr>
                <w:sz w:val="20"/>
                <w:szCs w:val="20"/>
                <w:color w:val="auto"/>
              </w:rPr>
            </w:pPr>
            <w:r>
              <w:rPr>
                <w:rFonts w:ascii="Arial" w:cs="Arial" w:eastAsia="Arial" w:hAnsi="Arial"/>
                <w:sz w:val="18"/>
                <w:szCs w:val="18"/>
                <w:b w:val="1"/>
                <w:bCs w:val="1"/>
                <w:color w:val="auto"/>
              </w:rPr>
              <w:t>(Millions of Dollars)</w:t>
            </w:r>
          </w:p>
        </w:tc>
      </w:tr>
      <w:tr>
        <w:trPr>
          <w:trHeight w:val="234"/>
        </w:trPr>
        <w:tc>
          <w:tcPr>
            <w:tcW w:w="53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Established Lines at Year-End</w:t>
            </w:r>
          </w:p>
        </w:tc>
        <w:tc>
          <w:tcPr>
            <w:tcW w:w="2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92.0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Maximum Amount Outstanding</w:t>
            </w:r>
          </w:p>
        </w:tc>
        <w:tc>
          <w:tcPr>
            <w:tcW w:w="25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59.4</w:t>
            </w:r>
          </w:p>
        </w:tc>
        <w:tc>
          <w:tcPr>
            <w:tcW w:w="34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48.5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37.3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Notes Payable at Year-End</w:t>
            </w:r>
          </w:p>
        </w:tc>
        <w:tc>
          <w:tcPr>
            <w:tcW w:w="25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48.5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3.17%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0"/>
                <w:szCs w:val="20"/>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w w:val="90"/>
              </w:rPr>
              <w:t>3.57%</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for the Notes Payable as of December 31, 2019 are in January 2020 and are extendable at the discretion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for short-term borrowings are below the prime rate with no requirement for compensating balances.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Capitalization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the transactions discussed below related to the issuance of securities were approved by either the NJBPU or DEPSC, except where otherwise noted.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2019, the Company sold and issued 0.8 million shares of common stock in a public offering priced at $60.50 per share. The net proceeds of $43.7 million were used for general corporate purposes including repayment of a portion of the Company’s short-term debt.</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there remains 0.4 million shares registered with the SEC for the Investment Plan and available for potential issuance to participants. In January 2019, the Company activated a limited share purchase discount feature of the Investment Plan. Investment Plan participants were invited to purchase shares directly as well as reinvest their common stock dividends at a 5% discount. In August 2019, the 0.2 million share purchase limit was reached and the discount offer terminated. The Company raised approximately $12.7 million through the issuance of over 0.2 million shares under the Investment Plan during 2019.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issues shares under a restricted stock plan for certain management employees, which is described in Note 7 – </w:t>
      </w:r>
      <w:r>
        <w:rPr>
          <w:rFonts w:ascii="Arial" w:cs="Arial" w:eastAsia="Arial" w:hAnsi="Arial"/>
          <w:sz w:val="17"/>
          <w:szCs w:val="17"/>
          <w:i w:val="1"/>
          <w:iCs w:val="1"/>
          <w:color w:val="auto"/>
        </w:rPr>
        <w:t>Employee Benefit Plans</w:t>
      </w:r>
      <w:r>
        <w:rPr>
          <w:rFonts w:ascii="Arial" w:cs="Arial" w:eastAsia="Arial" w:hAnsi="Arial"/>
          <w:sz w:val="17"/>
          <w:szCs w:val="17"/>
          <w:color w:val="auto"/>
        </w:rPr>
        <w: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plan for its outside directors (the Outside Director Stock Compensation Plan). For the years ended December 31, 2019, 2018 and 2017, 3,521, 4,004, and 3,976 shares, respectively, of Middlesex common stock were granted and issued to the Company’s outside directors under the Outside Director Stock Compensation Plan and 56,643 shares remain available for future awards. The maximum number of shares authorized for grant under the Outside Director Stock Compensation Plan is 100,000.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the event dividends on the preferred stock are in arrears, no dividends may be declared or paid on the common stock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and 2018, there were 0.1 million shares of preferred stock authorized and less than 0.1 million shares of preferred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preferred stock dividends in arrears.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all remaining outstanding no par $8.00 Series Cumulative and Convertible Preferred Stock (3,000 shares or approximately $0.3 million) were converted into 41,142 shares of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regulatory approval, the Company periodically issues long-term debt to fund its investments in utility plant and other assets. To 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NJIB generally schedules its long-term debt financings in May and November. Middlesex currently has two projects that are in the construction loan phase of New Jersey SRF program:</w:t>
      </w:r>
    </w:p>
    <w:p>
      <w:pPr>
        <w:spacing w:after="0" w:line="319" w:lineRule="exact"/>
        <w:rPr>
          <w:sz w:val="20"/>
          <w:szCs w:val="20"/>
          <w:color w:val="auto"/>
        </w:rPr>
      </w:pPr>
    </w:p>
    <w:p>
      <w:pPr>
        <w:jc w:val="both"/>
        <w:ind w:left="700" w:hanging="368"/>
        <w:spacing w:after="0" w:line="259"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April 2018, the NJBPU approved Middlesex’s request to participate in the NJIB loan program to fund the construction of a large-diameter transmission pipeline from the Carl J. Olsen water treatment plant and interconnect with our distribution system. Middlesex closed on a $43.5 million NJIB interest-free construction loan in August 2018. Through December 31, 2019, Middlesex has drawn a total of $31.8 million and expects to draw down the remaining proceeds through the first quarter of 2020.</w:t>
      </w:r>
    </w:p>
    <w:p>
      <w:pPr>
        <w:spacing w:after="0" w:line="132"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eliminate all unlined water distribution mains in the Middlesex system. Middlesex closed on an $8.7 million NJIB construction loan in September 2018 and completed drawing on the proceeds in October 2019.</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that the large-diameter transmission pipeline and the 2018 RENEW construction loans will be included in the NJIB May 2020 long-term debt financing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does not include participating in the NJIB SRF program.</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help ensure adherence to its comprehensive financing plan, Middlesex received approval from the NJBPU in February 2019 to issue and sell up to $140 million of First Mortgage Bonds (FMB) through the New Jersey Economic Development Authority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2019, Middlesex priced and closed on an NJEDA debt financing transaction of $53.7 million by issuing FMBs designated as Series 2019A ($32.5 million at coupon interest rate of 4.0%) and Series 2019B ($21.2 million at coupon interest rate of 5.0%). The proceeds, including an issuance premium of $7.1 million, are being used to finance several projects under the Water For Tomorrow capital program initiated by the Company to upgrade and replace aging water utility infrastructure. The total proceeds of $60.8 million, initially recorded as Restricted Cash on the balance sheet, is held in escrow by a bond trustee and are drawn down by requisition for the qualifying projects. Through December 31, 2019, Middlesex has drawn a total of $17.3 million and currently expects to draw the remaining $43.8 million of proceeds, currently included in Restricted Cash, through the third quarter of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Middlesex repaid its RENEW 2017 interest-free construction loan by issuing to the NJIB FMBs in the amount of $9.5 million designated as Series 2018A ($7.1 million) and Series 2018B ($2.4 million). The interest rate on the Series 2018A bond is zero and the interest rate on the Series 2018B bond ranges between 3.0% and 5.0%. The final maturity date for both bonds is August 1, 2047, with scheduled debt service payments over the life of the loans.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Through December 31, 2019, Tidewater has drawn a total of $1.3 million and expects to draw down the remaining proceeds through the first quarter of 2020.</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Bond Series QQ, RR, SS, 2019A and 2019B are term bonds with single maturity dates subsequent to 2024. Principal repayments for all series of the Company’s long-term debt except for Bond Series BB, CC, EE, FF and II extend beyond 2024. The aggregate annual principal repayment obligations for all long-term debt over the next five years are shown below:</w:t>
      </w:r>
    </w:p>
    <w:p>
      <w:pPr>
        <w:spacing w:after="0" w:line="13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(Millions of Dollars)</w:t>
            </w:r>
          </w:p>
        </w:tc>
      </w:tr>
      <w:tr>
        <w:trPr>
          <w:trHeight w:val="221"/>
        </w:trPr>
        <w:tc>
          <w:tcPr>
            <w:tcW w:w="2260" w:type="dxa"/>
            <w:vAlign w:val="bottom"/>
            <w:gridSpan w:val="3"/>
          </w:tcPr>
          <w:p>
            <w:pPr>
              <w:ind w:left="1540"/>
              <w:spacing w:after="0"/>
              <w:rPr>
                <w:sz w:val="20"/>
                <w:szCs w:val="20"/>
                <w:color w:val="auto"/>
              </w:rPr>
            </w:pPr>
            <w:r>
              <w:rPr>
                <w:rFonts w:ascii="Arial" w:cs="Arial" w:eastAsia="Arial" w:hAnsi="Arial"/>
                <w:sz w:val="18"/>
                <w:szCs w:val="18"/>
                <w:b w:val="1"/>
                <w:bCs w:val="1"/>
                <w:color w:val="auto"/>
              </w:rPr>
              <w:t>Year</w:t>
            </w:r>
          </w:p>
        </w:tc>
        <w:tc>
          <w:tcPr>
            <w:tcW w:w="440" w:type="dxa"/>
            <w:vAlign w:val="bottom"/>
          </w:tcPr>
          <w:p>
            <w:pPr>
              <w:spacing w:after="0"/>
              <w:rPr>
                <w:sz w:val="19"/>
                <w:szCs w:val="19"/>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Annual Maturities</w:t>
            </w:r>
          </w:p>
        </w:tc>
      </w:tr>
      <w:tr>
        <w:trPr>
          <w:trHeight w:val="20"/>
        </w:trPr>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6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2020</w:t>
            </w:r>
          </w:p>
        </w:tc>
        <w:tc>
          <w:tcPr>
            <w:tcW w:w="18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$ 7.2</w:t>
            </w:r>
          </w:p>
        </w:tc>
        <w:tc>
          <w:tcPr>
            <w:tcW w:w="4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ind w:left="1540"/>
              <w:spacing w:after="0"/>
              <w:rPr>
                <w:sz w:val="20"/>
                <w:szCs w:val="20"/>
                <w:color w:val="auto"/>
              </w:rPr>
            </w:pPr>
            <w:r>
              <w:rPr>
                <w:rFonts w:ascii="Arial" w:cs="Arial" w:eastAsia="Arial" w:hAnsi="Arial"/>
                <w:sz w:val="18"/>
                <w:szCs w:val="18"/>
                <w:color w:val="auto"/>
              </w:rPr>
              <w:t>2021</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$ 7.2</w:t>
            </w:r>
          </w:p>
        </w:tc>
        <w:tc>
          <w:tcPr>
            <w:tcW w:w="400" w:type="dxa"/>
            <w:vAlign w:val="bottom"/>
          </w:tcPr>
          <w:p>
            <w:pPr>
              <w:spacing w:after="0"/>
              <w:rPr>
                <w:sz w:val="18"/>
                <w:szCs w:val="18"/>
                <w:color w:val="auto"/>
              </w:rPr>
            </w:pPr>
          </w:p>
        </w:tc>
      </w:tr>
      <w:tr>
        <w:trPr>
          <w:trHeight w:val="216"/>
        </w:trPr>
        <w:tc>
          <w:tcPr>
            <w:tcW w:w="226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2022</w:t>
            </w:r>
          </w:p>
        </w:tc>
        <w:tc>
          <w:tcPr>
            <w:tcW w:w="18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$ 6.7</w:t>
            </w:r>
          </w:p>
        </w:tc>
        <w:tc>
          <w:tcPr>
            <w:tcW w:w="400" w:type="dxa"/>
            <w:vAlign w:val="bottom"/>
            <w:shd w:val="clear" w:color="auto" w:fill="CCEEFF"/>
          </w:tcPr>
          <w:p>
            <w:pPr>
              <w:spacing w:after="0"/>
              <w:rPr>
                <w:sz w:val="18"/>
                <w:szCs w:val="18"/>
                <w:color w:val="auto"/>
              </w:rPr>
            </w:pPr>
          </w:p>
        </w:tc>
      </w:tr>
      <w:tr>
        <w:trPr>
          <w:trHeight w:val="216"/>
        </w:trPr>
        <w:tc>
          <w:tcPr>
            <w:tcW w:w="2260" w:type="dxa"/>
            <w:vAlign w:val="bottom"/>
            <w:gridSpan w:val="3"/>
          </w:tcPr>
          <w:p>
            <w:pPr>
              <w:ind w:left="1540"/>
              <w:spacing w:after="0"/>
              <w:rPr>
                <w:sz w:val="20"/>
                <w:szCs w:val="20"/>
                <w:color w:val="auto"/>
              </w:rPr>
            </w:pPr>
            <w:r>
              <w:rPr>
                <w:rFonts w:ascii="Arial" w:cs="Arial" w:eastAsia="Arial" w:hAnsi="Arial"/>
                <w:sz w:val="18"/>
                <w:szCs w:val="18"/>
                <w:color w:val="auto"/>
              </w:rPr>
              <w:t>2023</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$ 6.2</w:t>
            </w:r>
          </w:p>
        </w:tc>
        <w:tc>
          <w:tcPr>
            <w:tcW w:w="400" w:type="dxa"/>
            <w:vAlign w:val="bottom"/>
          </w:tcPr>
          <w:p>
            <w:pPr>
              <w:spacing w:after="0"/>
              <w:rPr>
                <w:sz w:val="18"/>
                <w:szCs w:val="18"/>
                <w:color w:val="auto"/>
              </w:rPr>
            </w:pPr>
          </w:p>
        </w:tc>
      </w:tr>
      <w:tr>
        <w:trPr>
          <w:trHeight w:val="216"/>
        </w:trPr>
        <w:tc>
          <w:tcPr>
            <w:tcW w:w="226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2024</w:t>
            </w:r>
          </w:p>
        </w:tc>
        <w:tc>
          <w:tcPr>
            <w:tcW w:w="18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$ 6.0</w:t>
            </w:r>
          </w:p>
        </w:tc>
        <w:tc>
          <w:tcPr>
            <w:tcW w:w="400" w:type="dxa"/>
            <w:vAlign w:val="bottom"/>
            <w:shd w:val="clear" w:color="auto" w:fill="CCEEFF"/>
          </w:tcPr>
          <w:p>
            <w:pPr>
              <w:spacing w:after="0"/>
              <w:rPr>
                <w:sz w:val="18"/>
                <w:szCs w:val="18"/>
                <w:color w:val="auto"/>
              </w:rPr>
            </w:pPr>
          </w:p>
        </w:tc>
      </w:tr>
    </w:tbl>
    <w:p>
      <w:pPr>
        <w:ind w:left="5620" w:right="5200" w:hanging="2182"/>
        <w:spacing w:after="0" w:line="605" w:lineRule="auto"/>
        <w:tabs>
          <w:tab w:leader="none" w:pos="357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Included in Other Current Liabilities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interest rate on all long-term debt at December 31, 2019 and 2018 was 3.17% and 3.30%, respectively. Except for the Amortizing Secured Notes ($33.6 million), all of the Company’s outstanding long-term debt has been issued through the NJEDA ($109.1 million), the NJIB SRF program ($82.7 million) and the Delaware SRF program ($8.9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2019, the NJIB de-obligated principal payments of $0.1 million on Series NN of the Company’s FMBs.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calculation of basic and diluted earnings per share (EPS) for the years ended December 31, 2019, 2018 and 2017. Basic EPS is computed on the basis of the weighted average number of shares outstanding. Diluted EPS assumes the conversion of both the Convertible Preferred Stock $7.00 Series and $8.00 Series (fully converted into common stock in September 2019).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1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spacing w:after="0"/>
              <w:rPr>
                <w:sz w:val="19"/>
                <w:szCs w:val="19"/>
                <w:color w:val="auto"/>
              </w:rPr>
            </w:pPr>
          </w:p>
        </w:tc>
      </w:tr>
      <w:tr>
        <w:trPr>
          <w:trHeight w:val="2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Income</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Income</w:t>
            </w: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Income</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33,888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32,452</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16,384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22,809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r>
      <w:tr>
        <w:trPr>
          <w:trHeight w:val="216"/>
        </w:trPr>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(132)</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(144)</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(144)</w:t>
            </w:r>
          </w:p>
        </w:tc>
        <w:tc>
          <w:tcPr>
            <w:tcW w:w="900" w:type="dxa"/>
            <w:vAlign w:val="bottom"/>
            <w:tcBorders>
              <w:bottom w:val="single" w:sz="8" w:color="auto"/>
            </w:tcBorders>
          </w:tcPr>
          <w:p>
            <w:pPr>
              <w:spacing w:after="0"/>
              <w:rPr>
                <w:sz w:val="18"/>
                <w:szCs w:val="18"/>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Earnings Applicable to Common Stock</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33,756</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32,308</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16,384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22,665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Basic EPS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2.02</w:t>
            </w:r>
          </w:p>
        </w:tc>
        <w:tc>
          <w:tcPr>
            <w:tcW w:w="110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1.97</w:t>
            </w:r>
          </w:p>
        </w:tc>
        <w:tc>
          <w:tcPr>
            <w:tcW w:w="11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1.39</w:t>
            </w:r>
          </w:p>
        </w:tc>
        <w:tc>
          <w:tcPr>
            <w:tcW w:w="900" w:type="dxa"/>
            <w:vAlign w:val="bottom"/>
          </w:tcPr>
          <w:p>
            <w:pPr>
              <w:spacing w:after="0"/>
              <w:rPr>
                <w:sz w:val="18"/>
                <w:szCs w:val="18"/>
                <w:color w:val="auto"/>
              </w:rPr>
            </w:pPr>
          </w:p>
        </w:tc>
      </w:tr>
      <w:tr>
        <w:trPr>
          <w:trHeight w:val="216"/>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8"/>
                <w:szCs w:val="18"/>
                <w:color w:val="auto"/>
                <w:w w:val="93"/>
              </w:rPr>
              <w:t>Earnings Applicable to Common Stock</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33,756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16,685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32,308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16,384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22,665</w:t>
            </w:r>
          </w:p>
        </w:tc>
        <w:tc>
          <w:tcPr>
            <w:tcW w:w="900" w:type="dxa"/>
            <w:vAlign w:val="bottom"/>
          </w:tcPr>
          <w:p>
            <w:pPr>
              <w:jc w:val="right"/>
              <w:spacing w:after="0"/>
              <w:rPr>
                <w:sz w:val="20"/>
                <w:szCs w:val="20"/>
                <w:color w:val="auto"/>
              </w:rPr>
            </w:pPr>
            <w:r>
              <w:rPr>
                <w:rFonts w:ascii="Arial" w:cs="Arial" w:eastAsia="Arial" w:hAnsi="Arial"/>
                <w:sz w:val="18"/>
                <w:szCs w:val="18"/>
                <w:color w:val="auto"/>
              </w:rPr>
              <w:t>16,330</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$7.00 Series Dividend</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67</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67</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Dividend</w:t>
            </w: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182"/>
        </w:trPr>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Earnings Applicable to</w:t>
            </w: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33,835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32,399</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16,540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22,756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EPS</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1.96</w:t>
            </w: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1.38</w:t>
            </w:r>
          </w:p>
        </w:tc>
        <w:tc>
          <w:tcPr>
            <w:tcW w:w="900" w:type="dxa"/>
            <w:vAlign w:val="bottom"/>
            <w:tcBorders>
              <w:bottom w:val="single" w:sz="8" w:color="auto"/>
            </w:tcBorders>
          </w:tcPr>
          <w:p>
            <w:pPr>
              <w:spacing w:after="0"/>
              <w:rPr>
                <w:sz w:val="18"/>
                <w:szCs w:val="18"/>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First Mortgage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(Thousands of Dollars)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1"/>
        </w:trPr>
        <w:tc>
          <w:tcPr>
            <w:tcW w:w="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5"/>
        </w:trPr>
        <w:tc>
          <w:tcPr>
            <w:tcW w:w="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4"/>
              </w:rPr>
              <w:t>Carrying</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6"/>
              </w:rPr>
              <w:t>Fair</w:t>
            </w:r>
          </w:p>
        </w:tc>
        <w:tc>
          <w:tcPr>
            <w:tcW w:w="2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4"/>
              </w:rPr>
              <w:t>Carrying</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Fair</w:t>
            </w:r>
          </w:p>
        </w:tc>
        <w:tc>
          <w:tcPr>
            <w:tcW w:w="560" w:type="dxa"/>
            <w:vAlign w:val="bottom"/>
          </w:tcPr>
          <w:p>
            <w:pPr>
              <w:spacing w:after="0"/>
              <w:rPr>
                <w:sz w:val="16"/>
                <w:szCs w:val="16"/>
                <w:color w:val="auto"/>
              </w:rPr>
            </w:pPr>
          </w:p>
        </w:tc>
      </w:tr>
      <w:tr>
        <w:trPr>
          <w:trHeight w:val="230"/>
        </w:trPr>
        <w:tc>
          <w:tcPr>
            <w:tcW w:w="60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6"/>
              </w:rPr>
              <w:t>Amount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Value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6"/>
              </w:rPr>
              <w:t>Amount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560" w:type="dxa"/>
            <w:vAlign w:val="bottom"/>
          </w:tcPr>
          <w:p>
            <w:pPr>
              <w:spacing w:after="0"/>
              <w:rPr>
                <w:sz w:val="20"/>
                <w:szCs w:val="20"/>
                <w:color w:val="auto"/>
              </w:rPr>
            </w:pPr>
          </w:p>
        </w:tc>
      </w:tr>
      <w:tr>
        <w:trPr>
          <w:trHeight w:val="210"/>
        </w:trPr>
        <w:tc>
          <w:tcPr>
            <w:tcW w:w="6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25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160,772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102,789</w:t>
            </w:r>
          </w:p>
        </w:tc>
        <w:tc>
          <w:tcPr>
            <w:tcW w:w="560" w:type="dxa"/>
            <w:vAlign w:val="bottom"/>
          </w:tcPr>
          <w:p>
            <w:pPr>
              <w:spacing w:after="0"/>
              <w:rPr>
                <w:sz w:val="18"/>
                <w:szCs w:val="18"/>
                <w:color w:val="auto"/>
              </w:rPr>
            </w:pPr>
          </w:p>
        </w:tc>
      </w:tr>
      <w:tr>
        <w:trPr>
          <w:trHeight w:val="432"/>
        </w:trPr>
        <w:tc>
          <w:tcPr>
            <w:tcW w:w="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ind w:left="2280"/>
              <w:spacing w:after="0"/>
              <w:rPr>
                <w:sz w:val="20"/>
                <w:szCs w:val="20"/>
                <w:color w:val="auto"/>
              </w:rPr>
            </w:pPr>
            <w:r>
              <w:rPr>
                <w:rFonts w:ascii="Arial" w:cs="Arial" w:eastAsia="Arial" w:hAnsi="Arial"/>
                <w:sz w:val="18"/>
                <w:szCs w:val="18"/>
                <w:color w:val="auto"/>
              </w:rPr>
              <w:t>56</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3"/>
        </w:trPr>
        <w:tc>
          <w:tcPr>
            <w:tcW w:w="600" w:type="dxa"/>
            <w:vAlign w:val="bottom"/>
            <w:tcBorders>
              <w:bottom w:val="single" w:sz="8" w:color="EEEEEE"/>
            </w:tcBorders>
          </w:tcPr>
          <w:p>
            <w:pPr>
              <w:spacing w:after="0"/>
              <w:rPr>
                <w:sz w:val="17"/>
                <w:szCs w:val="17"/>
                <w:color w:val="auto"/>
              </w:rPr>
            </w:pPr>
          </w:p>
        </w:tc>
        <w:tc>
          <w:tcPr>
            <w:tcW w:w="2740" w:type="dxa"/>
            <w:vAlign w:val="bottom"/>
            <w:tcBorders>
              <w:bottom w:val="single" w:sz="8" w:color="EEEEEE"/>
            </w:tcBorders>
          </w:tcPr>
          <w:p>
            <w:pPr>
              <w:spacing w:after="0"/>
              <w:rPr>
                <w:sz w:val="17"/>
                <w:szCs w:val="17"/>
                <w:color w:val="auto"/>
              </w:rPr>
            </w:pPr>
          </w:p>
        </w:tc>
        <w:tc>
          <w:tcPr>
            <w:tcW w:w="25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other long-term debt issuances for which there is no quoted market price and there is not an active trading market, it was not practicable to estimate their fair value. For details, including carrying value, interest rate and due date on these series of long-term debt, please refer to those series of long-term debt described as “Amortizing Secured Note”, “State Revolving Trust Note” and “Construction Loans” on the Consolidated Statements of Capital Stock and Long-Term Debt. The carrying amount of these instruments was $83.0 million and $61.5 million at December 31, 2019 and 2018, respectively. Customer advances for construction have carrying amounts of $23.9 million and $22.6 million at December 31, 2019 and 2018, respectively. Their relative fair values cannot be accurately estimated since future refund payments depend on several variables, including new customer connections, customer consumption levels and future rate increases.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Employee Benefit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 Company on December 31st of the year to which the contribution relates. The Company maintains an unfunded supplemental plan for a limited number of its executive officers. The Accumulated Benefit Obligation for the Company’s Pension Plan at December 31, 2019 and 2018 was $87.6 million and $73.1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Benefits Plan covers substantially all of its current retired employees. Employees hired after March 31, 2007 are not eligible to participate in this plan. Coverage includes healthcare and life insurance. Accrued retirement benefit costs are recorded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Treatment of Over/Underfunded Retirement Obligations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Because the Company is subject to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Based on prior regulatory practice, and in accordance with the guidance in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the Company records underfunded Pension Plan and Other Benefits Plan obligation costs, which otherwise would be recognized in Other Comprehensive Income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 a Regulatory Asset, and expects to recover those costs in rates charged to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uses a December 31 measurement date for all of its employee benefit plans. The tables below set forth information relating to the Company’s Pension Plan and Other Benefits Plan for 2019 and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gridSpan w:val="3"/>
          </w:tcPr>
          <w:p>
            <w:pPr>
              <w:jc w:val="center"/>
              <w:ind w:right="5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Pension Plan</w:t>
            </w:r>
          </w:p>
        </w:tc>
        <w:tc>
          <w:tcPr>
            <w:tcW w:w="1460" w:type="dxa"/>
            <w:vAlign w:val="bottom"/>
            <w:gridSpan w:val="2"/>
            <w:vMerge w:val="restart"/>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22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6"/>
              </w:rPr>
              <w:t>Other Benefits Plan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2018</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Beginning Balance</w:t>
            </w: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83,927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88,013</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48,474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2,426</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Cost</w:t>
            </w:r>
          </w:p>
        </w:tc>
        <w:tc>
          <w:tcPr>
            <w:tcW w:w="18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3,426</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3,061</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1,984</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14,188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4,671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100,891</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83,927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55,166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gridSpan w:val="3"/>
          </w:tcPr>
          <w:p>
            <w:pPr>
              <w:jc w:val="center"/>
              <w:ind w:right="5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Pension Plan</w:t>
            </w:r>
          </w:p>
        </w:tc>
        <w:tc>
          <w:tcPr>
            <w:tcW w:w="1460" w:type="dxa"/>
            <w:vAlign w:val="bottom"/>
            <w:gridSpan w:val="2"/>
            <w:vMerge w:val="restart"/>
          </w:tcPr>
          <w:p>
            <w:pPr>
              <w:jc w:val="center"/>
              <w:ind w:left="230"/>
              <w:spacing w:after="0"/>
              <w:rPr>
                <w:sz w:val="20"/>
                <w:szCs w:val="20"/>
                <w:color w:val="auto"/>
              </w:rPr>
            </w:pPr>
            <w:r>
              <w:rPr>
                <w:rFonts w:ascii="Arial" w:cs="Arial" w:eastAsia="Arial" w:hAnsi="Arial"/>
                <w:sz w:val="18"/>
                <w:szCs w:val="18"/>
                <w:b w:val="1"/>
                <w:bCs w:val="1"/>
                <w:color w:val="auto"/>
                <w:w w:val="90"/>
              </w:rPr>
              <w:t>December 31,</w:t>
            </w:r>
          </w:p>
        </w:tc>
        <w:tc>
          <w:tcPr>
            <w:tcW w:w="22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6"/>
              </w:rPr>
              <w:t>Other Benefits Plan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2018</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Change in Fair Value of Plan Assets:</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66,771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69,215</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34,622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12,753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5,192</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3,677</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1,601</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80,380</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66,771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40,613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Borders>
              <w:bottom w:val="single" w:sz="8" w:color="EEEEEE"/>
            </w:tcBorders>
          </w:tcPr>
          <w:p>
            <w:pPr>
              <w:spacing w:after="0"/>
              <w:rPr>
                <w:sz w:val="17"/>
                <w:szCs w:val="17"/>
                <w:color w:val="auto"/>
              </w:rPr>
            </w:pPr>
          </w:p>
        </w:tc>
        <w:tc>
          <w:tcPr>
            <w:tcW w:w="18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54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5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3"/>
          </w:tcPr>
          <w:p>
            <w:pPr>
              <w:jc w:val="center"/>
              <w:ind w:right="4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8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18"/>
                <w:szCs w:val="18"/>
                <w:color w:val="auto"/>
              </w:rPr>
            </w:pPr>
          </w:p>
        </w:tc>
        <w:tc>
          <w:tcPr>
            <w:tcW w:w="2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6"/>
              </w:rPr>
              <w:t>Other Benefits Plan</w:t>
            </w:r>
          </w:p>
        </w:tc>
      </w:tr>
      <w:tr>
        <w:trPr>
          <w:trHeight w:val="216"/>
        </w:trPr>
        <w:tc>
          <w:tcPr>
            <w:tcW w:w="3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Amounts Recognized in the Consolidated Balance Sheets consist of :</w:t>
            </w: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7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3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20,118</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16,809</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14,553</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r>
      <w:tr>
        <w:trPr>
          <w:trHeight w:val="210"/>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Liability Recognized</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20,511</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17,156</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14,553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13,852</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0"/>
              </w:rPr>
              <w:t>Pension Plan</w:t>
            </w:r>
          </w:p>
        </w:tc>
        <w:tc>
          <w:tcPr>
            <w:tcW w:w="300" w:type="dxa"/>
            <w:vAlign w:val="bottom"/>
          </w:tcPr>
          <w:p>
            <w:pPr>
              <w:spacing w:after="0"/>
              <w:rPr>
                <w:sz w:val="20"/>
                <w:szCs w:val="20"/>
                <w:color w:val="auto"/>
              </w:rPr>
            </w:pPr>
          </w:p>
        </w:tc>
        <w:tc>
          <w:tcPr>
            <w:tcW w:w="26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(Thousands of Dollars)</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Other Benefits Plan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3"/>
            <w:vMerge w:val="restart"/>
          </w:tcPr>
          <w:p>
            <w:pPr>
              <w:jc w:val="right"/>
              <w:ind w:right="330"/>
              <w:spacing w:after="0"/>
              <w:rPr>
                <w:sz w:val="20"/>
                <w:szCs w:val="20"/>
                <w:color w:val="auto"/>
              </w:rPr>
            </w:pPr>
            <w:r>
              <w:rPr>
                <w:rFonts w:ascii="Arial" w:cs="Arial" w:eastAsia="Arial" w:hAnsi="Arial"/>
                <w:sz w:val="18"/>
                <w:szCs w:val="18"/>
                <w:b w:val="1"/>
                <w:bCs w:val="1"/>
                <w:color w:val="auto"/>
                <w:w w:val="93"/>
              </w:rPr>
              <w:t>Years Ended December 31,</w:t>
            </w:r>
          </w:p>
        </w:tc>
        <w:tc>
          <w:tcPr>
            <w:tcW w:w="1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2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Components of Net Periodic</w:t>
            </w: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Cost</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2,399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3,426</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3,061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3,143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w w:val="94"/>
              </w:rPr>
              <w:t>Expected Return on Plan Assets</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(4,694)</w:t>
            </w:r>
          </w:p>
        </w:tc>
        <w:tc>
          <w:tcPr>
            <w:tcW w:w="2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(4,871)</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4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(2,550)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Net Actuarial</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1,618</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1,658</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1,566</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1,787</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Credit</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(1,607)</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2,619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consolidated statements of income; all other amounts are included in Other Income (Expense), net.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Amounts that are expected to be amortized from Regulatory Assets into Net Periodic Benefit Cost in 2020 are as follows:</w:t>
      </w:r>
    </w:p>
    <w:p>
      <w:pPr>
        <w:spacing w:after="0" w:line="19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46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7"/>
              </w:rPr>
              <w:t>(Thousands of</w:t>
            </w:r>
          </w:p>
        </w:tc>
      </w:tr>
      <w:tr>
        <w:trPr>
          <w:trHeight w:val="216"/>
        </w:trPr>
        <w:tc>
          <w:tcPr>
            <w:tcW w:w="2100" w:type="dxa"/>
            <w:vAlign w:val="bottom"/>
          </w:tcPr>
          <w:p>
            <w:pPr>
              <w:spacing w:after="0"/>
              <w:rPr>
                <w:sz w:val="18"/>
                <w:szCs w:val="18"/>
                <w:color w:val="auto"/>
              </w:rPr>
            </w:pPr>
          </w:p>
        </w:tc>
        <w:tc>
          <w:tcPr>
            <w:tcW w:w="24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2"/>
              </w:rPr>
              <w:t>Dollars)</w:t>
            </w:r>
          </w:p>
        </w:tc>
      </w:tr>
      <w:tr>
        <w:trPr>
          <w:trHeight w:val="216"/>
        </w:trPr>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100" w:type="dxa"/>
            <w:vAlign w:val="bottom"/>
          </w:tcPr>
          <w:p>
            <w:pPr>
              <w:spacing w:after="0"/>
              <w:rPr>
                <w:sz w:val="18"/>
                <w:szCs w:val="18"/>
                <w:color w:val="auto"/>
              </w:rPr>
            </w:pPr>
          </w:p>
        </w:tc>
        <w:tc>
          <w:tcPr>
            <w:tcW w:w="1740" w:type="dxa"/>
            <w:vAlign w:val="bottom"/>
          </w:tcPr>
          <w:p>
            <w:pPr>
              <w:jc w:val="center"/>
              <w:ind w:left="850"/>
              <w:spacing w:after="0"/>
              <w:rPr>
                <w:sz w:val="20"/>
                <w:szCs w:val="20"/>
                <w:color w:val="auto"/>
              </w:rPr>
            </w:pPr>
            <w:r>
              <w:rPr>
                <w:rFonts w:ascii="Arial" w:cs="Arial" w:eastAsia="Arial" w:hAnsi="Arial"/>
                <w:sz w:val="18"/>
                <w:szCs w:val="18"/>
                <w:b w:val="1"/>
                <w:bCs w:val="1"/>
                <w:color w:val="auto"/>
                <w:w w:val="85"/>
              </w:rPr>
              <w:t>Pension</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Benefits</w:t>
            </w:r>
          </w:p>
        </w:tc>
      </w:tr>
      <w:tr>
        <w:trPr>
          <w:trHeight w:val="234"/>
        </w:trPr>
        <w:tc>
          <w:tcPr>
            <w:tcW w:w="2100" w:type="dxa"/>
            <w:vAlign w:val="bottom"/>
          </w:tcPr>
          <w:p>
            <w:pPr>
              <w:spacing w:after="0"/>
              <w:rPr>
                <w:sz w:val="20"/>
                <w:szCs w:val="20"/>
                <w:color w:val="auto"/>
              </w:rPr>
            </w:pPr>
          </w:p>
        </w:tc>
        <w:tc>
          <w:tcPr>
            <w:tcW w:w="174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Plan</w:t>
            </w:r>
          </w:p>
        </w:tc>
        <w:tc>
          <w:tcPr>
            <w:tcW w:w="7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Plan</w:t>
            </w:r>
          </w:p>
        </w:tc>
      </w:tr>
      <w:tr>
        <w:trPr>
          <w:trHeight w:val="210"/>
        </w:trPr>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74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6"/>
              </w:rPr>
              <w:t>$ 2,059</w:t>
            </w:r>
          </w:p>
        </w:tc>
        <w:tc>
          <w:tcPr>
            <w:tcW w:w="7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$ 1,351</w:t>
            </w:r>
          </w:p>
        </w:tc>
        <w:tc>
          <w:tcPr>
            <w:tcW w:w="20" w:type="dxa"/>
            <w:vAlign w:val="bottom"/>
          </w:tcPr>
          <w:p>
            <w:pPr>
              <w:spacing w:after="0"/>
              <w:rPr>
                <w:sz w:val="18"/>
                <w:szCs w:val="18"/>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discount rate and compensation increase rate for determining our postretirement benefit plans’ benefit obligations and costs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respectively,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Pension Plan Other Benefits Plan</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73"/>
        </w:trPr>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Pension Plan</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0"/>
              </w:rPr>
              <w:t>Other Benefits Plan</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w:t>
            </w: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 for: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Benefit Obligation</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4.15%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Cost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Compensation Increase for: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Obligation</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30"/>
        </w:trPr>
        <w:tc>
          <w:tcPr>
            <w:tcW w:w="4560" w:type="dxa"/>
            <w:vAlign w:val="bottom"/>
          </w:tcPr>
          <w:p>
            <w:pPr>
              <w:ind w:left="440"/>
              <w:spacing w:after="0"/>
              <w:rPr>
                <w:sz w:val="20"/>
                <w:szCs w:val="20"/>
                <w:color w:val="auto"/>
              </w:rPr>
            </w:pPr>
            <w:r>
              <w:rPr>
                <w:rFonts w:ascii="Arial" w:cs="Arial" w:eastAsia="Arial" w:hAnsi="Arial"/>
                <w:sz w:val="18"/>
                <w:szCs w:val="18"/>
                <w:color w:val="auto"/>
              </w:rPr>
              <w:t>Benefit Cost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increase assumption for the Other Benefits Plan is attributable to life insurance provided to qualifying employees upon their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insurance coverage will be determined based on the employee’s base compensation as of their retirement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Society of Actuaries’ mortality table (Pri-2012) (Mortality Improvement Scale MP2019 for the 2019 valuation).</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2019 valuation, costs and obligations for our Other Benefits Plan assumed an 8.0% annual rate of increase in the per capita cost of covered healthcare benefits in 2020 with the annual rate of increase declining 1.0% per year for 2021-2022 and 0.5% per year for 2023-2024, resulting in an annual rate of increase in the per capita cost of covered healthcare benefits of 5% by year 2024.</w:t>
      </w:r>
    </w:p>
    <w:p>
      <w:pPr>
        <w:sectPr>
          <w:pgSz w:w="11900" w:h="16838" w:orient="portrait"/>
          <w:cols w:equalWidth="0" w:num="1">
            <w:col w:w="11420"/>
          </w:cols>
          <w:pgMar w:left="240" w:top="26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202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healthcare cost trend rates would have the following effects on the Other Benefits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r>
      <w:tr>
        <w:trPr>
          <w:trHeight w:val="216"/>
        </w:trPr>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8"/>
              </w:rPr>
              <w:t>1 Percentage Point</w:t>
            </w:r>
          </w:p>
        </w:tc>
      </w:tr>
      <w:tr>
        <w:trPr>
          <w:trHeight w:val="234"/>
        </w:trPr>
        <w:tc>
          <w:tcPr>
            <w:tcW w:w="600" w:type="dxa"/>
            <w:vAlign w:val="bottom"/>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5"/>
              </w:rPr>
              <w:t>Increase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89"/>
              </w:rPr>
              <w:t>Decrease</w:t>
            </w:r>
          </w:p>
        </w:tc>
      </w:tr>
      <w:tr>
        <w:trPr>
          <w:trHeight w:val="210"/>
        </w:trPr>
        <w:tc>
          <w:tcPr>
            <w:tcW w:w="60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on Current Year Service and Interest Costs</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r>
      <w:tr>
        <w:trPr>
          <w:trHeight w:val="230"/>
        </w:trPr>
        <w:tc>
          <w:tcPr>
            <w:tcW w:w="6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 on Projected Benefit Obligation</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(7,143)</w:t>
            </w:r>
          </w:p>
        </w:tc>
      </w:tr>
      <w:tr>
        <w:trPr>
          <w:trHeight w:val="485"/>
        </w:trPr>
        <w:tc>
          <w:tcPr>
            <w:tcW w:w="7460" w:type="dxa"/>
            <w:vAlign w:val="bottom"/>
            <w:gridSpan w:val="2"/>
          </w:tcPr>
          <w:p>
            <w:pPr>
              <w:spacing w:after="0"/>
              <w:rPr>
                <w:sz w:val="20"/>
                <w:szCs w:val="20"/>
                <w:color w:val="auto"/>
              </w:rPr>
            </w:pPr>
            <w:r>
              <w:rPr>
                <w:rFonts w:ascii="Arial" w:cs="Arial" w:eastAsia="Arial" w:hAnsi="Arial"/>
                <w:sz w:val="18"/>
                <w:szCs w:val="18"/>
                <w:color w:val="auto"/>
                <w:w w:val="98"/>
              </w:rPr>
              <w:t>The following benefit payments, which reflect expected future service, are expected to be paid:</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r>
      <w:tr>
        <w:trPr>
          <w:trHeight w:val="216"/>
        </w:trPr>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Other Benefits</w:t>
            </w:r>
          </w:p>
        </w:tc>
      </w:tr>
      <w:tr>
        <w:trPr>
          <w:trHeight w:val="234"/>
        </w:trPr>
        <w:tc>
          <w:tcPr>
            <w:tcW w:w="7460" w:type="dxa"/>
            <w:vAlign w:val="bottom"/>
            <w:gridSpan w:val="2"/>
          </w:tcPr>
          <w:p>
            <w:pPr>
              <w:ind w:left="600"/>
              <w:spacing w:after="0"/>
              <w:rPr>
                <w:sz w:val="20"/>
                <w:szCs w:val="20"/>
                <w:color w:val="auto"/>
              </w:rPr>
            </w:pPr>
            <w:r>
              <w:rPr>
                <w:rFonts w:ascii="Arial" w:cs="Arial" w:eastAsia="Arial" w:hAnsi="Arial"/>
                <w:sz w:val="18"/>
                <w:szCs w:val="18"/>
                <w:b w:val="1"/>
                <w:bCs w:val="1"/>
                <w:color w:val="auto"/>
              </w:rPr>
              <w:t>Year</w:t>
            </w:r>
          </w:p>
        </w:tc>
        <w:tc>
          <w:tcPr>
            <w:tcW w:w="620" w:type="dxa"/>
            <w:vAlign w:val="bottom"/>
          </w:tcPr>
          <w:p>
            <w:pPr>
              <w:spacing w:after="0"/>
              <w:rPr>
                <w:sz w:val="20"/>
                <w:szCs w:val="20"/>
                <w:color w:val="auto"/>
              </w:rPr>
            </w:pPr>
          </w:p>
        </w:tc>
        <w:tc>
          <w:tcPr>
            <w:tcW w:w="1300" w:type="dxa"/>
            <w:vAlign w:val="bottom"/>
            <w:gridSpan w:val="3"/>
          </w:tcPr>
          <w:p>
            <w:pPr>
              <w:ind w:left="120"/>
              <w:spacing w:after="0"/>
              <w:rPr>
                <w:sz w:val="20"/>
                <w:szCs w:val="20"/>
                <w:color w:val="auto"/>
              </w:rPr>
            </w:pPr>
            <w:r>
              <w:rPr>
                <w:rFonts w:ascii="Arial" w:cs="Arial" w:eastAsia="Arial" w:hAnsi="Arial"/>
                <w:sz w:val="18"/>
                <w:szCs w:val="18"/>
                <w:b w:val="1"/>
                <w:bCs w:val="1"/>
                <w:color w:val="auto"/>
              </w:rPr>
              <w:t>Pension Plan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Plan</w:t>
            </w:r>
          </w:p>
        </w:tc>
      </w:tr>
      <w:tr>
        <w:trPr>
          <w:trHeight w:val="210"/>
        </w:trPr>
        <w:tc>
          <w:tcPr>
            <w:tcW w:w="600" w:type="dxa"/>
            <w:vAlign w:val="bottom"/>
          </w:tcPr>
          <w:p>
            <w:pPr>
              <w:spacing w:after="0"/>
              <w:rPr>
                <w:sz w:val="18"/>
                <w:szCs w:val="18"/>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900" w:type="dxa"/>
            <w:vAlign w:val="bottom"/>
            <w:tcBorders>
              <w:top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2025-2029</w:t>
            </w:r>
          </w:p>
        </w:tc>
        <w:tc>
          <w:tcPr>
            <w:tcW w:w="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26,501</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100" w:type="dxa"/>
            <w:vAlign w:val="bottom"/>
            <w:tcBorders>
              <w:bottom w:val="single" w:sz="8" w:color="CCEEFF"/>
            </w:tcBorders>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6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44,478</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plan assets at December 31, 2019 and 2018 by asset category is as follows:</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0"/>
              </w:rPr>
              <w:t>Pension Plan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Other Benefits Plan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Target</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Target</w:t>
            </w: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03"/>
        </w:trPr>
        <w:tc>
          <w:tcPr>
            <w:tcW w:w="2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Securities</w:t>
            </w:r>
          </w:p>
        </w:tc>
        <w:tc>
          <w:tcPr>
            <w:tcW w:w="132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61.5%</w:t>
            </w:r>
          </w:p>
        </w:tc>
        <w:tc>
          <w:tcPr>
            <w:tcW w:w="1340" w:type="dxa"/>
            <w:vAlign w:val="bottom"/>
            <w:gridSpan w:val="2"/>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59.5%</w:t>
            </w:r>
          </w:p>
        </w:tc>
        <w:tc>
          <w:tcPr>
            <w:tcW w:w="13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60.0%</w:t>
            </w:r>
          </w:p>
        </w:tc>
        <w:tc>
          <w:tcPr>
            <w:tcW w:w="134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54.7%</w:t>
            </w:r>
          </w:p>
        </w:tc>
        <w:tc>
          <w:tcPr>
            <w:tcW w:w="1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43%</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36.5%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33.0%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37.3%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22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include Middlesex common stock in the amounts of $1.2 million (1.6% of total Pension Plan assets) and $1.0 million (1.6% of total Pension Plan assets) as of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ectPr>
          <w:pgSz w:w="11900" w:h="16838" w:orient="portrait"/>
          <w:cols w:equalWidth="0" w:num="1">
            <w:col w:w="11420"/>
          </w:cols>
          <w:pgMar w:left="240" w:top="269" w:right="239" w:bottom="1440" w:gutter="0" w:footer="0" w:header="0"/>
        </w:sectPr>
      </w:pPr>
    </w:p>
    <w:p>
      <w:pPr>
        <w:spacing w:after="0" w:line="1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Level 1 – Inputs to the valuation methodology are unadjusted quoted market prices for identical assets or liabilities in accessible active markets.</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98" w:lineRule="exact"/>
        <w:rPr>
          <w:sz w:val="20"/>
          <w:szCs w:val="20"/>
          <w:color w:val="auto"/>
        </w:rPr>
      </w:pPr>
    </w:p>
    <w:p>
      <w:pPr>
        <w:sectPr>
          <w:pgSz w:w="11900" w:h="16838" w:orient="portrait"/>
          <w:cols w:equalWidth="0" w:num="2">
            <w:col w:w="420" w:space="240"/>
            <w:col w:w="10760"/>
          </w:cols>
          <w:pgMar w:left="240" w:top="269" w:right="2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Pension Plan assets measured and recorded at fair value within the fair value hierarchy:</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As of December 31, 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69,565</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69,565</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EEFF"/>
          </w:tcPr>
          <w:p>
            <w:pPr>
              <w:spacing w:after="0"/>
              <w:rPr>
                <w:sz w:val="18"/>
                <w:szCs w:val="18"/>
                <w:color w:val="auto"/>
              </w:rPr>
            </w:pPr>
          </w:p>
        </w:tc>
      </w:tr>
      <w:tr>
        <w:trPr>
          <w:trHeight w:val="210"/>
        </w:trPr>
        <w:tc>
          <w:tcPr>
            <w:tcW w:w="502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80,380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80,380</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As of December 31, 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57,014</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spacing w:after="0"/>
              <w:rPr>
                <w:sz w:val="18"/>
                <w:szCs w:val="18"/>
                <w:color w:val="auto"/>
              </w:rPr>
            </w:pPr>
          </w:p>
        </w:tc>
      </w:tr>
      <w:tr>
        <w:trPr>
          <w:trHeight w:val="210"/>
        </w:trPr>
        <w:tc>
          <w:tcPr>
            <w:tcW w:w="502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66,771</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Other Benefits Plan assets measured and recorded at fair value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(Thousands of Dollars)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As of December 31, 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10"/>
        </w:trPr>
        <w:tc>
          <w:tcPr>
            <w:tcW w:w="6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Money Market Funds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1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13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61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600" w:type="dxa"/>
            <w:vAlign w:val="bottom"/>
            <w:tcBorders>
              <w:bottom w:val="single" w:sz="8" w:color="EEEEEE"/>
            </w:tcBorders>
          </w:tcPr>
          <w:p>
            <w:pPr>
              <w:spacing w:after="0"/>
              <w:rPr>
                <w:sz w:val="18"/>
                <w:szCs w:val="18"/>
                <w:color w:val="auto"/>
              </w:rPr>
            </w:pPr>
          </w:p>
        </w:tc>
        <w:tc>
          <w:tcPr>
            <w:tcW w:w="372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9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7"/>
              </w:rPr>
              <w:t>(Thousands of Dollars)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As of December 31, 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shd w:val="clear" w:color="auto" w:fill="CCEEFF"/>
          </w:tcPr>
          <w:p>
            <w:pPr>
              <w:spacing w:after="0"/>
              <w:rPr>
                <w:sz w:val="18"/>
                <w:szCs w:val="18"/>
                <w:color w:val="auto"/>
              </w:rPr>
            </w:pPr>
          </w:p>
        </w:tc>
      </w:tr>
      <w:tr>
        <w:trPr>
          <w:trHeight w:val="210"/>
        </w:trPr>
        <w:tc>
          <w:tcPr>
            <w:tcW w:w="502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34,622</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Contributions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Pension Plan, Middlesex made total cash contributions of $3.7 million in 2019 and expects to make approximately $3.4 million of cash contributions in 2020.</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Other Benefits Plan, Middlesex made total cash contributions of $1.6 million in 2019 and expects to make approximately $1.6 million of cash contributions in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$0.7 million, $0.6 million and $0.6 million for the years ended December 31, 2019, 2018 and 2017,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employees hired after March 31, 2007, and still actively employed on December 31, 2019, the Company approved, and will fund, a discretionary contribution of $0.7 million which was based on 5.0% of eligible 2019 compensation. For the years ended December 31, 2018 and 2017, the Company made discretionary contributions of $0.6 million and $0.5 million, respectively, for qualifying employees.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 compensation plan for certain management employees (the 2018 Restricted Stock Plan). Shares issued in connection with the 2018 Restricted Stock Plan are subject to forfeiture by the employee in the event of termination of employment within five years of the award other than as a result of normal retirement, death, disability or change in control. The maximum number of shares authorized for grant under the 2018 Restricted Stock Plan is 0.3 million shares, of which approximately 94% remain available for award.</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recognizes compensation expense at fair value for the 2018 Restricted Stock Plan awards in accordance with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Compensation expense is determined by the market value of the stock on the date of the award and is being amortized over a five-year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99"/>
        </w:trPr>
        <w:tc>
          <w:tcPr>
            <w:tcW w:w="6080" w:type="dxa"/>
            <w:vAlign w:val="bottom"/>
            <w:gridSpan w:val="3"/>
          </w:tcPr>
          <w:p>
            <w:pPr>
              <w:spacing w:after="0"/>
              <w:rPr>
                <w:sz w:val="20"/>
                <w:szCs w:val="20"/>
                <w:color w:val="auto"/>
              </w:rPr>
            </w:pPr>
            <w:r>
              <w:rPr>
                <w:rFonts w:ascii="Arial" w:cs="Arial" w:eastAsia="Arial" w:hAnsi="Arial"/>
                <w:sz w:val="18"/>
                <w:szCs w:val="18"/>
                <w:color w:val="auto"/>
              </w:rPr>
              <w:t>The following table presents information on the 2018 Restricted Stock Plan:</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Unearned</w:t>
            </w:r>
          </w:p>
        </w:tc>
        <w:tc>
          <w:tcPr>
            <w:tcW w:w="340" w:type="dxa"/>
            <w:vAlign w:val="bottom"/>
          </w:tcPr>
          <w:p>
            <w:pPr>
              <w:spacing w:after="0"/>
              <w:rPr>
                <w:sz w:val="24"/>
                <w:szCs w:val="24"/>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34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Grant Price</w:t>
            </w: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2017</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right="170"/>
              <w:spacing w:after="0"/>
              <w:rPr>
                <w:sz w:val="20"/>
                <w:szCs w:val="20"/>
                <w:color w:val="auto"/>
              </w:rPr>
            </w:pPr>
            <w:r>
              <w:rPr>
                <w:rFonts w:ascii="Arial" w:cs="Arial" w:eastAsia="Arial" w:hAnsi="Arial"/>
                <w:sz w:val="18"/>
                <w:szCs w:val="18"/>
                <w:color w:val="auto"/>
                <w:w w:val="88"/>
              </w:rPr>
              <w:t>36.95</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2017</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1,785</w:t>
            </w:r>
          </w:p>
        </w:tc>
        <w:tc>
          <w:tcPr>
            <w:tcW w:w="3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8"/>
              </w:rPr>
              <w:t>36.53</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3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right="170"/>
              <w:spacing w:after="0"/>
              <w:rPr>
                <w:sz w:val="20"/>
                <w:szCs w:val="20"/>
                <w:color w:val="auto"/>
              </w:rPr>
            </w:pPr>
            <w:r>
              <w:rPr>
                <w:rFonts w:ascii="Arial" w:cs="Arial" w:eastAsia="Arial" w:hAnsi="Arial"/>
                <w:sz w:val="18"/>
                <w:szCs w:val="18"/>
                <w:color w:val="auto"/>
                <w:w w:val="88"/>
              </w:rPr>
              <w:t>55.99</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2019</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vested restricted shares was $1.7 million and $1.3 million as of December 31, 2019 and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 Data</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the states of New Jersey, Delaware and Pennsylvania with respect to utility service within these states. The other segment is primarily comprised of non-regulated contract services for the operation and maintenance of municipal and private water and wastewater systems in New Jersey and Delaware.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transactions relating to operational costs are treated as pass-through expenses. Finance charges on inter-segment loan activities are based on interest rates that are below what would normally be charged by a third party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8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89"/>
              </w:rPr>
              <w:t>(Thousands of Dollars)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8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89"/>
              </w:rPr>
              <w:t>Years Ended 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600"/>
              <w:spacing w:after="0"/>
              <w:rPr>
                <w:sz w:val="20"/>
                <w:szCs w:val="20"/>
                <w:color w:val="auto"/>
              </w:rPr>
            </w:pPr>
            <w:r>
              <w:rPr>
                <w:rFonts w:ascii="Arial" w:cs="Arial" w:eastAsia="Arial" w:hAnsi="Arial"/>
                <w:sz w:val="18"/>
                <w:szCs w:val="18"/>
                <w:b w:val="1"/>
                <w:bCs w:val="1"/>
                <w:color w:val="auto"/>
              </w:rPr>
              <w:t>Operations by Segments:</w:t>
            </w:r>
          </w:p>
        </w:tc>
        <w:tc>
          <w:tcPr>
            <w:tcW w:w="25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1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123,078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121,901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115,454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12,177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16,778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134,598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138,077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31,805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34,127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35,130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3,715</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3,015</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Operating Income</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37,142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Depreciation:</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14,846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Depreciation</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15,037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3,284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Other Income (Expense), Net</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7,060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Interest Charges</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978</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Income Taxes</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30,405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2,286</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2,047</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32,452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88,858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71,493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50,078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601</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 Expenditures</w:t>
            </w:r>
          </w:p>
        </w:tc>
        <w:tc>
          <w:tcPr>
            <w:tcW w:w="2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89,125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72,094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50,301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6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8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rPr>
              <w:t>(Thousands of Dollars)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b w:val="1"/>
                <w:bCs w:val="1"/>
                <w:color w:val="auto"/>
                <w:w w:val="84"/>
              </w:rPr>
              <w:t>As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2019</w:t>
            </w:r>
          </w:p>
        </w:tc>
        <w:tc>
          <w:tcPr>
            <w:tcW w:w="1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 2018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2500" w:type="dxa"/>
            <w:vAlign w:val="bottom"/>
          </w:tcPr>
          <w:p>
            <w:pPr>
              <w:spacing w:after="0"/>
              <w:rPr>
                <w:sz w:val="18"/>
                <w:szCs w:val="18"/>
                <w:color w:val="auto"/>
              </w:rPr>
            </w:pPr>
          </w:p>
        </w:tc>
        <w:tc>
          <w:tcPr>
            <w:tcW w:w="10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910,081</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764,749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w w:val="94"/>
              </w:rPr>
              <w:t>(9,889)</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909,878</w:t>
            </w:r>
          </w:p>
        </w:tc>
        <w:tc>
          <w:tcPr>
            <w:tcW w:w="6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767,830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00" w:type="dxa"/>
            <w:vAlign w:val="bottom"/>
          </w:tcPr>
          <w:p>
            <w:pPr>
              <w:jc w:val="right"/>
              <w:ind w:right="1270"/>
              <w:spacing w:after="0"/>
              <w:rPr>
                <w:sz w:val="20"/>
                <w:szCs w:val="20"/>
                <w:color w:val="auto"/>
              </w:rPr>
            </w:pPr>
            <w:r>
              <w:rPr>
                <w:rFonts w:ascii="Arial" w:cs="Arial" w:eastAsia="Arial" w:hAnsi="Arial"/>
                <w:sz w:val="18"/>
                <w:szCs w:val="18"/>
                <w:color w:val="auto"/>
              </w:rPr>
              <w:t>64</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bottom w:val="single" w:sz="8" w:color="EEEEEE"/>
            </w:tcBorders>
          </w:tcPr>
          <w:p>
            <w:pPr>
              <w:spacing w:after="0"/>
              <w:rPr>
                <w:sz w:val="18"/>
                <w:szCs w:val="18"/>
                <w:color w:val="auto"/>
              </w:rPr>
            </w:pPr>
          </w:p>
        </w:tc>
        <w:tc>
          <w:tcPr>
            <w:tcW w:w="4060" w:type="dxa"/>
            <w:vAlign w:val="bottom"/>
            <w:tcBorders>
              <w:bottom w:val="single" w:sz="8" w:color="EEEEEE"/>
            </w:tcBorders>
          </w:tcPr>
          <w:p>
            <w:pPr>
              <w:spacing w:after="0"/>
              <w:rPr>
                <w:sz w:val="18"/>
                <w:szCs w:val="18"/>
                <w:color w:val="auto"/>
              </w:rPr>
            </w:pPr>
          </w:p>
        </w:tc>
        <w:tc>
          <w:tcPr>
            <w:tcW w:w="250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50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Quarterly Data - 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quarter of 2019 and 2018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93"/>
              </w:rPr>
              <w:t>(Thousands of Dollars, Except per Share Data)</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1st</w:t>
            </w:r>
          </w:p>
        </w:tc>
        <w:tc>
          <w:tcPr>
            <w:tcW w:w="3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4th</w:t>
            </w:r>
          </w:p>
        </w:tc>
        <w:tc>
          <w:tcPr>
            <w:tcW w:w="4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30,698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33,393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7,028</w:t>
            </w:r>
          </w:p>
        </w:tc>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8,950</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11,983</w:t>
            </w: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7,559</w:t>
            </w:r>
          </w:p>
        </w:tc>
        <w:tc>
          <w:tcPr>
            <w:tcW w:w="4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8,146</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0.2400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0.2400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0.2400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0.2563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60.48/$51.02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63.68/$52.51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66.10/$55.30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67.69/$58.75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1st</w:t>
            </w:r>
          </w:p>
        </w:tc>
        <w:tc>
          <w:tcPr>
            <w:tcW w:w="32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32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4th</w:t>
            </w:r>
          </w:p>
        </w:tc>
        <w:tc>
          <w:tcPr>
            <w:tcW w:w="400" w:type="dxa"/>
            <w:vAlign w:val="bottom"/>
          </w:tcPr>
          <w:p>
            <w:pPr>
              <w:spacing w:after="0"/>
              <w:rPr>
                <w:sz w:val="24"/>
                <w:szCs w:val="24"/>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31,177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34,919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33,268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6,350</w:t>
            </w:r>
          </w:p>
        </w:tc>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10,721</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12,918</w:t>
            </w: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7,153</w:t>
            </w:r>
          </w:p>
        </w:tc>
        <w:tc>
          <w:tcPr>
            <w:tcW w:w="4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8,675</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0.2238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0.2238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0.2238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0.2400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41.45/$33.96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45.24/$34.74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49.00/$41.77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60.31/$43.12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jc w:val="both"/>
        <w:ind w:firstLine="8"/>
        <w:spacing w:after="0" w:line="297" w:lineRule="auto"/>
        <w:tabs>
          <w:tab w:leader="none" w:pos="2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31"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December 31, 2019. Based upon that evaluation the Company’s Chief Executive Officer and the Company’s Chief Financial Officer concluded:</w:t>
      </w:r>
    </w:p>
    <w:p>
      <w:pPr>
        <w:ind w:left="720" w:hanging="253"/>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controls and procedures were effective as of the end of the period covered by this report.</w:t>
      </w:r>
    </w:p>
    <w:p>
      <w:pPr>
        <w:spacing w:after="0" w:line="9" w:lineRule="exact"/>
        <w:rPr>
          <w:rFonts w:ascii="Arial" w:cs="Arial" w:eastAsia="Arial" w:hAnsi="Arial"/>
          <w:sz w:val="18"/>
          <w:szCs w:val="18"/>
          <w:color w:val="auto"/>
        </w:rPr>
      </w:pPr>
    </w:p>
    <w:p>
      <w:pPr>
        <w:ind w:left="720" w:hanging="253"/>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changes in internal control over financial reporting occurred during our most recent fiscal quarter that has materially affected, or are reasonably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likely to materially affect, internal control over financial reporting.</w:t>
      </w:r>
    </w:p>
    <w:p>
      <w:pPr>
        <w:spacing w:after="0" w:line="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Accordingly, management believes the consolidated financial statements included in this report fairly present in all material respects our financial condition, results of operations and cash flows for the periods presented.</w:t>
      </w:r>
    </w:p>
    <w:p>
      <w:pPr>
        <w:spacing w:after="0" w:line="24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management of Middlesex Water Company (Middlesex or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we believe that as of December 31, 2019, the Company’s internal control over financial reporting is operating as designed and is effective based on those criteria.</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Middlesex’s independent registered public accounting firm has audited the effectiveness of our internal control over financial reporting as of December 31, 2019 as stated in their report which is included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 Dennis W. Doll</w:t>
            </w:r>
          </w:p>
        </w:tc>
        <w:tc>
          <w:tcPr>
            <w:tcW w:w="4060" w:type="dxa"/>
            <w:vAlign w:val="bottom"/>
            <w:gridSpan w:val="3"/>
          </w:tcPr>
          <w:p>
            <w:pPr>
              <w:ind w:left="1420"/>
              <w:spacing w:after="0"/>
              <w:rPr>
                <w:sz w:val="20"/>
                <w:szCs w:val="20"/>
                <w:color w:val="auto"/>
              </w:rPr>
            </w:pPr>
            <w:r>
              <w:rPr>
                <w:rFonts w:ascii="Arial" w:cs="Arial" w:eastAsia="Arial" w:hAnsi="Arial"/>
                <w:sz w:val="18"/>
                <w:szCs w:val="18"/>
                <w:color w:val="auto"/>
              </w:rPr>
              <w:t>/s/ A. Bruce O’Connor</w:t>
            </w:r>
          </w:p>
        </w:tc>
      </w:tr>
      <w:tr>
        <w:trPr>
          <w:trHeight w:val="195"/>
        </w:trPr>
        <w:tc>
          <w:tcPr>
            <w:tcW w:w="116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Dennis W. Doll</w:t>
            </w:r>
          </w:p>
        </w:tc>
        <w:tc>
          <w:tcPr>
            <w:tcW w:w="1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 Bruce O’Connor</w:t>
            </w:r>
          </w:p>
        </w:tc>
        <w:tc>
          <w:tcPr>
            <w:tcW w:w="100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4060" w:type="dxa"/>
            <w:vAlign w:val="bottom"/>
            <w:gridSpan w:val="3"/>
          </w:tcPr>
          <w:p>
            <w:pPr>
              <w:ind w:left="1420"/>
              <w:spacing w:after="0"/>
              <w:rPr>
                <w:sz w:val="20"/>
                <w:szCs w:val="20"/>
                <w:color w:val="auto"/>
              </w:rPr>
            </w:pPr>
            <w:r>
              <w:rPr>
                <w:rFonts w:ascii="Arial" w:cs="Arial" w:eastAsia="Arial" w:hAnsi="Arial"/>
                <w:sz w:val="18"/>
                <w:szCs w:val="18"/>
                <w:color w:val="auto"/>
                <w:w w:val="88"/>
              </w:rPr>
              <w:t>Senior Vice President, Treasurer and</w:t>
            </w:r>
          </w:p>
        </w:tc>
      </w:tr>
      <w:tr>
        <w:trPr>
          <w:trHeight w:val="230"/>
        </w:trPr>
        <w:tc>
          <w:tcPr>
            <w:tcW w:w="116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60" w:type="dxa"/>
            <w:vAlign w:val="bottom"/>
            <w:gridSpan w:val="3"/>
          </w:tcPr>
          <w:p>
            <w:pPr>
              <w:ind w:left="1420"/>
              <w:spacing w:after="0"/>
              <w:rPr>
                <w:sz w:val="20"/>
                <w:szCs w:val="20"/>
                <w:color w:val="auto"/>
              </w:rPr>
            </w:pPr>
            <w:r>
              <w:rPr>
                <w:rFonts w:ascii="Arial" w:cs="Arial" w:eastAsia="Arial" w:hAnsi="Arial"/>
                <w:sz w:val="18"/>
                <w:szCs w:val="18"/>
                <w:color w:val="auto"/>
              </w:rPr>
              <w:t>Chief Financial Officer</w:t>
            </w:r>
          </w:p>
        </w:tc>
      </w:tr>
      <w:tr>
        <w:trPr>
          <w:trHeight w:val="485"/>
        </w:trPr>
        <w:tc>
          <w:tcPr>
            <w:tcW w:w="4300" w:type="dxa"/>
            <w:vAlign w:val="bottom"/>
            <w:gridSpan w:val="3"/>
          </w:tcPr>
          <w:p>
            <w:pPr>
              <w:spacing w:after="0"/>
              <w:rPr>
                <w:sz w:val="20"/>
                <w:szCs w:val="20"/>
                <w:color w:val="auto"/>
              </w:rPr>
            </w:pPr>
            <w:r>
              <w:rPr>
                <w:rFonts w:ascii="Arial" w:cs="Arial" w:eastAsia="Arial" w:hAnsi="Arial"/>
                <w:sz w:val="18"/>
                <w:szCs w:val="18"/>
                <w:color w:val="auto"/>
              </w:rPr>
              <w:t>Iselin, New Jersey</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February 27, 2020</w:t>
            </w:r>
          </w:p>
        </w:tc>
        <w:tc>
          <w:tcPr>
            <w:tcW w:w="1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Directors of Middlesex Water Company is included in Middlesex Water Company’s Proxy Statement for the 2020 Annual Meeting of Stockholders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Executive Officers of Middlesex Water Company is included under Item 1. in Part I of this Annual Report.</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2020 Annual Meeting of Stockholders and is incorporated herein by reference.</w:t>
      </w:r>
    </w:p>
    <w:p>
      <w:pPr>
        <w:spacing w:after="0" w:line="166" w:lineRule="exact"/>
        <w:rPr>
          <w:sz w:val="20"/>
          <w:szCs w:val="20"/>
          <w:color w:val="auto"/>
        </w:rPr>
      </w:pPr>
    </w:p>
    <w:p>
      <w:pPr>
        <w:ind w:left="1060" w:right="460" w:hanging="1079"/>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2020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2020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2020 Annual Meeting of Stockholders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w:t>
      </w:r>
    </w:p>
    <w:p>
      <w:pPr>
        <w:spacing w:after="0" w:line="229" w:lineRule="exact"/>
        <w:rPr>
          <w:sz w:val="20"/>
          <w:szCs w:val="20"/>
          <w:color w:val="auto"/>
        </w:rPr>
      </w:pPr>
    </w:p>
    <w:p>
      <w:pPr>
        <w:ind w:left="480" w:right="2480" w:hanging="472"/>
        <w:spacing w:after="0" w:line="501"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Financial Statements and Supplementary Data are included in Part II- Item 8. of this Annual Report: Consolidated Balance Sheets at December 31, 2019 and 2018.</w:t>
      </w:r>
    </w:p>
    <w:p>
      <w:pPr>
        <w:ind w:left="480" w:right="3040"/>
        <w:spacing w:after="0" w:line="563" w:lineRule="auto"/>
        <w:rPr>
          <w:rFonts w:ascii="Arial" w:cs="Arial" w:eastAsia="Arial" w:hAnsi="Arial"/>
          <w:sz w:val="18"/>
          <w:szCs w:val="18"/>
          <w:color w:val="auto"/>
        </w:rPr>
      </w:pPr>
      <w:r>
        <w:rPr>
          <w:rFonts w:ascii="Arial" w:cs="Arial" w:eastAsia="Arial" w:hAnsi="Arial"/>
          <w:sz w:val="16"/>
          <w:szCs w:val="16"/>
          <w:color w:val="auto"/>
        </w:rPr>
        <w:t>Consolidated Statements of Income for each of the three years in the period ended December 31, 2019. Consolidated Statements of Cash Flows for each of the three years in the period ended December 31, 2019. Consolidated Statements of Capital Stock and Long-term Debt as of December 31, 2019 and 2018.</w:t>
      </w:r>
    </w:p>
    <w:p>
      <w:pPr>
        <w:spacing w:after="0" w:line="1" w:lineRule="exact"/>
        <w:rPr>
          <w:rFonts w:ascii="Arial" w:cs="Arial" w:eastAsia="Arial" w:hAnsi="Arial"/>
          <w:sz w:val="18"/>
          <w:szCs w:val="18"/>
          <w:color w:val="auto"/>
        </w:rPr>
      </w:pPr>
    </w:p>
    <w:p>
      <w:pPr>
        <w:ind w:left="480" w:right="1640"/>
        <w:spacing w:after="0" w:line="501" w:lineRule="auto"/>
        <w:rPr>
          <w:rFonts w:ascii="Arial" w:cs="Arial" w:eastAsia="Arial" w:hAnsi="Arial"/>
          <w:sz w:val="18"/>
          <w:szCs w:val="18"/>
          <w:color w:val="auto"/>
        </w:rPr>
      </w:pPr>
      <w:r>
        <w:rPr>
          <w:rFonts w:ascii="Arial" w:cs="Arial" w:eastAsia="Arial" w:hAnsi="Arial"/>
          <w:sz w:val="18"/>
          <w:szCs w:val="18"/>
          <w:color w:val="auto"/>
        </w:rPr>
        <w:t>Consolidated Statements of Common Stockholders’ Equity for each of the three years in the period ended December 31, 2019. Notes to Consolidated Financial Statements.</w:t>
      </w: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rFonts w:ascii="Arial" w:cs="Arial" w:eastAsia="Arial" w:hAnsi="Arial"/>
          <w:sz w:val="18"/>
          <w:szCs w:val="18"/>
          <w:color w:val="auto"/>
        </w:rPr>
      </w:pPr>
    </w:p>
    <w:p>
      <w:pPr>
        <w:ind w:left="48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the conditions under which they are required or because the required information is shown in the financial statements or notes thereto.</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See Exhibit listing immediately following the signature page.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240"/>
          </w:cols>
          <w:pgMar w:left="240" w:top="269" w:right="41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6840" w:type="dxa"/>
            <w:vAlign w:val="bottom"/>
          </w:tcPr>
          <w:p>
            <w:pPr>
              <w:spacing w:after="0"/>
              <w:rPr>
                <w:sz w:val="20"/>
                <w:szCs w:val="20"/>
                <w:color w:val="auto"/>
              </w:rPr>
            </w:pPr>
            <w:r>
              <w:rPr>
                <w:rFonts w:ascii="Arial" w:cs="Arial" w:eastAsia="Arial" w:hAnsi="Arial"/>
                <w:sz w:val="18"/>
                <w:szCs w:val="18"/>
                <w:color w:val="auto"/>
              </w:rPr>
              <w:t>February 27, 2020</w:t>
            </w:r>
          </w:p>
        </w:tc>
      </w:tr>
    </w:tbl>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February 27, 2020.</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c>
          <w:tcPr>
            <w:tcW w:w="3420" w:type="dxa"/>
            <w:vAlign w:val="bottom"/>
          </w:tcPr>
          <w:p>
            <w:pPr>
              <w:spacing w:after="0"/>
              <w:rPr>
                <w:sz w:val="20"/>
                <w:szCs w:val="20"/>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c>
          <w:tcPr>
            <w:tcW w:w="34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34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c>
          <w:tcPr>
            <w:tcW w:w="342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Chairman of the Board, President, Chief Executive Officer and Director</w:t>
            </w:r>
          </w:p>
        </w:tc>
        <w:tc>
          <w:tcPr>
            <w:tcW w:w="34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Cosgrove Jr.</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James F. Cosgrove Jr.</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C. Hanemann</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Kim C. Hanemann</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Klein</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Steven M. Klein</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 Mansue</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Amy B. Mansue</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L. Noble</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Ann L. Noble</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G. Reinhard</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Walter G. Reinhard</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Jeffries Shein</w:t>
            </w:r>
          </w:p>
        </w:tc>
        <w:tc>
          <w:tcPr>
            <w:tcW w:w="34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Jeffries Shein</w:t>
            </w:r>
          </w:p>
        </w:tc>
        <w:tc>
          <w:tcPr>
            <w:tcW w:w="34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6840" w:type="dxa"/>
            <w:vAlign w:val="bottom"/>
          </w:tcPr>
          <w:p>
            <w:pPr>
              <w:ind w:left="4480"/>
              <w:spacing w:after="0"/>
              <w:rPr>
                <w:sz w:val="20"/>
                <w:szCs w:val="20"/>
                <w:color w:val="auto"/>
              </w:rPr>
            </w:pPr>
            <w:r>
              <w:rPr>
                <w:rFonts w:ascii="Arial" w:cs="Arial" w:eastAsia="Arial" w:hAnsi="Arial"/>
                <w:sz w:val="18"/>
                <w:szCs w:val="18"/>
                <w:color w:val="auto"/>
              </w:rPr>
              <w:t>69</w:t>
            </w:r>
          </w:p>
        </w:tc>
        <w:tc>
          <w:tcPr>
            <w:tcW w:w="3420" w:type="dxa"/>
            <w:vAlign w:val="bottom"/>
          </w:tcPr>
          <w:p>
            <w:pPr>
              <w:spacing w:after="0"/>
              <w:rPr>
                <w:sz w:val="24"/>
                <w:szCs w:val="24"/>
                <w:color w:val="auto"/>
              </w:rPr>
            </w:pPr>
          </w:p>
        </w:tc>
      </w:tr>
      <w:tr>
        <w:trPr>
          <w:trHeight w:val="203"/>
        </w:trPr>
        <w:tc>
          <w:tcPr>
            <w:tcW w:w="1140" w:type="dxa"/>
            <w:vAlign w:val="bottom"/>
            <w:tcBorders>
              <w:bottom w:val="single" w:sz="8" w:color="EEEEEE"/>
            </w:tcBorders>
          </w:tcPr>
          <w:p>
            <w:pPr>
              <w:spacing w:after="0"/>
              <w:rPr>
                <w:sz w:val="17"/>
                <w:szCs w:val="17"/>
                <w:color w:val="auto"/>
              </w:rPr>
            </w:pPr>
          </w:p>
        </w:tc>
        <w:tc>
          <w:tcPr>
            <w:tcW w:w="6840" w:type="dxa"/>
            <w:vAlign w:val="bottom"/>
            <w:tcBorders>
              <w:bottom w:val="single" w:sz="8" w:color="EEEEEE"/>
            </w:tcBorders>
          </w:tcPr>
          <w:p>
            <w:pPr>
              <w:spacing w:after="0"/>
              <w:rPr>
                <w:sz w:val="17"/>
                <w:szCs w:val="17"/>
                <w:color w:val="auto"/>
              </w:rPr>
            </w:pPr>
          </w:p>
        </w:tc>
        <w:tc>
          <w:tcPr>
            <w:tcW w:w="342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Exhibit No.</w:t>
            </w:r>
          </w:p>
        </w:tc>
        <w:tc>
          <w:tcPr>
            <w:tcW w:w="146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gridSpan w:val="18"/>
          </w:tcPr>
          <w:p>
            <w:pPr>
              <w:ind w:left="70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87"/>
              </w:rPr>
              <w:t>3.1</w:t>
            </w:r>
          </w:p>
        </w:tc>
        <w:tc>
          <w:tcPr>
            <w:tcW w:w="5740" w:type="dxa"/>
            <w:vAlign w:val="bottom"/>
            <w:tcBorders>
              <w:bottom w:val="single" w:sz="8" w:color="0000EE"/>
            </w:tcBorders>
            <w:gridSpan w:val="12"/>
          </w:tcPr>
          <w:p>
            <w:pPr>
              <w:spacing w:after="0" w:line="170"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The Restated Certificate of Incorporation, filed as Exhibit 3.1 to the Company’s</w:t>
              </w:r>
            </w:hyperlink>
          </w:p>
        </w:tc>
        <w:tc>
          <w:tcPr>
            <w:tcW w:w="420" w:type="dxa"/>
            <w:vAlign w:val="bottom"/>
            <w:gridSpan w:val="7"/>
          </w:tcPr>
          <w:p>
            <w:pPr>
              <w:spacing w:after="0"/>
              <w:rPr>
                <w:sz w:val="14"/>
                <w:szCs w:val="14"/>
                <w:color w:val="auto"/>
              </w:rPr>
            </w:pPr>
          </w:p>
        </w:tc>
        <w:tc>
          <w:tcPr>
            <w:tcW w:w="1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Annual Report on Form 10-K for the Year ended December 31, 1998.</w:t>
              </w:r>
            </w:hyperlink>
          </w:p>
        </w:tc>
        <w:tc>
          <w:tcPr>
            <w:tcW w:w="1140" w:type="dxa"/>
            <w:vAlign w:val="bottom"/>
            <w:gridSpan w:val="11"/>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6160" w:type="dxa"/>
            <w:vAlign w:val="bottom"/>
            <w:gridSpan w:val="19"/>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the State of New Jersey on June 20, 1997, filed as Exhibit 3.1 to the Company’s</w:t>
              </w:r>
            </w:hyperlink>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Annual Report on Form 10-K for the year ended December 31, 1997.</w:t>
              </w:r>
            </w:hyperlink>
          </w:p>
        </w:tc>
        <w:tc>
          <w:tcPr>
            <w:tcW w:w="740" w:type="dxa"/>
            <w:vAlign w:val="bottom"/>
            <w:tcBorders>
              <w:top w:val="single" w:sz="8" w:color="0000EE"/>
            </w:tcBorders>
            <w:gridSpan w:val="5"/>
          </w:tcPr>
          <w:p>
            <w:pPr>
              <w:spacing w:after="0"/>
              <w:rPr>
                <w:sz w:val="17"/>
                <w:szCs w:val="17"/>
                <w:color w:val="auto"/>
              </w:rPr>
            </w:pPr>
          </w:p>
        </w:tc>
        <w:tc>
          <w:tcPr>
            <w:tcW w:w="42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6160" w:type="dxa"/>
            <w:vAlign w:val="bottom"/>
            <w:gridSpan w:val="19"/>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the State of New Jersey on May 27, 1998, filed as Exhibit 3.1 to the Company’s</w:t>
              </w:r>
            </w:hyperlink>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Annual Report on Form 10-K for the year ended December 31, 1998.</w:t>
              </w:r>
            </w:hyperlink>
          </w:p>
        </w:tc>
        <w:tc>
          <w:tcPr>
            <w:tcW w:w="740" w:type="dxa"/>
            <w:vAlign w:val="bottom"/>
            <w:tcBorders>
              <w:top w:val="single" w:sz="8" w:color="0000EE"/>
            </w:tcBorders>
            <w:gridSpan w:val="5"/>
          </w:tcPr>
          <w:p>
            <w:pPr>
              <w:spacing w:after="0"/>
              <w:rPr>
                <w:sz w:val="17"/>
                <w:szCs w:val="17"/>
                <w:color w:val="auto"/>
              </w:rPr>
            </w:pPr>
          </w:p>
        </w:tc>
        <w:tc>
          <w:tcPr>
            <w:tcW w:w="42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6160" w:type="dxa"/>
            <w:vAlign w:val="bottom"/>
            <w:gridSpan w:val="19"/>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the State of New Jersey on June 10, 1998, filed as Exhibit 3.1 to the Company’s</w:t>
              </w:r>
            </w:hyperlink>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Annual Report on Form 10-K for the year ended December 31, 1998.</w:t>
              </w:r>
            </w:hyperlink>
          </w:p>
        </w:tc>
        <w:tc>
          <w:tcPr>
            <w:tcW w:w="42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6160" w:type="dxa"/>
            <w:vAlign w:val="bottom"/>
            <w:gridSpan w:val="19"/>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Certificate of Correction of Middlesex Water Company filed with the State of New</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Jersey on April 30, 1999, filed as Exhibit 3.3 to the Company’s Annual Report on</w:t>
              </w:r>
            </w:hyperlink>
          </w:p>
        </w:tc>
        <w:tc>
          <w:tcPr>
            <w:tcW w:w="8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19"/>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10-K/A-2 for the year ended December 31, 2003.</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6160" w:type="dxa"/>
            <w:vAlign w:val="bottom"/>
            <w:gridSpan w:val="19"/>
          </w:tcPr>
          <w:p>
            <w:pPr>
              <w:spacing w:after="0" w:line="19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Certificate of Amendment to the Restated Certificate of Incorporation of Middlesex</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Water Company, filed with the State of New Jersey on February 17, 2000, filed as</w:t>
              </w:r>
            </w:hyperlink>
          </w:p>
        </w:tc>
        <w:tc>
          <w:tcPr>
            <w:tcW w:w="12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Exhibit 3.4 to the Company’s Annual Report on Form 10-K/A-2 for the year ended</w:t>
              </w:r>
            </w:hyperlink>
          </w:p>
        </w:tc>
        <w:tc>
          <w:tcPr>
            <w:tcW w:w="18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5">
              <w:r>
                <w:rPr>
                  <w:rFonts w:ascii="Arial" w:cs="Arial" w:eastAsia="Arial" w:hAnsi="Arial"/>
                  <w:sz w:val="18"/>
                  <w:szCs w:val="18"/>
                  <w:color w:val="0000EE"/>
                  <w:w w:val="88"/>
                </w:rPr>
                <w:t>December 31, 2003.</w:t>
              </w:r>
            </w:hyperlink>
          </w:p>
        </w:tc>
        <w:tc>
          <w:tcPr>
            <w:tcW w:w="4700" w:type="dxa"/>
            <w:vAlign w:val="bottom"/>
            <w:gridSpan w:val="18"/>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6160" w:type="dxa"/>
            <w:vAlign w:val="bottom"/>
            <w:gridSpan w:val="19"/>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Certificate of Amendment to the Restated Certificate of Incorporation of Middlesex</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2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Water Company, filed with the State of New Jersey on June 5, 2002, filed as</w:t>
              </w:r>
            </w:hyperlink>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Exhibit 3.5 to the Company’s Annual Report on Form 10-K/A-2 for the year ended</w:t>
              </w:r>
            </w:hyperlink>
          </w:p>
        </w:tc>
        <w:tc>
          <w:tcPr>
            <w:tcW w:w="18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December 31, 2003.</w:t>
              </w:r>
            </w:hyperlink>
          </w:p>
        </w:tc>
        <w:tc>
          <w:tcPr>
            <w:tcW w:w="4700" w:type="dxa"/>
            <w:vAlign w:val="bottom"/>
            <w:gridSpan w:val="18"/>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3.8</w:t>
            </w:r>
          </w:p>
        </w:tc>
        <w:tc>
          <w:tcPr>
            <w:tcW w:w="6160" w:type="dxa"/>
            <w:vAlign w:val="bottom"/>
            <w:gridSpan w:val="19"/>
          </w:tcPr>
          <w:p>
            <w:pPr>
              <w:spacing w:after="0" w:line="196"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the State of New Jersey on June 19, 2007, filed as Exhibit 3.1 to the Company’s</w:t>
              </w:r>
            </w:hyperlink>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Current Report on Form 8-K filed April 30, 2010.</w:t>
              </w:r>
            </w:hyperlink>
          </w:p>
        </w:tc>
        <w:tc>
          <w:tcPr>
            <w:tcW w:w="42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3.9</w:t>
            </w:r>
          </w:p>
        </w:tc>
        <w:tc>
          <w:tcPr>
            <w:tcW w:w="6160" w:type="dxa"/>
            <w:vAlign w:val="bottom"/>
            <w:gridSpan w:val="19"/>
          </w:tcPr>
          <w:p>
            <w:pPr>
              <w:spacing w:after="0" w:line="196"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the State of New Jersey on September 4, 2019, filed as Exhibit 3.1 to the</w:t>
              </w:r>
            </w:hyperlink>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220" w:type="dxa"/>
            <w:vAlign w:val="bottom"/>
            <w:tcBorders>
              <w:top w:val="single" w:sz="8" w:color="0000EE"/>
            </w:tcBorders>
            <w:gridSpan w:val="9"/>
          </w:tcPr>
          <w:p>
            <w:pPr>
              <w:spacing w:after="0" w:line="196"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Company’s Current Report on Form 8-K filed September 6, 2019.</w:t>
              </w:r>
            </w:hyperlink>
          </w:p>
        </w:tc>
        <w:tc>
          <w:tcPr>
            <w:tcW w:w="940" w:type="dxa"/>
            <w:vAlign w:val="bottom"/>
            <w:gridSpan w:val="10"/>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5"/>
              </w:rPr>
              <w:t>3.10</w:t>
            </w:r>
          </w:p>
        </w:tc>
        <w:tc>
          <w:tcPr>
            <w:tcW w:w="6160" w:type="dxa"/>
            <w:vAlign w:val="bottom"/>
            <w:gridSpan w:val="19"/>
          </w:tcPr>
          <w:p>
            <w:pPr>
              <w:spacing w:after="0" w:line="196" w:lineRule="exact"/>
              <w:rPr>
                <w:rFonts w:ascii="Arial" w:cs="Arial" w:eastAsia="Arial" w:hAnsi="Arial"/>
                <w:sz w:val="18"/>
                <w:szCs w:val="18"/>
                <w:color w:val="0000EE"/>
                <w:w w:val="98"/>
              </w:rPr>
            </w:pPr>
            <w:hyperlink r:id="rId89">
              <w:r>
                <w:rPr>
                  <w:rFonts w:ascii="Arial" w:cs="Arial" w:eastAsia="Arial" w:hAnsi="Arial"/>
                  <w:sz w:val="18"/>
                  <w:szCs w:val="18"/>
                  <w:color w:val="0000EE"/>
                  <w:w w:val="98"/>
                </w:rPr>
                <w:t>Certificate of Amendment to the Restated Certificate of Incorporation, filed with</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the State of New Jersey on September 19, 2019, filed as Exhibit 3.1 to the</w:t>
              </w:r>
            </w:hyperlink>
          </w:p>
        </w:tc>
        <w:tc>
          <w:tcPr>
            <w:tcW w:w="480" w:type="dxa"/>
            <w:vAlign w:val="bottom"/>
            <w:tcBorders>
              <w:top w:val="single" w:sz="8" w:color="0000EE"/>
            </w:tcBorders>
            <w:gridSpan w:val="3"/>
          </w:tcPr>
          <w:p>
            <w:pPr>
              <w:spacing w:after="0"/>
              <w:rPr>
                <w:sz w:val="17"/>
                <w:szCs w:val="17"/>
                <w:color w:val="auto"/>
              </w:rPr>
            </w:pPr>
          </w:p>
        </w:tc>
        <w:tc>
          <w:tcPr>
            <w:tcW w:w="36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1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Company’s Current Report on Form 8-K filed September 23, 2019.</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4740" w:type="dxa"/>
            <w:vAlign w:val="bottom"/>
            <w:tcBorders>
              <w:top w:val="single" w:sz="8" w:color="0000EE"/>
            </w:tcBorders>
            <w:gridSpan w:val="4"/>
          </w:tcPr>
          <w:p>
            <w:pPr>
              <w:ind w:left="4000"/>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Borders>
              <w:bottom w:val="single" w:sz="8" w:color="EEEEEE"/>
            </w:tcBorders>
          </w:tcPr>
          <w:p>
            <w:pPr>
              <w:spacing w:after="0"/>
              <w:rPr>
                <w:sz w:val="18"/>
                <w:szCs w:val="18"/>
                <w:color w:val="auto"/>
              </w:rPr>
            </w:pPr>
          </w:p>
        </w:tc>
        <w:tc>
          <w:tcPr>
            <w:tcW w:w="1460" w:type="dxa"/>
            <w:vAlign w:val="bottom"/>
            <w:tcBorders>
              <w:bottom w:val="single" w:sz="8" w:color="EEEEEE"/>
            </w:tcBorders>
          </w:tcPr>
          <w:p>
            <w:pPr>
              <w:spacing w:after="0"/>
              <w:rPr>
                <w:sz w:val="18"/>
                <w:szCs w:val="18"/>
                <w:color w:val="auto"/>
              </w:rPr>
            </w:pPr>
          </w:p>
        </w:tc>
        <w:tc>
          <w:tcPr>
            <w:tcW w:w="2120" w:type="dxa"/>
            <w:vAlign w:val="bottom"/>
            <w:tcBorders>
              <w:bottom w:val="single" w:sz="8" w:color="EEEEEE"/>
            </w:tcBorders>
          </w:tcPr>
          <w:p>
            <w:pPr>
              <w:spacing w:after="0"/>
              <w:rPr>
                <w:sz w:val="18"/>
                <w:szCs w:val="18"/>
                <w:color w:val="auto"/>
              </w:rPr>
            </w:pPr>
          </w:p>
        </w:tc>
        <w:tc>
          <w:tcPr>
            <w:tcW w:w="400" w:type="dxa"/>
            <w:vAlign w:val="bottom"/>
            <w:tcBorders>
              <w:bottom w:val="single" w:sz="8" w:color="EEEEEE"/>
            </w:tcBorders>
          </w:tcPr>
          <w:p>
            <w:pPr>
              <w:spacing w:after="0"/>
              <w:rPr>
                <w:sz w:val="18"/>
                <w:szCs w:val="18"/>
                <w:color w:val="auto"/>
              </w:rPr>
            </w:pPr>
          </w:p>
        </w:tc>
        <w:tc>
          <w:tcPr>
            <w:tcW w:w="7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660" w:type="dxa"/>
            <w:vAlign w:val="bottom"/>
            <w:tcBorders>
              <w:bottom w:val="single" w:sz="8" w:color="EEEEEE"/>
            </w:tcBorders>
          </w:tcPr>
          <w:p>
            <w:pPr>
              <w:spacing w:after="0"/>
              <w:rPr>
                <w:sz w:val="18"/>
                <w:szCs w:val="18"/>
                <w:color w:val="auto"/>
              </w:rPr>
            </w:pPr>
          </w:p>
        </w:tc>
        <w:tc>
          <w:tcPr>
            <w:tcW w:w="19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19"/>
          </w:tcPr>
          <w:p>
            <w:pPr>
              <w:ind w:left="194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Previous</w:t>
            </w: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Registration</w:t>
            </w: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19"/>
          </w:tcPr>
          <w:p>
            <w:pPr>
              <w:ind w:left="70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6"/>
              </w:rPr>
              <w:t>No.</w:t>
            </w:r>
          </w:p>
        </w:tc>
        <w:tc>
          <w:tcPr>
            <w:tcW w:w="2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85"/>
              </w:rPr>
              <w:t>3.11</w:t>
            </w:r>
          </w:p>
        </w:tc>
        <w:tc>
          <w:tcPr>
            <w:tcW w:w="550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By-laws of the Company, as amended, filed as Exhibit 4.1 to the Company’s</w:t>
              </w:r>
            </w:hyperlink>
          </w:p>
        </w:tc>
        <w:tc>
          <w:tcPr>
            <w:tcW w:w="640" w:type="dxa"/>
            <w:vAlign w:val="bottom"/>
            <w:gridSpan w:val="11"/>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Quarterly Report on Form 10-Q for the quarter ended June 30, 2010.</w:t>
              </w:r>
            </w:hyperlink>
          </w:p>
        </w:tc>
        <w:tc>
          <w:tcPr>
            <w:tcW w:w="1200" w:type="dxa"/>
            <w:vAlign w:val="bottom"/>
            <w:gridSpan w:val="16"/>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5"/>
              </w:rPr>
              <w:t>3.12</w:t>
            </w:r>
          </w:p>
        </w:tc>
        <w:tc>
          <w:tcPr>
            <w:tcW w:w="5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Amendments to the by-laws of the Company, included as Exhibit 3(ii) to the</w:t>
              </w:r>
            </w:hyperlink>
          </w:p>
        </w:tc>
        <w:tc>
          <w:tcPr>
            <w:tcW w:w="64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Company’s Current Report on Form 8-K dated November 22, 2017.</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8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Form of Common Stock Certificate.</w:t>
            </w:r>
          </w:p>
        </w:tc>
        <w:tc>
          <w:tcPr>
            <w:tcW w:w="1260" w:type="dxa"/>
            <w:vAlign w:val="bottom"/>
            <w:gridSpan w:val="17"/>
          </w:tcPr>
          <w:p>
            <w:pPr>
              <w:spacing w:after="0"/>
              <w:rPr>
                <w:sz w:val="19"/>
                <w:szCs w:val="19"/>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90"/>
              </w:rPr>
              <w:t>2-55058</w:t>
            </w: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2(a)</w:t>
            </w:r>
          </w:p>
        </w:tc>
      </w:tr>
      <w:tr>
        <w:trPr>
          <w:trHeight w:val="190"/>
        </w:trPr>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6140" w:type="dxa"/>
            <w:vAlign w:val="bottom"/>
            <w:gridSpan w:val="21"/>
          </w:tcPr>
          <w:p>
            <w:pPr>
              <w:spacing w:after="0" w:line="190"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Water Service Agreement, dated February 28, 2006, between the Company and</w:t>
              </w:r>
            </w:hyperlink>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Elizabethtown Water Company, filed as Exhibit 10 of the Company’s Quarterly</w:t>
              </w:r>
            </w:hyperlink>
          </w:p>
        </w:tc>
        <w:tc>
          <w:tcPr>
            <w:tcW w:w="42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Report on Form 10-Q for the quarter ended March 31, 2006.</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140" w:type="dxa"/>
            <w:vAlign w:val="bottom"/>
            <w:gridSpan w:val="21"/>
          </w:tcPr>
          <w:p>
            <w:pPr>
              <w:spacing w:after="0"/>
              <w:rPr>
                <w:sz w:val="20"/>
                <w:szCs w:val="20"/>
                <w:color w:val="auto"/>
              </w:rPr>
            </w:pPr>
            <w:r>
              <w:rPr>
                <w:rFonts w:ascii="Arial" w:cs="Arial" w:eastAsia="Arial" w:hAnsi="Arial"/>
                <w:sz w:val="18"/>
                <w:szCs w:val="18"/>
                <w:color w:val="auto"/>
                <w:w w:val="98"/>
              </w:rPr>
              <w:t>Mortgage, dated April 1, 1927, between the Company and Union County Trust</w:t>
            </w: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90"/>
              </w:rPr>
              <w:t>2-15795</w:t>
            </w: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4(a)-4(f)</w:t>
            </w:r>
          </w:p>
        </w:tc>
      </w:tr>
      <w:tr>
        <w:trPr>
          <w:trHeight w:val="216"/>
        </w:trPr>
        <w:tc>
          <w:tcPr>
            <w:tcW w:w="1620" w:type="dxa"/>
            <w:vAlign w:val="bottom"/>
          </w:tcPr>
          <w:p>
            <w:pPr>
              <w:spacing w:after="0"/>
              <w:rPr>
                <w:sz w:val="18"/>
                <w:szCs w:val="18"/>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auto"/>
                <w:w w:val="94"/>
              </w:rPr>
              <w:t>Company, as Trustee, as supplemented by Supplemental Indentures, dated as of</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auto"/>
              </w:rPr>
              <w:t>October 1, 1939 and April 1, 1949.</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140" w:type="dxa"/>
            <w:vAlign w:val="bottom"/>
            <w:gridSpan w:val="21"/>
          </w:tcPr>
          <w:p>
            <w:pPr>
              <w:spacing w:after="0"/>
              <w:rPr>
                <w:sz w:val="20"/>
                <w:szCs w:val="20"/>
                <w:color w:val="auto"/>
              </w:rPr>
            </w:pPr>
            <w:r>
              <w:rPr>
                <w:rFonts w:ascii="Arial" w:cs="Arial" w:eastAsia="Arial" w:hAnsi="Arial"/>
                <w:sz w:val="18"/>
                <w:szCs w:val="18"/>
                <w:color w:val="auto"/>
                <w:w w:val="93"/>
              </w:rPr>
              <w:t>Supplemental Indenture, dated as of July 1, 1964 and June 15, 1991, between the</w:t>
            </w: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89"/>
              </w:rPr>
              <w:t>33-54922</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9"/>
              </w:rPr>
              <w:t>10.4-10.9</w:t>
            </w: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auto"/>
              </w:rPr>
              <w:t>Company and Union County Trust Company, as Trustee.</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85"/>
              </w:rPr>
              <w:t>10.4</w:t>
            </w:r>
          </w:p>
        </w:tc>
        <w:tc>
          <w:tcPr>
            <w:tcW w:w="5980" w:type="dxa"/>
            <w:vAlign w:val="bottom"/>
            <w:tcBorders>
              <w:bottom w:val="single" w:sz="8" w:color="0000EE"/>
            </w:tcBorders>
            <w:gridSpan w:val="20"/>
          </w:tcPr>
          <w:p>
            <w:pPr>
              <w:spacing w:after="0" w:line="190"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Agreement for a Supply of Water, dated as of July 27, 2011, between the Company</w:t>
              </w:r>
            </w:hyperlink>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and the Old Bridge Municipal Utilities Authority, filed as Exhibit No. 10.4 of the</w:t>
              </w:r>
            </w:hyperlink>
          </w:p>
        </w:tc>
        <w:tc>
          <w:tcPr>
            <w:tcW w:w="2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Company’s Quarterly Report on Form 10-Q for the quarter ended September 30,</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94">
              <w:r>
                <w:rPr>
                  <w:rFonts w:ascii="Arial" w:cs="Arial" w:eastAsia="Arial" w:hAnsi="Arial"/>
                  <w:sz w:val="18"/>
                  <w:szCs w:val="18"/>
                  <w:color w:val="0000EE"/>
                  <w:w w:val="84"/>
                </w:rPr>
                <w:t>2011.</w:t>
              </w:r>
            </w:hyperlink>
          </w:p>
        </w:tc>
        <w:tc>
          <w:tcPr>
            <w:tcW w:w="106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6140" w:type="dxa"/>
            <w:vAlign w:val="bottom"/>
            <w:gridSpan w:val="21"/>
          </w:tcPr>
          <w:p>
            <w:pPr>
              <w:spacing w:after="0"/>
              <w:rPr>
                <w:sz w:val="20"/>
                <w:szCs w:val="20"/>
                <w:color w:val="auto"/>
              </w:rPr>
            </w:pPr>
            <w:r>
              <w:rPr>
                <w:rFonts w:ascii="Arial" w:cs="Arial" w:eastAsia="Arial" w:hAnsi="Arial"/>
                <w:sz w:val="18"/>
                <w:szCs w:val="18"/>
                <w:color w:val="auto"/>
                <w:w w:val="91"/>
              </w:rPr>
              <w:t>Water Supply Agreement, dated as of July 14, 1987, between the Company and the</w:t>
            </w: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89"/>
              </w:rPr>
              <w:t>33-31476</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auto"/>
              </w:rPr>
              <w:t>Marlboro Township Municipal Utilities Authority, as amended.</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85"/>
              </w:rPr>
              <w:t>10.6</w:t>
            </w:r>
          </w:p>
        </w:tc>
        <w:tc>
          <w:tcPr>
            <w:tcW w:w="5860" w:type="dxa"/>
            <w:vAlign w:val="bottom"/>
            <w:tcBorders>
              <w:bottom w:val="single" w:sz="8" w:color="0000EE"/>
            </w:tcBorders>
            <w:gridSpan w:val="18"/>
          </w:tcPr>
          <w:p>
            <w:pPr>
              <w:spacing w:after="0" w:line="190"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Water Purchase Contract, dated as of September 25, 2003, between the Company</w:t>
              </w:r>
            </w:hyperlink>
          </w:p>
        </w:tc>
        <w:tc>
          <w:tcPr>
            <w:tcW w:w="280" w:type="dxa"/>
            <w:vAlign w:val="bottom"/>
            <w:gridSpan w:val="3"/>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5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and the New Jersey Water Supply Authority, filed as Exhibit No. 10.7 of the</w:t>
              </w:r>
            </w:hyperlink>
          </w:p>
        </w:tc>
        <w:tc>
          <w:tcPr>
            <w:tcW w:w="66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Company’s Annual Report on Form 10-K for the year ended December 31, 2003.</w:t>
              </w:r>
            </w:hyperlink>
          </w:p>
        </w:tc>
        <w:tc>
          <w:tcPr>
            <w:tcW w:w="2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5"/>
              </w:rPr>
              <w:t>10.7</w:t>
            </w:r>
          </w:p>
        </w:tc>
        <w:tc>
          <w:tcPr>
            <w:tcW w:w="6140" w:type="dxa"/>
            <w:vAlign w:val="bottom"/>
            <w:gridSpan w:val="2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Treatment and Pumping Agreement, dated October 1, 2014, between the Company</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and the Township of East Brunswick, filed as Exhibit No. 10.7 of the Company’s</w:t>
              </w:r>
            </w:hyperlink>
          </w:p>
        </w:tc>
        <w:tc>
          <w:tcPr>
            <w:tcW w:w="12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Annual Report on Form 10-K for the year ended December 31, 2016.</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6140" w:type="dxa"/>
            <w:vAlign w:val="bottom"/>
            <w:gridSpan w:val="21"/>
          </w:tcPr>
          <w:p>
            <w:pPr>
              <w:spacing w:after="0"/>
              <w:rPr>
                <w:sz w:val="20"/>
                <w:szCs w:val="20"/>
                <w:color w:val="auto"/>
              </w:rPr>
            </w:pPr>
            <w:r>
              <w:rPr>
                <w:rFonts w:ascii="Arial" w:cs="Arial" w:eastAsia="Arial" w:hAnsi="Arial"/>
                <w:sz w:val="18"/>
                <w:szCs w:val="18"/>
                <w:color w:val="auto"/>
                <w:w w:val="94"/>
              </w:rPr>
              <w:t>Water Supply Agreement, dated June 4, 1990, between the Company and Edison</w:t>
            </w:r>
          </w:p>
        </w:tc>
        <w:tc>
          <w:tcPr>
            <w:tcW w:w="1640" w:type="dxa"/>
            <w:vAlign w:val="bottom"/>
          </w:tcPr>
          <w:p>
            <w:pPr>
              <w:jc w:val="center"/>
              <w:ind w:right="270"/>
              <w:spacing w:after="0"/>
              <w:rPr>
                <w:sz w:val="20"/>
                <w:szCs w:val="20"/>
                <w:color w:val="auto"/>
              </w:rPr>
            </w:pPr>
            <w:r>
              <w:rPr>
                <w:rFonts w:ascii="Arial" w:cs="Arial" w:eastAsia="Arial" w:hAnsi="Arial"/>
                <w:sz w:val="18"/>
                <w:szCs w:val="18"/>
                <w:color w:val="auto"/>
                <w:w w:val="89"/>
              </w:rPr>
              <w:t>33-54922</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6140" w:type="dxa"/>
            <w:vAlign w:val="bottom"/>
            <w:gridSpan w:val="21"/>
          </w:tcPr>
          <w:p>
            <w:pPr>
              <w:spacing w:after="0"/>
              <w:rPr>
                <w:sz w:val="20"/>
                <w:szCs w:val="20"/>
                <w:color w:val="auto"/>
              </w:rPr>
            </w:pPr>
            <w:r>
              <w:rPr>
                <w:rFonts w:ascii="Arial" w:cs="Arial" w:eastAsia="Arial" w:hAnsi="Arial"/>
                <w:sz w:val="18"/>
                <w:szCs w:val="18"/>
                <w:color w:val="auto"/>
              </w:rPr>
              <w:t>Township.</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85"/>
              </w:rPr>
              <w:t>10.9</w:t>
            </w:r>
          </w:p>
        </w:tc>
        <w:tc>
          <w:tcPr>
            <w:tcW w:w="576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Agreement for a Supply of Water, dated January 1, 2006, between the Company</w:t>
              </w:r>
            </w:hyperlink>
          </w:p>
        </w:tc>
        <w:tc>
          <w:tcPr>
            <w:tcW w:w="380" w:type="dxa"/>
            <w:vAlign w:val="bottom"/>
            <w:gridSpan w:val="7"/>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and the Borough of Highland Park, filed as Exhibit No. 10.1 of the Company’s</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Quarterly Report on Form 10-Q for the quarter ended March 31, 2006.</w:t>
              </w:r>
            </w:hyperlink>
          </w:p>
        </w:tc>
        <w:tc>
          <w:tcPr>
            <w:tcW w:w="620" w:type="dxa"/>
            <w:vAlign w:val="bottom"/>
            <w:tcBorders>
              <w:top w:val="single" w:sz="8" w:color="0000EE"/>
            </w:tcBorders>
            <w:gridSpan w:val="5"/>
          </w:tcPr>
          <w:p>
            <w:pPr>
              <w:spacing w:after="0"/>
              <w:rPr>
                <w:sz w:val="17"/>
                <w:szCs w:val="17"/>
                <w:color w:val="auto"/>
              </w:rPr>
            </w:pPr>
          </w:p>
        </w:tc>
        <w:tc>
          <w:tcPr>
            <w:tcW w:w="440" w:type="dxa"/>
            <w:vAlign w:val="bottom"/>
            <w:gridSpan w:val="9"/>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7"/>
              </w:rPr>
              <w:t>10.9(a)</w:t>
            </w:r>
          </w:p>
        </w:tc>
        <w:tc>
          <w:tcPr>
            <w:tcW w:w="58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Amendment to Agreement for a Supply of Water, dated as of December 1, 2015,</w:t>
              </w:r>
            </w:hyperlink>
          </w:p>
        </w:tc>
        <w:tc>
          <w:tcPr>
            <w:tcW w:w="34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between the Company and the Borough of Highland Park, filed as Exhibit No.</w:t>
              </w:r>
            </w:hyperlink>
          </w:p>
        </w:tc>
        <w:tc>
          <w:tcPr>
            <w:tcW w:w="50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2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9(a)</w:t>
              </w:r>
              <w:r>
                <w:rPr>
                  <w:rFonts w:ascii="Arial" w:cs="Arial" w:eastAsia="Arial" w:hAnsi="Arial"/>
                  <w:sz w:val="18"/>
                  <w:szCs w:val="18"/>
                  <w:color w:val="0000EE"/>
                </w:rPr>
                <w:t xml:space="preserve"> of the Company’s Annual Report on Form 10-K for the year ended</w:t>
              </w:r>
            </w:hyperlink>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December 31, 2015.</w:t>
              </w:r>
            </w:hyperlink>
          </w:p>
        </w:tc>
        <w:tc>
          <w:tcPr>
            <w:tcW w:w="3900" w:type="dxa"/>
            <w:vAlign w:val="bottom"/>
            <w:tcBorders>
              <w:top w:val="single" w:sz="8" w:color="0000EE"/>
            </w:tcBorders>
            <w:gridSpan w:val="6"/>
          </w:tcPr>
          <w:p>
            <w:pPr>
              <w:spacing w:after="0"/>
              <w:rPr>
                <w:sz w:val="17"/>
                <w:szCs w:val="17"/>
                <w:color w:val="auto"/>
              </w:rPr>
            </w:pPr>
          </w:p>
        </w:tc>
        <w:tc>
          <w:tcPr>
            <w:tcW w:w="78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4340" w:type="dxa"/>
            <w:vAlign w:val="bottom"/>
            <w:gridSpan w:val="3"/>
          </w:tcPr>
          <w:p>
            <w:pPr>
              <w:ind w:left="400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88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20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17"/>
          </w:tcPr>
          <w:p>
            <w:pPr>
              <w:ind w:left="62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Exhibit No.</w:t>
            </w:r>
          </w:p>
        </w:tc>
        <w:tc>
          <w:tcPr>
            <w:tcW w:w="1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20"/>
          </w:tcPr>
          <w:p>
            <w:pPr>
              <w:ind w:left="20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(t)10.10</w:t>
            </w:r>
          </w:p>
        </w:tc>
        <w:tc>
          <w:tcPr>
            <w:tcW w:w="5620" w:type="dxa"/>
            <w:vAlign w:val="bottom"/>
            <w:tcBorders>
              <w:bottom w:val="single" w:sz="8" w:color="0000EE"/>
            </w:tcBorders>
            <w:gridSpan w:val="13"/>
          </w:tcPr>
          <w:p>
            <w:pPr>
              <w:spacing w:after="0" w:line="170"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Middlesex Water Company Supplemental Executive Retirement Plan, filed as</w:t>
              </w:r>
            </w:hyperlink>
          </w:p>
        </w:tc>
        <w:tc>
          <w:tcPr>
            <w:tcW w:w="560" w:type="dxa"/>
            <w:vAlign w:val="bottom"/>
            <w:gridSpan w:val="9"/>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Exhibit 10.13 of the Company’s Quarterly Report on Form 10-Q for the quarter</w:t>
              </w:r>
            </w:hyperlink>
          </w:p>
        </w:tc>
        <w:tc>
          <w:tcPr>
            <w:tcW w:w="46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ended September 30, 1999.</w:t>
              </w:r>
            </w:hyperlink>
          </w:p>
        </w:tc>
        <w:tc>
          <w:tcPr>
            <w:tcW w:w="4220" w:type="dxa"/>
            <w:vAlign w:val="bottom"/>
            <w:gridSpan w:val="2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(t)10.11(a)</w:t>
            </w:r>
          </w:p>
        </w:tc>
        <w:tc>
          <w:tcPr>
            <w:tcW w:w="6180" w:type="dxa"/>
            <w:vAlign w:val="bottom"/>
            <w:gridSpan w:val="22"/>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Middlesex Water Company 2018 Restricted Stock Plan, filed as Appendix A to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Company’s Definitive Proxy Statement, dated and filed April 12, 2018.</w:t>
              </w:r>
            </w:hyperlink>
          </w:p>
        </w:tc>
        <w:tc>
          <w:tcPr>
            <w:tcW w:w="820" w:type="dxa"/>
            <w:vAlign w:val="bottom"/>
            <w:tcBorders>
              <w:top w:val="single" w:sz="8" w:color="0000EE"/>
            </w:tcBorders>
            <w:gridSpan w:val="10"/>
          </w:tcPr>
          <w:p>
            <w:pPr>
              <w:spacing w:after="0"/>
              <w:rPr>
                <w:sz w:val="17"/>
                <w:szCs w:val="17"/>
                <w:color w:val="auto"/>
              </w:rPr>
            </w:pPr>
          </w:p>
        </w:tc>
        <w:tc>
          <w:tcPr>
            <w:tcW w:w="22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(t)10.11(b)</w:t>
            </w:r>
          </w:p>
        </w:tc>
        <w:tc>
          <w:tcPr>
            <w:tcW w:w="6180" w:type="dxa"/>
            <w:vAlign w:val="bottom"/>
            <w:gridSpan w:val="22"/>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Registration Statement, Form S-8, under the Securities Act of 1933, filed December</w:t>
              </w:r>
            </w:hyperlink>
          </w:p>
        </w:tc>
        <w:tc>
          <w:tcPr>
            <w:tcW w:w="1640" w:type="dxa"/>
            <w:vAlign w:val="bottom"/>
          </w:tcPr>
          <w:p>
            <w:pPr>
              <w:jc w:val="right"/>
              <w:ind w:right="510"/>
              <w:spacing w:after="0" w:line="196" w:lineRule="exact"/>
              <w:rPr>
                <w:sz w:val="20"/>
                <w:szCs w:val="20"/>
                <w:color w:val="auto"/>
              </w:rPr>
            </w:pPr>
            <w:r>
              <w:rPr>
                <w:rFonts w:ascii="Arial" w:cs="Arial" w:eastAsia="Arial" w:hAnsi="Arial"/>
                <w:sz w:val="18"/>
                <w:szCs w:val="18"/>
                <w:color w:val="auto"/>
              </w:rPr>
              <w:t>333-156269</w:t>
            </w: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18, 2008, relating to the Middlesex Water Company Outside Director Stock</w:t>
              </w:r>
            </w:hyperlink>
          </w:p>
        </w:tc>
        <w:tc>
          <w:tcPr>
            <w:tcW w:w="600" w:type="dxa"/>
            <w:vAlign w:val="bottom"/>
            <w:tcBorders>
              <w:top w:val="single" w:sz="8" w:color="0000EE"/>
            </w:tcBorders>
            <w:gridSpan w:val="12"/>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Compensation Stock Plan.</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(t)10.12(a)</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Change in Control Termination Agreement, dated as of January 1, 2009, between</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the Company and Dennis W. Doll, filed as Exhibit 10.13(a) of the Company’s</w:t>
              </w:r>
            </w:hyperlink>
          </w:p>
        </w:tc>
        <w:tc>
          <w:tcPr>
            <w:tcW w:w="58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Annual Report on Form 10-K for the year ended December 31, 2008.</w:t>
              </w:r>
            </w:hyperlink>
          </w:p>
        </w:tc>
        <w:tc>
          <w:tcPr>
            <w:tcW w:w="1180" w:type="dxa"/>
            <w:vAlign w:val="bottom"/>
            <w:gridSpan w:val="1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(t)10.12(b)</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Change in Control Termination Agreement, dated as of January 1, 2009, between</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the Company and A. Bruce O’Connor, filed as Exhibit 10.13(b) of the Company’s</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Annual Report on Form 10-K for the year ended December 31, 2008.</w:t>
              </w:r>
            </w:hyperlink>
          </w:p>
        </w:tc>
        <w:tc>
          <w:tcPr>
            <w:tcW w:w="900" w:type="dxa"/>
            <w:vAlign w:val="bottom"/>
            <w:tcBorders>
              <w:top w:val="single" w:sz="8" w:color="0000EE"/>
            </w:tcBorders>
            <w:gridSpan w:val="10"/>
          </w:tcPr>
          <w:p>
            <w:pPr>
              <w:spacing w:after="0"/>
              <w:rPr>
                <w:sz w:val="17"/>
                <w:szCs w:val="17"/>
                <w:color w:val="auto"/>
              </w:rPr>
            </w:pPr>
          </w:p>
        </w:tc>
        <w:tc>
          <w:tcPr>
            <w:tcW w:w="28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(t)10.12(c)</w:t>
            </w:r>
          </w:p>
        </w:tc>
        <w:tc>
          <w:tcPr>
            <w:tcW w:w="60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Change in Control Termination Agreement, dated as of March 1, 2012, between the</w:t>
              </w:r>
            </w:hyperlink>
          </w:p>
        </w:tc>
        <w:tc>
          <w:tcPr>
            <w:tcW w:w="1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5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Company and Lorrie B. Ginegaw, filed as Exhibit 10.13(e) of the Company’s</w:t>
              </w:r>
            </w:hyperlink>
          </w:p>
        </w:tc>
        <w:tc>
          <w:tcPr>
            <w:tcW w:w="62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Annual Report on Form 10-K for the year ended December 31, 2011.</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(t)10.12(d)</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Change in Control Termination Agreement, dated as of January 1, 2009, between</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the Company and Bernadette M. Sohler, filed as Exhibit 10.13(h) of the Company’s</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Annual Report on Form 10-K for the year ended December 31, 2008.</w:t>
              </w:r>
            </w:hyperlink>
          </w:p>
        </w:tc>
        <w:tc>
          <w:tcPr>
            <w:tcW w:w="102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(t)10.12(e)</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Change in Control Termination Agreement, dated as of March 17, 2014, between</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the Company and Jay L. Kooper, filed as Exhibit 10.12(g) of the Company’s</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Quarterly Report on Form 10-Q for the quarter ended June 30, 2014.</w:t>
              </w:r>
            </w:hyperlink>
          </w:p>
        </w:tc>
        <w:tc>
          <w:tcPr>
            <w:tcW w:w="520" w:type="dxa"/>
            <w:vAlign w:val="bottom"/>
            <w:tcBorders>
              <w:top w:val="single" w:sz="8" w:color="0000EE"/>
            </w:tcBorders>
            <w:gridSpan w:val="4"/>
          </w:tcPr>
          <w:p>
            <w:pPr>
              <w:spacing w:after="0"/>
              <w:rPr>
                <w:sz w:val="17"/>
                <w:szCs w:val="17"/>
                <w:color w:val="auto"/>
              </w:rPr>
            </w:pPr>
          </w:p>
        </w:tc>
        <w:tc>
          <w:tcPr>
            <w:tcW w:w="68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9"/>
              </w:rPr>
              <w:t>*(t)10.12(f)</w:t>
            </w:r>
          </w:p>
        </w:tc>
        <w:tc>
          <w:tcPr>
            <w:tcW w:w="58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Change in Control Termination Agreement, dated as of July 1, 2019, between the</w:t>
            </w:r>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sz w:val="20"/>
                <w:szCs w:val="20"/>
                <w:color w:val="auto"/>
              </w:rPr>
            </w:pPr>
            <w:r>
              <w:rPr>
                <w:rFonts w:ascii="Arial" w:cs="Arial" w:eastAsia="Arial" w:hAnsi="Arial"/>
                <w:sz w:val="18"/>
                <w:szCs w:val="18"/>
                <w:color w:val="0000EE"/>
              </w:rPr>
              <w:t>Company and G. Christian Andreasen.</w:t>
            </w: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4"/>
              </w:rPr>
              <w:t>*(t)10.12(g)</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Change in Control Termination Agreement, dated as of July 1, 2019, between the</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Company and Robert K. Fullagar.</w:t>
              </w:r>
            </w:hyperlink>
          </w:p>
        </w:tc>
        <w:tc>
          <w:tcPr>
            <w:tcW w:w="3740" w:type="dxa"/>
            <w:vAlign w:val="bottom"/>
            <w:gridSpan w:val="19"/>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4"/>
              </w:rPr>
              <w:t>*(t)10.12(h)</w:t>
            </w: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Change in Control Termination Agreement, dated as of July 1, 2019, between the</w:t>
              </w:r>
            </w:hyperlink>
          </w:p>
        </w:tc>
        <w:tc>
          <w:tcPr>
            <w:tcW w:w="3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Company and Georgia M. Simpson.</w:t>
              </w:r>
            </w:hyperlink>
          </w:p>
        </w:tc>
        <w:tc>
          <w:tcPr>
            <w:tcW w:w="3580" w:type="dxa"/>
            <w:vAlign w:val="bottom"/>
            <w:gridSpan w:val="1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6180" w:type="dxa"/>
            <w:vAlign w:val="bottom"/>
            <w:gridSpan w:val="22"/>
          </w:tcPr>
          <w:p>
            <w:pPr>
              <w:spacing w:after="0"/>
              <w:rPr>
                <w:sz w:val="20"/>
                <w:szCs w:val="20"/>
                <w:color w:val="auto"/>
              </w:rPr>
            </w:pPr>
            <w:r>
              <w:rPr>
                <w:rFonts w:ascii="Arial" w:cs="Arial" w:eastAsia="Arial" w:hAnsi="Arial"/>
                <w:sz w:val="18"/>
                <w:szCs w:val="18"/>
                <w:color w:val="auto"/>
                <w:w w:val="94"/>
              </w:rPr>
              <w:t>Transmission Agreement, dated October 16, 1992, between the Company and the</w:t>
            </w:r>
          </w:p>
        </w:tc>
        <w:tc>
          <w:tcPr>
            <w:tcW w:w="1640" w:type="dxa"/>
            <w:vAlign w:val="bottom"/>
          </w:tcPr>
          <w:p>
            <w:pPr>
              <w:jc w:val="right"/>
              <w:ind w:right="610"/>
              <w:spacing w:after="0"/>
              <w:rPr>
                <w:sz w:val="20"/>
                <w:szCs w:val="20"/>
                <w:color w:val="auto"/>
              </w:rPr>
            </w:pPr>
            <w:r>
              <w:rPr>
                <w:rFonts w:ascii="Arial" w:cs="Arial" w:eastAsia="Arial" w:hAnsi="Arial"/>
                <w:sz w:val="18"/>
                <w:szCs w:val="18"/>
                <w:color w:val="auto"/>
              </w:rPr>
              <w:t>33-54922</w:t>
            </w:r>
          </w:p>
        </w:tc>
        <w:tc>
          <w:tcPr>
            <w:tcW w:w="1960" w:type="dxa"/>
            <w:vAlign w:val="bottom"/>
          </w:tcPr>
          <w:p>
            <w:pPr>
              <w:jc w:val="center"/>
              <w:ind w:right="190"/>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6180" w:type="dxa"/>
            <w:vAlign w:val="bottom"/>
            <w:gridSpan w:val="22"/>
          </w:tcPr>
          <w:p>
            <w:pPr>
              <w:spacing w:after="0"/>
              <w:rPr>
                <w:sz w:val="20"/>
                <w:szCs w:val="20"/>
                <w:color w:val="auto"/>
              </w:rPr>
            </w:pPr>
            <w:r>
              <w:rPr>
                <w:rFonts w:ascii="Arial" w:cs="Arial" w:eastAsia="Arial" w:hAnsi="Arial"/>
                <w:sz w:val="18"/>
                <w:szCs w:val="18"/>
                <w:color w:val="auto"/>
              </w:rPr>
              <w:t>Township of East Brunswick.</w:t>
            </w:r>
          </w:p>
        </w:tc>
        <w:tc>
          <w:tcPr>
            <w:tcW w:w="1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620" w:type="dxa"/>
            <w:vAlign w:val="bottom"/>
          </w:tcPr>
          <w:p>
            <w:pPr>
              <w:jc w:val="center"/>
              <w:spacing w:after="0" w:line="190" w:lineRule="exact"/>
              <w:rPr>
                <w:sz w:val="20"/>
                <w:szCs w:val="20"/>
                <w:color w:val="auto"/>
              </w:rPr>
            </w:pPr>
            <w:r>
              <w:rPr>
                <w:rFonts w:ascii="Arial" w:cs="Arial" w:eastAsia="Arial" w:hAnsi="Arial"/>
                <w:sz w:val="18"/>
                <w:szCs w:val="18"/>
                <w:color w:val="auto"/>
                <w:w w:val="92"/>
              </w:rPr>
              <w:t>10.13(a)</w:t>
            </w:r>
          </w:p>
        </w:tc>
        <w:tc>
          <w:tcPr>
            <w:tcW w:w="584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Amendment, dated November 28, 2016, to Transmission Agreement between the</w:t>
              </w:r>
            </w:hyperlink>
          </w:p>
        </w:tc>
        <w:tc>
          <w:tcPr>
            <w:tcW w:w="340" w:type="dxa"/>
            <w:vAlign w:val="bottom"/>
            <w:gridSpan w:val="7"/>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Company and the Township of East Brunswick, filed as Exhibit No. 10.13(a) of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0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Company’s Annual Report on Form 10-K for the year ended December 31, 2016.</w:t>
              </w:r>
            </w:hyperlink>
          </w:p>
        </w:tc>
        <w:tc>
          <w:tcPr>
            <w:tcW w:w="1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4980" w:type="dxa"/>
            <w:vAlign w:val="bottom"/>
            <w:tcBorders>
              <w:top w:val="single" w:sz="8" w:color="0000EE"/>
            </w:tcBorders>
            <w:gridSpan w:val="6"/>
          </w:tcPr>
          <w:p>
            <w:pPr>
              <w:ind w:left="4000"/>
              <w:spacing w:after="0"/>
              <w:rPr>
                <w:sz w:val="20"/>
                <w:szCs w:val="20"/>
                <w:color w:val="auto"/>
              </w:rPr>
            </w:pPr>
            <w:r>
              <w:rPr>
                <w:rFonts w:ascii="Arial" w:cs="Arial" w:eastAsia="Arial" w:hAnsi="Arial"/>
                <w:sz w:val="18"/>
                <w:szCs w:val="18"/>
                <w:color w:val="auto"/>
              </w:rPr>
              <w:t>72</w:t>
            </w: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19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2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24"/>
          </w:tcPr>
          <w:p>
            <w:pPr>
              <w:ind w:left="18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9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6"/>
          </w:tcPr>
          <w:p>
            <w:pPr>
              <w:ind w:left="24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10.16</w:t>
            </w:r>
          </w:p>
        </w:tc>
        <w:tc>
          <w:tcPr>
            <w:tcW w:w="5700" w:type="dxa"/>
            <w:vAlign w:val="bottom"/>
            <w:tcBorders>
              <w:bottom w:val="single" w:sz="8" w:color="0000EE"/>
            </w:tcBorders>
            <w:gridSpan w:val="17"/>
          </w:tcPr>
          <w:p>
            <w:pPr>
              <w:spacing w:after="0" w:line="170"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Contract, dated August 20, 2018, between the City of Perth Amboy and Utility</w:t>
              </w:r>
            </w:hyperlink>
          </w:p>
        </w:tc>
        <w:tc>
          <w:tcPr>
            <w:tcW w:w="480" w:type="dxa"/>
            <w:vAlign w:val="bottom"/>
            <w:gridSpan w:val="10"/>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Service Affiliates (Perth Amboy), Inc., filed as Exhibit 10.16 of the Company’s</w:t>
              </w:r>
            </w:hyperlink>
          </w:p>
        </w:tc>
        <w:tc>
          <w:tcPr>
            <w:tcW w:w="460" w:type="dxa"/>
            <w:vAlign w:val="bottom"/>
            <w:gridSpan w:val="9"/>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3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Quarterly Report on Form 10-Q for the quarter ended September 30, 2018.</w:t>
              </w:r>
            </w:hyperlink>
          </w:p>
        </w:tc>
        <w:tc>
          <w:tcPr>
            <w:tcW w:w="800" w:type="dxa"/>
            <w:vAlign w:val="bottom"/>
            <w:gridSpan w:val="19"/>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10.17</w:t>
            </w:r>
          </w:p>
        </w:tc>
        <w:tc>
          <w:tcPr>
            <w:tcW w:w="6180" w:type="dxa"/>
            <w:vAlign w:val="bottom"/>
            <w:gridSpan w:val="2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Twenty-Fifth Supplemental Indenture, dated October 15, 1999, between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Company and First Union National Bank; Loan Agreement, dated November 1,</w:t>
              </w:r>
            </w:hyperlink>
          </w:p>
        </w:tc>
        <w:tc>
          <w:tcPr>
            <w:tcW w:w="44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1999 between the New Jersey Environmental Infrastructure Trust and the Company</w:t>
              </w:r>
            </w:hyperlink>
          </w:p>
        </w:tc>
        <w:tc>
          <w:tcPr>
            <w:tcW w:w="14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(Series Z), filed as Exhibit No. 10.25 of the Company’s Annual Report on Form 10-</w:t>
              </w:r>
            </w:hyperlink>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2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K for the year ended December 31, 1999.</w:t>
              </w:r>
            </w:hyperlink>
          </w:p>
        </w:tc>
        <w:tc>
          <w:tcPr>
            <w:tcW w:w="3200" w:type="dxa"/>
            <w:vAlign w:val="bottom"/>
            <w:gridSpan w:val="2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10.18</w:t>
            </w:r>
          </w:p>
        </w:tc>
        <w:tc>
          <w:tcPr>
            <w:tcW w:w="54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Twenty-Sixth Supplemental Indenture, dated October 15, 1999, between the</w:t>
              </w:r>
            </w:hyperlink>
          </w:p>
        </w:tc>
        <w:tc>
          <w:tcPr>
            <w:tcW w:w="700" w:type="dxa"/>
            <w:vAlign w:val="bottom"/>
            <w:gridSpan w:val="1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Company and First Union National Bank; Loan Agreement, dated November 1,</w:t>
              </w:r>
            </w:hyperlink>
          </w:p>
        </w:tc>
        <w:tc>
          <w:tcPr>
            <w:tcW w:w="44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1999 between the New Jersey Environmental Infrastructure Trust and the Company</w:t>
              </w:r>
            </w:hyperlink>
          </w:p>
        </w:tc>
        <w:tc>
          <w:tcPr>
            <w:tcW w:w="16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7"/>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(Series AA), filed as Exhibit No. 10.26 of the Company’s Annual Report on Form</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10-K for the year ended December 31, 1999.</w:t>
              </w:r>
            </w:hyperlink>
          </w:p>
        </w:tc>
        <w:tc>
          <w:tcPr>
            <w:tcW w:w="2680" w:type="dxa"/>
            <w:vAlign w:val="bottom"/>
            <w:tcBorders>
              <w:top w:val="single" w:sz="8" w:color="0000EE"/>
            </w:tcBorders>
            <w:gridSpan w:val="19"/>
          </w:tcPr>
          <w:p>
            <w:pPr>
              <w:spacing w:after="0"/>
              <w:rPr>
                <w:sz w:val="17"/>
                <w:szCs w:val="17"/>
                <w:color w:val="auto"/>
              </w:rPr>
            </w:pPr>
          </w:p>
        </w:tc>
        <w:tc>
          <w:tcPr>
            <w:tcW w:w="28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10.19</w:t>
            </w:r>
          </w:p>
        </w:tc>
        <w:tc>
          <w:tcPr>
            <w:tcW w:w="57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Twenty-Seventh Supplemental Indenture, dated October 15, 2001, between the</w:t>
              </w:r>
            </w:hyperlink>
          </w:p>
        </w:tc>
        <w:tc>
          <w:tcPr>
            <w:tcW w:w="48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Company and First Union National Bank; Loan Agreement, dated November 1,</w:t>
              </w:r>
            </w:hyperlink>
          </w:p>
        </w:tc>
        <w:tc>
          <w:tcPr>
            <w:tcW w:w="44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2001, between the State of New Jersey and the Company (Series BB), filed as</w:t>
              </w:r>
            </w:hyperlink>
          </w:p>
        </w:tc>
        <w:tc>
          <w:tcPr>
            <w:tcW w:w="56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Exhibit No. 10.22 of the Company’s Annual Report on Form 10-K for the year</w:t>
              </w:r>
            </w:hyperlink>
          </w:p>
        </w:tc>
        <w:tc>
          <w:tcPr>
            <w:tcW w:w="50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7"/>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ended December 31, 2001.</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10.20</w:t>
            </w:r>
          </w:p>
        </w:tc>
        <w:tc>
          <w:tcPr>
            <w:tcW w:w="57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Twenty-Seventh Supplemental Indenture, dated October 15, 2001, between the</w:t>
              </w:r>
            </w:hyperlink>
          </w:p>
        </w:tc>
        <w:tc>
          <w:tcPr>
            <w:tcW w:w="48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Company and First Union National Bank; Loan Agreement, dated November 1,</w:t>
              </w:r>
            </w:hyperlink>
          </w:p>
        </w:tc>
        <w:tc>
          <w:tcPr>
            <w:tcW w:w="44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3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2001, between the New Jersey Environmental Infrastructure Trust and the</w:t>
              </w:r>
            </w:hyperlink>
          </w:p>
        </w:tc>
        <w:tc>
          <w:tcPr>
            <w:tcW w:w="860" w:type="dxa"/>
            <w:vAlign w:val="bottom"/>
            <w:gridSpan w:val="21"/>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7"/>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Company (Series CC), filed as Exhibit No. 10.22 of the Company’s Annual Report</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on Form 10-K for the year ended December 31, 2001.</w:t>
              </w:r>
            </w:hyperlink>
          </w:p>
        </w:tc>
        <w:tc>
          <w:tcPr>
            <w:tcW w:w="2080" w:type="dxa"/>
            <w:vAlign w:val="bottom"/>
            <w:tcBorders>
              <w:top w:val="single" w:sz="8" w:color="0000EE"/>
            </w:tcBorders>
            <w:gridSpan w:val="19"/>
          </w:tcPr>
          <w:p>
            <w:pPr>
              <w:spacing w:after="0"/>
              <w:rPr>
                <w:sz w:val="17"/>
                <w:szCs w:val="17"/>
                <w:color w:val="auto"/>
              </w:rPr>
            </w:pPr>
          </w:p>
        </w:tc>
        <w:tc>
          <w:tcPr>
            <w:tcW w:w="22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10.21</w:t>
            </w:r>
          </w:p>
        </w:tc>
        <w:tc>
          <w:tcPr>
            <w:tcW w:w="5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Thirtieth Supplemental Indenture, dated October 15, 2004, between the Company</w:t>
              </w:r>
            </w:hyperlink>
          </w:p>
        </w:tc>
        <w:tc>
          <w:tcPr>
            <w:tcW w:w="30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and Wachovia Bank, National Association; Loan Agreement, dated November 1,</w:t>
              </w:r>
            </w:hyperlink>
          </w:p>
        </w:tc>
        <w:tc>
          <w:tcPr>
            <w:tcW w:w="36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2004, between the State of New Jersey and the Company (Series EE), filed as</w:t>
              </w:r>
            </w:hyperlink>
          </w:p>
        </w:tc>
        <w:tc>
          <w:tcPr>
            <w:tcW w:w="580" w:type="dxa"/>
            <w:vAlign w:val="bottom"/>
            <w:gridSpan w:val="1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Exhibit No. 10.26 of the Company’s for the year ended December 31, 2004.</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10.22</w:t>
            </w:r>
          </w:p>
        </w:tc>
        <w:tc>
          <w:tcPr>
            <w:tcW w:w="5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Thirty-First Supplemental Indenture, dated October 15, 2004, between the</w:t>
              </w:r>
            </w:hyperlink>
          </w:p>
        </w:tc>
        <w:tc>
          <w:tcPr>
            <w:tcW w:w="120" w:type="dxa"/>
            <w:vAlign w:val="bottom"/>
            <w:tcBorders>
              <w:top w:val="single" w:sz="8" w:color="0000EE"/>
            </w:tcBorders>
            <w:gridSpan w:val="3"/>
          </w:tcPr>
          <w:p>
            <w:pPr>
              <w:spacing w:after="0"/>
              <w:rPr>
                <w:sz w:val="17"/>
                <w:szCs w:val="17"/>
                <w:color w:val="auto"/>
              </w:rPr>
            </w:pPr>
          </w:p>
        </w:tc>
        <w:tc>
          <w:tcPr>
            <w:tcW w:w="720" w:type="dxa"/>
            <w:vAlign w:val="bottom"/>
            <w:gridSpan w:val="1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Company and Wachovia Bank, National Association; Loan Agreement, dated</w:t>
              </w:r>
            </w:hyperlink>
          </w:p>
        </w:tc>
        <w:tc>
          <w:tcPr>
            <w:tcW w:w="600" w:type="dxa"/>
            <w:vAlign w:val="bottom"/>
            <w:gridSpan w:val="1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November 1, 2004, between the New Jersey Environmental Infrastructure Trust and</w:t>
              </w:r>
            </w:hyperlink>
          </w:p>
        </w:tc>
        <w:tc>
          <w:tcPr>
            <w:tcW w:w="14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 Company (Series FF), filed as Exhibit No. 10.27 of the Company’s Annual</w:t>
              </w:r>
            </w:hyperlink>
          </w:p>
        </w:tc>
        <w:tc>
          <w:tcPr>
            <w:tcW w:w="52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Report on Form 10-K for the year ended December 31, 2004.</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4420" w:type="dxa"/>
            <w:vAlign w:val="bottom"/>
            <w:tcBorders>
              <w:top w:val="single" w:sz="8" w:color="0000EE"/>
            </w:tcBorders>
            <w:gridSpan w:val="5"/>
          </w:tcPr>
          <w:p>
            <w:pPr>
              <w:ind w:left="4000"/>
              <w:spacing w:after="0"/>
              <w:rPr>
                <w:sz w:val="20"/>
                <w:szCs w:val="20"/>
                <w:color w:val="auto"/>
              </w:rPr>
            </w:pPr>
            <w:r>
              <w:rPr>
                <w:rFonts w:ascii="Arial" w:cs="Arial" w:eastAsia="Arial" w:hAnsi="Arial"/>
                <w:sz w:val="18"/>
                <w:szCs w:val="18"/>
                <w:color w:val="auto"/>
              </w:rPr>
              <w:t>73</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192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66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40" w:type="dxa"/>
            <w:vAlign w:val="bottom"/>
            <w:gridSpan w:val="18"/>
          </w:tcPr>
          <w:p>
            <w:pPr>
              <w:jc w:val="center"/>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8"/>
          </w:tcPr>
          <w:p>
            <w:pPr>
              <w:ind w:left="22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10.23</w:t>
            </w:r>
          </w:p>
        </w:tc>
        <w:tc>
          <w:tcPr>
            <w:tcW w:w="5660" w:type="dxa"/>
            <w:vAlign w:val="bottom"/>
            <w:tcBorders>
              <w:bottom w:val="single" w:sz="8" w:color="0000EE"/>
            </w:tcBorders>
            <w:gridSpan w:val="8"/>
          </w:tcPr>
          <w:p>
            <w:pPr>
              <w:spacing w:after="0" w:line="170"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Promissory Note and Supplement, dated October 15, 2014, between Tidewater</w:t>
              </w:r>
            </w:hyperlink>
          </w:p>
        </w:tc>
        <w:tc>
          <w:tcPr>
            <w:tcW w:w="520" w:type="dxa"/>
            <w:vAlign w:val="bottom"/>
            <w:gridSpan w:val="12"/>
          </w:tcPr>
          <w:p>
            <w:pPr>
              <w:spacing w:after="0"/>
              <w:rPr>
                <w:sz w:val="14"/>
                <w:szCs w:val="14"/>
                <w:color w:val="auto"/>
              </w:rPr>
            </w:pPr>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Utilities, Inc. and CoBank, ACB; Amendment to Combination Water Utility Real</w:t>
              </w:r>
            </w:hyperlink>
          </w:p>
        </w:tc>
        <w:tc>
          <w:tcPr>
            <w:tcW w:w="32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Estate Mortgage and Security Agreement, effective October 15, 2014, between</w:t>
              </w:r>
            </w:hyperlink>
          </w:p>
        </w:tc>
        <w:tc>
          <w:tcPr>
            <w:tcW w:w="50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Tidewater Utilities, Inc. and CoBank, ACB, filed as Exhibit 10.23 of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Company’s Annual Report on Form 10-K for the year ended December 31, 2014.</w:t>
              </w:r>
            </w:hyperlink>
          </w:p>
        </w:tc>
        <w:tc>
          <w:tcPr>
            <w:tcW w:w="32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10.24</w:t>
            </w:r>
          </w:p>
        </w:tc>
        <w:tc>
          <w:tcPr>
            <w:tcW w:w="6180" w:type="dxa"/>
            <w:vAlign w:val="bottom"/>
            <w:gridSpan w:val="20"/>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Agreement for a Supply of Water, dated April 1, 2006, between the Company and</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the City of Rahway, filed as Exhibit No. 10.2 of the Company’s Quarterly Report</w:t>
              </w:r>
            </w:hyperlink>
          </w:p>
        </w:tc>
        <w:tc>
          <w:tcPr>
            <w:tcW w:w="20" w:type="dxa"/>
            <w:vAlign w:val="bottom"/>
            <w:tcBorders>
              <w:top w:val="single" w:sz="8" w:color="0000EE"/>
            </w:tcBorders>
          </w:tcPr>
          <w:p>
            <w:pPr>
              <w:spacing w:after="0"/>
              <w:rPr>
                <w:sz w:val="17"/>
                <w:szCs w:val="17"/>
                <w:color w:val="auto"/>
              </w:rPr>
            </w:pPr>
          </w:p>
        </w:tc>
        <w:tc>
          <w:tcPr>
            <w:tcW w:w="30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on Form 10-Q for the quarter ended March 31, 2006.</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10.25</w:t>
            </w: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Loan Agreement, dated November 1, 2006, between the State of New Jersey and</w:t>
              </w:r>
            </w:hyperlink>
          </w:p>
        </w:tc>
        <w:tc>
          <w:tcPr>
            <w:tcW w:w="36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the Company (Series GG), filed as Exhibit No. 10.30 of the Company’s Annual</w:t>
              </w:r>
            </w:hyperlink>
          </w:p>
        </w:tc>
        <w:tc>
          <w:tcPr>
            <w:tcW w:w="46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Report on Form 10-K for the year ended December 31, 2006.</w:t>
              </w:r>
            </w:hyperlink>
          </w:p>
        </w:tc>
        <w:tc>
          <w:tcPr>
            <w:tcW w:w="1760" w:type="dxa"/>
            <w:vAlign w:val="bottom"/>
            <w:gridSpan w:val="1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10.26</w:t>
            </w:r>
          </w:p>
        </w:tc>
        <w:tc>
          <w:tcPr>
            <w:tcW w:w="60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Loan Agreement, dated November 1, 2006, between the New Jersey Environmental</w:t>
              </w:r>
            </w:hyperlink>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Infrastructure Trust and the Company (Series HH), filed as Exhibit No. 10.31 of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Company’s Annual Report on Form 10-K for the year ended December 31, 2006.</w:t>
              </w:r>
            </w:hyperlink>
          </w:p>
        </w:tc>
        <w:tc>
          <w:tcPr>
            <w:tcW w:w="16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10.27</w:t>
            </w:r>
          </w:p>
        </w:tc>
        <w:tc>
          <w:tcPr>
            <w:tcW w:w="5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Loan Agreement, dated November 1, 2007, between New Jersey Environmental</w:t>
              </w:r>
            </w:hyperlink>
          </w:p>
        </w:tc>
        <w:tc>
          <w:tcPr>
            <w:tcW w:w="40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Infrastructure Trust and the Company (Series II), filed as Exhibit No. 10.32 of the</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Company’s Annual Report on Form 10-K for the year ended December 31, 2007.</w:t>
              </w:r>
            </w:hyperlink>
          </w:p>
        </w:tc>
        <w:tc>
          <w:tcPr>
            <w:tcW w:w="20" w:type="dxa"/>
            <w:vAlign w:val="bottom"/>
            <w:tcBorders>
              <w:top w:val="single" w:sz="8" w:color="0000EE"/>
            </w:tcBorders>
          </w:tcPr>
          <w:p>
            <w:pPr>
              <w:spacing w:after="0"/>
              <w:rPr>
                <w:sz w:val="17"/>
                <w:szCs w:val="17"/>
                <w:color w:val="auto"/>
              </w:rPr>
            </w:pPr>
          </w:p>
        </w:tc>
        <w:tc>
          <w:tcPr>
            <w:tcW w:w="30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10.28</w:t>
            </w: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Loan Agreement, dated November 1, 2007, between the State of New Jersey and</w:t>
              </w:r>
            </w:hyperlink>
          </w:p>
        </w:tc>
        <w:tc>
          <w:tcPr>
            <w:tcW w:w="36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the Company (Series JJ), filed as Exhibit 10.33 of the Company’s Annual Report</w:t>
              </w:r>
            </w:hyperlink>
          </w:p>
        </w:tc>
        <w:tc>
          <w:tcPr>
            <w:tcW w:w="34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on Form 10-K for the year ended December 31, 2007.</w:t>
              </w:r>
            </w:hyperlink>
          </w:p>
        </w:tc>
        <w:tc>
          <w:tcPr>
            <w:tcW w:w="2300" w:type="dxa"/>
            <w:vAlign w:val="bottom"/>
            <w:gridSpan w:val="1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10.29</w:t>
            </w:r>
          </w:p>
        </w:tc>
        <w:tc>
          <w:tcPr>
            <w:tcW w:w="6180" w:type="dxa"/>
            <w:vAlign w:val="bottom"/>
            <w:gridSpan w:val="20"/>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Loan Agreement, dated November 1, 2008, between New Jersey Environmental</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Infrastructure Trust and the Company dated as of (Series KK), filed as Exhibit</w:t>
              </w:r>
            </w:hyperlink>
          </w:p>
        </w:tc>
        <w:tc>
          <w:tcPr>
            <w:tcW w:w="120" w:type="dxa"/>
            <w:vAlign w:val="bottom"/>
            <w:tcBorders>
              <w:top w:val="single" w:sz="8" w:color="0000EE"/>
            </w:tcBorders>
            <w:gridSpan w:val="4"/>
          </w:tcPr>
          <w:p>
            <w:pPr>
              <w:spacing w:after="0"/>
              <w:rPr>
                <w:sz w:val="17"/>
                <w:szCs w:val="17"/>
                <w:color w:val="auto"/>
              </w:rPr>
            </w:pPr>
          </w:p>
        </w:tc>
        <w:tc>
          <w:tcPr>
            <w:tcW w:w="420" w:type="dxa"/>
            <w:vAlign w:val="bottom"/>
            <w:gridSpan w:val="9"/>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34</w:t>
              </w:r>
              <w:r>
                <w:rPr>
                  <w:rFonts w:ascii="Arial" w:cs="Arial" w:eastAsia="Arial" w:hAnsi="Arial"/>
                  <w:sz w:val="18"/>
                  <w:szCs w:val="18"/>
                  <w:color w:val="0000EE"/>
                  <w:w w:val="92"/>
                </w:rPr>
                <w:t xml:space="preserve"> of the Company’s Annual Report on Form 10-K for the year ended December</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31, 2008.</w:t>
              </w:r>
            </w:hyperlink>
          </w:p>
        </w:tc>
        <w:tc>
          <w:tcPr>
            <w:tcW w:w="12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10.30</w:t>
            </w: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Loan Agreement, dated November 1, 2008, between the State of New Jersey and</w:t>
              </w:r>
            </w:hyperlink>
          </w:p>
        </w:tc>
        <w:tc>
          <w:tcPr>
            <w:tcW w:w="36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0"/>
          </w:tcPr>
          <w:p>
            <w:pPr>
              <w:spacing w:after="0" w:line="196"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the Company (Series LL), filed as Exhibit 10.35 of the Company’s Annual Report</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on Form 10-K for the year ended December 31, 2008.</w:t>
              </w:r>
            </w:hyperlink>
          </w:p>
        </w:tc>
        <w:tc>
          <w:tcPr>
            <w:tcW w:w="2020" w:type="dxa"/>
            <w:vAlign w:val="bottom"/>
            <w:tcBorders>
              <w:top w:val="single" w:sz="8" w:color="0000EE"/>
            </w:tcBorders>
            <w:gridSpan w:val="13"/>
          </w:tcPr>
          <w:p>
            <w:pPr>
              <w:spacing w:after="0"/>
              <w:rPr>
                <w:sz w:val="17"/>
                <w:szCs w:val="17"/>
                <w:color w:val="auto"/>
              </w:rPr>
            </w:pPr>
          </w:p>
        </w:tc>
        <w:tc>
          <w:tcPr>
            <w:tcW w:w="2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10.31</w:t>
            </w:r>
          </w:p>
        </w:tc>
        <w:tc>
          <w:tcPr>
            <w:tcW w:w="6180" w:type="dxa"/>
            <w:vAlign w:val="bottom"/>
            <w:gridSpan w:val="20"/>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Prospectus Supplement, filed September 6, 2019, relating to the Middlesex Water</w:t>
              </w:r>
            </w:hyperlink>
          </w:p>
        </w:tc>
        <w:tc>
          <w:tcPr>
            <w:tcW w:w="1640" w:type="dxa"/>
            <w:vAlign w:val="bottom"/>
          </w:tcPr>
          <w:p>
            <w:pPr>
              <w:jc w:val="center"/>
              <w:ind w:right="350"/>
              <w:spacing w:after="0" w:line="196" w:lineRule="exact"/>
              <w:rPr>
                <w:sz w:val="20"/>
                <w:szCs w:val="20"/>
                <w:color w:val="auto"/>
              </w:rPr>
            </w:pPr>
            <w:r>
              <w:rPr>
                <w:rFonts w:ascii="Arial" w:cs="Arial" w:eastAsia="Arial" w:hAnsi="Arial"/>
                <w:sz w:val="18"/>
                <w:szCs w:val="18"/>
                <w:color w:val="auto"/>
                <w:w w:val="91"/>
              </w:rPr>
              <w:t>333-233649</w:t>
            </w: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Company Investment Plan.</w:t>
              </w:r>
            </w:hyperlink>
          </w:p>
        </w:tc>
        <w:tc>
          <w:tcPr>
            <w:tcW w:w="32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1940" w:type="dxa"/>
            <w:vAlign w:val="bottom"/>
            <w:tcBorders>
              <w:top w:val="single" w:sz="8" w:color="0000EE"/>
            </w:tcBorders>
            <w:gridSpan w:val="2"/>
          </w:tcPr>
          <w:p>
            <w:pPr>
              <w:spacing w:after="0"/>
              <w:rPr>
                <w:sz w:val="24"/>
                <w:szCs w:val="24"/>
                <w:color w:val="auto"/>
              </w:rPr>
            </w:pP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1260" w:type="dxa"/>
            <w:vAlign w:val="bottom"/>
            <w:tcBorders>
              <w:bottom w:val="single" w:sz="8" w:color="EEEEEE"/>
            </w:tcBorders>
          </w:tcPr>
          <w:p>
            <w:pPr>
              <w:spacing w:after="0"/>
              <w:rPr>
                <w:sz w:val="17"/>
                <w:szCs w:val="17"/>
                <w:color w:val="auto"/>
              </w:rPr>
            </w:pPr>
          </w:p>
        </w:tc>
        <w:tc>
          <w:tcPr>
            <w:tcW w:w="18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780" w:type="dxa"/>
            <w:vAlign w:val="bottom"/>
            <w:tcBorders>
              <w:bottom w:val="single" w:sz="8" w:color="EEEEEE"/>
            </w:tcBorders>
          </w:tcPr>
          <w:p>
            <w:pPr>
              <w:spacing w:after="0"/>
              <w:rPr>
                <w:sz w:val="17"/>
                <w:szCs w:val="17"/>
                <w:color w:val="auto"/>
              </w:rPr>
            </w:pPr>
          </w:p>
        </w:tc>
        <w:tc>
          <w:tcPr>
            <w:tcW w:w="4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960" w:type="dxa"/>
            <w:vAlign w:val="bottom"/>
            <w:gridSpan w:val="19"/>
          </w:tcPr>
          <w:p>
            <w:pPr>
              <w:ind w:left="200"/>
              <w:spacing w:after="0"/>
              <w:rPr>
                <w:sz w:val="20"/>
                <w:szCs w:val="20"/>
                <w:color w:val="auto"/>
              </w:rPr>
            </w:pPr>
            <w:r>
              <w:rPr>
                <w:rFonts w:ascii="Arial" w:cs="Arial" w:eastAsia="Arial" w:hAnsi="Arial"/>
                <w:sz w:val="18"/>
                <w:szCs w:val="18"/>
                <w:b w:val="1"/>
                <w:bCs w:val="1"/>
                <w:color w:val="auto"/>
              </w:rPr>
              <w:t>EXHIBIT INDEX</w:t>
            </w:r>
          </w:p>
        </w:tc>
        <w:tc>
          <w:tcPr>
            <w:tcW w:w="16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Exhibit No.</w:t>
            </w:r>
          </w:p>
        </w:tc>
        <w:tc>
          <w:tcPr>
            <w:tcW w:w="68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gridSpan w:val="20"/>
          </w:tcPr>
          <w:p>
            <w:pPr>
              <w:ind w:left="148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10.32</w:t>
            </w:r>
          </w:p>
        </w:tc>
        <w:tc>
          <w:tcPr>
            <w:tcW w:w="5860" w:type="dxa"/>
            <w:vAlign w:val="bottom"/>
            <w:tcBorders>
              <w:bottom w:val="single" w:sz="8" w:color="0000EE"/>
            </w:tcBorders>
            <w:gridSpan w:val="14"/>
          </w:tcPr>
          <w:p>
            <w:pPr>
              <w:spacing w:after="0" w:line="170"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Amended and Restated Line of Credit Note, dated October 22, 2019, between the</w:t>
              </w:r>
            </w:hyperlink>
          </w:p>
        </w:tc>
        <w:tc>
          <w:tcPr>
            <w:tcW w:w="300" w:type="dxa"/>
            <w:vAlign w:val="bottom"/>
            <w:gridSpan w:val="7"/>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Company, Pinelands Wastewater Company, Tidewater Environmental Services,</w:t>
              </w:r>
            </w:hyperlink>
          </w:p>
        </w:tc>
        <w:tc>
          <w:tcPr>
            <w:tcW w:w="440" w:type="dxa"/>
            <w:vAlign w:val="bottom"/>
            <w:gridSpan w:val="13"/>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Inc., Tidewater Utilities, Inc., Utility Service Affiliates (Perth Amboy) Inc., Utility</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Service Affiliates Inc. and While Marsh Environmental Systems, Inc., and PNC</w:t>
              </w:r>
            </w:hyperlink>
          </w:p>
        </w:tc>
        <w:tc>
          <w:tcPr>
            <w:tcW w:w="180" w:type="dxa"/>
            <w:vAlign w:val="bottom"/>
            <w:tcBorders>
              <w:top w:val="single" w:sz="8" w:color="0000EE"/>
            </w:tcBorders>
            <w:gridSpan w:val="6"/>
          </w:tcPr>
          <w:p>
            <w:pPr>
              <w:spacing w:after="0"/>
              <w:rPr>
                <w:sz w:val="17"/>
                <w:szCs w:val="17"/>
                <w:color w:val="auto"/>
              </w:rPr>
            </w:pPr>
          </w:p>
        </w:tc>
        <w:tc>
          <w:tcPr>
            <w:tcW w:w="22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Bank, N.A., filed as Exhibit 10.32 of the Company’s Quarterly Report on Form 10-</w:t>
              </w:r>
            </w:hyperlink>
          </w:p>
        </w:tc>
        <w:tc>
          <w:tcPr>
            <w:tcW w:w="16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Q for the quarter ended September 30, 2019.</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10.32(a)</w:t>
            </w:r>
          </w:p>
        </w:tc>
        <w:tc>
          <w:tcPr>
            <w:tcW w:w="59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Amendment to the Amended and Restated Line of Credit Note, both dated October</w:t>
              </w:r>
            </w:hyperlink>
          </w:p>
        </w:tc>
        <w:tc>
          <w:tcPr>
            <w:tcW w:w="18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22, 2019, between the Company, Pinelands Wastewater Company, Tidewater</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8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Environmental Services, Inc., Tidewater Utilities, Inc., Utility Service Affiliates</w:t>
              </w:r>
            </w:hyperlink>
          </w:p>
        </w:tc>
        <w:tc>
          <w:tcPr>
            <w:tcW w:w="360" w:type="dxa"/>
            <w:vAlign w:val="bottom"/>
            <w:gridSpan w:val="9"/>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(Perth Amboy) Inc., Utility Service Affiliates Inc. and While Marsh Environmental</w:t>
              </w:r>
            </w:hyperlink>
          </w:p>
        </w:tc>
        <w:tc>
          <w:tcPr>
            <w:tcW w:w="16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Systems, Inc., and PNC Bank, N.A., filed as Exhibit 10.32(a) of the Company’s</w:t>
              </w:r>
            </w:hyperlink>
          </w:p>
        </w:tc>
        <w:tc>
          <w:tcPr>
            <w:tcW w:w="420" w:type="dxa"/>
            <w:vAlign w:val="bottom"/>
            <w:gridSpan w:val="12"/>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Quarterly Report on Form 10-Q for the quarter ended September 30, 2019.</w:t>
              </w:r>
            </w:hyperlink>
          </w:p>
        </w:tc>
        <w:tc>
          <w:tcPr>
            <w:tcW w:w="720" w:type="dxa"/>
            <w:vAlign w:val="bottom"/>
            <w:gridSpan w:val="17"/>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10.33</w:t>
            </w:r>
          </w:p>
        </w:tc>
        <w:tc>
          <w:tcPr>
            <w:tcW w:w="57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Uncommitted Line of Credit, dated September 25, 2015, between the Company,</w:t>
              </w:r>
            </w:hyperlink>
          </w:p>
        </w:tc>
        <w:tc>
          <w:tcPr>
            <w:tcW w:w="380" w:type="dxa"/>
            <w:vAlign w:val="bottom"/>
            <w:gridSpan w:val="10"/>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Tidewater Utilities, Inc., White Marsh Environmental Systems, Inc., Pinelands</w:t>
              </w:r>
            </w:hyperlink>
          </w:p>
        </w:tc>
        <w:tc>
          <w:tcPr>
            <w:tcW w:w="500" w:type="dxa"/>
            <w:vAlign w:val="bottom"/>
            <w:gridSpan w:val="14"/>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Water Company, Pinelands Wastewater Company, Utility Service Affiliates, Inc.,</w:t>
              </w:r>
            </w:hyperlink>
          </w:p>
        </w:tc>
        <w:tc>
          <w:tcPr>
            <w:tcW w:w="340" w:type="dxa"/>
            <w:vAlign w:val="bottom"/>
            <w:gridSpan w:val="8"/>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Utility Service Affiliates (Perth Amboy) Inc., Tidewater Environmental Services,</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0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Inc., and Bank of America, N.A, filed as Exhibit 10.33 of the Company’s Quarterly</w:t>
              </w:r>
            </w:hyperlink>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Report on Form 10-Q for the quarter ended September 30, 2015.</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10.33(a)</w:t>
            </w:r>
          </w:p>
        </w:tc>
        <w:tc>
          <w:tcPr>
            <w:tcW w:w="616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Amendment, dated September 19, 2017, to the Uncommitted Line of Credit</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7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between the Company, Tidewater Utilities, Inc., White Marsh Environmental</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7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9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Systems, Inc., Pinelands Water Company, Pinelands Wastewater Company, Utility</w:t>
              </w:r>
            </w:hyperlink>
          </w:p>
        </w:tc>
        <w:tc>
          <w:tcPr>
            <w:tcW w:w="24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Service Affiliates, Inc., Utility Service Affiliates (Perth Amboy) Inc., Tidewater</w:t>
              </w:r>
            </w:hyperlink>
          </w:p>
        </w:tc>
        <w:tc>
          <w:tcPr>
            <w:tcW w:w="400" w:type="dxa"/>
            <w:vAlign w:val="bottom"/>
            <w:gridSpan w:val="11"/>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Environmental Services, Inc., and Bank of America, N.A., filed as Exhibit 10.33(a)</w:t>
              </w:r>
            </w:hyperlink>
          </w:p>
        </w:tc>
        <w:tc>
          <w:tcPr>
            <w:tcW w:w="16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of the Company’s Quarterly Report on Form 10-Q for the quarter ended September</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30, 2017.</w:t>
              </w:r>
            </w:hyperlink>
          </w:p>
        </w:tc>
        <w:tc>
          <w:tcPr>
            <w:tcW w:w="25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2"/>
              </w:rPr>
              <w:t>10.33(b)</w:t>
            </w:r>
          </w:p>
        </w:tc>
        <w:tc>
          <w:tcPr>
            <w:tcW w:w="6160" w:type="dxa"/>
            <w:vAlign w:val="bottom"/>
            <w:gridSpan w:val="21"/>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Amendment, dated September 14, 2018, to Uncommitted Line of Credit between</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54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9"/>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9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the Company, Tidewater Utilities, Inc., White Marsh Environmental Systems, Inc.,</w:t>
              </w:r>
            </w:hyperlink>
          </w:p>
        </w:tc>
        <w:tc>
          <w:tcPr>
            <w:tcW w:w="20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6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Pinelands Water Company, Pinelands Wastewater Company, Utility Service</w:t>
              </w:r>
            </w:hyperlink>
          </w:p>
        </w:tc>
        <w:tc>
          <w:tcPr>
            <w:tcW w:w="16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3" w:lineRule="exact"/>
        <w:rPr>
          <w:sz w:val="20"/>
          <w:szCs w:val="20"/>
          <w:color w:val="auto"/>
        </w:rPr>
      </w:pPr>
    </w:p>
    <w:p>
      <w:pPr>
        <w:ind w:left="1620" w:right="3820"/>
        <w:spacing w:after="0" w:line="259"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Affiliates, Inc., Utility Service Affiliates (Perth Amboy) Inc., Tidewater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Environmental Services, Inc.,and Bank of America, N.A., filed as Exhibit 10.33(b)</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of the Company’s Quarterly Report on Form 10-Q for the quarter ended September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30, 2018.</w:t>
        </w:r>
      </w:hyperlink>
    </w:p>
    <w:p>
      <w:pPr>
        <w:spacing w:after="0" w:line="18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00" w:type="dxa"/>
            <w:vAlign w:val="bottom"/>
            <w:gridSpan w:val="21"/>
          </w:tcPr>
          <w:p>
            <w:pPr>
              <w:ind w:left="272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Exhibit No.</w:t>
            </w:r>
          </w:p>
        </w:tc>
        <w:tc>
          <w:tcPr>
            <w:tcW w:w="68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gridSpan w:val="21"/>
          </w:tcPr>
          <w:p>
            <w:pPr>
              <w:ind w:left="148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10.33(c)</w:t>
            </w:r>
          </w:p>
        </w:tc>
        <w:tc>
          <w:tcPr>
            <w:tcW w:w="6180" w:type="dxa"/>
            <w:vAlign w:val="bottom"/>
            <w:gridSpan w:val="22"/>
          </w:tcPr>
          <w:p>
            <w:pPr>
              <w:spacing w:after="0" w:line="170" w:lineRule="exact"/>
              <w:rPr>
                <w:rFonts w:ascii="Arial" w:cs="Arial" w:eastAsia="Arial" w:hAnsi="Arial"/>
                <w:sz w:val="18"/>
                <w:szCs w:val="18"/>
                <w:color w:val="0000EE"/>
              </w:rPr>
            </w:pPr>
            <w:hyperlink r:id="rId131">
              <w:r>
                <w:rPr>
                  <w:rFonts w:ascii="Arial" w:cs="Arial" w:eastAsia="Arial" w:hAnsi="Arial"/>
                  <w:sz w:val="18"/>
                  <w:szCs w:val="18"/>
                  <w:color w:val="0000EE"/>
                </w:rPr>
                <w:t>Amendment, dated September 23, 2019, to the Uncommitted Line of Credit</w:t>
              </w:r>
            </w:hyperlink>
          </w:p>
        </w:tc>
        <w:tc>
          <w:tcPr>
            <w:tcW w:w="1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between the Company, Tidewater Utilities, Inc., White Marsh Environmental</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5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Systems, Inc., Pinelands Water Company, Pinelands Wastewater Company, Utility</w:t>
              </w:r>
            </w:hyperlink>
          </w:p>
        </w:tc>
        <w:tc>
          <w:tcPr>
            <w:tcW w:w="26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6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Service Affiliates, Inc., Utility Service Affiliates (Perth Amboy) Inc., Tidewater</w:t>
              </w:r>
            </w:hyperlink>
          </w:p>
        </w:tc>
        <w:tc>
          <w:tcPr>
            <w:tcW w:w="420" w:type="dxa"/>
            <w:vAlign w:val="bottom"/>
            <w:gridSpan w:val="9"/>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Environmental Services, Inc., and Bank of America, N.A., filed as Exhibit 10.33(c)</w:t>
              </w:r>
            </w:hyperlink>
          </w:p>
        </w:tc>
        <w:tc>
          <w:tcPr>
            <w:tcW w:w="1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to the Company’s Current Report on Form 8-K filed September 25, 2019.</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10.34</w:t>
            </w: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Third Amendment to Promissory Note and Supplement, dated as of March 7, 2017,</w:t>
              </w:r>
            </w:hyperlink>
          </w:p>
        </w:tc>
        <w:tc>
          <w:tcPr>
            <w:tcW w:w="1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between Tidewater Utilities, Inc. and CoBank, ACB, filed as Exhibit 10.34 of the</w:t>
              </w:r>
            </w:hyperlink>
          </w:p>
        </w:tc>
        <w:tc>
          <w:tcPr>
            <w:tcW w:w="32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Company’s Quarterly Report on Form 10-Q for the quarter ended March 31, 2017.</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10.35</w:t>
            </w:r>
          </w:p>
        </w:tc>
        <w:tc>
          <w:tcPr>
            <w:tcW w:w="5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Loan Agreement, dated December 1, 2010, between the State of New Jersey and</w:t>
              </w:r>
            </w:hyperlink>
          </w:p>
        </w:tc>
        <w:tc>
          <w:tcPr>
            <w:tcW w:w="140" w:type="dxa"/>
            <w:vAlign w:val="bottom"/>
            <w:tcBorders>
              <w:top w:val="single" w:sz="8" w:color="0000EE"/>
            </w:tcBorders>
            <w:gridSpan w:val="4"/>
          </w:tcPr>
          <w:p>
            <w:pPr>
              <w:spacing w:after="0"/>
              <w:rPr>
                <w:sz w:val="17"/>
                <w:szCs w:val="17"/>
                <w:color w:val="auto"/>
              </w:rPr>
            </w:pPr>
          </w:p>
        </w:tc>
        <w:tc>
          <w:tcPr>
            <w:tcW w:w="24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the Company (Series MM), filed as Exhibit 10.41 of the Company’s Annual Report</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on Form 10-K for the year ended December 31, 2010.</w:t>
              </w:r>
            </w:hyperlink>
          </w:p>
        </w:tc>
        <w:tc>
          <w:tcPr>
            <w:tcW w:w="2120" w:type="dxa"/>
            <w:vAlign w:val="bottom"/>
            <w:tcBorders>
              <w:top w:val="single" w:sz="8" w:color="0000EE"/>
            </w:tcBorders>
            <w:gridSpan w:val="15"/>
          </w:tcPr>
          <w:p>
            <w:pPr>
              <w:spacing w:after="0"/>
              <w:rPr>
                <w:sz w:val="17"/>
                <w:szCs w:val="17"/>
                <w:color w:val="auto"/>
              </w:rPr>
            </w:pPr>
          </w:p>
        </w:tc>
        <w:tc>
          <w:tcPr>
            <w:tcW w:w="1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10.36</w:t>
            </w:r>
          </w:p>
        </w:tc>
        <w:tc>
          <w:tcPr>
            <w:tcW w:w="6180" w:type="dxa"/>
            <w:vAlign w:val="bottom"/>
            <w:gridSpan w:val="22"/>
          </w:tcPr>
          <w:p>
            <w:pPr>
              <w:spacing w:after="0" w:line="196" w:lineRule="exact"/>
              <w:rPr>
                <w:rFonts w:ascii="Arial" w:cs="Arial" w:eastAsia="Arial" w:hAnsi="Arial"/>
                <w:sz w:val="18"/>
                <w:szCs w:val="18"/>
                <w:color w:val="0000EE"/>
                <w:w w:val="96"/>
              </w:rPr>
            </w:pPr>
            <w:hyperlink r:id="rId134">
              <w:r>
                <w:rPr>
                  <w:rFonts w:ascii="Arial" w:cs="Arial" w:eastAsia="Arial" w:hAnsi="Arial"/>
                  <w:sz w:val="18"/>
                  <w:szCs w:val="18"/>
                  <w:color w:val="0000EE"/>
                  <w:w w:val="96"/>
                </w:rPr>
                <w:t>Loan Agreement, dated December 1, 2010, between New Jersey Environmental</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Infrastructure Trust and the Company (Series NN), filed as Exhibit 10.42 of the</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Company’s Annual Report on Form 10-K for the year ended December 31, 2010.</w:t>
              </w:r>
            </w:hyperlink>
          </w:p>
        </w:tc>
        <w:tc>
          <w:tcPr>
            <w:tcW w:w="32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10.37</w:t>
            </w:r>
          </w:p>
        </w:tc>
        <w:tc>
          <w:tcPr>
            <w:tcW w:w="5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Loan Agreement, dated May 1, 2012, between the State of New Jersey and the</w:t>
              </w:r>
            </w:hyperlink>
          </w:p>
        </w:tc>
        <w:tc>
          <w:tcPr>
            <w:tcW w:w="52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Company, (Series OO), filed as Exhibit 10.43 of the Company’s Quarterly Report</w:t>
              </w:r>
            </w:hyperlink>
          </w:p>
        </w:tc>
        <w:tc>
          <w:tcPr>
            <w:tcW w:w="30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on Form 10-Q for the quarter ended June 30, 2012.</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10.38</w:t>
            </w:r>
          </w:p>
        </w:tc>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Loan Agreement, dated May 1, 2012, between New Jersey Environmental</w:t>
              </w:r>
            </w:hyperlink>
          </w:p>
        </w:tc>
        <w:tc>
          <w:tcPr>
            <w:tcW w:w="840" w:type="dxa"/>
            <w:vAlign w:val="bottom"/>
            <w:gridSpan w:val="1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6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Infrastructure Trust and the Company (Series PP), filed as Exhibit 10.44 of the</w:t>
              </w:r>
            </w:hyperlink>
          </w:p>
        </w:tc>
        <w:tc>
          <w:tcPr>
            <w:tcW w:w="50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Company’s Quarterly Report on Form 10-Q for the quarter ended June 30, 2012.</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10.39</w:t>
            </w:r>
          </w:p>
        </w:tc>
        <w:tc>
          <w:tcPr>
            <w:tcW w:w="580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Loan Agreement, dated November 1, 2012, between the New Jersey Economic</w:t>
              </w:r>
            </w:hyperlink>
          </w:p>
        </w:tc>
        <w:tc>
          <w:tcPr>
            <w:tcW w:w="380" w:type="dxa"/>
            <w:vAlign w:val="bottom"/>
            <w:gridSpan w:val="8"/>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Development Authority and the Company (Series QQ, RR &amp; SS), filed as Exhibit</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440" w:type="dxa"/>
            <w:vAlign w:val="bottom"/>
            <w:gridSpan w:val="14"/>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41</w:t>
              </w:r>
              <w:r>
                <w:rPr>
                  <w:rFonts w:ascii="Arial" w:cs="Arial" w:eastAsia="Arial" w:hAnsi="Arial"/>
                  <w:sz w:val="18"/>
                  <w:szCs w:val="18"/>
                  <w:color w:val="0000EE"/>
                  <w:w w:val="92"/>
                </w:rPr>
                <w:t xml:space="preserve"> of the Company’s Annual Report on Form 10-K for the year ended December</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31, 2012.</w:t>
              </w:r>
            </w:hyperlink>
          </w:p>
        </w:tc>
        <w:tc>
          <w:tcPr>
            <w:tcW w:w="2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10.40</w:t>
            </w:r>
          </w:p>
        </w:tc>
        <w:tc>
          <w:tcPr>
            <w:tcW w:w="5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Loan Agreement, dated May 1, 2013, between the State of New Jersey and the</w:t>
              </w:r>
            </w:hyperlink>
          </w:p>
        </w:tc>
        <w:tc>
          <w:tcPr>
            <w:tcW w:w="520" w:type="dxa"/>
            <w:vAlign w:val="bottom"/>
            <w:gridSpan w:val="13"/>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Company (Series TT), filed as Exhibit 10.42 of the Company’s Quarterly Report on</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Form 10-Q for the quarter ended June 30, 2013.</w:t>
              </w:r>
            </w:hyperlink>
          </w:p>
        </w:tc>
        <w:tc>
          <w:tcPr>
            <w:tcW w:w="1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740" w:type="dxa"/>
            <w:vAlign w:val="bottom"/>
            <w:gridSpan w:val="2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10.41</w:t>
            </w:r>
          </w:p>
        </w:tc>
        <w:tc>
          <w:tcPr>
            <w:tcW w:w="5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Loan Agreement, dated May 1, 2013, between New Jersey Environmental</w:t>
              </w:r>
            </w:hyperlink>
          </w:p>
        </w:tc>
        <w:tc>
          <w:tcPr>
            <w:tcW w:w="840" w:type="dxa"/>
            <w:vAlign w:val="bottom"/>
            <w:gridSpan w:val="16"/>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Infrastructure Trust and the Company (Series UU), filed as Exhibit 10.43 of the</w:t>
              </w:r>
            </w:hyperlink>
          </w:p>
        </w:tc>
        <w:tc>
          <w:tcPr>
            <w:tcW w:w="46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80" w:type="dxa"/>
            <w:vAlign w:val="bottom"/>
            <w:gridSpan w:val="22"/>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Company’s Quarterly Report on Form 10-Q for the quarter ended June 30, 2013.</w:t>
              </w:r>
            </w:hyperlink>
          </w:p>
        </w:tc>
        <w:tc>
          <w:tcPr>
            <w:tcW w:w="1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5280" w:type="dxa"/>
            <w:vAlign w:val="bottom"/>
            <w:tcBorders>
              <w:top w:val="single" w:sz="8" w:color="0000EE"/>
            </w:tcBorders>
            <w:gridSpan w:val="5"/>
          </w:tcPr>
          <w:p>
            <w:pPr>
              <w:ind w:left="4000"/>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680" w:type="dxa"/>
            <w:vAlign w:val="bottom"/>
            <w:tcBorders>
              <w:bottom w:val="single" w:sz="8" w:color="EEEEEE"/>
            </w:tcBorders>
          </w:tcPr>
          <w:p>
            <w:pPr>
              <w:spacing w:after="0"/>
              <w:rPr>
                <w:sz w:val="17"/>
                <w:szCs w:val="17"/>
                <w:color w:val="auto"/>
              </w:rPr>
            </w:pPr>
          </w:p>
        </w:tc>
        <w:tc>
          <w:tcPr>
            <w:tcW w:w="27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16"/>
          </w:tcPr>
          <w:p>
            <w:pPr>
              <w:jc w:val="center"/>
              <w:ind w:left="1570"/>
              <w:spacing w:after="0"/>
              <w:rPr>
                <w:sz w:val="20"/>
                <w:szCs w:val="20"/>
                <w:color w:val="auto"/>
              </w:rPr>
            </w:pPr>
            <w:r>
              <w:rPr>
                <w:rFonts w:ascii="Arial" w:cs="Arial" w:eastAsia="Arial" w:hAnsi="Arial"/>
                <w:sz w:val="18"/>
                <w:szCs w:val="18"/>
                <w:b w:val="1"/>
                <w:bCs w:val="1"/>
                <w:color w:val="auto"/>
              </w:rPr>
              <w:t>EXHIBIT INDEX</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0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gridSpan w:val="16"/>
          </w:tcPr>
          <w:p>
            <w:pPr>
              <w:ind w:left="1760"/>
              <w:spacing w:after="0"/>
              <w:rPr>
                <w:sz w:val="20"/>
                <w:szCs w:val="20"/>
                <w:color w:val="auto"/>
              </w:rPr>
            </w:pPr>
            <w:r>
              <w:rPr>
                <w:rFonts w:ascii="Arial" w:cs="Arial" w:eastAsia="Arial" w:hAnsi="Arial"/>
                <w:sz w:val="18"/>
                <w:szCs w:val="18"/>
                <w:b w:val="1"/>
                <w:bCs w:val="1"/>
                <w:color w:val="auto"/>
              </w:rPr>
              <w:t>Document Description</w:t>
            </w:r>
          </w:p>
        </w:tc>
        <w:tc>
          <w:tcPr>
            <w:tcW w:w="16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1620" w:type="dxa"/>
            <w:vAlign w:val="bottom"/>
          </w:tcPr>
          <w:p>
            <w:pPr>
              <w:jc w:val="center"/>
              <w:spacing w:after="0" w:line="170" w:lineRule="exact"/>
              <w:rPr>
                <w:sz w:val="20"/>
                <w:szCs w:val="20"/>
                <w:color w:val="auto"/>
              </w:rPr>
            </w:pPr>
            <w:r>
              <w:rPr>
                <w:rFonts w:ascii="Arial" w:cs="Arial" w:eastAsia="Arial" w:hAnsi="Arial"/>
                <w:sz w:val="18"/>
                <w:szCs w:val="18"/>
                <w:color w:val="auto"/>
                <w:w w:val="93"/>
              </w:rPr>
              <w:t>10.42</w:t>
            </w:r>
          </w:p>
        </w:tc>
        <w:tc>
          <w:tcPr>
            <w:tcW w:w="5340" w:type="dxa"/>
            <w:vAlign w:val="bottom"/>
            <w:tcBorders>
              <w:bottom w:val="single" w:sz="8" w:color="0000EE"/>
            </w:tcBorders>
            <w:gridSpan w:val="4"/>
          </w:tcPr>
          <w:p>
            <w:pPr>
              <w:spacing w:after="0" w:line="170"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Loan Agreement, dated May 1, 2014, between New Jersey Environmental</w:t>
              </w:r>
            </w:hyperlink>
          </w:p>
        </w:tc>
        <w:tc>
          <w:tcPr>
            <w:tcW w:w="800" w:type="dxa"/>
            <w:vAlign w:val="bottom"/>
            <w:gridSpan w:val="13"/>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57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Infrastructure Trust and the Company (Series VV), filed as Exhibit 10.43 of the</w:t>
              </w:r>
            </w:hyperlink>
          </w:p>
        </w:tc>
        <w:tc>
          <w:tcPr>
            <w:tcW w:w="42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Company’s Quarterly Report on Form 10-Q for the quarter ended June 30, 2014.</w:t>
              </w:r>
            </w:hyperlink>
          </w:p>
        </w:tc>
        <w:tc>
          <w:tcPr>
            <w:tcW w:w="3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10.43</w:t>
            </w: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Loan Agreement, dated May 1, 2014, between New Jersey Environmental</w:t>
              </w:r>
            </w:hyperlink>
          </w:p>
        </w:tc>
        <w:tc>
          <w:tcPr>
            <w:tcW w:w="800" w:type="dxa"/>
            <w:vAlign w:val="bottom"/>
            <w:gridSpan w:val="13"/>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Infrastructure Trust and the Company (Series WW), filed as Exhibit 10.44 of the</w:t>
              </w:r>
            </w:hyperlink>
          </w:p>
        </w:tc>
        <w:tc>
          <w:tcPr>
            <w:tcW w:w="32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Company’s Quarterly Report on Form 10-Q for the quarter ended June 30, 2014.</w:t>
              </w:r>
            </w:hyperlink>
          </w:p>
        </w:tc>
        <w:tc>
          <w:tcPr>
            <w:tcW w:w="3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10.44</w:t>
            </w:r>
          </w:p>
        </w:tc>
        <w:tc>
          <w:tcPr>
            <w:tcW w:w="6140" w:type="dxa"/>
            <w:vAlign w:val="bottom"/>
            <w:gridSpan w:val="17"/>
          </w:tcPr>
          <w:p>
            <w:pPr>
              <w:spacing w:after="0" w:line="196" w:lineRule="exact"/>
              <w:rPr>
                <w:rFonts w:ascii="Arial" w:cs="Arial" w:eastAsia="Arial" w:hAnsi="Arial"/>
                <w:sz w:val="18"/>
                <w:szCs w:val="18"/>
                <w:color w:val="0000EE"/>
                <w:w w:val="95"/>
              </w:rPr>
            </w:pPr>
            <w:hyperlink r:id="rId143">
              <w:r>
                <w:rPr>
                  <w:rFonts w:ascii="Arial" w:cs="Arial" w:eastAsia="Arial" w:hAnsi="Arial"/>
                  <w:sz w:val="18"/>
                  <w:szCs w:val="18"/>
                  <w:color w:val="0000EE"/>
                  <w:w w:val="95"/>
                </w:rPr>
                <w:t>Loan Agreement, dated November 1, 2017, between New Jersey Environmental</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Infrastructure Trust and the Company (Series XX), filed as Exhibit 10.44 of the</w:t>
              </w:r>
            </w:hyperlink>
          </w:p>
        </w:tc>
        <w:tc>
          <w:tcPr>
            <w:tcW w:w="40" w:type="dxa"/>
            <w:vAlign w:val="bottom"/>
            <w:tcBorders>
              <w:top w:val="single" w:sz="8" w:color="0000EE"/>
            </w:tcBorders>
          </w:tcPr>
          <w:p>
            <w:pPr>
              <w:spacing w:after="0"/>
              <w:rPr>
                <w:sz w:val="17"/>
                <w:szCs w:val="17"/>
                <w:color w:val="auto"/>
              </w:rPr>
            </w:pPr>
          </w:p>
        </w:tc>
        <w:tc>
          <w:tcPr>
            <w:tcW w:w="380" w:type="dxa"/>
            <w:vAlign w:val="bottom"/>
            <w:gridSpan w:val="9"/>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Company’s Annual Report on Form 10-K for the year ended December 31, 2017.</w:t>
              </w:r>
            </w:hyperlink>
          </w:p>
        </w:tc>
        <w:tc>
          <w:tcPr>
            <w:tcW w:w="28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10.45</w:t>
            </w:r>
          </w:p>
        </w:tc>
        <w:tc>
          <w:tcPr>
            <w:tcW w:w="6140" w:type="dxa"/>
            <w:vAlign w:val="bottom"/>
            <w:gridSpan w:val="17"/>
          </w:tcPr>
          <w:p>
            <w:pPr>
              <w:spacing w:after="0" w:line="196" w:lineRule="exact"/>
              <w:rPr>
                <w:rFonts w:ascii="Arial" w:cs="Arial" w:eastAsia="Arial" w:hAnsi="Arial"/>
                <w:sz w:val="18"/>
                <w:szCs w:val="18"/>
                <w:color w:val="0000EE"/>
                <w:w w:val="95"/>
              </w:rPr>
            </w:pPr>
            <w:hyperlink r:id="rId144">
              <w:r>
                <w:rPr>
                  <w:rFonts w:ascii="Arial" w:cs="Arial" w:eastAsia="Arial" w:hAnsi="Arial"/>
                  <w:sz w:val="18"/>
                  <w:szCs w:val="18"/>
                  <w:color w:val="0000EE"/>
                  <w:w w:val="95"/>
                </w:rPr>
                <w:t>Loan Agreement, dated November 1, 2017, between New Jersey Environmental</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Infrastructure Trust and the Company (Series YY), filed as Exhibit 10.45 of the</w:t>
              </w:r>
            </w:hyperlink>
          </w:p>
        </w:tc>
        <w:tc>
          <w:tcPr>
            <w:tcW w:w="40" w:type="dxa"/>
            <w:vAlign w:val="bottom"/>
            <w:tcBorders>
              <w:top w:val="single" w:sz="8" w:color="0000EE"/>
            </w:tcBorders>
          </w:tcPr>
          <w:p>
            <w:pPr>
              <w:spacing w:after="0"/>
              <w:rPr>
                <w:sz w:val="17"/>
                <w:szCs w:val="17"/>
                <w:color w:val="auto"/>
              </w:rPr>
            </w:pPr>
          </w:p>
        </w:tc>
        <w:tc>
          <w:tcPr>
            <w:tcW w:w="380" w:type="dxa"/>
            <w:vAlign w:val="bottom"/>
            <w:gridSpan w:val="9"/>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Company’s Annual Report on Form 10-K for the year ended December 31, 2017.</w:t>
              </w:r>
            </w:hyperlink>
          </w:p>
        </w:tc>
        <w:tc>
          <w:tcPr>
            <w:tcW w:w="28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10.46</w:t>
            </w: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Loan Agreement, dated May 1, 2018, between New Jersey Environmental</w:t>
              </w:r>
            </w:hyperlink>
          </w:p>
        </w:tc>
        <w:tc>
          <w:tcPr>
            <w:tcW w:w="800" w:type="dxa"/>
            <w:vAlign w:val="bottom"/>
            <w:gridSpan w:val="13"/>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9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Infrastructure Trust and the Company (Series 2018A), filed as Exhibit 10.46 of the</w:t>
              </w:r>
            </w:hyperlink>
          </w:p>
        </w:tc>
        <w:tc>
          <w:tcPr>
            <w:tcW w:w="1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Company’s Quarterly Report on Form 10-Q for the quarter ended June 30, 2018.</w:t>
              </w:r>
            </w:hyperlink>
          </w:p>
        </w:tc>
        <w:tc>
          <w:tcPr>
            <w:tcW w:w="3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10.47</w:t>
            </w: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Loan Agreement, dated May 1, 2018, between New Jersey Environmental</w:t>
              </w:r>
            </w:hyperlink>
          </w:p>
        </w:tc>
        <w:tc>
          <w:tcPr>
            <w:tcW w:w="800" w:type="dxa"/>
            <w:vAlign w:val="bottom"/>
            <w:gridSpan w:val="13"/>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Infrastructure Trust and the Company (Series 2018B), filed as Exhibit 10.47 of the</w:t>
              </w:r>
            </w:hyperlink>
          </w:p>
        </w:tc>
        <w:tc>
          <w:tcPr>
            <w:tcW w:w="20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Company’s Quarterly Report on Form 10-Q for the quarter ended June 30, 2018.</w:t>
              </w:r>
            </w:hyperlink>
          </w:p>
        </w:tc>
        <w:tc>
          <w:tcPr>
            <w:tcW w:w="3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10.48</w:t>
            </w:r>
          </w:p>
        </w:tc>
        <w:tc>
          <w:tcPr>
            <w:tcW w:w="5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Middlesex Water Company Note Relating To: The Construction Financing Loan</w:t>
              </w:r>
            </w:hyperlink>
          </w:p>
        </w:tc>
        <w:tc>
          <w:tcPr>
            <w:tcW w:w="340" w:type="dxa"/>
            <w:vAlign w:val="bottom"/>
            <w:gridSpan w:val="7"/>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Program of the New Jersey Infrastructure Bank f/k/a New Jersey Environmental</w:t>
              </w:r>
            </w:hyperlink>
          </w:p>
        </w:tc>
        <w:tc>
          <w:tcPr>
            <w:tcW w:w="340" w:type="dxa"/>
            <w:vAlign w:val="bottom"/>
            <w:gridSpan w:val="7"/>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Infrastructure Trust, dated August 1, 2018, filed as Exhibit 10.48 of the Company’s</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Quarterly Report on Form 10-Q for the quarter ended September 30, 2018.</w:t>
              </w:r>
            </w:hyperlink>
          </w:p>
        </w:tc>
        <w:tc>
          <w:tcPr>
            <w:tcW w:w="600" w:type="dxa"/>
            <w:vAlign w:val="bottom"/>
            <w:tcBorders>
              <w:top w:val="single" w:sz="8" w:color="0000EE"/>
            </w:tcBorders>
            <w:gridSpan w:val="11"/>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10.49</w:t>
            </w:r>
          </w:p>
        </w:tc>
        <w:tc>
          <w:tcPr>
            <w:tcW w:w="58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Middlesex Water Company Note Relating To: The Construction Financing Loan</w:t>
              </w:r>
            </w:hyperlink>
          </w:p>
        </w:tc>
        <w:tc>
          <w:tcPr>
            <w:tcW w:w="340" w:type="dxa"/>
            <w:vAlign w:val="bottom"/>
            <w:gridSpan w:val="7"/>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7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Program of the New Jersey Infrastructure Bank f/k/a New Jersey Environmental</w:t>
              </w:r>
            </w:hyperlink>
          </w:p>
        </w:tc>
        <w:tc>
          <w:tcPr>
            <w:tcW w:w="360" w:type="dxa"/>
            <w:vAlign w:val="bottom"/>
            <w:gridSpan w:val="8"/>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Infrastructure Trust, dated September 12, 2018, filed as Exhibit 10.49 of the</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Company’s Quarterly Report on Form 10-Q for the quarter ended September 30,</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3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2018.</w:t>
              </w:r>
            </w:hyperlink>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93"/>
              </w:rPr>
              <w:t>10.50</w:t>
            </w:r>
          </w:p>
        </w:tc>
        <w:tc>
          <w:tcPr>
            <w:tcW w:w="6140" w:type="dxa"/>
            <w:vAlign w:val="bottom"/>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Loan Agreement, dated August 1, 2019, between New Jersey Economic</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gridSpan w:val="1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6140" w:type="dxa"/>
            <w:vAlign w:val="bottom"/>
            <w:gridSpan w:val="17"/>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Development Authority and the Company, filed as Exhibit 10.50 to the Company’s</w:t>
              </w:r>
            </w:hyperlink>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59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Current Report on Form 8-K filed September 6, 2019.</w:t>
              </w:r>
            </w:hyperlink>
          </w:p>
        </w:tc>
        <w:tc>
          <w:tcPr>
            <w:tcW w:w="18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620" w:type="dxa"/>
            <w:vAlign w:val="bottom"/>
          </w:tcPr>
          <w:p>
            <w:pPr>
              <w:spacing w:after="0"/>
              <w:rPr>
                <w:sz w:val="24"/>
                <w:szCs w:val="24"/>
                <w:color w:val="auto"/>
              </w:rPr>
            </w:pPr>
          </w:p>
        </w:tc>
        <w:tc>
          <w:tcPr>
            <w:tcW w:w="3880" w:type="dxa"/>
            <w:vAlign w:val="bottom"/>
            <w:tcBorders>
              <w:top w:val="single" w:sz="8" w:color="0000EE"/>
            </w:tcBorders>
            <w:gridSpan w:val="2"/>
          </w:tcPr>
          <w:p>
            <w:pPr>
              <w:spacing w:after="0"/>
              <w:rPr>
                <w:sz w:val="24"/>
                <w:szCs w:val="24"/>
                <w:color w:val="auto"/>
              </w:rPr>
            </w:pPr>
          </w:p>
        </w:tc>
        <w:tc>
          <w:tcPr>
            <w:tcW w:w="1300" w:type="dxa"/>
            <w:vAlign w:val="bottom"/>
          </w:tcPr>
          <w:p>
            <w:pPr>
              <w:jc w:val="right"/>
              <w:ind w:right="91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62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480" w:type="dxa"/>
            <w:vAlign w:val="bottom"/>
            <w:tcBorders>
              <w:bottom w:val="single" w:sz="8" w:color="EEEEEE"/>
            </w:tcBorders>
          </w:tcPr>
          <w:p>
            <w:pPr>
              <w:spacing w:after="0"/>
              <w:rPr>
                <w:sz w:val="17"/>
                <w:szCs w:val="17"/>
                <w:color w:val="auto"/>
              </w:rPr>
            </w:pPr>
          </w:p>
        </w:tc>
        <w:tc>
          <w:tcPr>
            <w:tcW w:w="13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6"/>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ind w:left="300"/>
              <w:spacing w:after="0"/>
              <w:rPr>
                <w:sz w:val="20"/>
                <w:szCs w:val="20"/>
                <w:color w:val="auto"/>
              </w:rPr>
            </w:pPr>
            <w:r>
              <w:rPr>
                <w:rFonts w:ascii="Arial" w:cs="Arial" w:eastAsia="Arial" w:hAnsi="Arial"/>
                <w:sz w:val="18"/>
                <w:szCs w:val="18"/>
                <w:b w:val="1"/>
                <w:bCs w:val="1"/>
                <w:color w:val="auto"/>
              </w:rPr>
              <w:t>EXHIBIT INDEX</w:t>
            </w: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Previous</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Registration</w:t>
            </w: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Exhibit No.</w:t>
            </w:r>
          </w:p>
        </w:tc>
        <w:tc>
          <w:tcPr>
            <w:tcW w:w="94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gridSpan w:val="9"/>
          </w:tcPr>
          <w:p>
            <w:pPr>
              <w:ind w:left="122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No.</w:t>
            </w: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r>
      <w:tr>
        <w:trPr>
          <w:trHeight w:val="169"/>
        </w:trPr>
        <w:tc>
          <w:tcPr>
            <w:tcW w:w="20" w:type="dxa"/>
            <w:vAlign w:val="bottom"/>
          </w:tcPr>
          <w:p>
            <w:pPr>
              <w:spacing w:after="0"/>
              <w:rPr>
                <w:sz w:val="14"/>
                <w:szCs w:val="14"/>
                <w:color w:val="auto"/>
              </w:rPr>
            </w:pPr>
          </w:p>
        </w:tc>
        <w:tc>
          <w:tcPr>
            <w:tcW w:w="160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6"/>
              </w:rPr>
              <w:t>*21</w:t>
            </w:r>
          </w:p>
        </w:tc>
        <w:tc>
          <w:tcPr>
            <w:tcW w:w="6160" w:type="dxa"/>
            <w:vAlign w:val="bottom"/>
            <w:gridSpan w:val="10"/>
          </w:tcPr>
          <w:p>
            <w:pPr>
              <w:spacing w:after="0" w:line="170" w:lineRule="exact"/>
              <w:rPr>
                <w:rFonts w:ascii="Arial" w:cs="Arial" w:eastAsia="Arial" w:hAnsi="Arial"/>
                <w:sz w:val="18"/>
                <w:szCs w:val="18"/>
                <w:color w:val="0000EE"/>
              </w:rPr>
            </w:pPr>
            <w:hyperlink w:anchor="page115">
              <w:r>
                <w:rPr>
                  <w:rFonts w:ascii="Arial" w:cs="Arial" w:eastAsia="Arial" w:hAnsi="Arial"/>
                  <w:sz w:val="18"/>
                  <w:szCs w:val="18"/>
                  <w:color w:val="0000EE"/>
                </w:rPr>
                <w:t>Middlesex Water Company Subsidiaries.</w:t>
              </w:r>
            </w:hyperlink>
          </w:p>
        </w:tc>
        <w:tc>
          <w:tcPr>
            <w:tcW w:w="1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6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9"/>
              </w:rPr>
              <w:t>*23.1</w:t>
            </w:r>
          </w:p>
        </w:tc>
        <w:tc>
          <w:tcPr>
            <w:tcW w:w="6160" w:type="dxa"/>
            <w:vAlign w:val="bottom"/>
            <w:gridSpan w:val="10"/>
          </w:tcPr>
          <w:p>
            <w:pPr>
              <w:spacing w:after="0" w:line="196" w:lineRule="exact"/>
              <w:rPr>
                <w:rFonts w:ascii="Arial" w:cs="Arial" w:eastAsia="Arial" w:hAnsi="Arial"/>
                <w:sz w:val="18"/>
                <w:szCs w:val="18"/>
                <w:color w:val="0000EE"/>
                <w:w w:val="96"/>
              </w:rPr>
            </w:pPr>
            <w:hyperlink w:anchor="page116">
              <w:r>
                <w:rPr>
                  <w:rFonts w:ascii="Arial" w:cs="Arial" w:eastAsia="Arial" w:hAnsi="Arial"/>
                  <w:sz w:val="18"/>
                  <w:szCs w:val="18"/>
                  <w:color w:val="0000EE"/>
                  <w:w w:val="96"/>
                </w:rPr>
                <w:t>Consent of Independent Registered Public Accounting Firm, Baker Tilly Virchow</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Krause, LLP.</w:t>
              </w:r>
            </w:hyperlink>
          </w:p>
        </w:tc>
        <w:tc>
          <w:tcPr>
            <w:tcW w:w="494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6"/>
              </w:rPr>
              <w:t>*31</w:t>
            </w:r>
          </w:p>
        </w:tc>
        <w:tc>
          <w:tcPr>
            <w:tcW w:w="6160" w:type="dxa"/>
            <w:vAlign w:val="bottom"/>
            <w:gridSpan w:val="10"/>
          </w:tcPr>
          <w:p>
            <w:pPr>
              <w:spacing w:after="0" w:line="196" w:lineRule="exact"/>
              <w:rPr>
                <w:rFonts w:ascii="Arial" w:cs="Arial" w:eastAsia="Arial" w:hAnsi="Arial"/>
                <w:sz w:val="18"/>
                <w:szCs w:val="18"/>
                <w:color w:val="0000EE"/>
                <w:w w:val="94"/>
              </w:rPr>
            </w:pPr>
            <w:hyperlink w:anchor="page117">
              <w:r>
                <w:rPr>
                  <w:rFonts w:ascii="Arial" w:cs="Arial" w:eastAsia="Arial" w:hAnsi="Arial"/>
                  <w:sz w:val="18"/>
                  <w:szCs w:val="18"/>
                  <w:color w:val="0000EE"/>
                  <w:w w:val="94"/>
                </w:rPr>
                <w:t>Section 302 Certification by Dennis W. Doll pursuant to Rules 13a-14 and 15d-14</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of the Securities Exchange Act of 1934.</w:t>
              </w:r>
            </w:hyperlink>
          </w:p>
        </w:tc>
        <w:tc>
          <w:tcPr>
            <w:tcW w:w="26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20" w:type="dxa"/>
            <w:vAlign w:val="bottom"/>
            <w:gridSpan w:val="3"/>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9"/>
              </w:rPr>
              <w:t>*31.1</w:t>
            </w:r>
          </w:p>
        </w:tc>
        <w:tc>
          <w:tcPr>
            <w:tcW w:w="6160" w:type="dxa"/>
            <w:vAlign w:val="bottom"/>
            <w:gridSpan w:val="10"/>
          </w:tcPr>
          <w:p>
            <w:pPr>
              <w:spacing w:after="0" w:line="196" w:lineRule="exact"/>
              <w:rPr>
                <w:rFonts w:ascii="Arial" w:cs="Arial" w:eastAsia="Arial" w:hAnsi="Arial"/>
                <w:sz w:val="18"/>
                <w:szCs w:val="18"/>
                <w:color w:val="0000EE"/>
                <w:w w:val="93"/>
              </w:rPr>
            </w:pPr>
            <w:hyperlink w:anchor="page118">
              <w:r>
                <w:rPr>
                  <w:rFonts w:ascii="Arial" w:cs="Arial" w:eastAsia="Arial" w:hAnsi="Arial"/>
                  <w:sz w:val="18"/>
                  <w:szCs w:val="18"/>
                  <w:color w:val="0000EE"/>
                  <w:w w:val="93"/>
                </w:rPr>
                <w:t>Section 302 Certification by A. Bruce O’Connor pursuant to Rules 13a-14 and 15d-</w:t>
              </w:r>
            </w:hyperlink>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14 of the Securities Exchange Act of 1934.</w:t>
              </w:r>
            </w:hyperlink>
          </w:p>
        </w:tc>
        <w:tc>
          <w:tcPr>
            <w:tcW w:w="2920" w:type="dxa"/>
            <w:vAlign w:val="bottom"/>
            <w:tcBorders>
              <w:top w:val="single" w:sz="8" w:color="0000EE"/>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6"/>
              </w:rPr>
              <w:t>*32</w:t>
            </w:r>
          </w:p>
        </w:tc>
        <w:tc>
          <w:tcPr>
            <w:tcW w:w="5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Section 906 Certification by Dennis W. Doll pursuant to 18 U.S.C.§1350.</w:t>
              </w:r>
            </w:hyperlink>
          </w:p>
        </w:tc>
        <w:tc>
          <w:tcPr>
            <w:tcW w:w="86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6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9"/>
              </w:rPr>
              <w:t>*32.1</w:t>
            </w:r>
          </w:p>
        </w:tc>
        <w:tc>
          <w:tcPr>
            <w:tcW w:w="5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Section 906 Certification by A. Bruce O’Connor pursuant to 18 U.S.C.§1350.</w:t>
              </w:r>
            </w:hyperlink>
          </w:p>
        </w:tc>
        <w:tc>
          <w:tcPr>
            <w:tcW w:w="56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97"/>
              </w:rPr>
              <w:t>101.INS*</w:t>
            </w:r>
          </w:p>
        </w:tc>
        <w:tc>
          <w:tcPr>
            <w:tcW w:w="6160" w:type="dxa"/>
            <w:vAlign w:val="bottom"/>
            <w:gridSpan w:val="10"/>
          </w:tcPr>
          <w:p>
            <w:pPr>
              <w:spacing w:after="0"/>
              <w:rPr>
                <w:sz w:val="20"/>
                <w:szCs w:val="20"/>
                <w:color w:val="auto"/>
              </w:rPr>
            </w:pPr>
            <w:r>
              <w:rPr>
                <w:rFonts w:ascii="Arial" w:cs="Arial" w:eastAsia="Arial" w:hAnsi="Arial"/>
                <w:sz w:val="18"/>
                <w:szCs w:val="18"/>
                <w:color w:val="auto"/>
              </w:rPr>
              <w:t>XBRL Instance Document– the instance document does not appear in the</w:t>
            </w:r>
          </w:p>
        </w:tc>
        <w:tc>
          <w:tcPr>
            <w:tcW w:w="16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Arial" w:cs="Arial" w:eastAsia="Arial" w:hAnsi="Arial"/>
                <w:sz w:val="18"/>
                <w:szCs w:val="18"/>
                <w:color w:val="auto"/>
                <w:w w:val="94"/>
              </w:rPr>
              <w:t>Interactive Data File because its XBRL tags are embedded within the Inline XBRL</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92"/>
              </w:rPr>
              <w:t>101.SCH*</w:t>
            </w: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rPr>
              <w:t>101.CAL*</w:t>
            </w: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94"/>
              </w:rPr>
              <w:t>101.DEF*</w:t>
            </w: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rPr>
              <w:t>101.LAB*</w:t>
            </w: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93"/>
              </w:rPr>
              <w:t>101.PRE*</w:t>
            </w: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620" w:type="dxa"/>
            <w:vAlign w:val="bottom"/>
            <w:gridSpan w:val="3"/>
          </w:tcPr>
          <w:p>
            <w:pPr>
              <w:jc w:val="center"/>
              <w:spacing w:after="0"/>
              <w:rPr>
                <w:sz w:val="20"/>
                <w:szCs w:val="20"/>
                <w:color w:val="auto"/>
              </w:rPr>
            </w:pPr>
            <w:r>
              <w:rPr>
                <w:rFonts w:ascii="Arial" w:cs="Arial" w:eastAsia="Arial" w:hAnsi="Arial"/>
                <w:sz w:val="18"/>
                <w:szCs w:val="18"/>
                <w:color w:val="auto"/>
                <w:w w:val="97"/>
              </w:rPr>
              <w:t>104*</w:t>
            </w:r>
          </w:p>
        </w:tc>
        <w:tc>
          <w:tcPr>
            <w:tcW w:w="6160" w:type="dxa"/>
            <w:vAlign w:val="bottom"/>
            <w:gridSpan w:val="10"/>
          </w:tcPr>
          <w:p>
            <w:pPr>
              <w:spacing w:after="0"/>
              <w:rPr>
                <w:sz w:val="20"/>
                <w:szCs w:val="20"/>
                <w:color w:val="auto"/>
              </w:rPr>
            </w:pPr>
            <w:r>
              <w:rPr>
                <w:rFonts w:ascii="Arial" w:cs="Arial" w:eastAsia="Arial" w:hAnsi="Arial"/>
                <w:sz w:val="18"/>
                <w:szCs w:val="18"/>
                <w:color w:val="auto"/>
                <w:w w:val="97"/>
              </w:rPr>
              <w:t>Cover Page Interactive Data File – the cover page interactive data file does not</w:t>
            </w: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Arial" w:cs="Arial" w:eastAsia="Arial" w:hAnsi="Arial"/>
                <w:sz w:val="18"/>
                <w:szCs w:val="18"/>
                <w:color w:val="auto"/>
                <w:w w:val="93"/>
              </w:rPr>
              <w:t>appear in the Interactive Data File because its XBRL tags are embedded within the</w:t>
            </w:r>
          </w:p>
        </w:tc>
        <w:tc>
          <w:tcPr>
            <w:tcW w:w="1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160" w:type="dxa"/>
            <w:vAlign w:val="bottom"/>
            <w:gridSpan w:val="10"/>
          </w:tcPr>
          <w:p>
            <w:pPr>
              <w:spacing w:after="0"/>
              <w:rPr>
                <w:sz w:val="20"/>
                <w:szCs w:val="20"/>
                <w:color w:val="auto"/>
              </w:rPr>
            </w:pPr>
            <w:r>
              <w:rPr>
                <w:rFonts w:ascii="Arial" w:cs="Arial" w:eastAsia="Arial" w:hAnsi="Arial"/>
                <w:sz w:val="18"/>
                <w:szCs w:val="18"/>
                <w:color w:val="auto"/>
              </w:rPr>
              <w:t>Inline XBRL document.</w:t>
            </w:r>
          </w:p>
        </w:tc>
        <w:tc>
          <w:tcPr>
            <w:tcW w:w="1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5"/>
              </w:rPr>
              <w:t>*Filed herewith</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gridSpan w:val="5"/>
          </w:tcPr>
          <w:p>
            <w:pPr>
              <w:ind w:left="400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3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9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220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19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10.12(f)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TERMINATION AGREEMENT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Change in Control Termination Agreement (the “Agreement”) is entered into as of July 1, 2019, between Middlesex Water Company, a New Jersey corporation, with its principal place of business located at 485C Route One South, Suite 400, Iselin, New Jersey 08830, (the “Company”), and G. Christian Andreasen, residing at XXXXXXXXXXXXXXXXXXX (referred to as “You” in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98" w:lineRule="exact"/>
        <w:rPr>
          <w:sz w:val="20"/>
          <w:szCs w:val="20"/>
          <w:color w:val="auto"/>
        </w:rPr>
      </w:pPr>
    </w:p>
    <w:p>
      <w:pPr>
        <w:jc w:val="both"/>
        <w:ind w:firstLine="8"/>
        <w:spacing w:after="0" w:line="259" w:lineRule="auto"/>
        <w:tabs>
          <w:tab w:leader="none" w:pos="3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considers it essential to the best interests of its shareholders to foster the continuous employment of key management personnel. In this connection, the Board of Directors of the Company (the “Board”) recognizes that, as is the case with many publicly held Companies, the possibility of a Change in Control may exist. This possibility, and the uncertainty and questions that it may raise among management, may result in the departure or distraction of management personnel to the detriment of the Company and its shareholders.</w:t>
      </w:r>
    </w:p>
    <w:p>
      <w:pPr>
        <w:spacing w:after="0" w:line="173" w:lineRule="exact"/>
        <w:rPr>
          <w:rFonts w:ascii="Arial" w:cs="Arial" w:eastAsia="Arial" w:hAnsi="Arial"/>
          <w:sz w:val="18"/>
          <w:szCs w:val="18"/>
          <w:color w:val="auto"/>
        </w:rPr>
      </w:pPr>
    </w:p>
    <w:p>
      <w:pPr>
        <w:jc w:val="both"/>
        <w:ind w:firstLine="8"/>
        <w:spacing w:after="0" w:line="264" w:lineRule="auto"/>
        <w:tabs>
          <w:tab w:leader="none" w:pos="3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has determined that appropriate steps should be taken to reinforce and encourage the continued attention and dedication of members of the Company’s management, including You, to the assigned duties without distraction in the face of circumstances arising from the possibility of a Change in Control of the Company.</w:t>
      </w:r>
    </w:p>
    <w:p>
      <w:pPr>
        <w:spacing w:after="0" w:line="167" w:lineRule="exact"/>
        <w:rPr>
          <w:rFonts w:ascii="Arial" w:cs="Arial" w:eastAsia="Arial" w:hAnsi="Arial"/>
          <w:sz w:val="18"/>
          <w:szCs w:val="18"/>
          <w:color w:val="auto"/>
        </w:rPr>
      </w:pPr>
    </w:p>
    <w:p>
      <w:pPr>
        <w:jc w:val="both"/>
        <w:ind w:firstLine="8"/>
        <w:spacing w:after="0" w:line="276" w:lineRule="auto"/>
        <w:tabs>
          <w:tab w:leader="none" w:pos="3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induce You to remain in the employ of the Company, while simultaneously representing the best interests of the Company’s shareholders, and in consideration of your agreement set forth below, the Company agrees that You shall receive the severance benefits set forth in this Agreement in the event your employment with the Company is terminated by the Company, or is terminated by You for “Good Reason,” as defined herein, in connection with a “Change in Control of the Company” (as defined in Section 2 below). This Agreement supersedes any other specific written agreements that may have been entered into between yourself and the Company concerning termination of employment.</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Therefore, in consideration of your continued employment and the parties’ agreement to be bound by the terms contained in this Agreement, the parties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both"/>
        <w:ind w:firstLine="656"/>
        <w:spacing w:after="0" w:line="256" w:lineRule="auto"/>
        <w:tabs>
          <w:tab w:leader="none" w:pos="842"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 This Agreement shall commence as of July 1, 2019 and shall continue in effect through December 31, 2019.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December 31, 2019, and each December 31 afterwards, the term of this Agreement shall automatically be extended for one (1) additional year unless, no later than the preceding November 1st, the Company shall have given notice that it does not wish to extend this Agreement. Notwithstanding the foregoing, if a Change in Control of the Company shall be proposed to occur, or have occurred, during the original or any extended term of this Agreement, this Agreement shall continue in effect until your termination of employment with the Company or its successor or, when all amounts due under this Agreement following a termination have been paid, whichever is later.</w:t>
      </w:r>
    </w:p>
    <w:p>
      <w:pPr>
        <w:spacing w:after="0" w:line="160" w:lineRule="exact"/>
        <w:rPr>
          <w:rFonts w:ascii="Arial" w:cs="Arial" w:eastAsia="Arial" w:hAnsi="Arial"/>
          <w:sz w:val="18"/>
          <w:szCs w:val="18"/>
          <w:color w:val="auto"/>
        </w:rPr>
      </w:pPr>
    </w:p>
    <w:p>
      <w:pPr>
        <w:jc w:val="both"/>
        <w:ind w:firstLine="656"/>
        <w:spacing w:after="0" w:line="256" w:lineRule="auto"/>
        <w:tabs>
          <w:tab w:leader="none" w:pos="828"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No benefits shall be payable under this Agreement unless there shall have been a Change in Control of the Company,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For purposes of this Agreement, a “Change in Control” of the Company shall be deemed to occur if any party or group acquires beneficial ownership of 20 percent or more of the voting shares of the Company; or if shareholder approval is obtained for a transaction involving the acquisition of the Company through the purchase or exchange of the stock or assets of the Company by merger or otherwise; or if one-third or more of the Board elected in a 12-month period or less are so elected without the approval of a majority of the Board as constituted at the beginning of such period; or a liquidation or dissolution of Company.</w:t>
      </w:r>
    </w:p>
    <w:p>
      <w:pPr>
        <w:spacing w:after="0" w:line="174" w:lineRule="exact"/>
        <w:rPr>
          <w:rFonts w:ascii="Arial" w:cs="Arial" w:eastAsia="Arial" w:hAnsi="Arial"/>
          <w:sz w:val="18"/>
          <w:szCs w:val="18"/>
          <w:color w:val="auto"/>
        </w:rPr>
      </w:pPr>
    </w:p>
    <w:p>
      <w:pPr>
        <w:jc w:val="both"/>
        <w:ind w:firstLine="656"/>
        <w:spacing w:after="0" w:line="281" w:lineRule="auto"/>
        <w:tabs>
          <w:tab w:leader="none" w:pos="828"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Following Change In Control</w:t>
      </w:r>
      <w:r>
        <w:rPr>
          <w:rFonts w:ascii="Arial" w:cs="Arial" w:eastAsia="Arial" w:hAnsi="Arial"/>
          <w:sz w:val="17"/>
          <w:szCs w:val="17"/>
          <w:color w:val="auto"/>
        </w:rPr>
        <w:t>. If any of the events described in Section 2 above constituting a Change in Control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occurred, then unless the termination is (A) because of your death, Disability or Retirement, (B) by the Company for Cause, or (C) by You other than for Good Reason, on the subsequent termination of your employment during the term of this Agreement, You shall be entitled to the severance benefits provided in Section 4.3 below if such termination occurs on or before the third (3rd) anniversary of the Change in Control date .</w:t>
      </w:r>
    </w:p>
    <w:p>
      <w:pPr>
        <w:spacing w:after="0" w:line="151"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Disability; Retirement</w:t>
      </w:r>
      <w:r>
        <w:rPr>
          <w:rFonts w:ascii="Arial" w:cs="Arial" w:eastAsia="Arial" w:hAnsi="Arial"/>
          <w:sz w:val="17"/>
          <w:szCs w:val="17"/>
          <w:color w:val="auto"/>
        </w:rPr>
        <w:t>. If, as a result of your incapacity due to physical or mental illness, You shall have been absent from the full-time performance of your duties with the Company for 6 consecutive months, and within 30 days after written notice of termination is given You shall not have returned to the full-time performance of your duties, your employment may be terminated for "Disability." Termination of your employment by the Company or You due to your "Retirement" shall mean termination in accordance with the Company's retirement policy, including early retirement, generally applicable to its salaried employees or, in accordance with any retirement arrangement established with your consent with respect to You.</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3" w:name="page84"/>
    <w:bookmarkEnd w:id="83"/>
    <w:p>
      <w:pPr>
        <w:ind w:left="8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by the Company of your employment for "Cause" shall mean termination as a result of:</w:t>
      </w:r>
    </w:p>
    <w:p>
      <w:pPr>
        <w:spacing w:after="0" w:line="202"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3.2.1 The willful and continued failure by You to substantially perform your duties with the Company as such employment was performed by You prior to the Change in Control (other than any such failure resulting from your Disability or any such actual or anticipated failure after the issuance by You of a Notice of Termination for Good Reason as defined herein) after a written demand for substantial performance is delivered to You by the Board, which demand specifically identifies the manner in which the Board believes that You have not substantially performed your duties; or</w:t>
      </w:r>
    </w:p>
    <w:p>
      <w:pPr>
        <w:spacing w:after="0" w:line="175" w:lineRule="exact"/>
        <w:rPr>
          <w:sz w:val="20"/>
          <w:szCs w:val="20"/>
          <w:color w:val="auto"/>
        </w:rPr>
      </w:pPr>
    </w:p>
    <w:p>
      <w:pPr>
        <w:jc w:val="both"/>
        <w:ind w:left="1080"/>
        <w:spacing w:after="0" w:line="270" w:lineRule="auto"/>
        <w:rPr>
          <w:sz w:val="20"/>
          <w:szCs w:val="20"/>
          <w:color w:val="auto"/>
        </w:rPr>
      </w:pPr>
      <w:r>
        <w:rPr>
          <w:rFonts w:ascii="Arial" w:cs="Arial" w:eastAsia="Arial" w:hAnsi="Arial"/>
          <w:sz w:val="17"/>
          <w:szCs w:val="17"/>
          <w:color w:val="auto"/>
        </w:rPr>
        <w:t>3.2.2 The willful act by You in conduct that is demonstrably and materially injurious to the Company, and which the Board deems to cause or will cause substantial economic damage to the Company or injury to the business reputation of the Company, monetarily or otherwise. For purposes of this Section, no act, or failure to act, on your part shall be deemed “willful" unless done, or omitted to be done, by You not in good faith and without a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clauses 3.2.1 or 3.2.2 of this Section and specifying the particulars in detail.</w:t>
      </w:r>
    </w:p>
    <w:p>
      <w:pPr>
        <w:spacing w:after="0" w:line="164" w:lineRule="exact"/>
        <w:rPr>
          <w:sz w:val="20"/>
          <w:szCs w:val="20"/>
          <w:color w:val="auto"/>
        </w:rPr>
      </w:pPr>
    </w:p>
    <w:p>
      <w:pPr>
        <w:jc w:val="both"/>
        <w:ind w:firstLine="828"/>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You shall be entitled to receive severance benefits as provided in this Agreement if You terminate your employment with the Company for “Good Reason.” For purposes of this Agreement, "Good Reason" shall mean, without your consent, the occurrence in connection with a Change in Control of the Company of any of the following circumstances unless, in the case of Sections 3.3.1, 3.3.5, 3.3.6, 3.3.7, or 3.3.8, the circumstances are fully corrected prior to the Date of Termination specified in the Notice of Termination, as defined in Sections 3.5 and 3.4, respectively, given in respect of them. If You terminate your employment with the Company for Good Reason, as provided below, your employment with the Company shall be considered to have been involuntarily terminated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4" w:name="page85"/>
    <w:bookmarkEnd w:id="84"/>
    <w:p>
      <w:pPr>
        <w:jc w:val="both"/>
        <w:spacing w:after="0" w:line="279" w:lineRule="auto"/>
        <w:rPr>
          <w:sz w:val="20"/>
          <w:szCs w:val="20"/>
          <w:color w:val="auto"/>
        </w:rPr>
      </w:pPr>
      <w:r>
        <w:rPr>
          <w:rFonts w:ascii="Arial" w:cs="Arial" w:eastAsia="Arial" w:hAnsi="Arial"/>
          <w:sz w:val="17"/>
          <w:szCs w:val="17"/>
          <w:color w:val="auto"/>
        </w:rPr>
        <w:t>3.3.1 The assignment to You of any significant employment duties which are inconsistent with your status and position (i) prior to the Change in Control where such change is a direct result of any pending Change in Control; or (ii) as such status exists immediately prior to the Change in Control of the Company, or (iii) which are a substantial adverse alteration in the nature or status of your responsibilities from those in effect immediately prior to the Change in Control of the Company whichever is applicable;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3.3.2 A reduction by the Company in your annual base salary as in effect on the initial date of this Agreement, or as same may be increased from time to time irrespective of future Company policies including any across-the-board salary reductions similarly affecting all key employees of the Company;</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3.3.3 Your relocation, without your consent, to an employment location not within twenty-five (25) miles of your present office or job location, except for required travel on the Company's business to an extent substantially consistent with your present business travel obligations;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3.3.4 The failure by the Company, without your consent, to pay to You any part of your current compensation, or to pay to You any part of an installment of deferred compensation under any deferred compensation program of the Company, within fourteen (14) days of the date the compensation is due;</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3.3.5 The failure by the Company to continue in effect any bonus to which You were entitled, or any compensation plan in which You participate (i) prior to the Change in Control where such change is a direct result of any pending Change in Control, or (ii) immediately prior to the Change in Control of the Company that is material to your total compensation, including but not limited to the Company's Restricted Stock Plan, 401(k) Plan, and Benefit Plans, or any substitute plans adopted prior to the Change in Control of the Company, unless an equitable arrangement (embodied in an ongoing substitute or alternative plan) has been made with respect to the plan, or the failure by the Company to continue your participation in it (or in such substitute or alternative plan) on a basis not materially less favorable, both in terms of the amount of benefits provided and the level of your participation relative to other participants, as existed at the time of the Change in Control;</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122555</wp:posOffset>
            </wp:positionV>
            <wp:extent cx="727202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340"/>
          </w:cols>
          <w:pgMar w:left="1320" w:top="328" w:right="239" w:bottom="1440" w:gutter="0" w:footer="0" w:header="0"/>
        </w:sectPr>
      </w:pPr>
    </w:p>
    <w:bookmarkStart w:id="85" w:name="page86"/>
    <w:bookmarkEnd w:id="85"/>
    <w:p>
      <w:pPr>
        <w:jc w:val="both"/>
        <w:ind w:left="1080"/>
        <w:spacing w:after="0" w:line="253" w:lineRule="auto"/>
        <w:rPr>
          <w:sz w:val="20"/>
          <w:szCs w:val="20"/>
          <w:color w:val="auto"/>
        </w:rPr>
      </w:pPr>
      <w:r>
        <w:rPr>
          <w:rFonts w:ascii="Arial" w:cs="Arial" w:eastAsia="Arial" w:hAnsi="Arial"/>
          <w:sz w:val="18"/>
          <w:szCs w:val="18"/>
          <w:color w:val="auto"/>
        </w:rPr>
        <w:t>3.3.6 The failure by the Company to continue to provide You with (i) benefits substantially similar to those enjoyed by You under any of the Company's life insurance, medical, health and accident, or disability plans in which You were participating at the time of the Change in Control of the Company was in effect for the employees of the Company generally at the time of the Change in Control, (ii) the failure to continue to provide You with a Company automobile or allowance in lieu of it at the time of the Change in Control of the Company, (iii) the taking of any action by the Company that would directly or indirectly materially reduce any of such benefits or deprive You of any material fringe benefit enjoyed by You at the time of the Change in Control of the Company, or (iv) the failure by the Company to provide You with the number of paid vacation days to which You are entitled on the basis of years of service with the Company in accordance with the Company's normal vacation policy or other vacation allowance provided to you by written agreement in effect at the time of the Change in Control of the Company;</w:t>
      </w:r>
    </w:p>
    <w:p>
      <w:pPr>
        <w:spacing w:after="0" w:line="170"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3.3.7The failure of the Company to obtain a satisfactory agreement from any successor to assume and agree to perform this Agreement, as contemplated in Section 5 of this Agreement; or</w:t>
      </w:r>
    </w:p>
    <w:p>
      <w:pPr>
        <w:spacing w:after="0" w:line="157"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3.3.8Any purported termination of your employment that is not effected pursuant to a Notice of Termination satisfying the requirements of Section 3.4 below (and, if applicable, the requirements of Section 3.2 above); for purposes of this Agreement, no such purported termination shall be effective.</w:t>
      </w:r>
    </w:p>
    <w:p>
      <w:pPr>
        <w:spacing w:after="0" w:line="164" w:lineRule="exact"/>
        <w:rPr>
          <w:sz w:val="20"/>
          <w:szCs w:val="20"/>
          <w:color w:val="auto"/>
        </w:rPr>
      </w:pPr>
    </w:p>
    <w:p>
      <w:pPr>
        <w:jc w:val="both"/>
        <w:ind w:firstLine="82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of Termination</w:t>
      </w:r>
      <w:r>
        <w:rPr>
          <w:rFonts w:ascii="Arial" w:cs="Arial" w:eastAsia="Arial" w:hAnsi="Arial"/>
          <w:sz w:val="17"/>
          <w:szCs w:val="17"/>
          <w:color w:val="auto"/>
        </w:rPr>
        <w:t>. Any purported termination of your employment by the Company or by You shall be communicated by written Notice of Termination to the other party to this Agreement in accordance with Section 6 of this Agreement. For purposes of this Agreement, a "Notice of Termination" shall mean a notice that shall indicate the specific termination provision in this Agreement relied on, and shall set forth in reasonable detail the facts and circumstances claimed to provide a basis for termination of your employment under the provision so indicated. Your rights to terminate your employment pursuant to this Section shall not be affected by your incapacity due to Disability. Your continued employment shall not constitute consent to, or a waiver of rights with respect to, any circumstance constituting Good Reason under this Agreement. In the event You deliver Notice of Termination based on circumstances set forth in Sections 3.3.1, 3.3.5, 3.3.6, 3.3.7, or 3.3.8 above, which are fully corrected prior to the Date of Termination set forth in your Notice of Termination, the Notice of Termination shall be deemed withdrawn and of no further force or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6" w:name="page87"/>
    <w:bookmarkEnd w:id="86"/>
    <w:p>
      <w:pPr>
        <w:jc w:val="both"/>
        <w:ind w:firstLine="82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Date of Termination, etc</w:t>
      </w:r>
      <w:r>
        <w:rPr>
          <w:rFonts w:ascii="Arial" w:cs="Arial" w:eastAsia="Arial" w:hAnsi="Arial"/>
          <w:sz w:val="17"/>
          <w:szCs w:val="17"/>
          <w:color w:val="auto"/>
        </w:rPr>
        <w:t>. "Date of Termination" shall mean (A) if your employment is terminated for Disability, 30 days after Notice of Termination is given (provided that You shall not have returned to the full-time performance of your duties during such 30-day period), and (B) if your employment is terminated pursuant to Section 3.2 or 3.3 above or for any other reason (other than Disability), the date specified in the Notice of Termination (which, in the case of a termination pursuant to Section 3.2 above shall not be less than 30 days, and in the case of a termination pursuant to Section 3.3 above shall not be less than 15 nor more than 60 days, respectively, from the date the Notice of Termination is given). However, if within 15 days after any Notice of Termination is given, or, if later, prior to the Date of Termination (as determined without regard to this provision), the party receiving the Notice of Termination notifies the other party that a dispute exists concerning the termination, then the Date of Termination shall be the date on which the dispute is finally determined, either by mutual written agreement of the parties, by a binding arbitration award, or by a final judgment, order, or decree of a court of competent jurisdiction (which is not appealable or with respect to which the time for appeal has expired and no appeal has been perfected). The Date of Termination shall be extended by a notice of dispute only if the notice is given in good faith and the party giving the notice pursues the resolution of the dispute with reasonable diligence. Notwithstanding the pendency of any such dispute, the Company will continue to pay You your full compensation in effect when the notice giving rise to the dispute was given (including, but not limited to, base salary) and continue You as a participant in all compensation, benefit, and insurance plans in which You were participating when the notice giving rise to the dispute was given, until the dispute is finally resolved in accordance with this Section. Amounts paid under this Section are in addition to all other amounts due under this Agreement and shall not be offset against or reduce any other amounts due under this Agreement.</w:t>
      </w:r>
    </w:p>
    <w:p>
      <w:pPr>
        <w:spacing w:after="0" w:line="156" w:lineRule="exact"/>
        <w:rPr>
          <w:sz w:val="20"/>
          <w:szCs w:val="20"/>
          <w:color w:val="auto"/>
        </w:rPr>
      </w:pPr>
    </w:p>
    <w:p>
      <w:pPr>
        <w:ind w:right="20" w:firstLine="656"/>
        <w:spacing w:after="0" w:line="282"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on Termination or During Disability</w:t>
      </w:r>
      <w:r>
        <w:rPr>
          <w:rFonts w:ascii="Arial" w:cs="Arial" w:eastAsia="Arial" w:hAnsi="Arial"/>
          <w:sz w:val="18"/>
          <w:szCs w:val="18"/>
          <w:color w:val="auto"/>
        </w:rPr>
        <w:t>. Following a Change in Control of the Company, as defined by Section 2, 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or during a period of Disability You shall be entitled to the following benefits:</w:t>
      </w:r>
    </w:p>
    <w:p>
      <w:pPr>
        <w:spacing w:after="0" w:line="152"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4.1 During any period that You fail to perform your full-time duties with the Company as a result of incapacity due to Disability, You shall continue to receive your base salary at the rate in effect at the commencement of any such period, together with all amounts payable to You under any compensation plan of the Company during the period, until this Agreement is terminated pursuant to section 3.1 above. Thereafter, or in the event your employment shall be terminated by the Company or by You for Retirement, or by reason of your death, your benefits shall be determined under the Company's retirement, insurance, and other compensation programs then in effect in accordance with the terms of those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7" w:name="page88"/>
    <w:bookmarkEnd w:id="87"/>
    <w:p>
      <w:pPr>
        <w:jc w:val="both"/>
        <w:ind w:firstLine="828"/>
        <w:spacing w:after="0" w:line="259" w:lineRule="auto"/>
        <w:rPr>
          <w:sz w:val="20"/>
          <w:szCs w:val="20"/>
          <w:color w:val="auto"/>
        </w:rPr>
      </w:pPr>
      <w:r>
        <w:rPr>
          <w:rFonts w:ascii="Arial" w:cs="Arial" w:eastAsia="Arial" w:hAnsi="Arial"/>
          <w:sz w:val="18"/>
          <w:szCs w:val="18"/>
          <w:color w:val="auto"/>
        </w:rPr>
        <w:t>4.2 If your employment shall be terminated by the Company for Cause or by You other than for Good Reason, Disability, death, or Retirement, the Company shall pay You your full base salary through the Date of Termination at the rate in effect at the time Notice of Termination is given, plus all other amounts and benefits to which You are entitled under any compensation plan of the Company at the time the payments are due. The Company shall have no obligations to You under this Agreement.</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 On or before the third anniversary of the Change in Control, if your employment by the Company shall be terminated (a) by the Company other than for Cause, Retirement or Disability, or (b) by You for Good Reason (as defined in Section 3.3 herein), then You shall be entitled to the benefits provided below:</w:t>
      </w:r>
    </w:p>
    <w:p>
      <w:pPr>
        <w:spacing w:after="0" w:line="168"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4.3.1 The Company shall pay You your full salary through the Date of Termination at the rate in effect at the time Notice of Termination is given, plus all other amounts and benefits to which You are entitled under any compensation plan of the Company, at the time the payments are due, except as otherwise provided below.</w:t>
      </w:r>
    </w:p>
    <w:p>
      <w:pPr>
        <w:spacing w:after="0" w:line="168" w:lineRule="exact"/>
        <w:rPr>
          <w:sz w:val="20"/>
          <w:szCs w:val="20"/>
          <w:color w:val="auto"/>
        </w:rPr>
      </w:pPr>
    </w:p>
    <w:p>
      <w:pPr>
        <w:jc w:val="both"/>
        <w:ind w:firstLine="828"/>
        <w:spacing w:after="0" w:line="291" w:lineRule="auto"/>
        <w:rPr>
          <w:sz w:val="20"/>
          <w:szCs w:val="20"/>
          <w:color w:val="auto"/>
        </w:rPr>
      </w:pPr>
      <w:r>
        <w:rPr>
          <w:rFonts w:ascii="Arial" w:cs="Arial" w:eastAsia="Arial" w:hAnsi="Arial"/>
          <w:sz w:val="16"/>
          <w:szCs w:val="16"/>
          <w:color w:val="auto"/>
        </w:rPr>
        <w:t>4.3.2 In lieu of any further salary payments to You for periods subsequent to the Date of Termination, the Company shall pay to You, as severance pay the following: (i) a lump sum severance payment equal to three (3) times the average of your Compensation for the five (5) years prior to the occurrence of the circumstance giving rise to the Notice of Termination (or if employed less than 5 years, the average annualized compensation of the period worked to date), plus (ii) the amounts in the forms set forth in paragraphs 4.3.3, 4.3.4 and 4.3.5 (the “Severance Payments”). In addition to the Severance Payments, the Company shall pay to You an additional amount equal to the amount of the Excise Tax, if any, that is due or determined to be due under Section 4999 of the Internal Revenue Code of 1986, as amended, resulting from the Severance Payments or any other payments under this Agreement or any other agreement between You and the Company and an amount sufficient to pay the taxes on any such Excise Taxes (the “Gross-up”).</w:t>
      </w:r>
    </w:p>
    <w:p>
      <w:pPr>
        <w:spacing w:after="0" w:line="140" w:lineRule="exact"/>
        <w:rPr>
          <w:sz w:val="20"/>
          <w:szCs w:val="20"/>
          <w:color w:val="auto"/>
        </w:rPr>
      </w:pPr>
    </w:p>
    <w:p>
      <w:pPr>
        <w:jc w:val="both"/>
        <w:ind w:firstLine="828"/>
        <w:spacing w:after="0" w:line="302" w:lineRule="auto"/>
        <w:rPr>
          <w:sz w:val="20"/>
          <w:szCs w:val="20"/>
          <w:color w:val="auto"/>
        </w:rPr>
      </w:pPr>
      <w:r>
        <w:rPr>
          <w:rFonts w:ascii="Arial" w:cs="Arial" w:eastAsia="Arial" w:hAnsi="Arial"/>
          <w:sz w:val="16"/>
          <w:szCs w:val="16"/>
          <w:color w:val="auto"/>
        </w:rPr>
        <w:t xml:space="preserve">4.3.3 The Company shall continue coverage for You and your dependents under any health or welfare benefit plan under which You and your dependents were participating prior to the Change in Control for a period ending on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to occur of (i) the date You become covered by a new employer’s health and welfare benefit plan, (ii) the date You become covered by Medicare, or (iii) the date which is thirty-six (36) months from the Date of Termination. The coverage for your dependents shall end earlier than (i), (ii) or (iii) if required by the health or welfare benefit plan due to age eligibility.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8" w:name="page89"/>
    <w:bookmarkEnd w:id="88"/>
    <w:p>
      <w:pPr>
        <w:jc w:val="both"/>
        <w:ind w:firstLine="828"/>
        <w:spacing w:after="0" w:line="277" w:lineRule="auto"/>
        <w:rPr>
          <w:sz w:val="20"/>
          <w:szCs w:val="20"/>
          <w:color w:val="auto"/>
        </w:rPr>
      </w:pPr>
      <w:r>
        <w:rPr>
          <w:rFonts w:ascii="Arial" w:cs="Arial" w:eastAsia="Arial" w:hAnsi="Arial"/>
          <w:sz w:val="18"/>
          <w:szCs w:val="18"/>
          <w:color w:val="auto"/>
        </w:rPr>
        <w:t>4.3.4 The Company shall pay to You any deferred compensation, including, but not limited to deferred bonuses, allocated or credited to You or your account as of the Date of Termination.</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4.3.5 Outstanding stock options or Restricted Stock grants, if any, granted to You under the Company's Stock Plans which are not vested on Termination shall immediately vest.</w:t>
      </w:r>
    </w:p>
    <w:p>
      <w:pPr>
        <w:spacing w:after="0" w:line="157"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4.3.6 Where You shall prevail in any action against the Company to recover benefits hereunder, the Company shall also pay to You all reasonable legal and accounting fees and expenses incurred by You as a result of the termination, including all such fees and expenses incurred by You as a result of the termination, (including all such fees and expenses, if any, incurred in contesting or disputing any termination or in seeking to obtain or enforce any right or benefit provided by this Agreement or in connection with any tax audit or proceeding to the extent attributable to the application of Code Section 4999 to any payment or benefit provided under this Agreement) or any other agreement with the Company.</w:t>
      </w:r>
    </w:p>
    <w:p>
      <w:pPr>
        <w:spacing w:after="0" w:line="159" w:lineRule="exact"/>
        <w:rPr>
          <w:sz w:val="20"/>
          <w:szCs w:val="20"/>
          <w:color w:val="auto"/>
        </w:rPr>
      </w:pPr>
    </w:p>
    <w:p>
      <w:pPr>
        <w:jc w:val="both"/>
        <w:ind w:firstLine="828"/>
        <w:spacing w:after="0" w:line="270" w:lineRule="auto"/>
        <w:rPr>
          <w:sz w:val="20"/>
          <w:szCs w:val="20"/>
          <w:color w:val="auto"/>
        </w:rPr>
      </w:pPr>
      <w:r>
        <w:rPr>
          <w:rFonts w:ascii="Arial" w:cs="Arial" w:eastAsia="Arial" w:hAnsi="Arial"/>
          <w:sz w:val="17"/>
          <w:szCs w:val="17"/>
          <w:color w:val="auto"/>
        </w:rPr>
        <w:t>4.3.7 The amount of Severance Payments and any Gross-up due to You under this or any other relevant agreement with the Company shall be determined by a third party agreed to by You and the Company. If You cannot agree on a third party, then both third parties shall determine the amounts due under this Agreement. If the third parties do not agree on the amount to be paid to You, then either party may submit the calculation of the amounts which are in dispute to Arbitration in accordance with this Agreement. The payments provided for in Paragraphs 4.3.2, 4.3.4 and 4.3.5 above, shall be made no later than the thirtieth (30th) day following the Date of Termination. However, if the amounts of the payments cannot be finally determined on or before that day, the Company shall pay to You on that day an estimate, as determined in good faith by the Company, of the minimum amount of such payments and shall pay the remainder of those payments (together with interest at the rate provided in Section 1274(b)(2)(B) of the Code) as soon as the amount can be determined but in no event later than the 30th day after the Date of Termination. In the event that the amount of the estimated payments exceeds the amount subsequently determined to have been due, the excess shall constitute a loan by the Company to You payable on the 30th day after demand by the Company (together with interest at the rate provided in Section 1274(b)(2)(B) of the Code).</w:t>
      </w:r>
    </w:p>
    <w:p>
      <w:pPr>
        <w:spacing w:after="0" w:line="151" w:lineRule="exact"/>
        <w:rPr>
          <w:sz w:val="20"/>
          <w:szCs w:val="20"/>
          <w:color w:val="auto"/>
        </w:rPr>
      </w:pPr>
    </w:p>
    <w:p>
      <w:pPr>
        <w:jc w:val="both"/>
        <w:ind w:firstLine="828"/>
        <w:spacing w:after="0" w:line="312" w:lineRule="auto"/>
        <w:rPr>
          <w:sz w:val="20"/>
          <w:szCs w:val="20"/>
          <w:color w:val="auto"/>
        </w:rPr>
      </w:pPr>
      <w:r>
        <w:rPr>
          <w:rFonts w:ascii="Arial" w:cs="Arial" w:eastAsia="Arial" w:hAnsi="Arial"/>
          <w:sz w:val="16"/>
          <w:szCs w:val="16"/>
          <w:color w:val="auto"/>
        </w:rPr>
        <w:t>4.4 For purposes of this Agreement, “Compensation” shall mean the gross earnings reported on Form W-2 during a calendar year (which may include but is not limited to the value of the personal use of an automobile, any third-party sick pay, and any fees paid to You for serving as a Director of the Company or its subsidiaries); awards under the Company’s Restricted Stock Plan or other equity awards; and Company contributions to your 401(k) account.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9" w:name="page90"/>
    <w:bookmarkEnd w:id="89"/>
    <w:p>
      <w:pPr>
        <w:jc w:val="both"/>
        <w:ind w:firstLine="828"/>
        <w:spacing w:after="0" w:line="259" w:lineRule="auto"/>
        <w:rPr>
          <w:sz w:val="20"/>
          <w:szCs w:val="20"/>
          <w:color w:val="auto"/>
        </w:rPr>
      </w:pPr>
      <w:r>
        <w:rPr>
          <w:rFonts w:ascii="Arial" w:cs="Arial" w:eastAsia="Arial" w:hAnsi="Arial"/>
          <w:sz w:val="18"/>
          <w:szCs w:val="18"/>
          <w:color w:val="auto"/>
        </w:rPr>
        <w:t>4.5 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by retirement benefits, by offset against any amount claimed to be owed by You to the Company, or otherwise except as specifically provided in this Section 4.</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4.6 In addition to all other amounts payable to You under this Section 4, You shall be entitled to receive all qualified benefits payable to You under the Company's 401(k) Plan, Defined Benefit Plan and any other plan or agreement relating to retirement benefits, in accordance with the terms of those Plans, to the extent you were a participant in such Plan or Plans as of the date of a Change in Control .</w:t>
      </w:r>
    </w:p>
    <w:p>
      <w:pPr>
        <w:spacing w:after="0" w:line="164" w:lineRule="exact"/>
        <w:rPr>
          <w:sz w:val="20"/>
          <w:szCs w:val="20"/>
          <w:color w:val="auto"/>
        </w:rPr>
      </w:pPr>
    </w:p>
    <w:p>
      <w:pPr>
        <w:ind w:left="840" w:hanging="184"/>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Binding Agreement</w:t>
      </w:r>
      <w:r>
        <w:rPr>
          <w:rFonts w:ascii="Arial" w:cs="Arial" w:eastAsia="Arial" w:hAnsi="Arial"/>
          <w:sz w:val="18"/>
          <w:szCs w:val="18"/>
          <w:color w:val="auto"/>
        </w:rPr>
        <w:t>.</w:t>
      </w:r>
    </w:p>
    <w:p>
      <w:pPr>
        <w:spacing w:after="0" w:line="216" w:lineRule="exact"/>
        <w:rPr>
          <w:sz w:val="20"/>
          <w:szCs w:val="20"/>
          <w:color w:val="auto"/>
        </w:rPr>
      </w:pPr>
    </w:p>
    <w:p>
      <w:pPr>
        <w:jc w:val="both"/>
        <w:ind w:firstLine="828"/>
        <w:spacing w:after="0" w:line="255" w:lineRule="auto"/>
        <w:rPr>
          <w:sz w:val="20"/>
          <w:szCs w:val="20"/>
          <w:color w:val="auto"/>
        </w:rPr>
      </w:pPr>
      <w:r>
        <w:rPr>
          <w:rFonts w:ascii="Arial" w:cs="Arial" w:eastAsia="Arial" w:hAnsi="Arial"/>
          <w:sz w:val="18"/>
          <w:szCs w:val="18"/>
          <w:color w:val="auto"/>
        </w:rPr>
        <w:t>5.1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the assumption and agreement prior to the effectiveness of any succession shall be a breach of this Agreement and shall entitle You to compensation from the Company in the same amount and on the same terms as You would have been entitled to under this Agreement if You had terminated your employment for Good Reason following a Change in Control of the Company, except that for purposes of implementing the foregoing, the date on which any such succession becomes effective shall be deemed the Date of Termination.</w:t>
      </w:r>
    </w:p>
    <w:p>
      <w:pPr>
        <w:spacing w:after="0" w:line="162" w:lineRule="exact"/>
        <w:rPr>
          <w:sz w:val="20"/>
          <w:szCs w:val="20"/>
          <w:color w:val="auto"/>
        </w:rPr>
      </w:pPr>
    </w:p>
    <w:p>
      <w:pPr>
        <w:jc w:val="both"/>
        <w:ind w:firstLine="828"/>
        <w:spacing w:after="0" w:line="259" w:lineRule="auto"/>
        <w:rPr>
          <w:sz w:val="20"/>
          <w:szCs w:val="20"/>
          <w:color w:val="auto"/>
        </w:rPr>
      </w:pPr>
      <w:r>
        <w:rPr>
          <w:rFonts w:ascii="Arial" w:cs="Arial" w:eastAsia="Arial" w:hAnsi="Arial"/>
          <w:sz w:val="18"/>
          <w:szCs w:val="18"/>
          <w:color w:val="auto"/>
        </w:rPr>
        <w:t>5.2 This Agreement shall inure to the benefit of, and be enforceable by, your personal or legal representatives, executors, administrators, heirs, distributees, and legatees. If You should die while any amount would still be payable to You if You had continued to live, all such amounts, unless otherwise provided in this Agreement, shall be paid in accordance with the terms of this Agreement to your legatee or other designee or, if there is no such designee, to your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0" w:name="page91"/>
    <w:bookmarkEnd w:id="90"/>
    <w:p>
      <w:pPr>
        <w:jc w:val="both"/>
        <w:ind w:firstLine="656"/>
        <w:spacing w:after="0" w:line="258" w:lineRule="auto"/>
        <w:tabs>
          <w:tab w:leader="none" w:pos="828"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the purpose of this Agreement, all notices and other communications provided for in the Agreement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mailed by United States registered or certified mail, return receipt requested, postage prepaid, addressed to the respective addresses set forth on the first page of this Agreement, provided that all notices to the Company shall be directed to the attention of the Board with a copy to the President of the Company, or to such other address as either party may have furnished to the other in writing in accordance this Agreement, except that notice of a change of address shall be effective only on receipt.</w:t>
      </w:r>
    </w:p>
    <w:p>
      <w:pPr>
        <w:spacing w:after="0" w:line="156" w:lineRule="exact"/>
        <w:rPr>
          <w:rFonts w:ascii="Arial" w:cs="Arial" w:eastAsia="Arial" w:hAnsi="Arial"/>
          <w:sz w:val="18"/>
          <w:szCs w:val="18"/>
          <w:color w:val="auto"/>
        </w:rPr>
      </w:pPr>
    </w:p>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16"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7.1 No provision of this Agreement may be modified, waived, or discharged unless the waiver, modification, or discharge is agreed to in writing and signed by You and such officer as may be specifically designated by the Board.</w:t>
      </w:r>
    </w:p>
    <w:p>
      <w:pPr>
        <w:spacing w:after="0" w:line="157"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7.2 No waiver by either party to this Agreement at any time of any breach by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54" w:lineRule="exact"/>
        <w:rPr>
          <w:sz w:val="20"/>
          <w:szCs w:val="20"/>
          <w:color w:val="auto"/>
        </w:rPr>
      </w:pPr>
    </w:p>
    <w:p>
      <w:pPr>
        <w:jc w:val="both"/>
        <w:ind w:right="20" w:firstLine="828"/>
        <w:spacing w:after="0" w:line="277" w:lineRule="auto"/>
        <w:rPr>
          <w:sz w:val="20"/>
          <w:szCs w:val="20"/>
          <w:color w:val="auto"/>
        </w:rPr>
      </w:pPr>
      <w:r>
        <w:rPr>
          <w:rFonts w:ascii="Arial" w:cs="Arial" w:eastAsia="Arial" w:hAnsi="Arial"/>
          <w:sz w:val="18"/>
          <w:szCs w:val="18"/>
          <w:color w:val="auto"/>
        </w:rPr>
        <w:t>7.3 No agreements or representations, oral or otherwise, express or implied, with respect to the subject matter of this Agreement have been made by either party that are not expressly set forth in this Agreement.</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7.4 Nothing in this Agreement is intended to reduce any benefits payable to You under any other agreement You may have with the Company or in any Company plan in which You may participate.</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7.5 The validity, interpretation, construction, and performance of this Agreement shall be governed by the law of New Jersey without reference to its conflict of laws principles.</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7.6 All references to sections of the Exchange Act or the Code shall be deemed also to refer to any successor provisions to such sections. Any payments provided for shall be paid net of any applicable withholding or deduction required under federal, state or local law.</w:t>
      </w:r>
    </w:p>
    <w:p>
      <w:pPr>
        <w:spacing w:after="0" w:line="1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7.7 The obligations of the Company under Section 4 shall survive the expiration of the term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1" w:name="page92"/>
    <w:bookmarkEnd w:id="91"/>
    <w:p>
      <w:pPr>
        <w:ind w:firstLine="656"/>
        <w:spacing w:after="0" w:line="282" w:lineRule="auto"/>
        <w:tabs>
          <w:tab w:leader="none" w:pos="828"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validity or enforceability of any provision of this Agreement shall not affect the validity or unenforceability of any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shall remain in full force and effect.</w:t>
      </w:r>
    </w:p>
    <w:p>
      <w:pPr>
        <w:spacing w:after="0" w:line="134" w:lineRule="exact"/>
        <w:rPr>
          <w:rFonts w:ascii="Arial" w:cs="Arial" w:eastAsia="Arial" w:hAnsi="Arial"/>
          <w:sz w:val="18"/>
          <w:szCs w:val="18"/>
          <w:color w:val="auto"/>
        </w:rPr>
      </w:pPr>
    </w:p>
    <w:p>
      <w:pPr>
        <w:ind w:firstLine="656"/>
        <w:spacing w:after="0" w:line="282" w:lineRule="auto"/>
        <w:tabs>
          <w:tab w:leader="none" w:pos="828"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48" w:lineRule="exact"/>
        <w:rPr>
          <w:rFonts w:ascii="Arial" w:cs="Arial" w:eastAsia="Arial" w:hAnsi="Arial"/>
          <w:sz w:val="18"/>
          <w:szCs w:val="18"/>
          <w:color w:val="auto"/>
        </w:rPr>
      </w:pPr>
    </w:p>
    <w:p>
      <w:pPr>
        <w:jc w:val="both"/>
        <w:ind w:firstLine="656"/>
        <w:spacing w:after="0" w:line="261" w:lineRule="auto"/>
        <w:tabs>
          <w:tab w:leader="none" w:pos="918"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or controversy arising under or in connection with this Agreement shall be settled exclusively by arbitration in New</w:t>
      </w:r>
      <w:r>
        <w:rPr>
          <w:rFonts w:ascii="Arial" w:cs="Arial" w:eastAsia="Arial" w:hAnsi="Arial"/>
          <w:sz w:val="18"/>
          <w:szCs w:val="18"/>
          <w:b w:val="1"/>
          <w:bCs w:val="1"/>
          <w:color w:val="auto"/>
        </w:rPr>
        <w:t xml:space="preserve"> </w:t>
      </w:r>
      <w:r>
        <w:rPr>
          <w:rFonts w:ascii="Arial" w:cs="Arial" w:eastAsia="Arial" w:hAnsi="Arial"/>
          <w:sz w:val="18"/>
          <w:szCs w:val="18"/>
          <w:color w:val="auto"/>
        </w:rPr>
        <w:t>Jersey in accordance with the rules of the American Arbitration Association then in effect. Judgment may be entered on the arbitrator's award in any court having jurisdiction. However, You shall be entitled to seek specific performance of your right to be paid until the Date of Termination during the pendency of any dispute or controversy arising under or in connection this Agreement.</w:t>
      </w:r>
    </w:p>
    <w:p>
      <w:pPr>
        <w:spacing w:after="0" w:line="166" w:lineRule="exact"/>
        <w:rPr>
          <w:rFonts w:ascii="Arial" w:cs="Arial" w:eastAsia="Arial" w:hAnsi="Arial"/>
          <w:sz w:val="18"/>
          <w:szCs w:val="18"/>
          <w:color w:val="auto"/>
        </w:rPr>
      </w:pPr>
    </w:p>
    <w:p>
      <w:pPr>
        <w:ind w:firstLine="656"/>
        <w:spacing w:after="0" w:line="282" w:lineRule="auto"/>
        <w:tabs>
          <w:tab w:leader="none" w:pos="911"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with respect to its subject matter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or oral agreements or understandings with respect to the subject matter.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00" w:lineRule="exact"/>
        <w:rPr>
          <w:sz w:val="20"/>
          <w:szCs w:val="20"/>
          <w:color w:val="auto"/>
        </w:rPr>
      </w:pPr>
    </w:p>
    <w:p>
      <w:pPr>
        <w:spacing w:after="0" w:line="3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MIDDLESEX WATER COMPANY</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Jay L. Kooper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 L. Kooper,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G. Christian Andreasen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 Christian Andreasen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2" w:name="page93"/>
    <w:bookmarkEnd w:id="92"/>
    <w:p>
      <w:pPr>
        <w:ind w:left="10200"/>
        <w:spacing w:after="0"/>
        <w:rPr>
          <w:sz w:val="20"/>
          <w:szCs w:val="20"/>
          <w:color w:val="auto"/>
        </w:rPr>
      </w:pPr>
      <w:r>
        <w:rPr>
          <w:rFonts w:ascii="Arial" w:cs="Arial" w:eastAsia="Arial" w:hAnsi="Arial"/>
          <w:sz w:val="16"/>
          <w:szCs w:val="16"/>
          <w:b w:val="1"/>
          <w:bCs w:val="1"/>
          <w:color w:val="auto"/>
        </w:rPr>
        <w:t>Exhibit 10.12(g)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TERMINATION AGREEMENT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Change in Control Termination Agreement (the “Agreement”) is entered into as of July 1, 2019, between Middlesex Water Company, a New Jersey corporation, with its principal place of business located at 485C Route One South, Suite 400, Iselin, New Jersey 08830, (the “Company”), and Robert K. Fullagar, residing at XXXXXXXXXXXXXXXXXXXXXXXXX (referred to as “You” in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02" w:lineRule="exact"/>
        <w:rPr>
          <w:sz w:val="20"/>
          <w:szCs w:val="20"/>
          <w:color w:val="auto"/>
        </w:rPr>
      </w:pPr>
    </w:p>
    <w:p>
      <w:pPr>
        <w:jc w:val="both"/>
        <w:ind w:firstLine="8"/>
        <w:spacing w:after="0" w:line="259" w:lineRule="auto"/>
        <w:tabs>
          <w:tab w:leader="none" w:pos="3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considers it essential to the best interests of its shareholders to foster the continuous employment of key management personnel. In this connection, the Board of Directors of the Company (the “Board”) recognizes that, as is the case with many publicly held Companies, the possibility of a Change in Control may exist. This possibility, and the uncertainty and questions that it may raise among management, may result in the departure or distraction of management personnel to the detriment of the Company and its shareholders.</w:t>
      </w:r>
    </w:p>
    <w:p>
      <w:pPr>
        <w:spacing w:after="0" w:line="173" w:lineRule="exact"/>
        <w:rPr>
          <w:rFonts w:ascii="Arial" w:cs="Arial" w:eastAsia="Arial" w:hAnsi="Arial"/>
          <w:sz w:val="18"/>
          <w:szCs w:val="18"/>
          <w:color w:val="auto"/>
        </w:rPr>
      </w:pPr>
    </w:p>
    <w:p>
      <w:pPr>
        <w:jc w:val="both"/>
        <w:ind w:firstLine="8"/>
        <w:spacing w:after="0" w:line="264" w:lineRule="auto"/>
        <w:tabs>
          <w:tab w:leader="none" w:pos="3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has determined that appropriate steps should be taken to reinforce and encourage the continued attention and dedication of members of the Company’s management, including You, to the assigned duties without distraction in the face of circumstances arising from the possibility of a Change in Control of the Company.</w:t>
      </w:r>
    </w:p>
    <w:p>
      <w:pPr>
        <w:spacing w:after="0" w:line="167" w:lineRule="exact"/>
        <w:rPr>
          <w:rFonts w:ascii="Arial" w:cs="Arial" w:eastAsia="Arial" w:hAnsi="Arial"/>
          <w:sz w:val="18"/>
          <w:szCs w:val="18"/>
          <w:color w:val="auto"/>
        </w:rPr>
      </w:pPr>
    </w:p>
    <w:p>
      <w:pPr>
        <w:jc w:val="both"/>
        <w:ind w:firstLine="8"/>
        <w:spacing w:after="0" w:line="276" w:lineRule="auto"/>
        <w:tabs>
          <w:tab w:leader="none" w:pos="3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induce You to remain in the employ of the Company, while simultaneously representing the best interests of the Company’s shareholders, and in consideration of your agreement set forth below, the Company agrees that You shall receive the severance benefits set forth in this Agreement in the event your employment with the Company is terminated by the Company, or is terminated by You for “Good Reason,” as defined herein, in connection with a “Change in Control of the Company” (as defined in Section 2 below). This Agreement supersedes any other specific written agreements that may have been entered into between yourself and the Company concerning termination of employment.</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Therefore, in consideration of your continued employment and the parties’ agreement to be bound by the terms contained in this Agreement, the parties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both"/>
        <w:ind w:firstLine="656"/>
        <w:spacing w:after="0" w:line="256"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 This Agreement shall commence as of July 1, 2019 and shall continue in effect through December 31, 2019.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December 31, 2019, and each December 31 afterwards, the term of this Agreement shall automatically be extended for one (1) additional year unless, no later than the preceding November 1st, the Company shall have given notice that it does not wish to extend this Agreement. Notwithstanding the foregoing, if a Change in Control of the Company shall be proposed to occur, or have occurred, during the original or any extended term of this Agreement, this Agreement shall continue in effect until your termination of employment with the Company or its successor or, when all amounts due under this Agreement following a termination have been paid, whichever is later.</w:t>
      </w:r>
    </w:p>
    <w:p>
      <w:pPr>
        <w:spacing w:after="0" w:line="160" w:lineRule="exact"/>
        <w:rPr>
          <w:rFonts w:ascii="Arial" w:cs="Arial" w:eastAsia="Arial" w:hAnsi="Arial"/>
          <w:sz w:val="18"/>
          <w:szCs w:val="18"/>
          <w:color w:val="auto"/>
        </w:rPr>
      </w:pPr>
    </w:p>
    <w:p>
      <w:pPr>
        <w:jc w:val="both"/>
        <w:ind w:firstLine="656"/>
        <w:spacing w:after="0" w:line="256" w:lineRule="auto"/>
        <w:tabs>
          <w:tab w:leader="none" w:pos="828"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No benefits shall be payable under this Agreement unless there shall have been a Change in Control of the Company,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For purposes of this Agreement, a “Change in Control” of the Company shall be deemed to occur if any party or group acquires beneficial ownership of 20 percent or more of the voting shares of the Company; or if shareholder approval is obtained for a transaction involving the acquisition of the Company through the purchase or exchange of the stock or assets of the Company by merger or otherwise; or if one-third or more of the Board elected in a 12-month period or less are so elected without the approval of a majority of the Board as constituted at the beginning of such period; or a liquidation or dissolution of Company.</w:t>
      </w:r>
    </w:p>
    <w:p>
      <w:pPr>
        <w:spacing w:after="0" w:line="174" w:lineRule="exact"/>
        <w:rPr>
          <w:rFonts w:ascii="Arial" w:cs="Arial" w:eastAsia="Arial" w:hAnsi="Arial"/>
          <w:sz w:val="18"/>
          <w:szCs w:val="18"/>
          <w:color w:val="auto"/>
        </w:rPr>
      </w:pPr>
    </w:p>
    <w:p>
      <w:pPr>
        <w:jc w:val="both"/>
        <w:ind w:firstLine="656"/>
        <w:spacing w:after="0" w:line="281" w:lineRule="auto"/>
        <w:tabs>
          <w:tab w:leader="none" w:pos="828"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Following Change In Control</w:t>
      </w:r>
      <w:r>
        <w:rPr>
          <w:rFonts w:ascii="Arial" w:cs="Arial" w:eastAsia="Arial" w:hAnsi="Arial"/>
          <w:sz w:val="17"/>
          <w:szCs w:val="17"/>
          <w:color w:val="auto"/>
        </w:rPr>
        <w:t>. If any of the events described in Section 2 above constituting a Change in Control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occurred, then unless the termination is (A) because of your death, Disability or Retirement, (B) by the Company for Cause, or (C) by You other than for Good Reason, on the subsequent termination of your employment during the term of this Agreement, You shall be entitled to the severance benefits provided in Section 4.3 below if such termination occurs on or before the third (3rd) anniversary of the Change in Control date .</w:t>
      </w:r>
    </w:p>
    <w:p>
      <w:pPr>
        <w:spacing w:after="0" w:line="151"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Disability; Retirement</w:t>
      </w:r>
      <w:r>
        <w:rPr>
          <w:rFonts w:ascii="Arial" w:cs="Arial" w:eastAsia="Arial" w:hAnsi="Arial"/>
          <w:sz w:val="17"/>
          <w:szCs w:val="17"/>
          <w:color w:val="auto"/>
        </w:rPr>
        <w:t>. If, as a result of your incapacity due to physical or mental illness, You shall have been absent from the full-time performance of your duties with the Company for 6 consecutive months, and within 30 days after written notice of termination is given You shall not have returned to the full-time performance of your duties, your employment may be terminated for "Disability." Termination of your employment by the Company or You due to your "Retirement" shall mean termination in accordance with the Company's retirement policy, including early retirement, generally applicable to its salaried employees or, in accordance with any retirement arrangement established with your consent with respect to You.</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4" w:name="page95"/>
    <w:bookmarkEnd w:id="94"/>
    <w:p>
      <w:pPr>
        <w:ind w:left="8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by the Company of your employment for "Cause" shall mean termination as a result of:</w:t>
      </w:r>
    </w:p>
    <w:p>
      <w:pPr>
        <w:spacing w:after="0" w:line="202"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3.2.1 The willful and continued failure by You to substantially perform your duties with the Company as such employment was performed by You prior to the Change in Control (other than any such failure resulting from your Disability or any such actual or anticipated failure after the issuance by You of a Notice of Termination for Good Reason as defined herein) after a written demand for substantial performance is delivered to You by the Board, which demand specifically identifies the manner in which the Board believes that You have not substantially performed your duties; or</w:t>
      </w:r>
    </w:p>
    <w:p>
      <w:pPr>
        <w:spacing w:after="0" w:line="175" w:lineRule="exact"/>
        <w:rPr>
          <w:sz w:val="20"/>
          <w:szCs w:val="20"/>
          <w:color w:val="auto"/>
        </w:rPr>
      </w:pPr>
    </w:p>
    <w:p>
      <w:pPr>
        <w:jc w:val="both"/>
        <w:ind w:left="1080"/>
        <w:spacing w:after="0" w:line="270" w:lineRule="auto"/>
        <w:rPr>
          <w:sz w:val="20"/>
          <w:szCs w:val="20"/>
          <w:color w:val="auto"/>
        </w:rPr>
      </w:pPr>
      <w:r>
        <w:rPr>
          <w:rFonts w:ascii="Arial" w:cs="Arial" w:eastAsia="Arial" w:hAnsi="Arial"/>
          <w:sz w:val="17"/>
          <w:szCs w:val="17"/>
          <w:color w:val="auto"/>
        </w:rPr>
        <w:t>3.2.2 The willful act by You in conduct that is demonstrably and materially injurious to the Company, and which the Board deems to cause or will cause substantial economic damage to the Company or injury to the business reputation of the Company, monetarily or otherwise. For purposes of this Section, no act, or failure to act, on your part shall be deemed “willful" unless done, or omitted to be done, by You not in good faith and without a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clauses 3.2.1 or 3.2.2 of this Section and specifying the particulars in detail.</w:t>
      </w:r>
    </w:p>
    <w:p>
      <w:pPr>
        <w:spacing w:after="0" w:line="164" w:lineRule="exact"/>
        <w:rPr>
          <w:sz w:val="20"/>
          <w:szCs w:val="20"/>
          <w:color w:val="auto"/>
        </w:rPr>
      </w:pPr>
    </w:p>
    <w:p>
      <w:pPr>
        <w:jc w:val="both"/>
        <w:ind w:firstLine="828"/>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You shall be entitled to receive severance benefits as provided in this Agreement if You terminate your employment with the Company for “Good Reason.” For purposes of this Agreement, "Good Reason" shall mean, without your consent, the occurrence in connection with a Change in Control of the Company of any of the following circumstances unless, in the case of Sections 3.3.1, 3.3.5, 3.3.6, 3.3.7, or 3.3.8, the circumstances are fully corrected prior to the Date of Termination specified in the Notice of Termination, as defined in Sections 3.5 and 3.4, respectively, given in respect of them. If You terminate your employment with the Company for Good Reason, as provided below, your employment with the Company shall be considered to have been involuntarily terminated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5" w:name="page96"/>
    <w:bookmarkEnd w:id="95"/>
    <w:p>
      <w:pPr>
        <w:jc w:val="both"/>
        <w:spacing w:after="0" w:line="279" w:lineRule="auto"/>
        <w:rPr>
          <w:sz w:val="20"/>
          <w:szCs w:val="20"/>
          <w:color w:val="auto"/>
        </w:rPr>
      </w:pPr>
      <w:r>
        <w:rPr>
          <w:rFonts w:ascii="Arial" w:cs="Arial" w:eastAsia="Arial" w:hAnsi="Arial"/>
          <w:sz w:val="17"/>
          <w:szCs w:val="17"/>
          <w:color w:val="auto"/>
        </w:rPr>
        <w:t>3.3.1 The assignment to You of any significant employment duties which are inconsistent with your status and position (i) prior to the Change in Control where such change is a direct result of any pending Change in Control; or (ii) as such status exists immediately prior to the Change in Control of the Company, or (iii) which are a substantial adverse alteration in the nature or status of your responsibilities from those in effect immediately prior to the Change in Control of the Company whichever is applicable;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3.3.2 A reduction by the Company in your annual base salary as in effect on the initial date of this Agreement, or as same may be increased from time to time irrespective of future Company policies including any across-the-board salary reductions similarly affecting all key employees of the Company;</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3.3.3 Your relocation, without your consent, to an employment location not within twenty-five (25) miles of your present office or job location, except for required travel on the Company's business to an extent substantially consistent with your present business travel obligations;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3.3.4 The failure by the Company, without your consent, to pay to You any part of your current compensation, or to pay to You any part of an installment of deferred compensation under any deferred compensation program of the Company, within fourteen (14) days of the date the compensation is due;</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3.3.5 The failure by the Company to continue in effect any bonus to which You were entitled, or any compensation plan in which You participate (i) prior to the Change in Control where such change is a direct result of any pending Change in Control, or (ii) immediately prior to the Change in Control of the Company that is material to your total compensation, including but not limited to the Company's Restricted Stock Plan, 401(k) Plan, and Benefit Plans, or any substitute plans adopted prior to the Change in Control of the Company, unless an equitable arrangement (embodied in an ongoing substitute or alternative plan) has been made with respect to the plan, or the failure by the Company to continue your participation in it (or in such substitute or alternative plan) on a basis not materially less favorable, both in terms of the amount of benefits provided and the level of your participation relative to other participants, as existed at the time of the Change in Control;</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122555</wp:posOffset>
            </wp:positionV>
            <wp:extent cx="727202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340"/>
          </w:cols>
          <w:pgMar w:left="1320" w:top="328" w:right="239" w:bottom="1440" w:gutter="0" w:footer="0" w:header="0"/>
        </w:sectPr>
      </w:pPr>
    </w:p>
    <w:bookmarkStart w:id="96" w:name="page97"/>
    <w:bookmarkEnd w:id="96"/>
    <w:p>
      <w:pPr>
        <w:jc w:val="both"/>
        <w:ind w:left="1080"/>
        <w:spacing w:after="0" w:line="253" w:lineRule="auto"/>
        <w:rPr>
          <w:sz w:val="20"/>
          <w:szCs w:val="20"/>
          <w:color w:val="auto"/>
        </w:rPr>
      </w:pPr>
      <w:r>
        <w:rPr>
          <w:rFonts w:ascii="Arial" w:cs="Arial" w:eastAsia="Arial" w:hAnsi="Arial"/>
          <w:sz w:val="18"/>
          <w:szCs w:val="18"/>
          <w:color w:val="auto"/>
        </w:rPr>
        <w:t>3.3.6 The failure by the Company to continue to provide You with (i) benefits substantially similar to those enjoyed by You under any of the Company's life insurance, medical, health and accident, or disability plans in which You were participating at the time of the Change in Control of the Company was in effect for the employees of the Company generally at the time of the Change in Control, (ii) the failure to continue to provide You with a Company automobile or allowance in lieu of it at the time of the Change in Control of the Company, (iii) the taking of any action by the Company that would directly or indirectly materially reduce any of such benefits or deprive You of any material fringe benefit enjoyed by You at the time of the Change in Control of the Company, or (iv) the failure by the Company to provide You with the number of paid vacation days to which You are entitled on the basis of years of service with the Company in accordance with the Company's normal vacation policy or other vacation allowance provided to you by written agreement in effect at the time of the Change in Control of the Company;</w:t>
      </w:r>
    </w:p>
    <w:p>
      <w:pPr>
        <w:spacing w:after="0" w:line="170"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3.3.7 The failure of the Company to obtain a satisfactory agreement from any successor to assume and agree to perform this Agreement, as contemplated in Section 5 of this Agreement; or</w:t>
      </w:r>
    </w:p>
    <w:p>
      <w:pPr>
        <w:spacing w:after="0" w:line="157"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3.3.8 Any purported termination of your employment that is not effected pursuant to a Notice of Termination satisfying the requirements of Section 3.4 below (and, if applicable, the requirements of Section 3.2 above); for purposes of this Agreement, no such purported termination shall be effective.</w:t>
      </w:r>
    </w:p>
    <w:p>
      <w:pPr>
        <w:spacing w:after="0" w:line="164" w:lineRule="exact"/>
        <w:rPr>
          <w:sz w:val="20"/>
          <w:szCs w:val="20"/>
          <w:color w:val="auto"/>
        </w:rPr>
      </w:pPr>
    </w:p>
    <w:p>
      <w:pPr>
        <w:jc w:val="both"/>
        <w:ind w:firstLine="82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of Termination</w:t>
      </w:r>
      <w:r>
        <w:rPr>
          <w:rFonts w:ascii="Arial" w:cs="Arial" w:eastAsia="Arial" w:hAnsi="Arial"/>
          <w:sz w:val="17"/>
          <w:szCs w:val="17"/>
          <w:color w:val="auto"/>
        </w:rPr>
        <w:t>. Any purported termination of your employment by the Company or by You shall be communicated by written Notice of Termination to the other party to this Agreement in accordance with Section 6 of this Agreement. For purposes of this Agreement, a "Notice of Termination" shall mean a notice that shall indicate the specific termination provision in this Agreement relied on, and shall set forth in reasonable detail the facts and circumstances claimed to provide a basis for termination of your employment under the provision so indicated. Your rights to terminate your employment pursuant to this Section shall not be affected by your incapacity due to Disability. Your continued employment shall not constitute consent to, or a waiver of rights with respect to, any circumstance constituting Good Reason under this Agreement. In the event You deliver Notice of Termination based on circumstances set forth in Sections 3.3.1, 3.3.5, 3.3.6, 3.3.7, or 3.3.8 above, which are fully corrected prior to the Date of Termination set forth in your Notice of Termination, the Notice of Termination shall be deemed withdrawn and of no further force or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jc w:val="both"/>
        <w:ind w:firstLine="82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Date of Termination, etc</w:t>
      </w:r>
      <w:r>
        <w:rPr>
          <w:rFonts w:ascii="Arial" w:cs="Arial" w:eastAsia="Arial" w:hAnsi="Arial"/>
          <w:sz w:val="17"/>
          <w:szCs w:val="17"/>
          <w:color w:val="auto"/>
        </w:rPr>
        <w:t>. "Date of Termination" shall mean (A) if your employment is terminated for Disability, 30 days after Notice of Termination is given (provided that You shall not have returned to the full-time performance of your duties during such 30-day period), and (B) if your employment is terminated pursuant to Section 3.2 or 3.3 above or for any other reason (other than Disability), the date specified in the Notice of Termination (which, in the case of a termination pursuant to Section 3.2 above shall not be less than 30 days, and in the case of a termination pursuant to Section 3.3 above shall not be less than 15 nor more than 60 days, respectively, from the date the Notice of Termination is given). However, if within 15 days after any Notice of Termination is given, or, if later, prior to the Date of Termination (as determined without regard to this provision), the party receiving the Notice of Termination notifies the other party that a dispute exists concerning the termination, then the Date of Termination shall be the date on which the dispute is finally determined, either by mutual written agreement of the parties, by a binding arbitration award, or by a final judgment, order, or decree of a court of competent jurisdiction (which is not appealable or with respect to which the time for appeal has expired and no appeal has been perfected). The Date of Termination shall be extended by a notice of dispute only if the notice is given in good faith and the party giving the notice pursues the resolution of the dispute with reasonable diligence. Notwithstanding the pendency of any such dispute, the Company will continue to pay You your full compensation in effect when the notice giving rise to the dispute was given (including, but not limited to, base salary) and continue You as a participant in all compensation, benefit, and insurance plans in which You were participating when the notice giving rise to the dispute was given, until the dispute is finally resolved in accordance with this Section. Amounts paid under this Section are in addition to all other amounts due under this Agreement and shall not be offset against or reduce any other amounts due under this Agreement.</w:t>
      </w:r>
    </w:p>
    <w:p>
      <w:pPr>
        <w:spacing w:after="0" w:line="156" w:lineRule="exact"/>
        <w:rPr>
          <w:sz w:val="20"/>
          <w:szCs w:val="20"/>
          <w:color w:val="auto"/>
        </w:rPr>
      </w:pPr>
    </w:p>
    <w:p>
      <w:pPr>
        <w:ind w:right="20" w:firstLine="656"/>
        <w:spacing w:after="0" w:line="282" w:lineRule="auto"/>
        <w:tabs>
          <w:tab w:leader="none" w:pos="828"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on Termination or During Disability</w:t>
      </w:r>
      <w:r>
        <w:rPr>
          <w:rFonts w:ascii="Arial" w:cs="Arial" w:eastAsia="Arial" w:hAnsi="Arial"/>
          <w:sz w:val="18"/>
          <w:szCs w:val="18"/>
          <w:color w:val="auto"/>
        </w:rPr>
        <w:t>. Following a Change in Control of the Company, as defined by Section 2, 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or during a period of Disability You shall be entitled to the following benefits:</w:t>
      </w:r>
    </w:p>
    <w:p>
      <w:pPr>
        <w:spacing w:after="0" w:line="152"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4.1 During any period that You fail to perform your full-time duties with the Company as a result of incapacity due to Disability, You shall continue to receive your base salary at the rate in effect at the commencement of any such period, together with all amounts payable to You under any compensation plan of the Company during the period, until this Agreement is terminated pursuant to section 3.1 above. Thereafter, or in the event your employment shall be terminated by the Company or by You for Retirement, or by reason of your death, your benefits shall be determined under the Company's retirement, insurance, and other compensation programs then in effect in accordance with the terms of those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8" w:name="page99"/>
    <w:bookmarkEnd w:id="98"/>
    <w:p>
      <w:pPr>
        <w:jc w:val="both"/>
        <w:ind w:firstLine="828"/>
        <w:spacing w:after="0" w:line="259" w:lineRule="auto"/>
        <w:rPr>
          <w:sz w:val="20"/>
          <w:szCs w:val="20"/>
          <w:color w:val="auto"/>
        </w:rPr>
      </w:pPr>
      <w:r>
        <w:rPr>
          <w:rFonts w:ascii="Arial" w:cs="Arial" w:eastAsia="Arial" w:hAnsi="Arial"/>
          <w:sz w:val="18"/>
          <w:szCs w:val="18"/>
          <w:color w:val="auto"/>
        </w:rPr>
        <w:t>4.2 If your employment shall be terminated by the Company for Cause or by You other than for Good Reason, Disability, death, or Retirement, the Company shall pay You your full base salary through the Date of Termination at the rate in effect at the time Notice of Termination is given, plus all other amounts and benefits to which You are entitled under any compensation plan of the Company at the time the payments are due. The Company shall have no obligations to You under this Agreement.</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 On or before the third anniversary of the Change in Control, if your employment by the Company shall be terminated (a) by the Company other than for Cause, Retirement or Disability, or (b) by You for Good Reason (as defined in Section 3.3 herein), then You shall be entitled to the benefits provided below:</w:t>
      </w:r>
    </w:p>
    <w:p>
      <w:pPr>
        <w:spacing w:after="0" w:line="168"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4.3.1 The Company shall pay You your full salary through the Date of Termination at the rate in effect at the time Notice of Termination is given, plus all other amounts and benefits to which You are entitled under any compensation plan of the Company, at the time the payments are due, except as otherwise provided below.</w:t>
      </w:r>
    </w:p>
    <w:p>
      <w:pPr>
        <w:spacing w:after="0" w:line="168" w:lineRule="exact"/>
        <w:rPr>
          <w:sz w:val="20"/>
          <w:szCs w:val="20"/>
          <w:color w:val="auto"/>
        </w:rPr>
      </w:pPr>
    </w:p>
    <w:p>
      <w:pPr>
        <w:jc w:val="both"/>
        <w:ind w:firstLine="828"/>
        <w:spacing w:after="0" w:line="291" w:lineRule="auto"/>
        <w:rPr>
          <w:sz w:val="20"/>
          <w:szCs w:val="20"/>
          <w:color w:val="auto"/>
        </w:rPr>
      </w:pPr>
      <w:r>
        <w:rPr>
          <w:rFonts w:ascii="Arial" w:cs="Arial" w:eastAsia="Arial" w:hAnsi="Arial"/>
          <w:sz w:val="16"/>
          <w:szCs w:val="16"/>
          <w:color w:val="auto"/>
        </w:rPr>
        <w:t>4.3.2 In lieu of any further salary payments to You for periods subsequent to the Date of Termination, the Company shall pay to You, as severance pay the following: (i) a lump sum severance payment equal to three (3) times the average of your Compensation for the five (5) years prior to the occurrence of the circumstance giving rise to the Notice of Termination (or if employed less than 5 years, the average annualized compensation of the period worked to date), plus (ii) the amounts in the forms set forth in paragraphs 4.3.3, 4.3.4 and 4.3.5 (the “Severance Payments”). In addition to the Severance Payments, the Company shall pay to You an additional amount equal to the amount of the Excise Tax, if any, that is due or determined to be due under Section 4999 of the Internal Revenue Code of 1986, as amended, resulting from the Severance Payments or any other payments under this Agreement or any other agreement between You and the Company and an amount sufficient to pay the taxes on any such Excise Taxes (the “Gross-up”).</w:t>
      </w:r>
    </w:p>
    <w:p>
      <w:pPr>
        <w:spacing w:after="0" w:line="140" w:lineRule="exact"/>
        <w:rPr>
          <w:sz w:val="20"/>
          <w:szCs w:val="20"/>
          <w:color w:val="auto"/>
        </w:rPr>
      </w:pPr>
    </w:p>
    <w:p>
      <w:pPr>
        <w:jc w:val="both"/>
        <w:ind w:firstLine="828"/>
        <w:spacing w:after="0" w:line="302" w:lineRule="auto"/>
        <w:rPr>
          <w:sz w:val="20"/>
          <w:szCs w:val="20"/>
          <w:color w:val="auto"/>
        </w:rPr>
      </w:pPr>
      <w:r>
        <w:rPr>
          <w:rFonts w:ascii="Arial" w:cs="Arial" w:eastAsia="Arial" w:hAnsi="Arial"/>
          <w:sz w:val="16"/>
          <w:szCs w:val="16"/>
          <w:color w:val="auto"/>
        </w:rPr>
        <w:t xml:space="preserve">4.3.3 The Company shall continue coverage for You and your dependents under any health or welfare benefit plan under which You and your dependents were participating prior to the Change in Control for a period ending on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to occur of (i) the date You become covered by a new employer’s health and welfare benefit plan, (ii) the date You become covered by Medicare, or (iii) the date which is thirty-six (36) months from the Date of Termination. The coverage for your dependents shall end earlier than (i), (ii) or (iii) if required by the health or welfare benefit plan due to age eligibility.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9" w:name="page100"/>
    <w:bookmarkEnd w:id="99"/>
    <w:p>
      <w:pPr>
        <w:jc w:val="both"/>
        <w:ind w:firstLine="828"/>
        <w:spacing w:after="0" w:line="277" w:lineRule="auto"/>
        <w:rPr>
          <w:sz w:val="20"/>
          <w:szCs w:val="20"/>
          <w:color w:val="auto"/>
        </w:rPr>
      </w:pPr>
      <w:r>
        <w:rPr>
          <w:rFonts w:ascii="Arial" w:cs="Arial" w:eastAsia="Arial" w:hAnsi="Arial"/>
          <w:sz w:val="18"/>
          <w:szCs w:val="18"/>
          <w:color w:val="auto"/>
        </w:rPr>
        <w:t>4.3.4 The Company shall pay to You any deferred compensation, including, but not limited to deferred bonuses, allocated or credited to You or your account as of the Date of Termination.</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4.3.5 Outstanding stock options or Restricted Stock grants, if any, granted to You under the Company's Stock Plans which are not vested on Termination shall immediately vest.</w:t>
      </w:r>
    </w:p>
    <w:p>
      <w:pPr>
        <w:spacing w:after="0" w:line="157"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4.3.6 Where You shall prevail in any action against the Company to recover benefits hereunder, the Company shall also pay to You all reasonable legal and accounting fees and expenses incurred by You as a result of the termination, including all such fees and expenses incurred by You as a result of the termination, (including all such fees and expenses, if any, incurred in contesting or disputing any termination or in seeking to obtain or enforce any right or benefit provided by this Agreement or in connection with any tax audit or proceeding to the extent attributable to the application of Code Section 4999 to any payment or benefit provided under this Agreement) or any other agreement with the Company.</w:t>
      </w:r>
    </w:p>
    <w:p>
      <w:pPr>
        <w:spacing w:after="0" w:line="159" w:lineRule="exact"/>
        <w:rPr>
          <w:sz w:val="20"/>
          <w:szCs w:val="20"/>
          <w:color w:val="auto"/>
        </w:rPr>
      </w:pPr>
    </w:p>
    <w:p>
      <w:pPr>
        <w:jc w:val="both"/>
        <w:ind w:firstLine="828"/>
        <w:spacing w:after="0" w:line="270" w:lineRule="auto"/>
        <w:rPr>
          <w:sz w:val="20"/>
          <w:szCs w:val="20"/>
          <w:color w:val="auto"/>
        </w:rPr>
      </w:pPr>
      <w:r>
        <w:rPr>
          <w:rFonts w:ascii="Arial" w:cs="Arial" w:eastAsia="Arial" w:hAnsi="Arial"/>
          <w:sz w:val="17"/>
          <w:szCs w:val="17"/>
          <w:color w:val="auto"/>
        </w:rPr>
        <w:t>4.3.7 The amount of Severance Payments and any Gross-up due to You under this or any other relevant agreement with the Company shall be determined by a third party agreed to by You and the Company. If You cannot agree on a third party, then both third parties shall determine the amounts due under this Agreement. If the third parties do not agree on the amount to be paid to You, then either party may submit the calculation of the amounts which are in dispute to Arbitration in accordance with this Agreement. The payments provided for in Paragraphs 4.3.2, 4.3.4 and 4.3.5 above, shall be made no later than the thirtieth (30th) day following the Date of Termination. However, if the amounts of the payments cannot be finally determined on or before that day, the Company shall pay to You on that day an estimate, as determined in good faith by the Company, of the minimum amount of such payments and shall pay the remainder of those payments (together with interest at the rate provided in Section 1274(b)(2)(B) of the Code) as soon as the amount can be determined but in no event later than the 30th day after the Date of Termination. In the event that the amount of the estimated payments exceeds the amount subsequently determined to have been due, the excess shall constitute a loan by the Company to You payable on the 30th day after demand by the Company (together with interest at the rate provided in Section 1274(b)(2)(B) of the Code).</w:t>
      </w:r>
    </w:p>
    <w:p>
      <w:pPr>
        <w:spacing w:after="0" w:line="151" w:lineRule="exact"/>
        <w:rPr>
          <w:sz w:val="20"/>
          <w:szCs w:val="20"/>
          <w:color w:val="auto"/>
        </w:rPr>
      </w:pPr>
    </w:p>
    <w:p>
      <w:pPr>
        <w:jc w:val="both"/>
        <w:ind w:firstLine="828"/>
        <w:spacing w:after="0" w:line="312" w:lineRule="auto"/>
        <w:rPr>
          <w:sz w:val="20"/>
          <w:szCs w:val="20"/>
          <w:color w:val="auto"/>
        </w:rPr>
      </w:pPr>
      <w:r>
        <w:rPr>
          <w:rFonts w:ascii="Arial" w:cs="Arial" w:eastAsia="Arial" w:hAnsi="Arial"/>
          <w:sz w:val="16"/>
          <w:szCs w:val="16"/>
          <w:color w:val="auto"/>
        </w:rPr>
        <w:t>4.4 For purposes of this Agreement, “Compensation” shall mean the gross earnings reported on Form W-2 during a calendar year (which may include but is not limited to the value of the personal use of an automobile, any third-party sick pay, and any fees paid to You for serving as a Director of the Company or its subsidiaries); awards under the Company’s Restricted Stock Plan or other equity awards; and Company contributions to your 401(k) account.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0" w:name="page101"/>
    <w:bookmarkEnd w:id="100"/>
    <w:p>
      <w:pPr>
        <w:jc w:val="both"/>
        <w:ind w:firstLine="828"/>
        <w:spacing w:after="0" w:line="259" w:lineRule="auto"/>
        <w:rPr>
          <w:sz w:val="20"/>
          <w:szCs w:val="20"/>
          <w:color w:val="auto"/>
        </w:rPr>
      </w:pPr>
      <w:r>
        <w:rPr>
          <w:rFonts w:ascii="Arial" w:cs="Arial" w:eastAsia="Arial" w:hAnsi="Arial"/>
          <w:sz w:val="18"/>
          <w:szCs w:val="18"/>
          <w:color w:val="auto"/>
        </w:rPr>
        <w:t>4.5 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by retirement benefits, by offset against any amount claimed to be owed by You to the Company, or otherwise except as specifically provided in this Section 4.</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4.6 In addition to all other amounts payable to You under this Section 4, You shall be entitled to receive all qualified benefits payable to You under the Company's 401(k) Plan, Defined Benefit Plan and any other plan or agreement relating to retirement benefits, in accordance with the terms of those Plans, to the extent you were a participant in such Plan or Plans as of the date of a Change in Control .</w:t>
      </w:r>
    </w:p>
    <w:p>
      <w:pPr>
        <w:spacing w:after="0" w:line="164" w:lineRule="exact"/>
        <w:rPr>
          <w:sz w:val="20"/>
          <w:szCs w:val="20"/>
          <w:color w:val="auto"/>
        </w:rPr>
      </w:pPr>
    </w:p>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Binding Agreement</w:t>
      </w:r>
      <w:r>
        <w:rPr>
          <w:rFonts w:ascii="Arial" w:cs="Arial" w:eastAsia="Arial" w:hAnsi="Arial"/>
          <w:sz w:val="18"/>
          <w:szCs w:val="18"/>
          <w:color w:val="auto"/>
        </w:rPr>
        <w:t>.</w:t>
      </w:r>
    </w:p>
    <w:p>
      <w:pPr>
        <w:spacing w:after="0" w:line="216" w:lineRule="exact"/>
        <w:rPr>
          <w:sz w:val="20"/>
          <w:szCs w:val="20"/>
          <w:color w:val="auto"/>
        </w:rPr>
      </w:pPr>
    </w:p>
    <w:p>
      <w:pPr>
        <w:jc w:val="both"/>
        <w:ind w:firstLine="828"/>
        <w:spacing w:after="0" w:line="255" w:lineRule="auto"/>
        <w:rPr>
          <w:sz w:val="20"/>
          <w:szCs w:val="20"/>
          <w:color w:val="auto"/>
        </w:rPr>
      </w:pPr>
      <w:r>
        <w:rPr>
          <w:rFonts w:ascii="Arial" w:cs="Arial" w:eastAsia="Arial" w:hAnsi="Arial"/>
          <w:sz w:val="18"/>
          <w:szCs w:val="18"/>
          <w:color w:val="auto"/>
        </w:rPr>
        <w:t>5.1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the assumption and agreement prior to the effectiveness of any succession shall be a breach of this Agreement and shall entitle You to compensation from the Company in the same amount and on the same terms as You would have been entitled to under this Agreement if You had terminated your employment for Good Reason following a Change in Control of the Company, except that for purposes of implementing the foregoing, the date on which any such succession becomes effective shall be deemed the Date of Termination.</w:t>
      </w:r>
    </w:p>
    <w:p>
      <w:pPr>
        <w:spacing w:after="0" w:line="162" w:lineRule="exact"/>
        <w:rPr>
          <w:sz w:val="20"/>
          <w:szCs w:val="20"/>
          <w:color w:val="auto"/>
        </w:rPr>
      </w:pPr>
    </w:p>
    <w:p>
      <w:pPr>
        <w:jc w:val="both"/>
        <w:ind w:firstLine="828"/>
        <w:spacing w:after="0" w:line="259" w:lineRule="auto"/>
        <w:rPr>
          <w:sz w:val="20"/>
          <w:szCs w:val="20"/>
          <w:color w:val="auto"/>
        </w:rPr>
      </w:pPr>
      <w:r>
        <w:rPr>
          <w:rFonts w:ascii="Arial" w:cs="Arial" w:eastAsia="Arial" w:hAnsi="Arial"/>
          <w:sz w:val="18"/>
          <w:szCs w:val="18"/>
          <w:color w:val="auto"/>
        </w:rPr>
        <w:t>5.2 This Agreement shall inure to the benefit of, and be enforceable by, your personal or legal representatives, executors, administrators, heirs, distributees, and legatees. If You should die while any amount would still be payable to You if You had continued to live, all such amounts, unless otherwise provided in this Agreement, shall be paid in accordance with the terms of this Agreement to your legatee or other designee or, if there is no such designee, to your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1" w:name="page102"/>
    <w:bookmarkEnd w:id="101"/>
    <w:p>
      <w:pPr>
        <w:jc w:val="both"/>
        <w:ind w:firstLine="656"/>
        <w:spacing w:after="0" w:line="258" w:lineRule="auto"/>
        <w:tabs>
          <w:tab w:leader="none" w:pos="82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the purpose of this Agreement, all notices and other communications provided for in the Agreement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mailed by United States registered or certified mail, return receipt requested, postage prepaid, addressed to the respective addresses set forth on the first page of this Agreement, provided that all notices to the Company shall be directed to the attention of the Board with a copy to the President of the Company, or to such other address as either party may have furnished to the other in writing in accordance this Agreement, except that notice of a change of address shall be effective only on receipt.</w:t>
      </w:r>
    </w:p>
    <w:p>
      <w:pPr>
        <w:spacing w:after="0" w:line="156" w:lineRule="exact"/>
        <w:rPr>
          <w:rFonts w:ascii="Arial" w:cs="Arial" w:eastAsia="Arial" w:hAnsi="Arial"/>
          <w:sz w:val="18"/>
          <w:szCs w:val="18"/>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16"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7.1 No provision of this Agreement may be modified, waived, or discharged unless the waiver, modification, or discharge is agreed to in writing and signed by You and such officer as may be specifically designated by the Board.</w:t>
      </w:r>
    </w:p>
    <w:p>
      <w:pPr>
        <w:spacing w:after="0" w:line="157"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7.2 No waiver by either party to this Agreement at any time of any breach by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54" w:lineRule="exact"/>
        <w:rPr>
          <w:sz w:val="20"/>
          <w:szCs w:val="20"/>
          <w:color w:val="auto"/>
        </w:rPr>
      </w:pPr>
    </w:p>
    <w:p>
      <w:pPr>
        <w:jc w:val="both"/>
        <w:ind w:right="20" w:firstLine="828"/>
        <w:spacing w:after="0" w:line="277" w:lineRule="auto"/>
        <w:rPr>
          <w:sz w:val="20"/>
          <w:szCs w:val="20"/>
          <w:color w:val="auto"/>
        </w:rPr>
      </w:pPr>
      <w:r>
        <w:rPr>
          <w:rFonts w:ascii="Arial" w:cs="Arial" w:eastAsia="Arial" w:hAnsi="Arial"/>
          <w:sz w:val="18"/>
          <w:szCs w:val="18"/>
          <w:color w:val="auto"/>
        </w:rPr>
        <w:t>7.3 No agreements or representations, oral or otherwise, express or implied, with respect to the subject matter of this Agreement have been made by either party that are not expressly set forth in this Agreement.</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7.4 Nothing in this Agreement is intended to reduce any benefits payable to You under any other agreement You may have with the Company or in any Company plan in which You may participate.</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7.5 The validity, interpretation, construction, and performance of this Agreement shall be governed by the law of New Jersey without reference to its conflict of laws principles.</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7.6 All references to sections of the Exchange Act or the Code shall be deemed also to refer to any successor provisions to such sections. Any payments provided for shall be paid net of any applicable withholding or deduction required under federal, state or local law.</w:t>
      </w:r>
    </w:p>
    <w:p>
      <w:pPr>
        <w:spacing w:after="0" w:line="1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7.7 The obligations of the Company under Section 4 shall survive the expiration of the term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2" w:name="page103"/>
    <w:bookmarkEnd w:id="102"/>
    <w:p>
      <w:pPr>
        <w:ind w:firstLine="656"/>
        <w:spacing w:after="0" w:line="282"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validity or enforceability of any provision of this Agreement shall not affect the validity or unenforceability of any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shall remain in full force and effect.</w:t>
      </w:r>
    </w:p>
    <w:p>
      <w:pPr>
        <w:spacing w:after="0" w:line="134" w:lineRule="exact"/>
        <w:rPr>
          <w:rFonts w:ascii="Arial" w:cs="Arial" w:eastAsia="Arial" w:hAnsi="Arial"/>
          <w:sz w:val="18"/>
          <w:szCs w:val="18"/>
          <w:color w:val="auto"/>
        </w:rPr>
      </w:pPr>
    </w:p>
    <w:p>
      <w:pPr>
        <w:ind w:firstLine="656"/>
        <w:spacing w:after="0" w:line="282" w:lineRule="auto"/>
        <w:tabs>
          <w:tab w:leader="none" w:pos="82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48" w:lineRule="exact"/>
        <w:rPr>
          <w:rFonts w:ascii="Arial" w:cs="Arial" w:eastAsia="Arial" w:hAnsi="Arial"/>
          <w:sz w:val="18"/>
          <w:szCs w:val="18"/>
          <w:color w:val="auto"/>
        </w:rPr>
      </w:pPr>
    </w:p>
    <w:p>
      <w:pPr>
        <w:jc w:val="both"/>
        <w:ind w:firstLine="656"/>
        <w:spacing w:after="0" w:line="261"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or controversy arising under or in connection with this Agreement shall be settled exclusively by arbitration in New</w:t>
      </w:r>
      <w:r>
        <w:rPr>
          <w:rFonts w:ascii="Arial" w:cs="Arial" w:eastAsia="Arial" w:hAnsi="Arial"/>
          <w:sz w:val="18"/>
          <w:szCs w:val="18"/>
          <w:b w:val="1"/>
          <w:bCs w:val="1"/>
          <w:color w:val="auto"/>
        </w:rPr>
        <w:t xml:space="preserve"> </w:t>
      </w:r>
      <w:r>
        <w:rPr>
          <w:rFonts w:ascii="Arial" w:cs="Arial" w:eastAsia="Arial" w:hAnsi="Arial"/>
          <w:sz w:val="18"/>
          <w:szCs w:val="18"/>
          <w:color w:val="auto"/>
        </w:rPr>
        <w:t>Jersey in accordance with the rules of the American Arbitration Association then in effect. Judgment may be entered on the arbitrator's award in any court having jurisdiction. However, You shall be entitled to seek specific performance of your right to be paid until the Date of Termination during the pendency of any dispute or controversy arising under or in connection this Agreement.</w:t>
      </w:r>
    </w:p>
    <w:p>
      <w:pPr>
        <w:spacing w:after="0" w:line="166" w:lineRule="exact"/>
        <w:rPr>
          <w:rFonts w:ascii="Arial" w:cs="Arial" w:eastAsia="Arial" w:hAnsi="Arial"/>
          <w:sz w:val="18"/>
          <w:szCs w:val="18"/>
          <w:color w:val="auto"/>
        </w:rPr>
      </w:pPr>
    </w:p>
    <w:p>
      <w:pPr>
        <w:ind w:firstLine="656"/>
        <w:spacing w:after="0" w:line="282" w:lineRule="auto"/>
        <w:tabs>
          <w:tab w:leader="none" w:pos="911"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with respect to its subject matter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or oral agreements or understandings with respect to the subject matter.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00" w:lineRule="exact"/>
        <w:rPr>
          <w:sz w:val="20"/>
          <w:szCs w:val="20"/>
          <w:color w:val="auto"/>
        </w:rPr>
      </w:pPr>
    </w:p>
    <w:p>
      <w:pPr>
        <w:spacing w:after="0" w:line="3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MIDDLESEX WATER COMPANY</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Jay L. Kooper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 L. Kooper,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Robert K. Fullagar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K. Fullagar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3" w:name="page104"/>
    <w:bookmarkEnd w:id="103"/>
    <w:p>
      <w:pPr>
        <w:ind w:left="10180"/>
        <w:spacing w:after="0"/>
        <w:rPr>
          <w:sz w:val="20"/>
          <w:szCs w:val="20"/>
          <w:color w:val="auto"/>
        </w:rPr>
      </w:pPr>
      <w:r>
        <w:rPr>
          <w:rFonts w:ascii="Arial" w:cs="Arial" w:eastAsia="Arial" w:hAnsi="Arial"/>
          <w:sz w:val="16"/>
          <w:szCs w:val="16"/>
          <w:b w:val="1"/>
          <w:bCs w:val="1"/>
          <w:color w:val="auto"/>
        </w:rPr>
        <w:t>Exhibit 10.12(h)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TERMINATION AGREEMENT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Change in Control Termination Agreement (the “Agreement”) is entered into as of July 1, 2019, between Middlesex Water Company, a New Jersey corporation, with its principal place of business located at 485C Route One South, Suite 400, Iselin, New Jersey 08830, (the “Company”), and Georgia M. Simpson, residing at XXXXXXXXXXXXXXXXXXXXXXXXX (referred to as “You” in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02" w:lineRule="exact"/>
        <w:rPr>
          <w:sz w:val="20"/>
          <w:szCs w:val="20"/>
          <w:color w:val="auto"/>
        </w:rPr>
      </w:pPr>
    </w:p>
    <w:p>
      <w:pPr>
        <w:jc w:val="both"/>
        <w:ind w:firstLine="8"/>
        <w:spacing w:after="0" w:line="259" w:lineRule="auto"/>
        <w:tabs>
          <w:tab w:leader="none" w:pos="3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considers it essential to the best interests of its shareholders to foster the continuous employment of key management personnel. In this connection, the Board of Directors of the Company (the “Board”) recognizes that, as is the case with many publicly held Companies, the possibility of a Change in Control may exist. This possibility, and the uncertainty and questions that it may raise among management, may result in the departure or distraction of management personnel to the detriment of the Company and its shareholders.</w:t>
      </w:r>
    </w:p>
    <w:p>
      <w:pPr>
        <w:spacing w:after="0" w:line="173" w:lineRule="exact"/>
        <w:rPr>
          <w:rFonts w:ascii="Arial" w:cs="Arial" w:eastAsia="Arial" w:hAnsi="Arial"/>
          <w:sz w:val="18"/>
          <w:szCs w:val="18"/>
          <w:color w:val="auto"/>
        </w:rPr>
      </w:pPr>
    </w:p>
    <w:p>
      <w:pPr>
        <w:jc w:val="both"/>
        <w:ind w:firstLine="8"/>
        <w:spacing w:after="0" w:line="264" w:lineRule="auto"/>
        <w:tabs>
          <w:tab w:leader="none" w:pos="3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has determined that appropriate steps should be taken to reinforce and encourage the continued attention and dedication of members of the Company’s management, including You, to the assigned duties without distraction in the face of circumstances arising from the possibility of a Change in Control of the Company.</w:t>
      </w:r>
    </w:p>
    <w:p>
      <w:pPr>
        <w:spacing w:after="0" w:line="167" w:lineRule="exact"/>
        <w:rPr>
          <w:rFonts w:ascii="Arial" w:cs="Arial" w:eastAsia="Arial" w:hAnsi="Arial"/>
          <w:sz w:val="18"/>
          <w:szCs w:val="18"/>
          <w:color w:val="auto"/>
        </w:rPr>
      </w:pPr>
    </w:p>
    <w:p>
      <w:pPr>
        <w:jc w:val="both"/>
        <w:ind w:firstLine="8"/>
        <w:spacing w:after="0" w:line="276" w:lineRule="auto"/>
        <w:tabs>
          <w:tab w:leader="none" w:pos="35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induce You to remain in the employ of the Company, while simultaneously representing the best interests of the Company’s shareholders, and in consideration of your agreement set forth below, the Company agrees that You shall receive the severance benefits set forth in this Agreement in the event your employment with the Company is terminated by the Company, or is terminated by You for “Good Reason,” as defined herein, in connection with a “Change in Control of the Company” (as defined in Section 2 below). This Agreement supersedes any other specific written agreements that may have been entered into between yourself and the Company concerning termination of employment.</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Therefore, in consideration of your continued employment and the parties’ agreement to be bound by the terms contained in this Agreement, the parties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both"/>
        <w:ind w:firstLine="656"/>
        <w:spacing w:after="0" w:line="256" w:lineRule="auto"/>
        <w:tabs>
          <w:tab w:leader="none" w:pos="842"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 This Agreement shall commence as of July 1, 2019 and shall continue in effect through December 31, 2019.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December 31, 2019, and each December 31 afterwards, the term of this Agreement shall automatically be extended for one (1) additional year unless, no later than the preceding November 1st, the Company shall have given notice that it does not wish to extend this Agreement. Notwithstanding the foregoing, if a Change in Control of the Company shall be proposed to occur, or have occurred, during the original or any extended term of this Agreement, this Agreement shall continue in effect until your termination of employment with the Company or its successor or, when all amounts due under this Agreement following a termination have been paid, whichever is later.</w:t>
      </w:r>
    </w:p>
    <w:p>
      <w:pPr>
        <w:spacing w:after="0" w:line="160" w:lineRule="exact"/>
        <w:rPr>
          <w:rFonts w:ascii="Arial" w:cs="Arial" w:eastAsia="Arial" w:hAnsi="Arial"/>
          <w:sz w:val="18"/>
          <w:szCs w:val="18"/>
          <w:color w:val="auto"/>
        </w:rPr>
      </w:pPr>
    </w:p>
    <w:p>
      <w:pPr>
        <w:jc w:val="both"/>
        <w:ind w:firstLine="656"/>
        <w:spacing w:after="0" w:line="256" w:lineRule="auto"/>
        <w:tabs>
          <w:tab w:leader="none" w:pos="82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No benefits shall be payable under this Agreement unless there shall have been a Change in Control of the Company,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For purposes of this Agreement, a “Change in Control” of the Company shall be deemed to occur if any party or group acquires beneficial ownership of 20 percent or more of the voting shares of the Company; or if shareholder approval is obtained for a transaction involving the acquisition of the Company through the purchase or exchange of the stock or assets of the Company by merger or otherwise; or if one-third or more of the Board elected in a 12-month period or less are so elected without the approval of a majority of the Board as constituted at the beginning of such period; or a liquidation or dissolution of Company.</w:t>
      </w:r>
    </w:p>
    <w:p>
      <w:pPr>
        <w:spacing w:after="0" w:line="174" w:lineRule="exact"/>
        <w:rPr>
          <w:rFonts w:ascii="Arial" w:cs="Arial" w:eastAsia="Arial" w:hAnsi="Arial"/>
          <w:sz w:val="18"/>
          <w:szCs w:val="18"/>
          <w:color w:val="auto"/>
        </w:rPr>
      </w:pPr>
    </w:p>
    <w:p>
      <w:pPr>
        <w:jc w:val="both"/>
        <w:ind w:firstLine="656"/>
        <w:spacing w:after="0" w:line="281" w:lineRule="auto"/>
        <w:tabs>
          <w:tab w:leader="none" w:pos="828"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Following Change In Control</w:t>
      </w:r>
      <w:r>
        <w:rPr>
          <w:rFonts w:ascii="Arial" w:cs="Arial" w:eastAsia="Arial" w:hAnsi="Arial"/>
          <w:sz w:val="17"/>
          <w:szCs w:val="17"/>
          <w:color w:val="auto"/>
        </w:rPr>
        <w:t>. If any of the events described in Section 2 above constituting a Change in Control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occurred, then unless the termination is (A) because of your death, Disability or Retirement, (B) by the Company for Cause, or (C) by You other than for Good Reason, on the subsequent termination of your employment during the term of this Agreement, You shall be entitled to the severance benefits provided in Section 4.3 below if such termination occurs on or before the third (3rd) anniversary of the Change in Control date .</w:t>
      </w:r>
    </w:p>
    <w:p>
      <w:pPr>
        <w:spacing w:after="0" w:line="151"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Disability; Retirement</w:t>
      </w:r>
      <w:r>
        <w:rPr>
          <w:rFonts w:ascii="Arial" w:cs="Arial" w:eastAsia="Arial" w:hAnsi="Arial"/>
          <w:sz w:val="17"/>
          <w:szCs w:val="17"/>
          <w:color w:val="auto"/>
        </w:rPr>
        <w:t>. If, as a result of your incapacity due to physical or mental illness, You shall have been absent from the full-time performance of your duties with the Company for 6 consecutive months, and within 30 days after written notice of termination is given You shall not have returned to the full-time performance of your duties, your employment may be terminated for "Disability." Termination of your employment by the Company or You due to your "Retirement" shall mean termination in accordance with the Company's retirement policy, including early retirement, generally applicable to its salaried employees or, in accordance with any retirement arrangement established with your consent with respect to You.</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5" w:name="page106"/>
    <w:bookmarkEnd w:id="105"/>
    <w:p>
      <w:pPr>
        <w:ind w:left="8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Termination by the Company of your employment for "Cause" shall mean termination as a result of:</w:t>
      </w:r>
    </w:p>
    <w:p>
      <w:pPr>
        <w:spacing w:after="0" w:line="202"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3.2.1 The willful and continued failure by You to substantially perform your duties with the Company as such employment was performed by You prior to the Change in Control (other than any such failure resulting from your Disability or any such actual or anticipated failure after the issuance by You of a Notice of Termination for Good Reason as defined herein) after a written demand for substantial performance is delivered to You by the Board, which demand specifically identifies the manner in which the Board believes that You have not substantially performed your duties; or</w:t>
      </w:r>
    </w:p>
    <w:p>
      <w:pPr>
        <w:spacing w:after="0" w:line="175" w:lineRule="exact"/>
        <w:rPr>
          <w:sz w:val="20"/>
          <w:szCs w:val="20"/>
          <w:color w:val="auto"/>
        </w:rPr>
      </w:pPr>
    </w:p>
    <w:p>
      <w:pPr>
        <w:jc w:val="both"/>
        <w:ind w:left="1080"/>
        <w:spacing w:after="0" w:line="270" w:lineRule="auto"/>
        <w:rPr>
          <w:sz w:val="20"/>
          <w:szCs w:val="20"/>
          <w:color w:val="auto"/>
        </w:rPr>
      </w:pPr>
      <w:r>
        <w:rPr>
          <w:rFonts w:ascii="Arial" w:cs="Arial" w:eastAsia="Arial" w:hAnsi="Arial"/>
          <w:sz w:val="17"/>
          <w:szCs w:val="17"/>
          <w:color w:val="auto"/>
        </w:rPr>
        <w:t>3.2.2 The willful act by You in conduct that is demonstrably and materially injurious to the Company, and which the Board deems to cause or will cause substantial economic damage to the Company or injury to the business reputation of the Company, monetarily or otherwise. For purposes of this Section, no act, or failure to act, on your part shall be deemed “willful" unless done, or omitted to be done, by You not in good faith and without a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(after reasonable notice to You and an opportunity for You, together with your counsel, to be heard before the Board), finding that in the good faith opinion of the Board You were guilty of conduct set forth above in clauses 3.2.1 or 3.2.2 of this Section and specifying the particulars in detail.</w:t>
      </w:r>
    </w:p>
    <w:p>
      <w:pPr>
        <w:spacing w:after="0" w:line="164" w:lineRule="exact"/>
        <w:rPr>
          <w:sz w:val="20"/>
          <w:szCs w:val="20"/>
          <w:color w:val="auto"/>
        </w:rPr>
      </w:pPr>
    </w:p>
    <w:p>
      <w:pPr>
        <w:jc w:val="both"/>
        <w:ind w:firstLine="828"/>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You shall be entitled to receive severance benefits as provided in this Agreement if You terminate your employment with the Company for “Good Reason.” For purposes of this Agreement, "Good Reason" shall mean, without your consent, the occurrence in connection with a Change in Control of the Company of any of the following circumstances unless, in the case of Sections 3.3.1, 3.3.5, 3.3.6, 3.3.7, or 3.3.8, the circumstances are fully corrected prior to the Date of Termination specified in the Notice of Termination, as defined in Sections 3.5 and 3.4, respectively, given in respect of them. If You terminate your employment with the Company for Good Reason, as provided below, your employment with the Company shall be considered to have been involuntarily terminated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6" w:name="page107"/>
    <w:bookmarkEnd w:id="106"/>
    <w:p>
      <w:pPr>
        <w:jc w:val="both"/>
        <w:spacing w:after="0" w:line="279" w:lineRule="auto"/>
        <w:rPr>
          <w:sz w:val="20"/>
          <w:szCs w:val="20"/>
          <w:color w:val="auto"/>
        </w:rPr>
      </w:pPr>
      <w:r>
        <w:rPr>
          <w:rFonts w:ascii="Arial" w:cs="Arial" w:eastAsia="Arial" w:hAnsi="Arial"/>
          <w:sz w:val="17"/>
          <w:szCs w:val="17"/>
          <w:color w:val="auto"/>
        </w:rPr>
        <w:t>3.3.1 The assignment to You of any significant employment duties which are inconsistent with your status and position (i) prior to the Change in Control where such change is a direct result of any pending Change in Control; or (ii) as such status exists immediately prior to the Change in Control of the Company, or (iii) which are a substantial adverse alteration in the nature or status of your responsibilities from those in effect immediately prior to the Change in Control of the Company whichever is applicable;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3.3.2 A reduction by the Company in your annual base salary as in effect on the initial date of this Agreement, or as same may be increased from time to time irrespective of future Company policies including any across-the-board salary reductions similarly affecting all key employees of the Company;</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3.3.3 Your relocation, without your consent, to an employment location not within twenty-five (25) miles of your present office or job location, except for required travel on the Company's business to an extent substantially consistent with your present business travel obligations;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3.3.4 The failure by the Company, without your consent, to pay to You any part of your current compensation, or to pay to You any part of an installment of deferred compensation under any deferred compensation program of the Company, within fourteen (14) days of the date the compensation is due;</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3.3.5 The failure by the Company to continue in effect any bonus to which You were entitled, or any compensation plan in which You participate (i) prior to the Change in Control where such change is a direct result of any pending Change in Control, or (ii) immediately prior to the Change in Control of the Company that is material to your total compensation, including but not limited to the Company's Restricted Stock Plan, 401(k) Plan, and Benefit Plans, or any substitute plans adopted prior to the Change in Control of the Company, unless an equitable arrangement (embodied in an ongoing substitute or alternative plan) has been made with respect to the plan, or the failure by the Company to continue your participation in it (or in such substitute or alternative plan) on a basis not materially less favorable, both in terms of the amount of benefits provided and the level of your participation relative to other participants, as existed at the time of the Change in Control;</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122555</wp:posOffset>
            </wp:positionV>
            <wp:extent cx="727202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340"/>
          </w:cols>
          <w:pgMar w:left="1320" w:top="328" w:right="239" w:bottom="1440" w:gutter="0" w:footer="0" w:header="0"/>
        </w:sectPr>
      </w:pPr>
    </w:p>
    <w:bookmarkStart w:id="107" w:name="page108"/>
    <w:bookmarkEnd w:id="107"/>
    <w:p>
      <w:pPr>
        <w:jc w:val="both"/>
        <w:ind w:left="1080"/>
        <w:spacing w:after="0" w:line="253" w:lineRule="auto"/>
        <w:rPr>
          <w:sz w:val="20"/>
          <w:szCs w:val="20"/>
          <w:color w:val="auto"/>
        </w:rPr>
      </w:pPr>
      <w:r>
        <w:rPr>
          <w:rFonts w:ascii="Arial" w:cs="Arial" w:eastAsia="Arial" w:hAnsi="Arial"/>
          <w:sz w:val="18"/>
          <w:szCs w:val="18"/>
          <w:color w:val="auto"/>
        </w:rPr>
        <w:t>3.3.6 The failure by the Company to continue to provide You with (i) benefits substantially similar to those enjoyed by You under any of the Company's life insurance, medical, health and accident, or disability plans in which You were participating at the time of the Change in Control of the Company was in effect for the employees of the Company generally at the time of the Change in Control, (ii) the failure to continue to provide You with a Company automobile or allowance in lieu of it at the time of the Change in Control of the Company, (iii) the taking of any action by the Company that would directly or indirectly materially reduce any of such benefits or deprive You of any material fringe benefit enjoyed by You at the time of the Change in Control of the Company, or (iv) the failure by the Company to provide You with the number of paid vacation days to which You are entitled on the basis of years of service with the Company in accordance with the Company's normal vacation policy or other vacation allowance provided to you by written agreement in effect at the time of the Change in Control of the Company;</w:t>
      </w:r>
    </w:p>
    <w:p>
      <w:pPr>
        <w:spacing w:after="0" w:line="170" w:lineRule="exact"/>
        <w:rPr>
          <w:sz w:val="20"/>
          <w:szCs w:val="20"/>
          <w:color w:val="auto"/>
        </w:rPr>
      </w:pPr>
    </w:p>
    <w:p>
      <w:pPr>
        <w:jc w:val="both"/>
        <w:ind w:left="1080"/>
        <w:spacing w:after="0" w:line="277" w:lineRule="auto"/>
        <w:rPr>
          <w:sz w:val="20"/>
          <w:szCs w:val="20"/>
          <w:color w:val="auto"/>
        </w:rPr>
      </w:pPr>
      <w:r>
        <w:rPr>
          <w:rFonts w:ascii="Arial" w:cs="Arial" w:eastAsia="Arial" w:hAnsi="Arial"/>
          <w:sz w:val="18"/>
          <w:szCs w:val="18"/>
          <w:color w:val="auto"/>
        </w:rPr>
        <w:t>3.3.7 The failure of the Company to obtain a satisfactory agreement from any successor to assume and agree to perform this Agreement, as contemplated in Section 5 of this Agreement; or</w:t>
      </w:r>
    </w:p>
    <w:p>
      <w:pPr>
        <w:spacing w:after="0" w:line="157"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3.3.8 Any purported termination of your employment that is not effected pursuant to a Notice of Termination satisfying the requirements of Section 3.4 below (and, if applicable, the requirements of Section 3.2 above); for purposes of this Agreement, no such purported termination shall be effective.</w:t>
      </w:r>
    </w:p>
    <w:p>
      <w:pPr>
        <w:spacing w:after="0" w:line="164" w:lineRule="exact"/>
        <w:rPr>
          <w:sz w:val="20"/>
          <w:szCs w:val="20"/>
          <w:color w:val="auto"/>
        </w:rPr>
      </w:pPr>
    </w:p>
    <w:p>
      <w:pPr>
        <w:jc w:val="both"/>
        <w:ind w:firstLine="82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of Termination</w:t>
      </w:r>
      <w:r>
        <w:rPr>
          <w:rFonts w:ascii="Arial" w:cs="Arial" w:eastAsia="Arial" w:hAnsi="Arial"/>
          <w:sz w:val="17"/>
          <w:szCs w:val="17"/>
          <w:color w:val="auto"/>
        </w:rPr>
        <w:t>. Any purported termination of your employment by the Company or by You shall be communicated by written Notice of Termination to the other party to this Agreement in accordance with Section 6 of this Agreement. For purposes of this Agreement, a "Notice of Termination" shall mean a notice that shall indicate the specific termination provision in this Agreement relied on, and shall set forth in reasonable detail the facts and circumstances claimed to provide a basis for termination of your employment under the provision so indicated. Your rights to terminate your employment pursuant to this Section shall not be affected by your incapacity due to Disability. Your continued employment shall not constitute consent to, or a waiver of rights with respect to, any circumstance constituting Good Reason under this Agreement. In the event You deliver Notice of Termination based on circumstances set forth in Sections 3.3.1, 3.3.5, 3.3.6, 3.3.7, or 3.3.8 above, which are fully corrected prior to the Date of Termination set forth in your Notice of Termination, the Notice of Termination shall be deemed withdrawn and of no further force or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8" w:name="page109"/>
    <w:bookmarkEnd w:id="108"/>
    <w:p>
      <w:pPr>
        <w:jc w:val="both"/>
        <w:ind w:firstLine="82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Date of Termination, etc</w:t>
      </w:r>
      <w:r>
        <w:rPr>
          <w:rFonts w:ascii="Arial" w:cs="Arial" w:eastAsia="Arial" w:hAnsi="Arial"/>
          <w:sz w:val="17"/>
          <w:szCs w:val="17"/>
          <w:color w:val="auto"/>
        </w:rPr>
        <w:t>. "Date of Termination" shall mean (A) if your employment is terminated for Disability, 30 days after Notice of Termination is given (provided that You shall not have returned to the full-time performance of your duties during such 30-day period), and (B) if your employment is terminated pursuant to Section 3.2 or 3.3 above or for any other reason (other than Disability), the date specified in the Notice of Termination (which, in the case of a termination pursuant to Section 3.2 above shall not be less than 30 days, and in the case of a termination pursuant to Section 3.3 above shall not be less than 15 nor more than 60 days, respectively, from the date the Notice of Termination is given). However, if within 15 days after any Notice of Termination is given, or, if later, prior to the Date of Termination (as determined without regard to this provision), the party receiving the Notice of Termination notifies the other party that a dispute exists concerning the termination, then the Date of Termination shall be the date on which the dispute is finally determined, either by mutual written agreement of the parties, by a binding arbitration award, or by a final judgment, order, or decree of a court of competent jurisdiction (which is not appealable or with respect to which the time for appeal has expired and no appeal has been perfected). The Date of Termination shall be extended by a notice of dispute only if the notice is given in good faith and the party giving the notice pursues the resolution of the dispute with reasonable diligence. Notwithstanding the pendency of any such dispute, the Company will continue to pay You your full compensation in effect when the notice giving rise to the dispute was given (including, but not limited to, base salary) and continue You as a participant in all compensation, benefit, and insurance plans in which You were participating when the notice giving rise to the dispute was given, until the dispute is finally resolved in accordance with this Section. Amounts paid under this Section are in addition to all other amounts due under this Agreement and shall not be offset against or reduce any other amounts due under this Agreement.</w:t>
      </w:r>
    </w:p>
    <w:p>
      <w:pPr>
        <w:spacing w:after="0" w:line="156" w:lineRule="exact"/>
        <w:rPr>
          <w:sz w:val="20"/>
          <w:szCs w:val="20"/>
          <w:color w:val="auto"/>
        </w:rPr>
      </w:pPr>
    </w:p>
    <w:p>
      <w:pPr>
        <w:ind w:right="20" w:firstLine="656"/>
        <w:spacing w:after="0" w:line="282" w:lineRule="auto"/>
        <w:tabs>
          <w:tab w:leader="none" w:pos="828"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on Termination or During Disability</w:t>
      </w:r>
      <w:r>
        <w:rPr>
          <w:rFonts w:ascii="Arial" w:cs="Arial" w:eastAsia="Arial" w:hAnsi="Arial"/>
          <w:sz w:val="18"/>
          <w:szCs w:val="18"/>
          <w:color w:val="auto"/>
        </w:rPr>
        <w:t>. Following a Change in Control of the Company, as defined by Section 2, on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or during a period of Disability You shall be entitled to the following benefits:</w:t>
      </w:r>
    </w:p>
    <w:p>
      <w:pPr>
        <w:spacing w:after="0" w:line="152"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4.1 During any period that You fail to perform your full-time duties with the Company as a result of incapacity due to Disability, You shall continue to receive your base salary at the rate in effect at the commencement of any such period, together with all amounts payable to You under any compensation plan of the Company during the period, until this Agreement is terminated pursuant to section 3.1 above. Thereafter, or in the event your employment shall be terminated by the Company or by You for Retirement, or by reason of your death, your benefits shall be determined under the Company's retirement, insurance, and other compensation programs then in effect in accordance with the terms of those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09" w:name="page110"/>
    <w:bookmarkEnd w:id="109"/>
    <w:p>
      <w:pPr>
        <w:jc w:val="both"/>
        <w:ind w:firstLine="828"/>
        <w:spacing w:after="0" w:line="259" w:lineRule="auto"/>
        <w:rPr>
          <w:sz w:val="20"/>
          <w:szCs w:val="20"/>
          <w:color w:val="auto"/>
        </w:rPr>
      </w:pPr>
      <w:r>
        <w:rPr>
          <w:rFonts w:ascii="Arial" w:cs="Arial" w:eastAsia="Arial" w:hAnsi="Arial"/>
          <w:sz w:val="18"/>
          <w:szCs w:val="18"/>
          <w:color w:val="auto"/>
        </w:rPr>
        <w:t>4.2 If your employment shall be terminated by the Company for Cause or by You other than for Good Reason, Disability, death, or Retirement, the Company shall pay You your full base salary through the Date of Termination at the rate in effect at the time Notice of Termination is given, plus all other amounts and benefits to which You are entitled under any compensation plan of the Company at the time the payments are due. The Company shall have no obligations to You under this Agreement.</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 On or before the third anniversary of the Change in Control, if your employment by the Company shall be terminated (a) by the Company other than for Cause, Retirement or Disability, or (b) by You for Good Reason (as defined in Section 3.3 herein), then You shall be entitled to the benefits provided below:</w:t>
      </w:r>
    </w:p>
    <w:p>
      <w:pPr>
        <w:spacing w:after="0" w:line="168"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4.3.1 The Company shall pay You your full salary through the Date of Termination at the rate in effect at the time Notice of Termination is given, plus all other amounts and benefits to which You are entitled under any compensation plan of the Company, at the time the payments are due, except as otherwise provided below.</w:t>
      </w:r>
    </w:p>
    <w:p>
      <w:pPr>
        <w:spacing w:after="0" w:line="168" w:lineRule="exact"/>
        <w:rPr>
          <w:sz w:val="20"/>
          <w:szCs w:val="20"/>
          <w:color w:val="auto"/>
        </w:rPr>
      </w:pPr>
    </w:p>
    <w:p>
      <w:pPr>
        <w:jc w:val="both"/>
        <w:ind w:firstLine="828"/>
        <w:spacing w:after="0" w:line="291" w:lineRule="auto"/>
        <w:rPr>
          <w:sz w:val="20"/>
          <w:szCs w:val="20"/>
          <w:color w:val="auto"/>
        </w:rPr>
      </w:pPr>
      <w:r>
        <w:rPr>
          <w:rFonts w:ascii="Arial" w:cs="Arial" w:eastAsia="Arial" w:hAnsi="Arial"/>
          <w:sz w:val="16"/>
          <w:szCs w:val="16"/>
          <w:color w:val="auto"/>
        </w:rPr>
        <w:t>4.3.2 In lieu of any further salary payments to You for periods subsequent to the Date of Termination, the Company shall pay to You, as severance pay the following: (i) a lump sum severance payment equal to three (3) times the average of your Compensation for the five (5) years prior to the occurrence of the circumstance giving rise to the Notice of Termination (or if employed less than 5 years, the average annualized compensation of the period worked to date), plus (ii) the amounts in the forms set forth in paragraphs 4.3.3, 4.3.4 and 4.3.5 (the “Severance Payments”). In addition to the Severance Payments, the Company shall pay to You an additional amount equal to the amount of the Excise Tax, if any, that is due or determined to be due under Section 4999 of the Internal Revenue Code of 1986, as amended, resulting from the Severance Payments or any other payments under this Agreement or any other agreement between You and the Company and an amount sufficient to pay the taxes on any such Excise Taxes (the “Gross-up”).</w:t>
      </w:r>
    </w:p>
    <w:p>
      <w:pPr>
        <w:spacing w:after="0" w:line="140" w:lineRule="exact"/>
        <w:rPr>
          <w:sz w:val="20"/>
          <w:szCs w:val="20"/>
          <w:color w:val="auto"/>
        </w:rPr>
      </w:pPr>
    </w:p>
    <w:p>
      <w:pPr>
        <w:jc w:val="both"/>
        <w:ind w:firstLine="828"/>
        <w:spacing w:after="0" w:line="302" w:lineRule="auto"/>
        <w:rPr>
          <w:sz w:val="20"/>
          <w:szCs w:val="20"/>
          <w:color w:val="auto"/>
        </w:rPr>
      </w:pPr>
      <w:r>
        <w:rPr>
          <w:rFonts w:ascii="Arial" w:cs="Arial" w:eastAsia="Arial" w:hAnsi="Arial"/>
          <w:sz w:val="16"/>
          <w:szCs w:val="16"/>
          <w:color w:val="auto"/>
        </w:rPr>
        <w:t xml:space="preserve">4.3.3 The Company shall continue coverage for You and your dependents under any health or welfare benefit plan under which You and your dependents were participating prior to the Change in Control for a period ending on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to occur of (i) the date You become covered by a new employer’s health and welfare benefit plan, (ii) the date You become covered by Medicare, or (iii) the date which is thirty-six (36) months from the Date of Termination. The coverage for your dependents shall end earlier than (i), (ii) or (iii) if required by the health or welfare benefit plan due to age eligibility.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0" w:name="page111"/>
    <w:bookmarkEnd w:id="110"/>
    <w:p>
      <w:pPr>
        <w:jc w:val="both"/>
        <w:ind w:firstLine="828"/>
        <w:spacing w:after="0" w:line="277" w:lineRule="auto"/>
        <w:rPr>
          <w:sz w:val="20"/>
          <w:szCs w:val="20"/>
          <w:color w:val="auto"/>
        </w:rPr>
      </w:pPr>
      <w:r>
        <w:rPr>
          <w:rFonts w:ascii="Arial" w:cs="Arial" w:eastAsia="Arial" w:hAnsi="Arial"/>
          <w:sz w:val="18"/>
          <w:szCs w:val="18"/>
          <w:color w:val="auto"/>
        </w:rPr>
        <w:t>4.3.4 The Company shall pay to You any deferred compensation, including, but not limited to deferred bonuses, allocated or credited to You or your account as of the Date of Termination.</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4.3.5 Outstanding stock options or Restricted Stock grants, if any, granted to You under the Company's Stock Plans which are not vested on Termination shall immediately vest.</w:t>
      </w:r>
    </w:p>
    <w:p>
      <w:pPr>
        <w:spacing w:after="0" w:line="157" w:lineRule="exact"/>
        <w:rPr>
          <w:sz w:val="20"/>
          <w:szCs w:val="20"/>
          <w:color w:val="auto"/>
        </w:rPr>
      </w:pPr>
    </w:p>
    <w:p>
      <w:pPr>
        <w:jc w:val="both"/>
        <w:ind w:firstLine="828"/>
        <w:spacing w:after="0" w:line="276" w:lineRule="auto"/>
        <w:rPr>
          <w:sz w:val="20"/>
          <w:szCs w:val="20"/>
          <w:color w:val="auto"/>
        </w:rPr>
      </w:pPr>
      <w:r>
        <w:rPr>
          <w:rFonts w:ascii="Arial" w:cs="Arial" w:eastAsia="Arial" w:hAnsi="Arial"/>
          <w:sz w:val="17"/>
          <w:szCs w:val="17"/>
          <w:color w:val="auto"/>
        </w:rPr>
        <w:t>4.3.6 Where You shall prevail in any action against the Company to recover benefits hereunder, the Company shall also pay to You all reasonable legal and accounting fees and expenses incurred by You as a result of the termination, including all such fees and expenses incurred by You as a result of the termination, (including all such fees and expenses, if any, incurred in contesting or disputing any termination or in seeking to obtain or enforce any right or benefit provided by this Agreement or in connection with any tax audit or proceeding to the extent attributable to the application of Code Section 4999 to any payment or benefit provided under this Agreement) or any other agreement with the Company.</w:t>
      </w:r>
    </w:p>
    <w:p>
      <w:pPr>
        <w:spacing w:after="0" w:line="159" w:lineRule="exact"/>
        <w:rPr>
          <w:sz w:val="20"/>
          <w:szCs w:val="20"/>
          <w:color w:val="auto"/>
        </w:rPr>
      </w:pPr>
    </w:p>
    <w:p>
      <w:pPr>
        <w:jc w:val="both"/>
        <w:ind w:firstLine="828"/>
        <w:spacing w:after="0" w:line="270" w:lineRule="auto"/>
        <w:rPr>
          <w:sz w:val="20"/>
          <w:szCs w:val="20"/>
          <w:color w:val="auto"/>
        </w:rPr>
      </w:pPr>
      <w:r>
        <w:rPr>
          <w:rFonts w:ascii="Arial" w:cs="Arial" w:eastAsia="Arial" w:hAnsi="Arial"/>
          <w:sz w:val="17"/>
          <w:szCs w:val="17"/>
          <w:color w:val="auto"/>
        </w:rPr>
        <w:t>4.3.7 The amount of Severance Payments and any Gross-up due to You under this or any other relevant agreement with the Company shall be determined by a third party agreed to by You and the Company. If You cannot agree on a third party, then both third parties shall determine the amounts due under this Agreement. If the third parties do not agree on the amount to be paid to You, then either party may submit the calculation of the amounts which are in dispute to Arbitration in accordance with this Agreement. The payments provided for in Paragraphs 4.3.2, 4.3.4 and 4.3.5 above, shall be made no later than the thirtieth (30th) day following the Date of Termination. However, if the amounts of the payments cannot be finally determined on or before that day, the Company shall pay to You on that day an estimate, as determined in good faith by the Company, of the minimum amount of such payments and shall pay the remainder of those payments (together with interest at the rate provided in Section 1274(b)(2)(B) of the Code) as soon as the amount can be determined but in no event later than the 30th day after the Date of Termination. In the event that the amount of the estimated payments exceeds the amount subsequently determined to have been due, the excess shall constitute a loan by the Company to You payable on the 30th day after demand by the Company (together with interest at the rate provided in Section 1274(b)(2)(B) of the Code).</w:t>
      </w:r>
    </w:p>
    <w:p>
      <w:pPr>
        <w:spacing w:after="0" w:line="151" w:lineRule="exact"/>
        <w:rPr>
          <w:sz w:val="20"/>
          <w:szCs w:val="20"/>
          <w:color w:val="auto"/>
        </w:rPr>
      </w:pPr>
    </w:p>
    <w:p>
      <w:pPr>
        <w:jc w:val="both"/>
        <w:ind w:firstLine="828"/>
        <w:spacing w:after="0" w:line="312" w:lineRule="auto"/>
        <w:rPr>
          <w:sz w:val="20"/>
          <w:szCs w:val="20"/>
          <w:color w:val="auto"/>
        </w:rPr>
      </w:pPr>
      <w:r>
        <w:rPr>
          <w:rFonts w:ascii="Arial" w:cs="Arial" w:eastAsia="Arial" w:hAnsi="Arial"/>
          <w:sz w:val="16"/>
          <w:szCs w:val="16"/>
          <w:color w:val="auto"/>
        </w:rPr>
        <w:t>4.4 For purposes of this Agreement, “Compensation” shall mean the gross earnings reported on Form W-2 during a calendar year (which may include but is not limited to the value of the personal use of an automobile, any third-party sick pay, and any fees paid to You for serving as a Director of the Company or its subsidiaries); awards under the Company’s Restricted Stock Plan or other equity awards; and Company contributions to your 401(k) account.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1" w:name="page112"/>
    <w:bookmarkEnd w:id="111"/>
    <w:p>
      <w:pPr>
        <w:jc w:val="both"/>
        <w:ind w:firstLine="828"/>
        <w:spacing w:after="0" w:line="259" w:lineRule="auto"/>
        <w:rPr>
          <w:sz w:val="20"/>
          <w:szCs w:val="20"/>
          <w:color w:val="auto"/>
        </w:rPr>
      </w:pPr>
      <w:r>
        <w:rPr>
          <w:rFonts w:ascii="Arial" w:cs="Arial" w:eastAsia="Arial" w:hAnsi="Arial"/>
          <w:sz w:val="18"/>
          <w:szCs w:val="18"/>
          <w:color w:val="auto"/>
        </w:rPr>
        <w:t>4.5 You shall not be required to mitigate the amount of any payment provided for in this Section 4 by seeking other employment or otherwise, nor shall the amount of any payment or benefit provided for in this Section 4 be reduced by any compensation earned by You as the result of employment by another employer, by retirement benefits, by offset against any amount claimed to be owed by You to the Company, or otherwise except as specifically provided in this Section 4.</w:t>
      </w:r>
    </w:p>
    <w:p>
      <w:pPr>
        <w:spacing w:after="0" w:line="160"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4.6 In addition to all other amounts payable to You under this Section 4, You shall be entitled to receive all qualified benefits payable to You under the Company's 401(k) Plan, Defined Benefit Plan and any other plan or agreement relating to retirement benefits, in accordance with the terms of those Plans, to the extent you were a participant in such Plan or Plans as of the date of a Change in Control .</w:t>
      </w:r>
    </w:p>
    <w:p>
      <w:pPr>
        <w:spacing w:after="0" w:line="164" w:lineRule="exact"/>
        <w:rPr>
          <w:sz w:val="20"/>
          <w:szCs w:val="20"/>
          <w:color w:val="auto"/>
        </w:rPr>
      </w:pPr>
    </w:p>
    <w:p>
      <w:pPr>
        <w:ind w:left="840" w:hanging="184"/>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Binding Agreement</w:t>
      </w:r>
      <w:r>
        <w:rPr>
          <w:rFonts w:ascii="Arial" w:cs="Arial" w:eastAsia="Arial" w:hAnsi="Arial"/>
          <w:sz w:val="18"/>
          <w:szCs w:val="18"/>
          <w:color w:val="auto"/>
        </w:rPr>
        <w:t>.</w:t>
      </w:r>
    </w:p>
    <w:p>
      <w:pPr>
        <w:spacing w:after="0" w:line="216" w:lineRule="exact"/>
        <w:rPr>
          <w:sz w:val="20"/>
          <w:szCs w:val="20"/>
          <w:color w:val="auto"/>
        </w:rPr>
      </w:pPr>
    </w:p>
    <w:p>
      <w:pPr>
        <w:jc w:val="both"/>
        <w:ind w:firstLine="828"/>
        <w:spacing w:after="0" w:line="255" w:lineRule="auto"/>
        <w:rPr>
          <w:sz w:val="20"/>
          <w:szCs w:val="20"/>
          <w:color w:val="auto"/>
        </w:rPr>
      </w:pPr>
      <w:r>
        <w:rPr>
          <w:rFonts w:ascii="Arial" w:cs="Arial" w:eastAsia="Arial" w:hAnsi="Arial"/>
          <w:sz w:val="18"/>
          <w:szCs w:val="18"/>
          <w:color w:val="auto"/>
        </w:rPr>
        <w:t>5.1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the assumption and agreement prior to the effectiveness of any succession shall be a breach of this Agreement and shall entitle You to compensation from the Company in the same amount and on the same terms as You would have been entitled to under this Agreement if You had terminated your employment for Good Reason following a Change in Control of the Company, except that for purposes of implementing the foregoing, the date on which any such succession becomes effective shall be deemed the Date of Termination.</w:t>
      </w:r>
    </w:p>
    <w:p>
      <w:pPr>
        <w:spacing w:after="0" w:line="162" w:lineRule="exact"/>
        <w:rPr>
          <w:sz w:val="20"/>
          <w:szCs w:val="20"/>
          <w:color w:val="auto"/>
        </w:rPr>
      </w:pPr>
    </w:p>
    <w:p>
      <w:pPr>
        <w:jc w:val="both"/>
        <w:ind w:firstLine="828"/>
        <w:spacing w:after="0" w:line="259" w:lineRule="auto"/>
        <w:rPr>
          <w:sz w:val="20"/>
          <w:szCs w:val="20"/>
          <w:color w:val="auto"/>
        </w:rPr>
      </w:pPr>
      <w:r>
        <w:rPr>
          <w:rFonts w:ascii="Arial" w:cs="Arial" w:eastAsia="Arial" w:hAnsi="Arial"/>
          <w:sz w:val="18"/>
          <w:szCs w:val="18"/>
          <w:color w:val="auto"/>
        </w:rPr>
        <w:t>5.2 This Agreement shall inure to the benefit of, and be enforceable by, your personal or legal representatives, executors, administrators, heirs, distributees, and legatees. If You should die while any amount would still be payable to You if You had continued to live, all such amounts, unless otherwise provided in this Agreement, shall be paid in accordance with the terms of this Agreement to your legatee or other designee or, if there is no such designee, to your estate.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2" w:name="page113"/>
    <w:bookmarkEnd w:id="112"/>
    <w:p>
      <w:pPr>
        <w:jc w:val="both"/>
        <w:ind w:firstLine="656"/>
        <w:spacing w:after="0" w:line="258"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For the purpose of this Agreement, all notices and other communications provided for in the Agreement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when delivered or mailed by United States registered or certified mail, return receipt requested, postage prepaid, addressed to the respective addresses set forth on the first page of this Agreement, provided that all notices to the Company shall be directed to the attention of the Board with a copy to the President of the Company, or to such other address as either party may have furnished to the other in writing in accordance this Agreement, except that notice of a change of address shall be effective only on receipt.</w:t>
      </w:r>
    </w:p>
    <w:p>
      <w:pPr>
        <w:spacing w:after="0" w:line="156" w:lineRule="exact"/>
        <w:rPr>
          <w:rFonts w:ascii="Arial" w:cs="Arial" w:eastAsia="Arial" w:hAnsi="Arial"/>
          <w:sz w:val="18"/>
          <w:szCs w:val="18"/>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16"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7.1 No provision of this Agreement may be modified, waived, or discharged unless the waiver, modification, or discharge is agreed to in writing and signed by You and such officer as may be specifically designated by the Board.</w:t>
      </w:r>
    </w:p>
    <w:p>
      <w:pPr>
        <w:spacing w:after="0" w:line="157" w:lineRule="exact"/>
        <w:rPr>
          <w:sz w:val="20"/>
          <w:szCs w:val="20"/>
          <w:color w:val="auto"/>
        </w:rPr>
      </w:pPr>
    </w:p>
    <w:p>
      <w:pPr>
        <w:jc w:val="both"/>
        <w:ind w:firstLine="828"/>
        <w:spacing w:after="0" w:line="264" w:lineRule="auto"/>
        <w:rPr>
          <w:sz w:val="20"/>
          <w:szCs w:val="20"/>
          <w:color w:val="auto"/>
        </w:rPr>
      </w:pPr>
      <w:r>
        <w:rPr>
          <w:rFonts w:ascii="Arial" w:cs="Arial" w:eastAsia="Arial" w:hAnsi="Arial"/>
          <w:sz w:val="18"/>
          <w:szCs w:val="18"/>
          <w:color w:val="auto"/>
        </w:rPr>
        <w:t>7.2 No waiver by either party to this Agreement at any time of any breach by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54" w:lineRule="exact"/>
        <w:rPr>
          <w:sz w:val="20"/>
          <w:szCs w:val="20"/>
          <w:color w:val="auto"/>
        </w:rPr>
      </w:pPr>
    </w:p>
    <w:p>
      <w:pPr>
        <w:jc w:val="both"/>
        <w:ind w:right="20" w:firstLine="828"/>
        <w:spacing w:after="0" w:line="277" w:lineRule="auto"/>
        <w:rPr>
          <w:sz w:val="20"/>
          <w:szCs w:val="20"/>
          <w:color w:val="auto"/>
        </w:rPr>
      </w:pPr>
      <w:r>
        <w:rPr>
          <w:rFonts w:ascii="Arial" w:cs="Arial" w:eastAsia="Arial" w:hAnsi="Arial"/>
          <w:sz w:val="18"/>
          <w:szCs w:val="18"/>
          <w:color w:val="auto"/>
        </w:rPr>
        <w:t>7.3 No agreements or representations, oral or otherwise, express or implied, with respect to the subject matter of this Agreement have been made by either party that are not expressly set forth in this Agreement.</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7.4 Nothing in this Agreement is intended to reduce any benefits payable to You under any other agreement You may have with the Company or in any Company plan in which You may participate.</w:t>
      </w:r>
    </w:p>
    <w:p>
      <w:pPr>
        <w:spacing w:after="0" w:line="157"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7.5 The validity, interpretation, construction, and performance of this Agreement shall be governed by the law of New Jersey without reference to its conflict of laws principles.</w:t>
      </w:r>
    </w:p>
    <w:p>
      <w:pPr>
        <w:spacing w:after="0" w:line="143" w:lineRule="exact"/>
        <w:rPr>
          <w:sz w:val="20"/>
          <w:szCs w:val="20"/>
          <w:color w:val="auto"/>
        </w:rPr>
      </w:pPr>
    </w:p>
    <w:p>
      <w:pPr>
        <w:jc w:val="both"/>
        <w:ind w:firstLine="828"/>
        <w:spacing w:after="0" w:line="277" w:lineRule="auto"/>
        <w:rPr>
          <w:sz w:val="20"/>
          <w:szCs w:val="20"/>
          <w:color w:val="auto"/>
        </w:rPr>
      </w:pPr>
      <w:r>
        <w:rPr>
          <w:rFonts w:ascii="Arial" w:cs="Arial" w:eastAsia="Arial" w:hAnsi="Arial"/>
          <w:sz w:val="18"/>
          <w:szCs w:val="18"/>
          <w:color w:val="auto"/>
        </w:rPr>
        <w:t>7.6 All references to sections of the Exchange Act or the Code shall be deemed also to refer to any successor provisions to such sections. Any payments provided for shall be paid net of any applicable withholding or deduction required under federal, state or local law.</w:t>
      </w:r>
    </w:p>
    <w:p>
      <w:pPr>
        <w:spacing w:after="0" w:line="1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7.7 The obligations of the Company under Section 4 shall survive the expiration of the term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3" w:name="page114"/>
    <w:bookmarkEnd w:id="113"/>
    <w:p>
      <w:pPr>
        <w:ind w:firstLine="656"/>
        <w:spacing w:after="0" w:line="282"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color w:val="auto"/>
        </w:rPr>
        <w:t>. The validity or enforceability of any provision of this Agreement shall not affect the validity or unenforceability of any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which shall remain in full force and effect.</w:t>
      </w:r>
    </w:p>
    <w:p>
      <w:pPr>
        <w:spacing w:after="0" w:line="134" w:lineRule="exact"/>
        <w:rPr>
          <w:rFonts w:ascii="Arial" w:cs="Arial" w:eastAsia="Arial" w:hAnsi="Arial"/>
          <w:sz w:val="18"/>
          <w:szCs w:val="18"/>
          <w:color w:val="auto"/>
        </w:rPr>
      </w:pPr>
    </w:p>
    <w:p>
      <w:pPr>
        <w:ind w:firstLine="656"/>
        <w:spacing w:after="0" w:line="282"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48" w:lineRule="exact"/>
        <w:rPr>
          <w:rFonts w:ascii="Arial" w:cs="Arial" w:eastAsia="Arial" w:hAnsi="Arial"/>
          <w:sz w:val="18"/>
          <w:szCs w:val="18"/>
          <w:color w:val="auto"/>
        </w:rPr>
      </w:pPr>
    </w:p>
    <w:p>
      <w:pPr>
        <w:jc w:val="both"/>
        <w:ind w:firstLine="656"/>
        <w:spacing w:after="0" w:line="261"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or controversy arising under or in connection with this Agreement shall be settled exclusively by arbitration in New</w:t>
      </w:r>
      <w:r>
        <w:rPr>
          <w:rFonts w:ascii="Arial" w:cs="Arial" w:eastAsia="Arial" w:hAnsi="Arial"/>
          <w:sz w:val="18"/>
          <w:szCs w:val="18"/>
          <w:b w:val="1"/>
          <w:bCs w:val="1"/>
          <w:color w:val="auto"/>
        </w:rPr>
        <w:t xml:space="preserve"> </w:t>
      </w:r>
      <w:r>
        <w:rPr>
          <w:rFonts w:ascii="Arial" w:cs="Arial" w:eastAsia="Arial" w:hAnsi="Arial"/>
          <w:sz w:val="18"/>
          <w:szCs w:val="18"/>
          <w:color w:val="auto"/>
        </w:rPr>
        <w:t>Jersey in accordance with the rules of the American Arbitration Association then in effect. Judgment may be entered on the arbitrator's award in any court having jurisdiction. However, You shall be entitled to seek specific performance of your right to be paid until the Date of Termination during the pendency of any dispute or controversy arising under or in connection this Agreement.</w:t>
      </w:r>
    </w:p>
    <w:p>
      <w:pPr>
        <w:spacing w:after="0" w:line="166" w:lineRule="exact"/>
        <w:rPr>
          <w:rFonts w:ascii="Arial" w:cs="Arial" w:eastAsia="Arial" w:hAnsi="Arial"/>
          <w:sz w:val="18"/>
          <w:szCs w:val="18"/>
          <w:color w:val="auto"/>
        </w:rPr>
      </w:pPr>
    </w:p>
    <w:p>
      <w:pPr>
        <w:ind w:firstLine="656"/>
        <w:spacing w:after="0" w:line="282" w:lineRule="auto"/>
        <w:tabs>
          <w:tab w:leader="none" w:pos="91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with respect to its subject matter and supersedes all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or oral agreements or understandings with respect to the subject matter.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00" w:lineRule="exact"/>
        <w:rPr>
          <w:sz w:val="20"/>
          <w:szCs w:val="20"/>
          <w:color w:val="auto"/>
        </w:rPr>
      </w:pPr>
    </w:p>
    <w:p>
      <w:pPr>
        <w:spacing w:after="0" w:line="34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MIDDLESEX WATER COMPANY</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Jay L. Kooper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 L. Kooper,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Georgia M. Simpson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Georgia M.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298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600" w:type="dxa"/>
            <w:vAlign w:val="bottom"/>
            <w:gridSpan w:val="2"/>
          </w:tcPr>
          <w:p>
            <w:pPr>
              <w:jc w:val="center"/>
              <w:ind w:right="3570"/>
              <w:spacing w:after="0"/>
              <w:rPr>
                <w:sz w:val="20"/>
                <w:szCs w:val="20"/>
                <w:color w:val="auto"/>
              </w:rPr>
            </w:pPr>
            <w:r>
              <w:rPr>
                <w:rFonts w:ascii="Arial" w:cs="Arial" w:eastAsia="Arial" w:hAnsi="Arial"/>
                <w:sz w:val="18"/>
                <w:szCs w:val="18"/>
                <w:b w:val="1"/>
                <w:bCs w:val="1"/>
                <w:color w:val="auto"/>
                <w:w w:val="91"/>
              </w:rPr>
              <w:t>Middlesex Water Company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6600" w:type="dxa"/>
            <w:vAlign w:val="bottom"/>
            <w:gridSpan w:val="2"/>
          </w:tcPr>
          <w:p>
            <w:pPr>
              <w:jc w:val="center"/>
              <w:ind w:right="3570"/>
              <w:spacing w:after="0"/>
              <w:rPr>
                <w:sz w:val="20"/>
                <w:szCs w:val="20"/>
                <w:color w:val="auto"/>
              </w:rPr>
            </w:pPr>
            <w:r>
              <w:rPr>
                <w:rFonts w:ascii="Arial" w:cs="Arial" w:eastAsia="Arial" w:hAnsi="Arial"/>
                <w:sz w:val="18"/>
                <w:szCs w:val="18"/>
                <w:b w:val="1"/>
                <w:bCs w:val="1"/>
                <w:color w:val="auto"/>
                <w:w w:val="87"/>
              </w:rPr>
              <w:t>Subsidiaries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4"/>
              </w:rPr>
              <w:t>Jurisdiction of</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vMerge w:val="restart"/>
          </w:tcPr>
          <w:p>
            <w:pPr>
              <w:ind w:left="600"/>
              <w:spacing w:after="0"/>
              <w:rPr>
                <w:sz w:val="20"/>
                <w:szCs w:val="20"/>
                <w:color w:val="auto"/>
              </w:rPr>
            </w:pPr>
            <w:r>
              <w:rPr>
                <w:rFonts w:ascii="Arial" w:cs="Arial" w:eastAsia="Arial" w:hAnsi="Arial"/>
                <w:sz w:val="18"/>
                <w:szCs w:val="18"/>
                <w:color w:val="auto"/>
              </w:rPr>
              <w:t>Tidewater Utilities, Inc.</w:t>
            </w:r>
          </w:p>
        </w:tc>
        <w:tc>
          <w:tcPr>
            <w:tcW w:w="148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Organization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5120" w:type="dxa"/>
            <w:vAlign w:val="bottom"/>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00"/>
              <w:spacing w:after="0"/>
              <w:rPr>
                <w:sz w:val="20"/>
                <w:szCs w:val="20"/>
                <w:color w:val="auto"/>
              </w:rPr>
            </w:pPr>
            <w:r>
              <w:rPr>
                <w:rFonts w:ascii="Arial" w:cs="Arial" w:eastAsia="Arial" w:hAnsi="Arial"/>
                <w:sz w:val="18"/>
                <w:szCs w:val="18"/>
                <w:color w:val="auto"/>
              </w:rPr>
              <w:t>Tidewater Environmental Services, Inc.</w:t>
            </w:r>
          </w:p>
        </w:tc>
        <w:tc>
          <w:tcPr>
            <w:tcW w:w="14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00"/>
              <w:spacing w:after="0"/>
              <w:rPr>
                <w:sz w:val="20"/>
                <w:szCs w:val="20"/>
                <w:color w:val="auto"/>
              </w:rPr>
            </w:pPr>
            <w:r>
              <w:rPr>
                <w:rFonts w:ascii="Arial" w:cs="Arial" w:eastAsia="Arial" w:hAnsi="Arial"/>
                <w:sz w:val="18"/>
                <w:szCs w:val="18"/>
                <w:color w:val="auto"/>
              </w:rPr>
              <w:t>Pinelands Water Company</w:t>
            </w:r>
          </w:p>
        </w:tc>
        <w:tc>
          <w:tcPr>
            <w:tcW w:w="14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00"/>
              <w:spacing w:after="0"/>
              <w:rPr>
                <w:sz w:val="20"/>
                <w:szCs w:val="20"/>
                <w:color w:val="auto"/>
              </w:rPr>
            </w:pPr>
            <w:r>
              <w:rPr>
                <w:rFonts w:ascii="Arial" w:cs="Arial" w:eastAsia="Arial" w:hAnsi="Arial"/>
                <w:sz w:val="18"/>
                <w:szCs w:val="18"/>
                <w:color w:val="auto"/>
              </w:rPr>
              <w:t>Pinelands Wastewater Company</w:t>
            </w:r>
          </w:p>
        </w:tc>
        <w:tc>
          <w:tcPr>
            <w:tcW w:w="14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00"/>
              <w:spacing w:after="0"/>
              <w:rPr>
                <w:sz w:val="20"/>
                <w:szCs w:val="20"/>
                <w:color w:val="auto"/>
              </w:rPr>
            </w:pPr>
            <w:r>
              <w:rPr>
                <w:rFonts w:ascii="Arial" w:cs="Arial" w:eastAsia="Arial" w:hAnsi="Arial"/>
                <w:sz w:val="18"/>
                <w:szCs w:val="18"/>
                <w:color w:val="auto"/>
              </w:rPr>
              <w:t>Utility Service Affiliates (Perth Amboy) Inc.</w:t>
            </w:r>
          </w:p>
        </w:tc>
        <w:tc>
          <w:tcPr>
            <w:tcW w:w="14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600"/>
              <w:spacing w:after="0"/>
              <w:rPr>
                <w:sz w:val="20"/>
                <w:szCs w:val="20"/>
                <w:color w:val="auto"/>
              </w:rPr>
            </w:pPr>
            <w:r>
              <w:rPr>
                <w:rFonts w:ascii="Arial" w:cs="Arial" w:eastAsia="Arial" w:hAnsi="Arial"/>
                <w:sz w:val="18"/>
                <w:szCs w:val="18"/>
                <w:color w:val="auto"/>
              </w:rPr>
              <w:t>Utility Service Affiliates, Inc.</w:t>
            </w:r>
          </w:p>
        </w:tc>
        <w:tc>
          <w:tcPr>
            <w:tcW w:w="14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600"/>
              <w:spacing w:after="0"/>
              <w:rPr>
                <w:sz w:val="20"/>
                <w:szCs w:val="20"/>
                <w:color w:val="auto"/>
              </w:rPr>
            </w:pPr>
            <w:r>
              <w:rPr>
                <w:rFonts w:ascii="Arial" w:cs="Arial" w:eastAsia="Arial" w:hAnsi="Arial"/>
                <w:sz w:val="18"/>
                <w:szCs w:val="18"/>
                <w:color w:val="auto"/>
              </w:rPr>
              <w:t>Twin Lakes Utilities, Inc.</w:t>
            </w:r>
          </w:p>
        </w:tc>
        <w:tc>
          <w:tcPr>
            <w:tcW w:w="14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4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51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We consent to the incorporation by reference in the Registration Statements on Form S-3 (File No. 333-233649) and Form S-8 (File No. 333</w:t>
      </w:r>
      <w:r>
        <w:rPr>
          <w:rFonts w:ascii="MS PGothic" w:cs="MS PGothic" w:eastAsia="MS PGothic" w:hAnsi="MS PGothic"/>
          <w:sz w:val="18"/>
          <w:szCs w:val="18"/>
          <w:color w:val="auto"/>
        </w:rPr>
        <w:t>‑</w:t>
      </w:r>
      <w:r>
        <w:rPr>
          <w:rFonts w:ascii="Arial" w:cs="Arial" w:eastAsia="Arial" w:hAnsi="Arial"/>
          <w:sz w:val="18"/>
          <w:szCs w:val="18"/>
          <w:color w:val="auto"/>
        </w:rPr>
        <w:t>156269) of Middlesex Water Company of our report dated February 27, 2020,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Lancaster,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left="10620"/>
        <w:spacing w:after="0"/>
        <w:rPr>
          <w:sz w:val="20"/>
          <w:szCs w:val="20"/>
          <w:color w:val="auto"/>
        </w:rPr>
      </w:pPr>
      <w:r>
        <w:rPr>
          <w:rFonts w:ascii="Arial" w:cs="Arial" w:eastAsia="Arial" w:hAnsi="Arial"/>
          <w:sz w:val="16"/>
          <w:szCs w:val="16"/>
          <w:b w:val="1"/>
          <w:bCs w:val="1"/>
          <w:color w:val="auto"/>
        </w:rPr>
        <w:t>Exhibit 31</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00" w:hanging="368"/>
        <w:spacing w:after="0" w:line="308" w:lineRule="auto"/>
        <w:tabs>
          <w:tab w:leader="none" w:pos="7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4"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Dennis W. Doll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7"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00" w:hanging="368"/>
        <w:spacing w:after="0" w:line="264"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00" w:hanging="368"/>
        <w:spacing w:after="0" w:line="308" w:lineRule="auto"/>
        <w:tabs>
          <w:tab w:leader="none" w:pos="7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4"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A. Bruce O’Connor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Dennis W. Doll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A. Bruce O’Connor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2"/>
    </w:lvl>
  </w:abstractNum>
  <w:abstractNum w:abstractNumId="18">
    <w:nsid w:val="419AC241"/>
    <w:multiLevelType w:val="hybridMultilevel"/>
    <w:lvl w:ilvl="0">
      <w:lvlJc w:val="left"/>
      <w:lvlText w:val="(%1)"/>
      <w:numFmt w:val="lowerLetter"/>
      <w:start w:val="5"/>
    </w:lvl>
  </w:abstractNum>
  <w:abstractNum w:abstractNumId="19">
    <w:nsid w:val="5577F8E1"/>
    <w:multiLevelType w:val="hybridMultilevel"/>
    <w:lvl w:ilvl="0">
      <w:lvlJc w:val="left"/>
      <w:lvlText w:val="(%1)"/>
      <w:numFmt w:val="lowerLetter"/>
      <w:start w:val="6"/>
    </w:lvl>
  </w:abstractNum>
  <w:abstractNum w:abstractNumId="20">
    <w:nsid w:val="440BADFC"/>
    <w:multiLevelType w:val="hybridMultilevel"/>
    <w:lvl w:ilvl="0">
      <w:lvlJc w:val="left"/>
      <w:lvlText w:val="(%1)"/>
      <w:numFmt w:val="lowerLetter"/>
      <w:start w:val="8"/>
    </w:lvl>
  </w:abstractNum>
  <w:abstractNum w:abstractNumId="21">
    <w:nsid w:val="5072367"/>
    <w:multiLevelType w:val="hybridMultilevel"/>
    <w:lvl w:ilvl="0">
      <w:lvlJc w:val="left"/>
      <w:lvlText w:val="(%1)"/>
      <w:numFmt w:val="lowerLetter"/>
      <w:start w:val="10"/>
    </w:lvl>
  </w:abstractNum>
  <w:abstractNum w:abstractNumId="22">
    <w:nsid w:val="3804823E"/>
    <w:multiLevelType w:val="hybridMultilevel"/>
    <w:lvl w:ilvl="0">
      <w:lvlJc w:val="left"/>
      <w:lvlText w:val="(%1)"/>
      <w:numFmt w:val="lowerLetter"/>
      <w:start w:val="11"/>
    </w:lvl>
  </w:abstractNum>
  <w:abstractNum w:abstractNumId="23">
    <w:nsid w:val="77465F01"/>
    <w:multiLevelType w:val="hybridMultilevel"/>
    <w:lvl w:ilvl="0">
      <w:lvlJc w:val="left"/>
      <w:lvlText w:val="(%1)"/>
      <w:numFmt w:val="lowerLetter"/>
      <w:start w:val="13"/>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upperLetter"/>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4"/>
    </w:lvl>
  </w:abstractNum>
  <w:abstractNum w:abstractNumId="33">
    <w:nsid w:val="70A64E2A"/>
    <w:multiLevelType w:val="hybridMultilevel"/>
    <w:lvl w:ilvl="0">
      <w:lvlJc w:val="left"/>
      <w:lvlText w:val="%1."/>
      <w:numFmt w:val="decimal"/>
      <w:start w:val="5"/>
    </w:lvl>
  </w:abstractNum>
  <w:abstractNum w:abstractNumId="34">
    <w:nsid w:val="6A2342EC"/>
    <w:multiLevelType w:val="hybridMultilevel"/>
    <w:lvl w:ilvl="0">
      <w:lvlJc w:val="left"/>
      <w:lvlText w:val="%1."/>
      <w:numFmt w:val="decimal"/>
      <w:start w:val="6"/>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upperLetter"/>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4"/>
    </w:lvl>
  </w:abstractNum>
  <w:abstractNum w:abstractNumId="39">
    <w:nsid w:val="57E4CCAF"/>
    <w:multiLevelType w:val="hybridMultilevel"/>
    <w:lvl w:ilvl="0">
      <w:lvlJc w:val="left"/>
      <w:lvlText w:val="%1."/>
      <w:numFmt w:val="decimal"/>
      <w:start w:val="5"/>
    </w:lvl>
  </w:abstractNum>
  <w:abstractNum w:abstractNumId="40">
    <w:nsid w:val="7A6D8D3C"/>
    <w:multiLevelType w:val="hybridMultilevel"/>
    <w:lvl w:ilvl="0">
      <w:lvlJc w:val="left"/>
      <w:lvlText w:val="%1."/>
      <w:numFmt w:val="decimal"/>
      <w:start w:val="6"/>
    </w:lvl>
  </w:abstractNum>
  <w:abstractNum w:abstractNumId="41">
    <w:nsid w:val="4B588F54"/>
    <w:multiLevelType w:val="hybridMultilevel"/>
    <w:lvl w:ilvl="0">
      <w:lvlJc w:val="left"/>
      <w:lvlText w:val="%1."/>
      <w:numFmt w:val="decimal"/>
      <w:start w:val="8"/>
    </w:lvl>
  </w:abstractNum>
  <w:abstractNum w:abstractNumId="42">
    <w:nsid w:val="542289EC"/>
    <w:multiLevelType w:val="hybridMultilevel"/>
    <w:lvl w:ilvl="0">
      <w:lvlJc w:val="left"/>
      <w:lvlText w:val="%1."/>
      <w:numFmt w:val="upp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4"/>
    </w:lvl>
  </w:abstractNum>
  <w:abstractNum w:abstractNumId="45">
    <w:nsid w:val="7644A45C"/>
    <w:multiLevelType w:val="hybridMultilevel"/>
    <w:lvl w:ilvl="0">
      <w:lvlJc w:val="left"/>
      <w:lvlText w:val="%1."/>
      <w:numFmt w:val="decimal"/>
      <w:start w:val="5"/>
    </w:lvl>
  </w:abstractNum>
  <w:abstractNum w:abstractNumId="46">
    <w:nsid w:val="32FFF902"/>
    <w:multiLevelType w:val="hybridMultilevel"/>
    <w:lvl w:ilvl="0">
      <w:lvlJc w:val="left"/>
      <w:lvlText w:val="%1."/>
      <w:numFmt w:val="decimal"/>
      <w:start w:val="6"/>
    </w:lvl>
  </w:abstractNum>
  <w:abstractNum w:abstractNumId="47">
    <w:nsid w:val="684A481A"/>
    <w:multiLevelType w:val="hybridMultilevel"/>
    <w:lvl w:ilvl="0">
      <w:lvlJc w:val="left"/>
      <w:lvlText w:val="%1."/>
      <w:numFmt w:val="decimal"/>
      <w:start w:val="8"/>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0" Type="http://schemas.openxmlformats.org/officeDocument/2006/relationships/image" Target="media/image75.png"/><Relationship Id="rId99" Type="http://schemas.openxmlformats.org/officeDocument/2006/relationships/image" Target="media/image76.png"/><Relationship Id="rId109" Type="http://schemas.openxmlformats.org/officeDocument/2006/relationships/image" Target="media/image77.png"/><Relationship Id="rId115" Type="http://schemas.openxmlformats.org/officeDocument/2006/relationships/image" Target="media/image78.png"/><Relationship Id="rId124" Type="http://schemas.openxmlformats.org/officeDocument/2006/relationships/image" Target="media/image79.png"/><Relationship Id="rId130" Type="http://schemas.openxmlformats.org/officeDocument/2006/relationships/image" Target="media/image80.png"/><Relationship Id="rId140" Type="http://schemas.openxmlformats.org/officeDocument/2006/relationships/image" Target="media/image81.png"/><Relationship Id="rId150" Type="http://schemas.openxmlformats.org/officeDocument/2006/relationships/image" Target="media/image82.png"/><Relationship Id="rId151" Type="http://schemas.openxmlformats.org/officeDocument/2006/relationships/image" Target="media/image83.png"/><Relationship Id="rId152" Type="http://schemas.openxmlformats.org/officeDocument/2006/relationships/image" Target="media/image84.png"/><Relationship Id="rId153" Type="http://schemas.openxmlformats.org/officeDocument/2006/relationships/image" Target="media/image85.png"/><Relationship Id="rId154" Type="http://schemas.openxmlformats.org/officeDocument/2006/relationships/image" Target="media/image86.png"/><Relationship Id="rId155" Type="http://schemas.openxmlformats.org/officeDocument/2006/relationships/image" Target="media/image87.png"/><Relationship Id="rId156" Type="http://schemas.openxmlformats.org/officeDocument/2006/relationships/image" Target="media/image88.png"/><Relationship Id="rId157" Type="http://schemas.openxmlformats.org/officeDocument/2006/relationships/image" Target="media/image89.png"/><Relationship Id="rId158" Type="http://schemas.openxmlformats.org/officeDocument/2006/relationships/image" Target="media/image90.png"/><Relationship Id="rId159" Type="http://schemas.openxmlformats.org/officeDocument/2006/relationships/image" Target="media/image91.png"/><Relationship Id="rId160"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82" Type="http://schemas.openxmlformats.org/officeDocument/2006/relationships/hyperlink" Target="http://www.sec.gov/Archives/edgar/data/66004/000091431799000176/0000914317-99-000176.txt" TargetMode="External"/><Relationship Id="rId83" Type="http://schemas.openxmlformats.org/officeDocument/2006/relationships/hyperlink" Target="http://www.sec.gov/Archives/edgar/data/66004/000093041398000415/0000930413-98-000415.txt" TargetMode="External"/><Relationship Id="rId84" Type="http://schemas.openxmlformats.org/officeDocument/2006/relationships/hyperlink" Target="http://www.sec.gov/Archives/edgar/data/66004/000091431704001833/ex3-3.txt" TargetMode="External"/><Relationship Id="rId85" Type="http://schemas.openxmlformats.org/officeDocument/2006/relationships/hyperlink" Target="http://www.sec.gov/Archives/edgar/data/66004/000091431704001833/ex3-4.txt" TargetMode="External"/><Relationship Id="rId86" Type="http://schemas.openxmlformats.org/officeDocument/2006/relationships/hyperlink" Target="http://www.sec.gov/Archives/edgar/data/66004/000091431704001833/ex3-5.txt" TargetMode="External"/><Relationship Id="rId87" Type="http://schemas.openxmlformats.org/officeDocument/2006/relationships/hyperlink" Target="http://www.sec.gov/Archives/edgar/data/66004/000091431710000726/ex3-1.htm" TargetMode="External"/><Relationship Id="rId88" Type="http://schemas.openxmlformats.org/officeDocument/2006/relationships/hyperlink" Target="http://www.sec.gov/Archives/edgar/data/66004/000117494719001035/ex3-1.htm" TargetMode="External"/><Relationship Id="rId89" Type="http://schemas.openxmlformats.org/officeDocument/2006/relationships/hyperlink" Target="http://www.sec.gov/Archives/edgar/data/66004/000117494719001073/ex3-1.htm" TargetMode="External"/><Relationship Id="rId91" Type="http://schemas.openxmlformats.org/officeDocument/2006/relationships/hyperlink" Target="http://www.sec.gov/Archives/edgar/data/66004/000091431710001211/ex4-10.htm" TargetMode="External"/><Relationship Id="rId92" Type="http://schemas.openxmlformats.org/officeDocument/2006/relationships/hyperlink" Target="http://www.sec.gov/Archives/edgar/data/66004/000117494717001686/ex3ii.htm" TargetMode="External"/><Relationship Id="rId93" Type="http://schemas.openxmlformats.org/officeDocument/2006/relationships/hyperlink" Target="http://www.sec.gov/Archives/edgar/data/66004/000091431706001322/ex10.txt" TargetMode="External"/><Relationship Id="rId94" Type="http://schemas.openxmlformats.org/officeDocument/2006/relationships/hyperlink" Target="http://www.sec.gov/Archives/edgar/data/66004/000091431711001422/ex10-4.htm" TargetMode="External"/><Relationship Id="rId95" Type="http://schemas.openxmlformats.org/officeDocument/2006/relationships/hyperlink" Target="http://www.sec.gov/Archives/edgar/data/66004/000091431704001197/ex10-7.txt" TargetMode="External"/><Relationship Id="rId96" Type="http://schemas.openxmlformats.org/officeDocument/2006/relationships/hyperlink" Target="http://www.sec.gov/Archives/edgar/data/66004/000117494717000294/ex10-7.htm" TargetMode="External"/><Relationship Id="rId97" Type="http://schemas.openxmlformats.org/officeDocument/2006/relationships/hyperlink" Target="http://www.sec.gov/Archives/edgar/data/66004/000091431706001322/ex10-1.txt" TargetMode="External"/><Relationship Id="rId98" Type="http://schemas.openxmlformats.org/officeDocument/2006/relationships/hyperlink" Target="http://www.sec.gov/Archives/edgar/data/66004/000117494716002165/ex10-9a.htm" TargetMode="External"/><Relationship Id="rId100" Type="http://schemas.openxmlformats.org/officeDocument/2006/relationships/hyperlink" Target="http://www.sec.gov/Archives/edgar/data/66004/000091431799000652/0000914317-99-000652.txt" TargetMode="External"/><Relationship Id="rId101" Type="http://schemas.openxmlformats.org/officeDocument/2006/relationships/hyperlink" Target="http://www.sec.gov/Archives/edgar/data/66004/000117494718000595/def14a-19332_msx.htm" TargetMode="External"/><Relationship Id="rId102" Type="http://schemas.openxmlformats.org/officeDocument/2006/relationships/hyperlink" Target="http://www.sec.gov/Archives/edgar/data/66004/000091431708003008/s8-96451_msex.htm" TargetMode="External"/><Relationship Id="rId103" Type="http://schemas.openxmlformats.org/officeDocument/2006/relationships/hyperlink" Target="http://www.sec.gov/Archives/edgar/data/66004/000091431709000646/ex10-13a.htm" TargetMode="External"/><Relationship Id="rId104" Type="http://schemas.openxmlformats.org/officeDocument/2006/relationships/hyperlink" Target="http://www.sec.gov/Archives/edgar/data/66004/000091431709000646/ex10-13b.htm" TargetMode="External"/><Relationship Id="rId105" Type="http://schemas.openxmlformats.org/officeDocument/2006/relationships/hyperlink" Target="http://www.sec.gov/Archives/edgar/data/66004/000091431712000299/ex10-13e.htm" TargetMode="External"/><Relationship Id="rId106" Type="http://schemas.openxmlformats.org/officeDocument/2006/relationships/hyperlink" Target="http://www.sec.gov/Archives/edgar/data/66004/000091431709000646/ex10-13h.htm" TargetMode="External"/><Relationship Id="rId107" Type="http://schemas.openxmlformats.org/officeDocument/2006/relationships/hyperlink" Target="http://www.sec.gov/Archives/edgar/data/66004/000091431714001038/ex10-12g.htm" TargetMode="External"/><Relationship Id="rId108" Type="http://schemas.openxmlformats.org/officeDocument/2006/relationships/hyperlink" Target="http://www.sec.gov/Archives/edgar/data/66004/000117494717000294/ex10-13a.htm" TargetMode="External"/><Relationship Id="rId110" Type="http://schemas.openxmlformats.org/officeDocument/2006/relationships/hyperlink" Target="http://www.sec.gov/Archives/edgar/data/66004/000117494718001309/ex10-16.htm" TargetMode="External"/><Relationship Id="rId111" Type="http://schemas.openxmlformats.org/officeDocument/2006/relationships/hyperlink" Target="http://www.sec.gov/Archives/edgar/data/66004/000091431700000216/0000914317-00-000216.txt" TargetMode="External"/><Relationship Id="rId112" Type="http://schemas.openxmlformats.org/officeDocument/2006/relationships/hyperlink" Target="http://www.sec.gov/Archives/edgar/data/66004/000091431702000300/ex-1022.txt" TargetMode="External"/><Relationship Id="rId113" Type="http://schemas.openxmlformats.org/officeDocument/2006/relationships/hyperlink" Target="http://www.sec.gov/Archives/edgar/data/66004/000091431705000934/ex10-26.txt" TargetMode="External"/><Relationship Id="rId114" Type="http://schemas.openxmlformats.org/officeDocument/2006/relationships/hyperlink" Target="http://www.sec.gov/Archives/edgar/data/66004/000091431705000934/ex10-27.txt" TargetMode="External"/><Relationship Id="rId116" Type="http://schemas.openxmlformats.org/officeDocument/2006/relationships/hyperlink" Target="http://www.sec.gov/Archives/edgar/data/66004/000117494715000337/ex10-23.htm" TargetMode="External"/><Relationship Id="rId117" Type="http://schemas.openxmlformats.org/officeDocument/2006/relationships/hyperlink" Target="http://www.sec.gov/Archives/edgar/data/66004/000091431706001322/ex10-2.txt" TargetMode="External"/><Relationship Id="rId118" Type="http://schemas.openxmlformats.org/officeDocument/2006/relationships/hyperlink" Target="http://www.sec.gov/Archives/edgar/data/66004/000091431707000647/ex10-30.htm" TargetMode="External"/><Relationship Id="rId119" Type="http://schemas.openxmlformats.org/officeDocument/2006/relationships/hyperlink" Target="http://www.sec.gov/Archives/edgar/data/66004/000091431707000647/ex10-31.htm" TargetMode="External"/><Relationship Id="rId120" Type="http://schemas.openxmlformats.org/officeDocument/2006/relationships/hyperlink" Target="http://www.sec.gov/Archives/edgar/data/66004/000091431708000733/ex10_33.htm" TargetMode="External"/><Relationship Id="rId121" Type="http://schemas.openxmlformats.org/officeDocument/2006/relationships/hyperlink" Target="http://www.sec.gov/Archives/edgar/data/66004/000091431709000646/ex10-34.htm" TargetMode="External"/><Relationship Id="rId122" Type="http://schemas.openxmlformats.org/officeDocument/2006/relationships/hyperlink" Target="http://www.sec.gov/Archives/edgar/data/66004/000091431709000646/ex10-35.htm" TargetMode="External"/><Relationship Id="rId123" Type="http://schemas.openxmlformats.org/officeDocument/2006/relationships/hyperlink" Target="http://www.sec.gov/Archives/edgar/data/66004/000117494719001042/form424b5_22731-msx.htm" TargetMode="External"/><Relationship Id="rId125" Type="http://schemas.openxmlformats.org/officeDocument/2006/relationships/hyperlink" Target="http://www.sec.gov/Archives/edgar/data/66004/000117494719001153/ex10-32.htm" TargetMode="External"/><Relationship Id="rId126" Type="http://schemas.openxmlformats.org/officeDocument/2006/relationships/hyperlink" Target="http://www.sec.gov/Archives/edgar/data/66004/000117494719001153/ex10-32a.htm" TargetMode="External"/><Relationship Id="rId127" Type="http://schemas.openxmlformats.org/officeDocument/2006/relationships/hyperlink" Target="http://www.sec.gov/Archives/edgar/data/66004/000117494715001595/ex10-33.htm" TargetMode="External"/><Relationship Id="rId128" Type="http://schemas.openxmlformats.org/officeDocument/2006/relationships/hyperlink" Target="http://www.sec.gov/Archives/edgar/data/66004/000117494717001474/ex10-33a.htm" TargetMode="External"/><Relationship Id="rId129" Type="http://schemas.openxmlformats.org/officeDocument/2006/relationships/hyperlink" Target="http://www.sec.gov/Archives/edgar/data/66004/000117494718001309/ex10-33_b.htm" TargetMode="External"/><Relationship Id="rId131" Type="http://schemas.openxmlformats.org/officeDocument/2006/relationships/hyperlink" Target="http://www.sec.gov/Archives/edgar/data/66004/000117494719001078/ex10-33_c.htm" TargetMode="External"/><Relationship Id="rId132" Type="http://schemas.openxmlformats.org/officeDocument/2006/relationships/hyperlink" Target="http://www.sec.gov/Archives/edgar/data/66004/000117494717000780/ex10-34.htm" TargetMode="External"/><Relationship Id="rId133" Type="http://schemas.openxmlformats.org/officeDocument/2006/relationships/hyperlink" Target="http://www.sec.gov/Archives/edgar/data/66004/000091431711000359/ex10_41.htm" TargetMode="External"/><Relationship Id="rId134" Type="http://schemas.openxmlformats.org/officeDocument/2006/relationships/hyperlink" Target="http://www.sec.gov/Archives/edgar/data/66004/000091431711000359/ex10_42.htm" TargetMode="External"/><Relationship Id="rId135" Type="http://schemas.openxmlformats.org/officeDocument/2006/relationships/hyperlink" Target="http://www.sec.gov/Archives/edgar/data/66004/000091431712001169/ex10-43.htm" TargetMode="External"/><Relationship Id="rId136" Type="http://schemas.openxmlformats.org/officeDocument/2006/relationships/hyperlink" Target="http://www.sec.gov/Archives/edgar/data/66004/000091431712001169/ex10-44.htm" TargetMode="External"/><Relationship Id="rId137" Type="http://schemas.openxmlformats.org/officeDocument/2006/relationships/hyperlink" Target="http://www.sec.gov/Archives/edgar/data/66004/000091431713000279/ex10-41.htm" TargetMode="External"/><Relationship Id="rId138" Type="http://schemas.openxmlformats.org/officeDocument/2006/relationships/hyperlink" Target="http://www.sec.gov/Archives/edgar/data/66004/000091431713001000/ex10-42.htm" TargetMode="External"/><Relationship Id="rId139" Type="http://schemas.openxmlformats.org/officeDocument/2006/relationships/hyperlink" Target="http://www.sec.gov/Archives/edgar/data/66004/000091431713001000/ex10-43.htm" TargetMode="External"/><Relationship Id="rId141" Type="http://schemas.openxmlformats.org/officeDocument/2006/relationships/hyperlink" Target="http://www.sec.gov/Archives/edgar/data/66004/000091431714001038/ex10-43.htm" TargetMode="External"/><Relationship Id="rId142" Type="http://schemas.openxmlformats.org/officeDocument/2006/relationships/hyperlink" Target="http://www.sec.gov/Archives/edgar/data/66004/000091431714001038/ex10-44.htm" TargetMode="External"/><Relationship Id="rId143" Type="http://schemas.openxmlformats.org/officeDocument/2006/relationships/hyperlink" Target="http://www.sec.gov/Archives/edgar/data/66004/000117494718000337/ex10-44.htm" TargetMode="External"/><Relationship Id="rId144" Type="http://schemas.openxmlformats.org/officeDocument/2006/relationships/hyperlink" Target="http://www.sec.gov/Archives/edgar/data/66004/000117494718000337/ex10-45.htm" TargetMode="External"/><Relationship Id="rId145" Type="http://schemas.openxmlformats.org/officeDocument/2006/relationships/hyperlink" Target="http://www.sec.gov/Archives/edgar/data/66004/000117494718001063/ex10-46.htm" TargetMode="External"/><Relationship Id="rId146" Type="http://schemas.openxmlformats.org/officeDocument/2006/relationships/hyperlink" Target="http://www.sec.gov/Archives/edgar/data/66004/000117494718001063/ex10-47.htm" TargetMode="External"/><Relationship Id="rId147" Type="http://schemas.openxmlformats.org/officeDocument/2006/relationships/hyperlink" Target="http://www.sec.gov/Archives/edgar/data/66004/000117494718001309/ex10-48.htm" TargetMode="External"/><Relationship Id="rId148" Type="http://schemas.openxmlformats.org/officeDocument/2006/relationships/hyperlink" Target="http://www.sec.gov/Archives/edgar/data/66004/000117494718001309/ex10-49.htm" TargetMode="External"/><Relationship Id="rId149" Type="http://schemas.openxmlformats.org/officeDocument/2006/relationships/hyperlink" Target="http://www.sec.gov/Archives/edgar/data/66004/000117494719001035/ex10-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2020-02-27T12:37:10Z</dcterms:created>
  <dcterms:modified xsi:type="dcterms:W3CDTF">2020-02-27T12:37:10Z</dcterms:modified>
</cp:coreProperties>
</file>