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strike w:val="false"/>
          <w:dstrike w:val="false"/>
          <w:u w:val="none"/>
          <w:effect w:val="none"/>
        </w:rPr>
      </w:pPr>
      <w:bookmarkStart w:id="0" w:name="msex-20231231.htm"/>
      <w:bookmarkStart w:id="1" w:name="ksmsex20231231"/>
      <w:bookmarkEnd w:id="0"/>
      <w:bookmarkEnd w:id="1"/>
      <w:r>
        <w:rPr>
          <w:caps w:val="false"/>
          <w:smallCaps w:val="false"/>
          <w:strike w:val="false"/>
          <w:dstrike w:val="false"/>
          <w:u w:val="none"/>
          <w:effect w:val="none"/>
        </w:rPr>
        <w:t> </w:t>
      </w:r>
    </w:p>
    <w:p>
      <w:pPr>
        <w:pStyle w:val="TextBody"/>
        <w:bidi w:val="0"/>
        <w:spacing w:before="0" w:after="0"/>
        <w:ind w:left="0" w:right="0" w:hanging="0"/>
        <w:jc w:val="center"/>
        <w:rPr>
          <w:rFonts w:ascii="Times New Roman;Times;Serif" w:hAnsi="Times New Roman;Times;Serif"/>
          <w:b/>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UNITED STATES</w:t>
      </w:r>
    </w:p>
    <w:p>
      <w:pPr>
        <w:pStyle w:val="TextBody"/>
        <w:bidi w:val="0"/>
        <w:spacing w:before="0" w:after="0"/>
        <w:ind w:left="0" w:right="0" w:hanging="0"/>
        <w:jc w:val="center"/>
        <w:rPr>
          <w:rFonts w:ascii="Times New Roman;Times;Serif" w:hAnsi="Times New Roman;Times;Serif"/>
          <w:b/>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SECURITIES AND EXCHANGE COMMISSION</w:t>
      </w:r>
    </w:p>
    <w:p>
      <w:pPr>
        <w:pStyle w:val="TextBody"/>
        <w:bidi w:val="0"/>
        <w:spacing w:before="0" w:after="0"/>
        <w:ind w:left="0" w:right="0" w:hanging="0"/>
        <w:jc w:val="center"/>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10-K</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One)</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283"/>
              <w:jc w:val="center"/>
              <w:rPr/>
            </w:pPr>
            <w:r>
              <w:rPr/>
              <w:t>☑</w:t>
            </w:r>
          </w:p>
        </w:tc>
        <w:tc>
          <w:tcPr>
            <w:tcW w:w="9975" w:type="dxa"/>
            <w:tcBorders/>
            <w:vAlign w:val="center"/>
          </w:tcPr>
          <w:p>
            <w:pPr>
              <w:pStyle w:val="TableContents"/>
              <w:bidi w:val="0"/>
              <w:spacing w:before="0" w:after="283"/>
              <w:jc w:val="left"/>
              <w:rPr/>
            </w:pPr>
            <w:r>
              <w:rPr/>
              <w:t>ANNUAL REPORT PURSUANT TO SECTION 13 OR 15(d) OF THE SECURITIES EXCHANGE ACT OF 1934</w:t>
            </w:r>
          </w:p>
        </w:tc>
      </w:tr>
    </w:tbl>
    <w:p>
      <w:pPr>
        <w:pStyle w:val="TextBody"/>
        <w:bidi w:val="0"/>
        <w:spacing w:before="0" w:after="0"/>
        <w:ind w:left="1267" w:right="0" w:hanging="1267"/>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fiscal year ended December 31, 2023</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center"/>
              <w:rPr/>
            </w:pPr>
            <w:r>
              <w:rPr/>
              <w:t>☐ </w:t>
            </w:r>
          </w:p>
        </w:tc>
        <w:tc>
          <w:tcPr>
            <w:tcW w:w="9915" w:type="dxa"/>
            <w:tcBorders/>
            <w:vAlign w:val="center"/>
          </w:tcPr>
          <w:p>
            <w:pPr>
              <w:pStyle w:val="TableContents"/>
              <w:bidi w:val="0"/>
              <w:spacing w:before="0" w:after="283"/>
              <w:jc w:val="left"/>
              <w:rPr/>
            </w:pPr>
            <w:r>
              <w:rPr/>
              <w:t>TRANSITION REPORT PURSUANT TO SECTION 13 OR 15(d) OF THE SECURITIES EXCHANGE ACT OF 1934</w:t>
            </w:r>
          </w:p>
        </w:tc>
      </w:tr>
    </w:tbl>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transition period from _________________ to ______________________</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0-422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MIDDLESEX WATER COMPANY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645" w:type="dxa"/>
        <w:jc w:val="left"/>
        <w:tblInd w:w="0" w:type="dxa"/>
        <w:tblLayout w:type="fixed"/>
        <w:tblCellMar>
          <w:top w:w="0" w:type="dxa"/>
          <w:left w:w="0" w:type="dxa"/>
          <w:bottom w:w="0" w:type="dxa"/>
          <w:right w:w="0" w:type="dxa"/>
        </w:tblCellMar>
      </w:tblPr>
      <w:tblGrid>
        <w:gridCol w:w="1925"/>
        <w:gridCol w:w="2720"/>
      </w:tblGrid>
      <w:tr>
        <w:trPr/>
        <w:tc>
          <w:tcPr>
            <w:tcW w:w="192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Jersey</w:t>
            </w:r>
          </w:p>
        </w:tc>
        <w:tc>
          <w:tcPr>
            <w:tcW w:w="27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22-1114430</w:t>
            </w:r>
          </w:p>
        </w:tc>
      </w:tr>
      <w:tr>
        <w:trPr/>
        <w:tc>
          <w:tcPr>
            <w:tcW w:w="19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of Incorporation)</w:t>
            </w:r>
          </w:p>
        </w:tc>
        <w:tc>
          <w:tcPr>
            <w:tcW w:w="27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485C Route 1 South, Suite 400, Iselin New Jersey 08830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including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(732) 634-1500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tbl>
      <w:tblPr>
        <w:tblW w:w="7695" w:type="dxa"/>
        <w:jc w:val="left"/>
        <w:tblInd w:w="0" w:type="dxa"/>
        <w:tblLayout w:type="fixed"/>
        <w:tblCellMar>
          <w:top w:w="0" w:type="dxa"/>
          <w:left w:w="0" w:type="dxa"/>
          <w:bottom w:w="0" w:type="dxa"/>
          <w:right w:w="0" w:type="dxa"/>
        </w:tblCellMar>
      </w:tblPr>
      <w:tblGrid>
        <w:gridCol w:w="2450"/>
        <w:gridCol w:w="1475"/>
        <w:gridCol w:w="3770"/>
      </w:tblGrid>
      <w:tr>
        <w:trPr/>
        <w:tc>
          <w:tcPr>
            <w:tcW w:w="2450" w:type="dxa"/>
            <w:tcBorders/>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Title of Each Class:</w:t>
            </w:r>
          </w:p>
        </w:tc>
        <w:tc>
          <w:tcPr>
            <w:tcW w:w="1475" w:type="dxa"/>
            <w:tcBorders/>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Trading Symbol:</w:t>
            </w:r>
          </w:p>
        </w:tc>
        <w:tc>
          <w:tcPr>
            <w:tcW w:w="3770" w:type="dxa"/>
            <w:tcBorders/>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Name of each exchange on which registered:</w:t>
            </w:r>
          </w:p>
        </w:tc>
      </w:tr>
      <w:tr>
        <w:trPr/>
        <w:tc>
          <w:tcPr>
            <w:tcW w:w="24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No Par Value</w:t>
            </w:r>
          </w:p>
        </w:tc>
        <w:tc>
          <w:tcPr>
            <w:tcW w:w="14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MSEX</w:t>
            </w:r>
          </w:p>
        </w:tc>
        <w:tc>
          <w:tcPr>
            <w:tcW w:w="377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NASDAQ Stock Market, LLC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12(g) of the Act: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w:t>
      </w:r>
    </w:p>
    <w:p>
      <w:pPr>
        <w:pStyle w:val="TextBody"/>
        <w:bidi w:val="0"/>
        <w:spacing w:before="120" w:after="12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a well-known seasoned issuer, as defined in Rule 405 of the Securities Act. Yes ☑    No ☐</w:t>
      </w:r>
    </w:p>
    <w:p>
      <w:pPr>
        <w:pStyle w:val="TextBody"/>
        <w:bidi w:val="0"/>
        <w:spacing w:before="0" w:after="12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not required to file reports pursuant to Section 13 or Section 15(d) of the Act. Yes ☐    No ☑</w:t>
      </w:r>
    </w:p>
    <w:p>
      <w:pPr>
        <w:pStyle w:val="TextBody"/>
        <w:bidi w:val="0"/>
        <w:spacing w:before="0" w:after="12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12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submitted electronically and posted on their corporate web site, if any, every Interactive Data File required to be submitted and posted pursuant to Rule 405 of Regulation S-T during the preceding 12 months (or for such shorter period that the registrants were required to submit and post such files). Yes ☑    No ☐</w:t>
      </w:r>
    </w:p>
    <w:p>
      <w:pPr>
        <w:pStyle w:val="TextBody"/>
        <w:bidi w:val="0"/>
        <w:spacing w:before="0" w:after="12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6510" w:type="dxa"/>
        <w:jc w:val="left"/>
        <w:tblInd w:w="0" w:type="dxa"/>
        <w:tblLayout w:type="fixed"/>
        <w:tblCellMar>
          <w:top w:w="0" w:type="dxa"/>
          <w:left w:w="0" w:type="dxa"/>
          <w:bottom w:w="0" w:type="dxa"/>
          <w:right w:w="0" w:type="dxa"/>
        </w:tblCellMar>
      </w:tblPr>
      <w:tblGrid>
        <w:gridCol w:w="2465"/>
        <w:gridCol w:w="1580"/>
        <w:gridCol w:w="2465"/>
      </w:tblGrid>
      <w:tr>
        <w:trPr/>
        <w:tc>
          <w:tcPr>
            <w:tcW w:w="2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 ☑</w:t>
            </w:r>
          </w:p>
        </w:tc>
        <w:tc>
          <w:tcPr>
            <w:tcW w:w="15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 ☐</w:t>
            </w:r>
          </w:p>
        </w:tc>
        <w:tc>
          <w:tcPr>
            <w:tcW w:w="2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Non-accelerated filer ☐</w:t>
            </w:r>
          </w:p>
        </w:tc>
      </w:tr>
      <w:tr>
        <w:trPr/>
        <w:tc>
          <w:tcPr>
            <w:tcW w:w="2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 ☐</w:t>
            </w:r>
          </w:p>
        </w:tc>
        <w:tc>
          <w:tcPr>
            <w:tcW w:w="1580" w:type="dxa"/>
            <w:tcBorders/>
            <w:vAlign w:val="center"/>
          </w:tcPr>
          <w:p>
            <w:pPr>
              <w:pStyle w:val="TableContents"/>
              <w:bidi w:val="0"/>
              <w:spacing w:before="0" w:after="283"/>
              <w:jc w:val="left"/>
              <w:rPr>
                <w:caps w:val="false"/>
                <w:smallCaps w:val="false"/>
              </w:rPr>
            </w:pPr>
            <w:r>
              <w:rPr>
                <w:caps w:val="false"/>
                <w:smallCaps w:val="false"/>
              </w:rPr>
              <w:t> </w:t>
            </w:r>
          </w:p>
        </w:tc>
        <w:tc>
          <w:tcPr>
            <w:tcW w:w="2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tc>
      </w:tr>
    </w:tbl>
    <w:p>
      <w:pPr>
        <w:pStyle w:val="TextBody"/>
        <w:bidi w:val="0"/>
        <w:spacing w:before="120" w:after="12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12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before="0" w:after="12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0" w:after="12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shell company (as defined in Rule 12b-2 of the Act).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left"/>
        <w:rPr>
          <w:caps w:val="false"/>
          <w:smallCaps w:val="false"/>
          <w:bdr w:val="single" w:sz="16" w:space="1" w:color="000000"/>
        </w:rPr>
      </w:pPr>
      <w:r>
        <w:rPr>
          <w:caps w:val="false"/>
          <w:smallCaps w:val="false"/>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12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market value of the voting stock held by non-affiliates of the registrant at June 30, 2023 was $1,395,620,526 based on the closing market price of $80.66 per share on the NASDAQ Global Select Market.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outstanding for each of the registrant's classes of common stock, as of February 29, 2024: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No par Value 17,821,670 shares outstanding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Documents Incorporated by Reference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Proxy Statement to be filed in connection with the Registrant’s Annual Meeting of Stockholders to be held on May 21, 2024, which will be filed with the Securities and Exchange Commission within 120 days of the end of our 2023 fiscal year, is incorporated by reference into Part III of this Annual Report on Form 10-K to the extent described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6" w:space="1" w:color="000000"/>
        </w:rPr>
      </w:pPr>
      <w:r>
        <w:rPr>
          <w:caps w:val="false"/>
          <w:smallCaps w:val="false"/>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MIDDLESEX WATER COMPANY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10-K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INDEX</w:t>
      </w:r>
    </w:p>
    <w:tbl>
      <w:tblPr>
        <w:tblW w:w="10205" w:type="dxa"/>
        <w:jc w:val="left"/>
        <w:tblInd w:w="0" w:type="dxa"/>
        <w:tblLayout w:type="fixed"/>
        <w:tblCellMar>
          <w:top w:w="0" w:type="dxa"/>
          <w:left w:w="0" w:type="dxa"/>
          <w:bottom w:w="0" w:type="dxa"/>
          <w:right w:w="0" w:type="dxa"/>
        </w:tblCellMar>
      </w:tblPr>
      <w:tblGrid>
        <w:gridCol w:w="814"/>
        <w:gridCol w:w="8860"/>
        <w:gridCol w:w="531"/>
      </w:tblGrid>
      <w:tr>
        <w:trPr/>
        <w:tc>
          <w:tcPr>
            <w:tcW w:w="814" w:type="dxa"/>
            <w:tcBorders/>
            <w:vAlign w:val="center"/>
          </w:tcPr>
          <w:p>
            <w:pPr>
              <w:pStyle w:val="TableContents"/>
              <w:bidi w:val="0"/>
              <w:spacing w:before="0" w:after="283"/>
              <w:jc w:val="left"/>
              <w:rPr>
                <w:caps w:val="false"/>
                <w:smallCaps w:val="false"/>
              </w:rPr>
            </w:pPr>
            <w:r>
              <w:rPr>
                <w:caps w:val="false"/>
                <w:smallCaps w:val="false"/>
              </w:rPr>
              <w:t> </w:t>
            </w:r>
          </w:p>
        </w:tc>
        <w:tc>
          <w:tcPr>
            <w:tcW w:w="8860" w:type="dxa"/>
            <w:tcBorders/>
            <w:vAlign w:val="center"/>
          </w:tcPr>
          <w:p>
            <w:pPr>
              <w:pStyle w:val="TableContents"/>
              <w:bidi w:val="0"/>
              <w:spacing w:before="0" w:after="283"/>
              <w:jc w:val="left"/>
              <w:rPr>
                <w:caps w:val="false"/>
                <w:smallCaps w:val="false"/>
              </w:rPr>
            </w:pPr>
            <w:r>
              <w:rPr>
                <w:caps w:val="false"/>
                <w:smallCaps w:val="false"/>
              </w:rPr>
              <w:t> </w:t>
            </w:r>
          </w:p>
        </w:tc>
        <w:tc>
          <w:tcPr>
            <w:tcW w:w="53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PAGE</w:t>
            </w:r>
          </w:p>
        </w:tc>
      </w:tr>
      <w:tr>
        <w:trPr/>
        <w:tc>
          <w:tcPr>
            <w:tcW w:w="9674" w:type="dxa"/>
            <w:gridSpan w:val="2"/>
            <w:tcBorders/>
            <w:vAlign w:val="center"/>
          </w:tcPr>
          <w:p>
            <w:pPr>
              <w:pStyle w:val="TableContents"/>
              <w:bidi w:val="0"/>
              <w:spacing w:before="0" w:after="283"/>
              <w:jc w:val="left"/>
              <w:rPr/>
            </w:pPr>
            <w:hyperlink w:anchor="a_001">
              <w:r>
                <w:rPr>
                  <w:rStyle w:val="InternetLink"/>
                  <w:rFonts w:ascii="Times New Roman;Times;Serif" w:hAnsi="Times New Roman;Times;Serif"/>
                  <w:b w:val="false"/>
                  <w:i w:val="false"/>
                  <w:caps w:val="false"/>
                  <w:smallCaps w:val="false"/>
                  <w:sz w:val="20"/>
                </w:rPr>
                <w:t>Forward-Looking Statements</w:t>
              </w:r>
            </w:hyperlink>
          </w:p>
        </w:tc>
        <w:tc>
          <w:tcPr>
            <w:tcW w:w="53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814" w:type="dxa"/>
            <w:tcBorders/>
            <w:vAlign w:val="center"/>
          </w:tcPr>
          <w:p>
            <w:pPr>
              <w:pStyle w:val="TableContents"/>
              <w:bidi w:val="0"/>
              <w:spacing w:before="0" w:after="283"/>
              <w:jc w:val="left"/>
              <w:rPr>
                <w:caps w:val="false"/>
                <w:smallCaps w:val="false"/>
              </w:rPr>
            </w:pPr>
            <w:r>
              <w:rPr>
                <w:caps w:val="false"/>
                <w:smallCaps w:val="false"/>
              </w:rPr>
              <w:t> </w:t>
            </w:r>
          </w:p>
        </w:tc>
        <w:tc>
          <w:tcPr>
            <w:tcW w:w="8860" w:type="dxa"/>
            <w:tcBorders/>
            <w:vAlign w:val="center"/>
          </w:tcPr>
          <w:p>
            <w:pPr>
              <w:pStyle w:val="TableContents"/>
              <w:bidi w:val="0"/>
              <w:spacing w:before="0" w:after="283"/>
              <w:jc w:val="left"/>
              <w:rPr>
                <w:caps w:val="false"/>
                <w:smallCaps w:val="false"/>
              </w:rPr>
            </w:pPr>
            <w:r>
              <w:rPr>
                <w:caps w:val="false"/>
                <w:smallCaps w:val="false"/>
              </w:rPr>
              <w:t> </w:t>
            </w:r>
          </w:p>
        </w:tc>
        <w:tc>
          <w:tcPr>
            <w:tcW w:w="531"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14" w:type="dxa"/>
            <w:tcBorders/>
            <w:vAlign w:val="center"/>
          </w:tcPr>
          <w:p>
            <w:pPr>
              <w:pStyle w:val="TableContents"/>
              <w:bidi w:val="0"/>
              <w:spacing w:before="0" w:after="283"/>
              <w:jc w:val="left"/>
              <w:rPr/>
            </w:pPr>
            <w:hyperlink w:anchor="a_002">
              <w:r>
                <w:rPr>
                  <w:rStyle w:val="InternetLink"/>
                  <w:rFonts w:ascii="Times New Roman;Times;Serif" w:hAnsi="Times New Roman;Times;Serif"/>
                  <w:b/>
                  <w:i w:val="false"/>
                  <w:caps w:val="false"/>
                  <w:smallCaps w:val="false"/>
                  <w:sz w:val="20"/>
                </w:rPr>
                <w:t>PART I</w:t>
              </w:r>
            </w:hyperlink>
          </w:p>
        </w:tc>
        <w:tc>
          <w:tcPr>
            <w:tcW w:w="8860" w:type="dxa"/>
            <w:tcBorders/>
            <w:vAlign w:val="center"/>
          </w:tcPr>
          <w:p>
            <w:pPr>
              <w:pStyle w:val="TableContents"/>
              <w:bidi w:val="0"/>
              <w:spacing w:before="0" w:after="283"/>
              <w:jc w:val="left"/>
              <w:rPr>
                <w:caps w:val="false"/>
                <w:smallCaps w:val="false"/>
              </w:rPr>
            </w:pPr>
            <w:r>
              <w:rPr>
                <w:caps w:val="false"/>
                <w:smallCaps w:val="false"/>
              </w:rPr>
              <w:t> </w:t>
            </w:r>
          </w:p>
        </w:tc>
        <w:tc>
          <w:tcPr>
            <w:tcW w:w="53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8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8860" w:type="dxa"/>
            <w:tcBorders/>
            <w:vAlign w:val="center"/>
          </w:tcPr>
          <w:p>
            <w:pPr>
              <w:pStyle w:val="TableContents"/>
              <w:bidi w:val="0"/>
              <w:spacing w:before="0" w:after="283"/>
              <w:jc w:val="left"/>
              <w:rPr/>
            </w:pPr>
            <w:hyperlink w:anchor="a_003">
              <w:r>
                <w:rPr>
                  <w:rStyle w:val="InternetLink"/>
                  <w:rFonts w:ascii="Times New Roman;Times;Serif" w:hAnsi="Times New Roman;Times;Serif"/>
                  <w:b w:val="false"/>
                  <w:i w:val="false"/>
                  <w:caps w:val="false"/>
                  <w:smallCaps w:val="false"/>
                  <w:sz w:val="20"/>
                </w:rPr>
                <w:t>Business:</w:t>
              </w:r>
            </w:hyperlink>
          </w:p>
        </w:tc>
        <w:tc>
          <w:tcPr>
            <w:tcW w:w="53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814" w:type="dxa"/>
            <w:tcBorders/>
            <w:vAlign w:val="center"/>
          </w:tcPr>
          <w:p>
            <w:pPr>
              <w:pStyle w:val="TableContents"/>
              <w:bidi w:val="0"/>
              <w:spacing w:before="0" w:after="283"/>
              <w:jc w:val="left"/>
              <w:rPr>
                <w:caps w:val="false"/>
                <w:smallCaps w:val="false"/>
              </w:rPr>
            </w:pPr>
            <w:r>
              <w:rPr>
                <w:caps w:val="false"/>
                <w:smallCaps w:val="false"/>
              </w:rPr>
              <w:t> </w:t>
            </w:r>
          </w:p>
        </w:tc>
        <w:tc>
          <w:tcPr>
            <w:tcW w:w="8860" w:type="dxa"/>
            <w:tcBorders/>
            <w:vAlign w:val="center"/>
          </w:tcPr>
          <w:p>
            <w:pPr>
              <w:pStyle w:val="TableContents"/>
              <w:bidi w:val="0"/>
              <w:spacing w:before="0" w:after="283"/>
              <w:jc w:val="left"/>
              <w:rPr/>
            </w:pPr>
            <w:hyperlink w:anchor="a_004">
              <w:r>
                <w:rPr>
                  <w:rStyle w:val="InternetLink"/>
                  <w:rFonts w:ascii="Times New Roman;Times;Serif" w:hAnsi="Times New Roman;Times;Serif"/>
                  <w:b w:val="false"/>
                  <w:i w:val="false"/>
                  <w:caps w:val="false"/>
                  <w:smallCaps w:val="false"/>
                  <w:sz w:val="20"/>
                </w:rPr>
                <w:t>Overview</w:t>
              </w:r>
            </w:hyperlink>
          </w:p>
        </w:tc>
        <w:tc>
          <w:tcPr>
            <w:tcW w:w="53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814" w:type="dxa"/>
            <w:tcBorders/>
            <w:vAlign w:val="center"/>
          </w:tcPr>
          <w:p>
            <w:pPr>
              <w:pStyle w:val="TableContents"/>
              <w:bidi w:val="0"/>
              <w:spacing w:before="0" w:after="283"/>
              <w:jc w:val="left"/>
              <w:rPr>
                <w:caps w:val="false"/>
                <w:smallCaps w:val="false"/>
              </w:rPr>
            </w:pPr>
            <w:r>
              <w:rPr>
                <w:caps w:val="false"/>
                <w:smallCaps w:val="false"/>
              </w:rPr>
              <w:t> </w:t>
            </w:r>
          </w:p>
        </w:tc>
        <w:tc>
          <w:tcPr>
            <w:tcW w:w="8860" w:type="dxa"/>
            <w:tcBorders/>
            <w:vAlign w:val="center"/>
          </w:tcPr>
          <w:p>
            <w:pPr>
              <w:pStyle w:val="TableContents"/>
              <w:bidi w:val="0"/>
              <w:spacing w:before="0" w:after="283"/>
              <w:jc w:val="left"/>
              <w:rPr/>
            </w:pPr>
            <w:hyperlink w:anchor="a_005">
              <w:r>
                <w:rPr>
                  <w:rStyle w:val="InternetLink"/>
                  <w:rFonts w:ascii="Times New Roman;Times;Serif" w:hAnsi="Times New Roman;Times;Serif"/>
                  <w:b w:val="false"/>
                  <w:i w:val="false"/>
                  <w:caps w:val="false"/>
                  <w:smallCaps w:val="false"/>
                  <w:sz w:val="20"/>
                </w:rPr>
                <w:t>Financial Information</w:t>
              </w:r>
            </w:hyperlink>
          </w:p>
        </w:tc>
        <w:tc>
          <w:tcPr>
            <w:tcW w:w="53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814" w:type="dxa"/>
            <w:tcBorders/>
            <w:vAlign w:val="center"/>
          </w:tcPr>
          <w:p>
            <w:pPr>
              <w:pStyle w:val="TableContents"/>
              <w:bidi w:val="0"/>
              <w:spacing w:before="0" w:after="283"/>
              <w:jc w:val="left"/>
              <w:rPr>
                <w:caps w:val="false"/>
                <w:smallCaps w:val="false"/>
              </w:rPr>
            </w:pPr>
            <w:r>
              <w:rPr>
                <w:caps w:val="false"/>
                <w:smallCaps w:val="false"/>
              </w:rPr>
              <w:t> </w:t>
            </w:r>
          </w:p>
        </w:tc>
        <w:tc>
          <w:tcPr>
            <w:tcW w:w="8860" w:type="dxa"/>
            <w:tcBorders/>
            <w:vAlign w:val="center"/>
          </w:tcPr>
          <w:p>
            <w:pPr>
              <w:pStyle w:val="TableContents"/>
              <w:bidi w:val="0"/>
              <w:spacing w:before="0" w:after="283"/>
              <w:jc w:val="left"/>
              <w:rPr/>
            </w:pPr>
            <w:hyperlink w:anchor="a_006">
              <w:r>
                <w:rPr>
                  <w:rStyle w:val="InternetLink"/>
                  <w:rFonts w:ascii="Times New Roman;Times;Serif" w:hAnsi="Times New Roman;Times;Serif"/>
                  <w:b w:val="false"/>
                  <w:i w:val="false"/>
                  <w:caps w:val="false"/>
                  <w:smallCaps w:val="false"/>
                  <w:sz w:val="20"/>
                </w:rPr>
                <w:t>Water Supplies and Contracts</w:t>
              </w:r>
            </w:hyperlink>
          </w:p>
        </w:tc>
        <w:tc>
          <w:tcPr>
            <w:tcW w:w="53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814" w:type="dxa"/>
            <w:tcBorders/>
            <w:vAlign w:val="center"/>
          </w:tcPr>
          <w:p>
            <w:pPr>
              <w:pStyle w:val="TableContents"/>
              <w:bidi w:val="0"/>
              <w:spacing w:before="0" w:after="283"/>
              <w:jc w:val="left"/>
              <w:rPr>
                <w:caps w:val="false"/>
                <w:smallCaps w:val="false"/>
              </w:rPr>
            </w:pPr>
            <w:r>
              <w:rPr>
                <w:caps w:val="false"/>
                <w:smallCaps w:val="false"/>
              </w:rPr>
              <w:t> </w:t>
            </w:r>
          </w:p>
        </w:tc>
        <w:tc>
          <w:tcPr>
            <w:tcW w:w="8860" w:type="dxa"/>
            <w:tcBorders/>
            <w:vAlign w:val="center"/>
          </w:tcPr>
          <w:p>
            <w:pPr>
              <w:pStyle w:val="TableContents"/>
              <w:bidi w:val="0"/>
              <w:spacing w:before="0" w:after="283"/>
              <w:jc w:val="left"/>
              <w:rPr/>
            </w:pPr>
            <w:hyperlink w:anchor="a_007">
              <w:r>
                <w:rPr>
                  <w:rStyle w:val="InternetLink"/>
                  <w:rFonts w:ascii="Times New Roman;Times;Serif" w:hAnsi="Times New Roman;Times;Serif"/>
                  <w:b w:val="false"/>
                  <w:i w:val="false"/>
                  <w:caps w:val="false"/>
                  <w:smallCaps w:val="false"/>
                  <w:sz w:val="20"/>
                </w:rPr>
                <w:t>Wastewater Facilities</w:t>
              </w:r>
            </w:hyperlink>
          </w:p>
        </w:tc>
        <w:tc>
          <w:tcPr>
            <w:tcW w:w="53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814" w:type="dxa"/>
            <w:tcBorders/>
            <w:vAlign w:val="center"/>
          </w:tcPr>
          <w:p>
            <w:pPr>
              <w:pStyle w:val="TableContents"/>
              <w:bidi w:val="0"/>
              <w:spacing w:before="0" w:after="283"/>
              <w:jc w:val="left"/>
              <w:rPr>
                <w:caps w:val="false"/>
                <w:smallCaps w:val="false"/>
              </w:rPr>
            </w:pPr>
            <w:r>
              <w:rPr>
                <w:caps w:val="false"/>
                <w:smallCaps w:val="false"/>
              </w:rPr>
              <w:t> </w:t>
            </w:r>
          </w:p>
        </w:tc>
        <w:tc>
          <w:tcPr>
            <w:tcW w:w="8860" w:type="dxa"/>
            <w:tcBorders/>
            <w:vAlign w:val="center"/>
          </w:tcPr>
          <w:p>
            <w:pPr>
              <w:pStyle w:val="TableContents"/>
              <w:bidi w:val="0"/>
              <w:spacing w:before="0" w:after="283"/>
              <w:jc w:val="left"/>
              <w:rPr/>
            </w:pPr>
            <w:hyperlink w:anchor="a_008">
              <w:r>
                <w:rPr>
                  <w:rStyle w:val="InternetLink"/>
                  <w:rFonts w:ascii="Times New Roman;Times;Serif" w:hAnsi="Times New Roman;Times;Serif"/>
                  <w:b w:val="false"/>
                  <w:i w:val="false"/>
                  <w:caps w:val="false"/>
                  <w:smallCaps w:val="false"/>
                  <w:sz w:val="20"/>
                </w:rPr>
                <w:t>Human Capital Management</w:t>
              </w:r>
            </w:hyperlink>
          </w:p>
        </w:tc>
        <w:tc>
          <w:tcPr>
            <w:tcW w:w="53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814" w:type="dxa"/>
            <w:tcBorders/>
            <w:vAlign w:val="center"/>
          </w:tcPr>
          <w:p>
            <w:pPr>
              <w:pStyle w:val="TableContents"/>
              <w:bidi w:val="0"/>
              <w:spacing w:before="0" w:after="283"/>
              <w:jc w:val="left"/>
              <w:rPr>
                <w:caps w:val="false"/>
                <w:smallCaps w:val="false"/>
              </w:rPr>
            </w:pPr>
            <w:r>
              <w:rPr>
                <w:caps w:val="false"/>
                <w:smallCaps w:val="false"/>
              </w:rPr>
              <w:t> </w:t>
            </w:r>
          </w:p>
        </w:tc>
        <w:tc>
          <w:tcPr>
            <w:tcW w:w="8860" w:type="dxa"/>
            <w:tcBorders/>
            <w:vAlign w:val="center"/>
          </w:tcPr>
          <w:p>
            <w:pPr>
              <w:pStyle w:val="TableContents"/>
              <w:bidi w:val="0"/>
              <w:spacing w:before="0" w:after="283"/>
              <w:jc w:val="left"/>
              <w:rPr/>
            </w:pPr>
            <w:hyperlink w:anchor="a_009">
              <w:r>
                <w:rPr>
                  <w:rStyle w:val="InternetLink"/>
                  <w:rFonts w:ascii="Times New Roman;Times;Serif" w:hAnsi="Times New Roman;Times;Serif"/>
                  <w:b w:val="false"/>
                  <w:i w:val="false"/>
                  <w:caps w:val="false"/>
                  <w:smallCaps w:val="false"/>
                  <w:sz w:val="20"/>
                </w:rPr>
                <w:t>Competition</w:t>
              </w:r>
            </w:hyperlink>
          </w:p>
        </w:tc>
        <w:tc>
          <w:tcPr>
            <w:tcW w:w="53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814" w:type="dxa"/>
            <w:tcBorders/>
            <w:vAlign w:val="center"/>
          </w:tcPr>
          <w:p>
            <w:pPr>
              <w:pStyle w:val="TableContents"/>
              <w:bidi w:val="0"/>
              <w:spacing w:before="0" w:after="283"/>
              <w:jc w:val="left"/>
              <w:rPr>
                <w:caps w:val="false"/>
                <w:smallCaps w:val="false"/>
              </w:rPr>
            </w:pPr>
            <w:r>
              <w:rPr>
                <w:caps w:val="false"/>
                <w:smallCaps w:val="false"/>
              </w:rPr>
              <w:t> </w:t>
            </w:r>
          </w:p>
        </w:tc>
        <w:tc>
          <w:tcPr>
            <w:tcW w:w="8860" w:type="dxa"/>
            <w:tcBorders/>
            <w:vAlign w:val="center"/>
          </w:tcPr>
          <w:p>
            <w:pPr>
              <w:pStyle w:val="TableContents"/>
              <w:bidi w:val="0"/>
              <w:spacing w:before="0" w:after="283"/>
              <w:jc w:val="left"/>
              <w:rPr/>
            </w:pPr>
            <w:hyperlink w:anchor="a_010">
              <w:r>
                <w:rPr>
                  <w:rStyle w:val="InternetLink"/>
                  <w:rFonts w:ascii="Times New Roman;Times;Serif" w:hAnsi="Times New Roman;Times;Serif"/>
                  <w:b w:val="false"/>
                  <w:i w:val="false"/>
                  <w:caps w:val="false"/>
                  <w:smallCaps w:val="false"/>
                  <w:sz w:val="20"/>
                </w:rPr>
                <w:t>Regulation</w:t>
              </w:r>
            </w:hyperlink>
          </w:p>
        </w:tc>
        <w:tc>
          <w:tcPr>
            <w:tcW w:w="53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814" w:type="dxa"/>
            <w:tcBorders/>
            <w:vAlign w:val="center"/>
          </w:tcPr>
          <w:p>
            <w:pPr>
              <w:pStyle w:val="TableContents"/>
              <w:bidi w:val="0"/>
              <w:spacing w:before="0" w:after="283"/>
              <w:jc w:val="left"/>
              <w:rPr>
                <w:caps w:val="false"/>
                <w:smallCaps w:val="false"/>
              </w:rPr>
            </w:pPr>
            <w:r>
              <w:rPr>
                <w:caps w:val="false"/>
                <w:smallCaps w:val="false"/>
              </w:rPr>
              <w:t> </w:t>
            </w:r>
          </w:p>
        </w:tc>
        <w:tc>
          <w:tcPr>
            <w:tcW w:w="8860" w:type="dxa"/>
            <w:tcBorders/>
            <w:vAlign w:val="center"/>
          </w:tcPr>
          <w:p>
            <w:pPr>
              <w:pStyle w:val="TableContents"/>
              <w:bidi w:val="0"/>
              <w:spacing w:before="0" w:after="283"/>
              <w:jc w:val="left"/>
              <w:rPr/>
            </w:pPr>
            <w:hyperlink w:anchor="a_011">
              <w:r>
                <w:rPr>
                  <w:rStyle w:val="InternetLink"/>
                  <w:rFonts w:ascii="Times New Roman;Times;Serif" w:hAnsi="Times New Roman;Times;Serif"/>
                  <w:b w:val="false"/>
                  <w:i w:val="false"/>
                  <w:caps w:val="false"/>
                  <w:smallCaps w:val="false"/>
                  <w:sz w:val="20"/>
                </w:rPr>
                <w:t>Seasonality</w:t>
              </w:r>
            </w:hyperlink>
          </w:p>
        </w:tc>
        <w:tc>
          <w:tcPr>
            <w:tcW w:w="53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814" w:type="dxa"/>
            <w:tcBorders/>
            <w:vAlign w:val="center"/>
          </w:tcPr>
          <w:p>
            <w:pPr>
              <w:pStyle w:val="TableContents"/>
              <w:bidi w:val="0"/>
              <w:spacing w:before="0" w:after="283"/>
              <w:jc w:val="left"/>
              <w:rPr>
                <w:caps w:val="false"/>
                <w:smallCaps w:val="false"/>
              </w:rPr>
            </w:pPr>
            <w:r>
              <w:rPr>
                <w:caps w:val="false"/>
                <w:smallCaps w:val="false"/>
              </w:rPr>
              <w:t> </w:t>
            </w:r>
          </w:p>
        </w:tc>
        <w:tc>
          <w:tcPr>
            <w:tcW w:w="8860" w:type="dxa"/>
            <w:tcBorders/>
            <w:vAlign w:val="center"/>
          </w:tcPr>
          <w:p>
            <w:pPr>
              <w:pStyle w:val="TableContents"/>
              <w:bidi w:val="0"/>
              <w:spacing w:before="0" w:after="283"/>
              <w:jc w:val="left"/>
              <w:rPr/>
            </w:pPr>
            <w:hyperlink w:anchor="a_012">
              <w:r>
                <w:rPr>
                  <w:rStyle w:val="InternetLink"/>
                  <w:rFonts w:ascii="Times New Roman;Times;Serif" w:hAnsi="Times New Roman;Times;Serif"/>
                  <w:b w:val="false"/>
                  <w:i w:val="false"/>
                  <w:caps w:val="false"/>
                  <w:smallCaps w:val="false"/>
                  <w:sz w:val="20"/>
                </w:rPr>
                <w:t>Management</w:t>
              </w:r>
            </w:hyperlink>
          </w:p>
        </w:tc>
        <w:tc>
          <w:tcPr>
            <w:tcW w:w="53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8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1A.</w:t>
            </w:r>
          </w:p>
        </w:tc>
        <w:tc>
          <w:tcPr>
            <w:tcW w:w="8860" w:type="dxa"/>
            <w:tcBorders/>
            <w:vAlign w:val="center"/>
          </w:tcPr>
          <w:p>
            <w:pPr>
              <w:pStyle w:val="TableContents"/>
              <w:bidi w:val="0"/>
              <w:spacing w:before="0" w:after="283"/>
              <w:jc w:val="left"/>
              <w:rPr/>
            </w:pPr>
            <w:hyperlink w:anchor="a_013">
              <w:r>
                <w:rPr>
                  <w:rStyle w:val="InternetLink"/>
                  <w:rFonts w:ascii="Times New Roman;Times;Serif" w:hAnsi="Times New Roman;Times;Serif"/>
                  <w:b w:val="false"/>
                  <w:i w:val="false"/>
                  <w:caps w:val="false"/>
                  <w:smallCaps w:val="false"/>
                  <w:sz w:val="20"/>
                </w:rPr>
                <w:t>Risk Factors</w:t>
              </w:r>
            </w:hyperlink>
          </w:p>
        </w:tc>
        <w:tc>
          <w:tcPr>
            <w:tcW w:w="53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814" w:type="dxa"/>
            <w:tcBorders/>
            <w:vAlign w:val="center"/>
          </w:tcPr>
          <w:p>
            <w:pPr>
              <w:pStyle w:val="TableContents"/>
              <w:bidi w:val="0"/>
              <w:spacing w:before="0" w:after="283"/>
              <w:ind w:left="0" w:right="0" w:hanging="27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1B.</w:t>
            </w:r>
          </w:p>
        </w:tc>
        <w:tc>
          <w:tcPr>
            <w:tcW w:w="8860" w:type="dxa"/>
            <w:tcBorders/>
            <w:vAlign w:val="center"/>
          </w:tcPr>
          <w:p>
            <w:pPr>
              <w:pStyle w:val="TableContents"/>
              <w:bidi w:val="0"/>
              <w:spacing w:before="0" w:after="283"/>
              <w:jc w:val="left"/>
              <w:rPr/>
            </w:pPr>
            <w:hyperlink w:anchor="a_014">
              <w:r>
                <w:rPr>
                  <w:rStyle w:val="InternetLink"/>
                  <w:rFonts w:ascii="Times New Roman;Times;Serif" w:hAnsi="Times New Roman;Times;Serif"/>
                  <w:b w:val="false"/>
                  <w:i w:val="false"/>
                  <w:caps w:val="false"/>
                  <w:smallCaps w:val="false"/>
                  <w:sz w:val="20"/>
                </w:rPr>
                <w:t>Unresolved Staff Comments</w:t>
              </w:r>
            </w:hyperlink>
          </w:p>
        </w:tc>
        <w:tc>
          <w:tcPr>
            <w:tcW w:w="53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814" w:type="dxa"/>
            <w:tcBorders/>
            <w:vAlign w:val="center"/>
          </w:tcPr>
          <w:p>
            <w:pPr>
              <w:pStyle w:val="TableContents"/>
              <w:bidi w:val="0"/>
              <w:spacing w:before="0" w:after="283"/>
              <w:ind w:left="0" w:right="0" w:hanging="27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1C.</w:t>
            </w:r>
          </w:p>
        </w:tc>
        <w:tc>
          <w:tcPr>
            <w:tcW w:w="8860" w:type="dxa"/>
            <w:tcBorders/>
            <w:vAlign w:val="center"/>
          </w:tcPr>
          <w:p>
            <w:pPr>
              <w:pStyle w:val="TableContents"/>
              <w:bidi w:val="0"/>
              <w:spacing w:before="0" w:after="283"/>
              <w:jc w:val="left"/>
              <w:rPr/>
            </w:pPr>
            <w:hyperlink w:anchor="a_015">
              <w:r>
                <w:rPr>
                  <w:rStyle w:val="InternetLink"/>
                  <w:rFonts w:ascii="Times New Roman;Times;Serif" w:hAnsi="Times New Roman;Times;Serif"/>
                  <w:b w:val="false"/>
                  <w:i w:val="false"/>
                  <w:caps w:val="false"/>
                  <w:smallCaps w:val="false"/>
                  <w:sz w:val="20"/>
                </w:rPr>
                <w:t>Cybersecurity</w:t>
              </w:r>
            </w:hyperlink>
          </w:p>
        </w:tc>
        <w:tc>
          <w:tcPr>
            <w:tcW w:w="53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814" w:type="dxa"/>
            <w:tcBorders/>
            <w:vAlign w:val="center"/>
          </w:tcPr>
          <w:p>
            <w:pPr>
              <w:pStyle w:val="TableContents"/>
              <w:bidi w:val="0"/>
              <w:spacing w:before="0" w:after="283"/>
              <w:ind w:left="0" w:right="0" w:hanging="27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w:t>
            </w:r>
          </w:p>
        </w:tc>
        <w:tc>
          <w:tcPr>
            <w:tcW w:w="8860" w:type="dxa"/>
            <w:tcBorders/>
            <w:vAlign w:val="center"/>
          </w:tcPr>
          <w:p>
            <w:pPr>
              <w:pStyle w:val="TableContents"/>
              <w:bidi w:val="0"/>
              <w:spacing w:before="0" w:after="283"/>
              <w:jc w:val="left"/>
              <w:rPr/>
            </w:pPr>
            <w:hyperlink w:anchor="a_016">
              <w:r>
                <w:rPr>
                  <w:rStyle w:val="InternetLink"/>
                  <w:rFonts w:ascii="Times New Roman;Times;Serif" w:hAnsi="Times New Roman;Times;Serif"/>
                  <w:b w:val="false"/>
                  <w:i w:val="false"/>
                  <w:caps w:val="false"/>
                  <w:smallCaps w:val="false"/>
                  <w:sz w:val="20"/>
                </w:rPr>
                <w:t>Properties</w:t>
              </w:r>
            </w:hyperlink>
          </w:p>
        </w:tc>
        <w:tc>
          <w:tcPr>
            <w:tcW w:w="53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814" w:type="dxa"/>
            <w:tcBorders/>
            <w:vAlign w:val="center"/>
          </w:tcPr>
          <w:p>
            <w:pPr>
              <w:pStyle w:val="TableContents"/>
              <w:bidi w:val="0"/>
              <w:spacing w:before="0" w:after="283"/>
              <w:ind w:left="0" w:right="0" w:hanging="27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w:t>
            </w:r>
          </w:p>
        </w:tc>
        <w:tc>
          <w:tcPr>
            <w:tcW w:w="8860" w:type="dxa"/>
            <w:tcBorders/>
            <w:vAlign w:val="center"/>
          </w:tcPr>
          <w:p>
            <w:pPr>
              <w:pStyle w:val="TableContents"/>
              <w:bidi w:val="0"/>
              <w:spacing w:before="0" w:after="283"/>
              <w:jc w:val="left"/>
              <w:rPr/>
            </w:pPr>
            <w:hyperlink w:anchor="a_017">
              <w:r>
                <w:rPr>
                  <w:rStyle w:val="InternetLink"/>
                  <w:rFonts w:ascii="Times New Roman;Times;Serif" w:hAnsi="Times New Roman;Times;Serif"/>
                  <w:b w:val="false"/>
                  <w:i w:val="false"/>
                  <w:caps w:val="false"/>
                  <w:smallCaps w:val="false"/>
                  <w:sz w:val="20"/>
                </w:rPr>
                <w:t>Legal Proceedings</w:t>
              </w:r>
            </w:hyperlink>
          </w:p>
        </w:tc>
        <w:tc>
          <w:tcPr>
            <w:tcW w:w="53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814" w:type="dxa"/>
            <w:tcBorders/>
            <w:vAlign w:val="center"/>
          </w:tcPr>
          <w:p>
            <w:pPr>
              <w:pStyle w:val="TableContents"/>
              <w:bidi w:val="0"/>
              <w:spacing w:before="0" w:after="283"/>
              <w:ind w:left="0" w:right="0" w:hanging="27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p>
        </w:tc>
        <w:tc>
          <w:tcPr>
            <w:tcW w:w="8860" w:type="dxa"/>
            <w:tcBorders/>
            <w:vAlign w:val="center"/>
          </w:tcPr>
          <w:p>
            <w:pPr>
              <w:pStyle w:val="TableContents"/>
              <w:bidi w:val="0"/>
              <w:spacing w:before="0" w:after="283"/>
              <w:jc w:val="left"/>
              <w:rPr/>
            </w:pPr>
            <w:hyperlink w:anchor="a_018">
              <w:r>
                <w:rPr>
                  <w:rStyle w:val="InternetLink"/>
                  <w:rFonts w:ascii="Times New Roman;Times;Serif" w:hAnsi="Times New Roman;Times;Serif"/>
                  <w:b w:val="false"/>
                  <w:i w:val="false"/>
                  <w:caps w:val="false"/>
                  <w:smallCaps w:val="false"/>
                  <w:sz w:val="20"/>
                </w:rPr>
                <w:t>Mine Safety Disclosures</w:t>
              </w:r>
            </w:hyperlink>
          </w:p>
        </w:tc>
        <w:tc>
          <w:tcPr>
            <w:tcW w:w="53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814" w:type="dxa"/>
            <w:tcBorders/>
            <w:vAlign w:val="center"/>
          </w:tcPr>
          <w:p>
            <w:pPr>
              <w:pStyle w:val="TableContents"/>
              <w:bidi w:val="0"/>
              <w:spacing w:before="0" w:after="283"/>
              <w:ind w:left="0" w:right="0" w:hanging="270"/>
              <w:jc w:val="left"/>
              <w:rPr>
                <w:caps w:val="false"/>
                <w:smallCaps w:val="false"/>
              </w:rPr>
            </w:pPr>
            <w:r>
              <w:rPr>
                <w:caps w:val="false"/>
                <w:smallCaps w:val="false"/>
              </w:rPr>
              <w:t> </w:t>
            </w:r>
          </w:p>
        </w:tc>
        <w:tc>
          <w:tcPr>
            <w:tcW w:w="8860" w:type="dxa"/>
            <w:tcBorders/>
            <w:vAlign w:val="center"/>
          </w:tcPr>
          <w:p>
            <w:pPr>
              <w:pStyle w:val="TableContents"/>
              <w:bidi w:val="0"/>
              <w:spacing w:before="0" w:after="283"/>
              <w:jc w:val="left"/>
              <w:rPr>
                <w:caps w:val="false"/>
                <w:smallCaps w:val="false"/>
              </w:rPr>
            </w:pPr>
            <w:r>
              <w:rPr>
                <w:caps w:val="false"/>
                <w:smallCaps w:val="false"/>
              </w:rPr>
              <w:t> </w:t>
            </w:r>
          </w:p>
        </w:tc>
        <w:tc>
          <w:tcPr>
            <w:tcW w:w="531"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14" w:type="dxa"/>
            <w:tcBorders/>
            <w:vAlign w:val="center"/>
          </w:tcPr>
          <w:p>
            <w:pPr>
              <w:pStyle w:val="TableContents"/>
              <w:bidi w:val="0"/>
              <w:spacing w:before="0" w:after="283"/>
              <w:ind w:left="0" w:right="0" w:hanging="270"/>
              <w:jc w:val="left"/>
              <w:rPr/>
            </w:pPr>
            <w:hyperlink w:anchor="a_019">
              <w:r>
                <w:rPr>
                  <w:rStyle w:val="InternetLink"/>
                  <w:rFonts w:ascii="Times New Roman;Times;Serif" w:hAnsi="Times New Roman;Times;Serif"/>
                  <w:b/>
                  <w:i w:val="false"/>
                  <w:caps w:val="false"/>
                  <w:smallCaps w:val="false"/>
                  <w:sz w:val="20"/>
                </w:rPr>
                <w:t>PART II</w:t>
              </w:r>
            </w:hyperlink>
          </w:p>
        </w:tc>
        <w:tc>
          <w:tcPr>
            <w:tcW w:w="8860" w:type="dxa"/>
            <w:tcBorders/>
            <w:vAlign w:val="center"/>
          </w:tcPr>
          <w:p>
            <w:pPr>
              <w:pStyle w:val="TableContents"/>
              <w:bidi w:val="0"/>
              <w:spacing w:before="0" w:after="283"/>
              <w:jc w:val="left"/>
              <w:rPr>
                <w:caps w:val="false"/>
                <w:smallCaps w:val="false"/>
              </w:rPr>
            </w:pPr>
            <w:r>
              <w:rPr>
                <w:caps w:val="false"/>
                <w:smallCaps w:val="false"/>
              </w:rPr>
              <w:t> </w:t>
            </w:r>
          </w:p>
        </w:tc>
        <w:tc>
          <w:tcPr>
            <w:tcW w:w="53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814" w:type="dxa"/>
            <w:tcBorders/>
            <w:vAlign w:val="center"/>
          </w:tcPr>
          <w:p>
            <w:pPr>
              <w:pStyle w:val="TableContents"/>
              <w:bidi w:val="0"/>
              <w:spacing w:before="0" w:after="283"/>
              <w:ind w:left="0" w:right="0" w:hanging="27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5.</w:t>
            </w:r>
          </w:p>
        </w:tc>
        <w:tc>
          <w:tcPr>
            <w:tcW w:w="8860" w:type="dxa"/>
            <w:tcBorders/>
            <w:vAlign w:val="center"/>
          </w:tcPr>
          <w:p>
            <w:pPr>
              <w:pStyle w:val="TableContents"/>
              <w:bidi w:val="0"/>
              <w:spacing w:before="0" w:after="283"/>
              <w:jc w:val="left"/>
              <w:rPr/>
            </w:pPr>
            <w:hyperlink w:anchor="a_020">
              <w:r>
                <w:rPr>
                  <w:rStyle w:val="InternetLink"/>
                  <w:rFonts w:ascii="Times New Roman;Times;Serif" w:hAnsi="Times New Roman;Times;Serif"/>
                  <w:b w:val="false"/>
                  <w:i w:val="false"/>
                  <w:caps w:val="false"/>
                  <w:smallCaps w:val="false"/>
                  <w:sz w:val="20"/>
                </w:rPr>
                <w:t>Market for the Registrant's Common Equity, Related Stockholder Matters and Issuer Purchases of Equity Securities</w:t>
              </w:r>
            </w:hyperlink>
          </w:p>
        </w:tc>
        <w:tc>
          <w:tcPr>
            <w:tcW w:w="53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814" w:type="dxa"/>
            <w:tcBorders/>
            <w:vAlign w:val="center"/>
          </w:tcPr>
          <w:p>
            <w:pPr>
              <w:pStyle w:val="TableContents"/>
              <w:bidi w:val="0"/>
              <w:spacing w:before="0" w:after="283"/>
              <w:ind w:left="0" w:right="0" w:hanging="27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6.</w:t>
            </w:r>
          </w:p>
        </w:tc>
        <w:tc>
          <w:tcPr>
            <w:tcW w:w="8860" w:type="dxa"/>
            <w:tcBorders/>
            <w:vAlign w:val="center"/>
          </w:tcPr>
          <w:p>
            <w:pPr>
              <w:pStyle w:val="TableContents"/>
              <w:bidi w:val="0"/>
              <w:spacing w:before="0" w:after="283"/>
              <w:jc w:val="left"/>
              <w:rPr/>
            </w:pPr>
            <w:hyperlink w:anchor="a_021">
              <w:r>
                <w:rPr>
                  <w:rStyle w:val="InternetLink"/>
                  <w:rFonts w:ascii="Times New Roman;Times;Serif" w:hAnsi="Times New Roman;Times;Serif"/>
                  <w:b w:val="false"/>
                  <w:i w:val="false"/>
                  <w:caps w:val="false"/>
                  <w:smallCaps w:val="false"/>
                  <w:sz w:val="20"/>
                </w:rPr>
                <w:t>[Reserved]</w:t>
              </w:r>
            </w:hyperlink>
          </w:p>
        </w:tc>
        <w:tc>
          <w:tcPr>
            <w:tcW w:w="53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814" w:type="dxa"/>
            <w:tcBorders/>
            <w:vAlign w:val="center"/>
          </w:tcPr>
          <w:p>
            <w:pPr>
              <w:pStyle w:val="TableContents"/>
              <w:bidi w:val="0"/>
              <w:spacing w:before="0" w:after="283"/>
              <w:ind w:left="0" w:right="0" w:hanging="27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7.</w:t>
            </w:r>
          </w:p>
        </w:tc>
        <w:tc>
          <w:tcPr>
            <w:tcW w:w="8860" w:type="dxa"/>
            <w:tcBorders/>
            <w:vAlign w:val="center"/>
          </w:tcPr>
          <w:p>
            <w:pPr>
              <w:pStyle w:val="TableContents"/>
              <w:bidi w:val="0"/>
              <w:spacing w:before="0" w:after="283"/>
              <w:jc w:val="left"/>
              <w:rPr/>
            </w:pPr>
            <w:hyperlink w:anchor="a_022">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53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814" w:type="dxa"/>
            <w:tcBorders/>
            <w:vAlign w:val="center"/>
          </w:tcPr>
          <w:p>
            <w:pPr>
              <w:pStyle w:val="TableContents"/>
              <w:bidi w:val="0"/>
              <w:spacing w:before="0" w:after="283"/>
              <w:ind w:left="0" w:right="0" w:hanging="27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7A.</w:t>
            </w:r>
          </w:p>
        </w:tc>
        <w:tc>
          <w:tcPr>
            <w:tcW w:w="8860" w:type="dxa"/>
            <w:tcBorders/>
            <w:vAlign w:val="center"/>
          </w:tcPr>
          <w:p>
            <w:pPr>
              <w:pStyle w:val="TableContents"/>
              <w:bidi w:val="0"/>
              <w:spacing w:before="0" w:after="283"/>
              <w:jc w:val="left"/>
              <w:rPr/>
            </w:pPr>
            <w:hyperlink w:anchor="a_023">
              <w:r>
                <w:rPr>
                  <w:rStyle w:val="InternetLink"/>
                  <w:rFonts w:ascii="Times New Roman;Times;Serif" w:hAnsi="Times New Roman;Times;Serif"/>
                  <w:b w:val="false"/>
                  <w:i w:val="false"/>
                  <w:caps w:val="false"/>
                  <w:smallCaps w:val="false"/>
                  <w:sz w:val="20"/>
                </w:rPr>
                <w:t>Qualitative and Quantitative Disclosure About Market Risk</w:t>
              </w:r>
            </w:hyperlink>
          </w:p>
        </w:tc>
        <w:tc>
          <w:tcPr>
            <w:tcW w:w="53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r>
      <w:tr>
        <w:trPr/>
        <w:tc>
          <w:tcPr>
            <w:tcW w:w="814" w:type="dxa"/>
            <w:tcBorders/>
            <w:vAlign w:val="center"/>
          </w:tcPr>
          <w:p>
            <w:pPr>
              <w:pStyle w:val="TableContents"/>
              <w:bidi w:val="0"/>
              <w:spacing w:before="0" w:after="283"/>
              <w:ind w:left="0" w:right="0" w:hanging="27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8.</w:t>
            </w:r>
          </w:p>
        </w:tc>
        <w:tc>
          <w:tcPr>
            <w:tcW w:w="8860" w:type="dxa"/>
            <w:tcBorders/>
            <w:vAlign w:val="center"/>
          </w:tcPr>
          <w:p>
            <w:pPr>
              <w:pStyle w:val="TableContents"/>
              <w:bidi w:val="0"/>
              <w:spacing w:before="0" w:after="283"/>
              <w:jc w:val="left"/>
              <w:rPr/>
            </w:pPr>
            <w:hyperlink w:anchor="a_024">
              <w:r>
                <w:rPr>
                  <w:rStyle w:val="InternetLink"/>
                  <w:rFonts w:ascii="Times New Roman;Times;Serif" w:hAnsi="Times New Roman;Times;Serif"/>
                  <w:b w:val="false"/>
                  <w:i w:val="false"/>
                  <w:caps w:val="false"/>
                  <w:smallCaps w:val="false"/>
                  <w:sz w:val="20"/>
                </w:rPr>
                <w:t>Financial Statements and Supplementary Data</w:t>
              </w:r>
            </w:hyperlink>
          </w:p>
        </w:tc>
        <w:tc>
          <w:tcPr>
            <w:tcW w:w="53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r>
      <w:tr>
        <w:trPr/>
        <w:tc>
          <w:tcPr>
            <w:tcW w:w="814" w:type="dxa"/>
            <w:tcBorders/>
            <w:vAlign w:val="center"/>
          </w:tcPr>
          <w:p>
            <w:pPr>
              <w:pStyle w:val="TableContents"/>
              <w:bidi w:val="0"/>
              <w:spacing w:before="0" w:after="283"/>
              <w:ind w:left="0" w:right="0" w:hanging="27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9.</w:t>
            </w:r>
          </w:p>
        </w:tc>
        <w:tc>
          <w:tcPr>
            <w:tcW w:w="8860" w:type="dxa"/>
            <w:tcBorders/>
            <w:vAlign w:val="center"/>
          </w:tcPr>
          <w:p>
            <w:pPr>
              <w:pStyle w:val="TableContents"/>
              <w:bidi w:val="0"/>
              <w:spacing w:before="0" w:after="283"/>
              <w:jc w:val="left"/>
              <w:rPr/>
            </w:pPr>
            <w:hyperlink w:anchor="a_025">
              <w:r>
                <w:rPr>
                  <w:rStyle w:val="InternetLink"/>
                  <w:rFonts w:ascii="Times New Roman;Times;Serif" w:hAnsi="Times New Roman;Times;Serif"/>
                  <w:b w:val="false"/>
                  <w:i w:val="false"/>
                  <w:caps w:val="false"/>
                  <w:smallCaps w:val="false"/>
                  <w:sz w:val="20"/>
                </w:rPr>
                <w:t>Changes in and Disagreements with Accountants on Accounting and Financial Disclosure</w:t>
              </w:r>
            </w:hyperlink>
          </w:p>
        </w:tc>
        <w:tc>
          <w:tcPr>
            <w:tcW w:w="53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r>
      <w:tr>
        <w:trPr/>
        <w:tc>
          <w:tcPr>
            <w:tcW w:w="814" w:type="dxa"/>
            <w:tcBorders/>
            <w:vAlign w:val="center"/>
          </w:tcPr>
          <w:p>
            <w:pPr>
              <w:pStyle w:val="TableContents"/>
              <w:bidi w:val="0"/>
              <w:spacing w:before="0" w:after="283"/>
              <w:ind w:left="0" w:right="0" w:hanging="27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9A.</w:t>
            </w:r>
          </w:p>
        </w:tc>
        <w:tc>
          <w:tcPr>
            <w:tcW w:w="8860" w:type="dxa"/>
            <w:tcBorders/>
            <w:vAlign w:val="center"/>
          </w:tcPr>
          <w:p>
            <w:pPr>
              <w:pStyle w:val="TableContents"/>
              <w:bidi w:val="0"/>
              <w:spacing w:before="0" w:after="283"/>
              <w:jc w:val="left"/>
              <w:rPr/>
            </w:pPr>
            <w:hyperlink w:anchor="a_026">
              <w:r>
                <w:rPr>
                  <w:rStyle w:val="InternetLink"/>
                  <w:rFonts w:ascii="Times New Roman;Times;Serif" w:hAnsi="Times New Roman;Times;Serif"/>
                  <w:b w:val="false"/>
                  <w:i w:val="false"/>
                  <w:caps w:val="false"/>
                  <w:smallCaps w:val="false"/>
                  <w:sz w:val="20"/>
                </w:rPr>
                <w:t>Controls and Procedures</w:t>
              </w:r>
            </w:hyperlink>
          </w:p>
        </w:tc>
        <w:tc>
          <w:tcPr>
            <w:tcW w:w="53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r>
      <w:tr>
        <w:trPr/>
        <w:tc>
          <w:tcPr>
            <w:tcW w:w="814" w:type="dxa"/>
            <w:tcBorders/>
            <w:vAlign w:val="center"/>
          </w:tcPr>
          <w:p>
            <w:pPr>
              <w:pStyle w:val="TableContents"/>
              <w:bidi w:val="0"/>
              <w:spacing w:before="0" w:after="283"/>
              <w:ind w:left="0" w:right="0" w:hanging="27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9B.</w:t>
            </w:r>
          </w:p>
        </w:tc>
        <w:tc>
          <w:tcPr>
            <w:tcW w:w="8860" w:type="dxa"/>
            <w:tcBorders/>
            <w:vAlign w:val="center"/>
          </w:tcPr>
          <w:p>
            <w:pPr>
              <w:pStyle w:val="TableContents"/>
              <w:bidi w:val="0"/>
              <w:spacing w:before="0" w:after="283"/>
              <w:jc w:val="left"/>
              <w:rPr/>
            </w:pPr>
            <w:hyperlink w:anchor="a_027">
              <w:r>
                <w:rPr>
                  <w:rStyle w:val="InternetLink"/>
                  <w:rFonts w:ascii="Times New Roman;Times;Serif" w:hAnsi="Times New Roman;Times;Serif"/>
                  <w:b w:val="false"/>
                  <w:i w:val="false"/>
                  <w:caps w:val="false"/>
                  <w:smallCaps w:val="false"/>
                  <w:sz w:val="20"/>
                </w:rPr>
                <w:t>Other Information</w:t>
              </w:r>
            </w:hyperlink>
          </w:p>
        </w:tc>
        <w:tc>
          <w:tcPr>
            <w:tcW w:w="53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w:t>
            </w:r>
          </w:p>
        </w:tc>
      </w:tr>
      <w:tr>
        <w:trPr/>
        <w:tc>
          <w:tcPr>
            <w:tcW w:w="814" w:type="dxa"/>
            <w:tcBorders/>
            <w:vAlign w:val="center"/>
          </w:tcPr>
          <w:p>
            <w:pPr>
              <w:pStyle w:val="TableContents"/>
              <w:bidi w:val="0"/>
              <w:spacing w:before="0" w:after="283"/>
              <w:ind w:left="0" w:right="0" w:hanging="27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9C.</w:t>
            </w:r>
          </w:p>
        </w:tc>
        <w:tc>
          <w:tcPr>
            <w:tcW w:w="8860" w:type="dxa"/>
            <w:tcBorders/>
            <w:vAlign w:val="center"/>
          </w:tcPr>
          <w:p>
            <w:pPr>
              <w:pStyle w:val="TableContents"/>
              <w:bidi w:val="0"/>
              <w:spacing w:before="0" w:after="283"/>
              <w:jc w:val="left"/>
              <w:rPr/>
            </w:pPr>
            <w:hyperlink w:anchor="a_028">
              <w:r>
                <w:rPr>
                  <w:rStyle w:val="InternetLink"/>
                  <w:rFonts w:ascii="Times New Roman;Times;Serif" w:hAnsi="Times New Roman;Times;Serif"/>
                  <w:b w:val="false"/>
                  <w:i w:val="false"/>
                  <w:caps w:val="false"/>
                  <w:smallCaps w:val="false"/>
                  <w:sz w:val="20"/>
                </w:rPr>
                <w:t>Disclosure Regarding Foreign Jurisdictions that Prevent Inspections</w:t>
              </w:r>
            </w:hyperlink>
          </w:p>
        </w:tc>
        <w:tc>
          <w:tcPr>
            <w:tcW w:w="53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w:t>
            </w:r>
          </w:p>
        </w:tc>
      </w:tr>
      <w:tr>
        <w:trPr/>
        <w:tc>
          <w:tcPr>
            <w:tcW w:w="814" w:type="dxa"/>
            <w:tcBorders/>
            <w:vAlign w:val="center"/>
          </w:tcPr>
          <w:p>
            <w:pPr>
              <w:pStyle w:val="TableContents"/>
              <w:bidi w:val="0"/>
              <w:spacing w:before="0" w:after="283"/>
              <w:ind w:left="0" w:right="0" w:hanging="270"/>
              <w:jc w:val="left"/>
              <w:rPr>
                <w:caps w:val="false"/>
                <w:smallCaps w:val="false"/>
              </w:rPr>
            </w:pPr>
            <w:r>
              <w:rPr>
                <w:caps w:val="false"/>
                <w:smallCaps w:val="false"/>
              </w:rPr>
              <w:t> </w:t>
            </w:r>
          </w:p>
        </w:tc>
        <w:tc>
          <w:tcPr>
            <w:tcW w:w="8860" w:type="dxa"/>
            <w:tcBorders/>
            <w:vAlign w:val="center"/>
          </w:tcPr>
          <w:p>
            <w:pPr>
              <w:pStyle w:val="TableContents"/>
              <w:bidi w:val="0"/>
              <w:spacing w:before="0" w:after="283"/>
              <w:jc w:val="left"/>
              <w:rPr>
                <w:caps w:val="false"/>
                <w:smallCaps w:val="false"/>
              </w:rPr>
            </w:pPr>
            <w:r>
              <w:rPr>
                <w:caps w:val="false"/>
                <w:smallCaps w:val="false"/>
              </w:rPr>
              <w:t> </w:t>
            </w:r>
          </w:p>
        </w:tc>
        <w:tc>
          <w:tcPr>
            <w:tcW w:w="531"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14" w:type="dxa"/>
            <w:tcBorders/>
            <w:vAlign w:val="center"/>
          </w:tcPr>
          <w:p>
            <w:pPr>
              <w:pStyle w:val="TableContents"/>
              <w:bidi w:val="0"/>
              <w:spacing w:before="0" w:after="283"/>
              <w:ind w:left="0" w:right="0" w:hanging="270"/>
              <w:jc w:val="left"/>
              <w:rPr/>
            </w:pPr>
            <w:hyperlink w:anchor="a_029">
              <w:r>
                <w:rPr>
                  <w:rStyle w:val="InternetLink"/>
                  <w:rFonts w:ascii="Times New Roman;Times;Serif" w:hAnsi="Times New Roman;Times;Serif"/>
                  <w:b/>
                  <w:i w:val="false"/>
                  <w:caps w:val="false"/>
                  <w:smallCaps w:val="false"/>
                  <w:sz w:val="20"/>
                </w:rPr>
                <w:t>PART III</w:t>
              </w:r>
            </w:hyperlink>
          </w:p>
        </w:tc>
        <w:tc>
          <w:tcPr>
            <w:tcW w:w="8860" w:type="dxa"/>
            <w:tcBorders/>
            <w:vAlign w:val="center"/>
          </w:tcPr>
          <w:p>
            <w:pPr>
              <w:pStyle w:val="TableContents"/>
              <w:bidi w:val="0"/>
              <w:spacing w:before="0" w:after="283"/>
              <w:jc w:val="left"/>
              <w:rPr>
                <w:caps w:val="false"/>
                <w:smallCaps w:val="false"/>
              </w:rPr>
            </w:pPr>
            <w:r>
              <w:rPr>
                <w:caps w:val="false"/>
                <w:smallCaps w:val="false"/>
              </w:rPr>
              <w:t> </w:t>
            </w:r>
          </w:p>
        </w:tc>
        <w:tc>
          <w:tcPr>
            <w:tcW w:w="53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w:t>
            </w:r>
          </w:p>
        </w:tc>
      </w:tr>
      <w:tr>
        <w:trPr/>
        <w:tc>
          <w:tcPr>
            <w:tcW w:w="814" w:type="dxa"/>
            <w:tcBorders/>
            <w:vAlign w:val="center"/>
          </w:tcPr>
          <w:p>
            <w:pPr>
              <w:pStyle w:val="TableContents"/>
              <w:bidi w:val="0"/>
              <w:spacing w:before="0" w:after="283"/>
              <w:ind w:left="0" w:right="0" w:hanging="27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10.</w:t>
            </w:r>
          </w:p>
        </w:tc>
        <w:tc>
          <w:tcPr>
            <w:tcW w:w="8860" w:type="dxa"/>
            <w:tcBorders/>
            <w:vAlign w:val="center"/>
          </w:tcPr>
          <w:p>
            <w:pPr>
              <w:pStyle w:val="TableContents"/>
              <w:bidi w:val="0"/>
              <w:spacing w:before="0" w:after="283"/>
              <w:jc w:val="left"/>
              <w:rPr/>
            </w:pPr>
            <w:hyperlink w:anchor="a_030">
              <w:r>
                <w:rPr>
                  <w:rStyle w:val="InternetLink"/>
                  <w:rFonts w:ascii="Times New Roman;Times;Serif" w:hAnsi="Times New Roman;Times;Serif"/>
                  <w:b w:val="false"/>
                  <w:i w:val="false"/>
                  <w:caps w:val="false"/>
                  <w:smallCaps w:val="false"/>
                  <w:sz w:val="20"/>
                </w:rPr>
                <w:t>Directors, Executive Officers and Corporate Governance</w:t>
              </w:r>
            </w:hyperlink>
          </w:p>
        </w:tc>
        <w:tc>
          <w:tcPr>
            <w:tcW w:w="53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w:t>
            </w:r>
          </w:p>
        </w:tc>
      </w:tr>
      <w:tr>
        <w:trPr/>
        <w:tc>
          <w:tcPr>
            <w:tcW w:w="814" w:type="dxa"/>
            <w:tcBorders/>
            <w:vAlign w:val="center"/>
          </w:tcPr>
          <w:p>
            <w:pPr>
              <w:pStyle w:val="TableContents"/>
              <w:bidi w:val="0"/>
              <w:spacing w:before="0" w:after="283"/>
              <w:ind w:left="0" w:right="0" w:hanging="27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11.</w:t>
            </w:r>
          </w:p>
        </w:tc>
        <w:tc>
          <w:tcPr>
            <w:tcW w:w="8860" w:type="dxa"/>
            <w:tcBorders/>
            <w:vAlign w:val="center"/>
          </w:tcPr>
          <w:p>
            <w:pPr>
              <w:pStyle w:val="TableContents"/>
              <w:bidi w:val="0"/>
              <w:spacing w:before="0" w:after="283"/>
              <w:jc w:val="left"/>
              <w:rPr/>
            </w:pPr>
            <w:hyperlink w:anchor="a_031">
              <w:r>
                <w:rPr>
                  <w:rStyle w:val="InternetLink"/>
                  <w:rFonts w:ascii="Times New Roman;Times;Serif" w:hAnsi="Times New Roman;Times;Serif"/>
                  <w:b w:val="false"/>
                  <w:i w:val="false"/>
                  <w:caps w:val="false"/>
                  <w:smallCaps w:val="false"/>
                  <w:sz w:val="20"/>
                </w:rPr>
                <w:t>Executive Compensation</w:t>
              </w:r>
            </w:hyperlink>
          </w:p>
        </w:tc>
        <w:tc>
          <w:tcPr>
            <w:tcW w:w="53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w:t>
            </w:r>
          </w:p>
        </w:tc>
      </w:tr>
      <w:tr>
        <w:trPr/>
        <w:tc>
          <w:tcPr>
            <w:tcW w:w="814" w:type="dxa"/>
            <w:tcBorders/>
            <w:vAlign w:val="center"/>
          </w:tcPr>
          <w:p>
            <w:pPr>
              <w:pStyle w:val="TableContents"/>
              <w:bidi w:val="0"/>
              <w:spacing w:before="0" w:after="283"/>
              <w:ind w:left="0" w:right="0" w:hanging="27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12.</w:t>
            </w:r>
          </w:p>
        </w:tc>
        <w:tc>
          <w:tcPr>
            <w:tcW w:w="8860" w:type="dxa"/>
            <w:tcBorders/>
            <w:vAlign w:val="center"/>
          </w:tcPr>
          <w:p>
            <w:pPr>
              <w:pStyle w:val="TableContents"/>
              <w:bidi w:val="0"/>
              <w:spacing w:before="0" w:after="283"/>
              <w:jc w:val="left"/>
              <w:rPr/>
            </w:pPr>
            <w:hyperlink w:anchor="a_032">
              <w:r>
                <w:rPr>
                  <w:rStyle w:val="InternetLink"/>
                  <w:rFonts w:ascii="Times New Roman;Times;Serif" w:hAnsi="Times New Roman;Times;Serif"/>
                  <w:b w:val="false"/>
                  <w:i w:val="false"/>
                  <w:caps w:val="false"/>
                  <w:smallCaps w:val="false"/>
                  <w:sz w:val="20"/>
                </w:rPr>
                <w:t>Security Ownership of Certain Beneficial Owners and Management and Related Stockholder Matters</w:t>
              </w:r>
            </w:hyperlink>
          </w:p>
        </w:tc>
        <w:tc>
          <w:tcPr>
            <w:tcW w:w="53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w:t>
            </w:r>
          </w:p>
        </w:tc>
      </w:tr>
      <w:tr>
        <w:trPr/>
        <w:tc>
          <w:tcPr>
            <w:tcW w:w="814" w:type="dxa"/>
            <w:tcBorders/>
            <w:vAlign w:val="center"/>
          </w:tcPr>
          <w:p>
            <w:pPr>
              <w:pStyle w:val="TableContents"/>
              <w:bidi w:val="0"/>
              <w:spacing w:before="0" w:after="283"/>
              <w:ind w:left="0" w:right="0" w:hanging="27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13.</w:t>
            </w:r>
          </w:p>
        </w:tc>
        <w:tc>
          <w:tcPr>
            <w:tcW w:w="8860" w:type="dxa"/>
            <w:tcBorders/>
            <w:vAlign w:val="center"/>
          </w:tcPr>
          <w:p>
            <w:pPr>
              <w:pStyle w:val="TableContents"/>
              <w:bidi w:val="0"/>
              <w:spacing w:before="0" w:after="283"/>
              <w:jc w:val="left"/>
              <w:rPr/>
            </w:pPr>
            <w:hyperlink w:anchor="a_033">
              <w:r>
                <w:rPr>
                  <w:rStyle w:val="InternetLink"/>
                  <w:rFonts w:ascii="Times New Roman;Times;Serif" w:hAnsi="Times New Roman;Times;Serif"/>
                  <w:b w:val="false"/>
                  <w:i w:val="false"/>
                  <w:caps w:val="false"/>
                  <w:smallCaps w:val="false"/>
                  <w:sz w:val="20"/>
                </w:rPr>
                <w:t>Certain Relationships and Related Transactions, and Director Independence</w:t>
              </w:r>
            </w:hyperlink>
          </w:p>
        </w:tc>
        <w:tc>
          <w:tcPr>
            <w:tcW w:w="53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w:t>
            </w:r>
          </w:p>
        </w:tc>
      </w:tr>
      <w:tr>
        <w:trPr/>
        <w:tc>
          <w:tcPr>
            <w:tcW w:w="814" w:type="dxa"/>
            <w:tcBorders/>
            <w:vAlign w:val="center"/>
          </w:tcPr>
          <w:p>
            <w:pPr>
              <w:pStyle w:val="TableContents"/>
              <w:bidi w:val="0"/>
              <w:spacing w:before="0" w:after="283"/>
              <w:ind w:left="0" w:right="0" w:hanging="27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14.</w:t>
            </w:r>
          </w:p>
        </w:tc>
        <w:tc>
          <w:tcPr>
            <w:tcW w:w="8860" w:type="dxa"/>
            <w:tcBorders/>
            <w:vAlign w:val="center"/>
          </w:tcPr>
          <w:p>
            <w:pPr>
              <w:pStyle w:val="TableContents"/>
              <w:bidi w:val="0"/>
              <w:spacing w:before="0" w:after="283"/>
              <w:jc w:val="left"/>
              <w:rPr/>
            </w:pPr>
            <w:hyperlink w:anchor="a_034">
              <w:r>
                <w:rPr>
                  <w:rStyle w:val="InternetLink"/>
                  <w:rFonts w:ascii="Times New Roman;Times;Serif" w:hAnsi="Times New Roman;Times;Serif"/>
                  <w:b w:val="false"/>
                  <w:i w:val="false"/>
                  <w:caps w:val="false"/>
                  <w:smallCaps w:val="false"/>
                  <w:sz w:val="20"/>
                </w:rPr>
                <w:t>Principal Accountant Fees and Services</w:t>
              </w:r>
            </w:hyperlink>
          </w:p>
        </w:tc>
        <w:tc>
          <w:tcPr>
            <w:tcW w:w="53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w:t>
            </w:r>
          </w:p>
        </w:tc>
      </w:tr>
      <w:tr>
        <w:trPr/>
        <w:tc>
          <w:tcPr>
            <w:tcW w:w="814" w:type="dxa"/>
            <w:tcBorders/>
            <w:vAlign w:val="center"/>
          </w:tcPr>
          <w:p>
            <w:pPr>
              <w:pStyle w:val="TableContents"/>
              <w:bidi w:val="0"/>
              <w:spacing w:before="0" w:after="283"/>
              <w:ind w:left="0" w:right="0" w:hanging="270"/>
              <w:jc w:val="left"/>
              <w:rPr>
                <w:caps w:val="false"/>
                <w:smallCaps w:val="false"/>
              </w:rPr>
            </w:pPr>
            <w:r>
              <w:rPr>
                <w:caps w:val="false"/>
                <w:smallCaps w:val="false"/>
              </w:rPr>
              <w:t> </w:t>
            </w:r>
          </w:p>
        </w:tc>
        <w:tc>
          <w:tcPr>
            <w:tcW w:w="8860" w:type="dxa"/>
            <w:tcBorders/>
            <w:vAlign w:val="center"/>
          </w:tcPr>
          <w:p>
            <w:pPr>
              <w:pStyle w:val="TableContents"/>
              <w:bidi w:val="0"/>
              <w:spacing w:before="0" w:after="283"/>
              <w:jc w:val="left"/>
              <w:rPr>
                <w:caps w:val="false"/>
                <w:smallCaps w:val="false"/>
              </w:rPr>
            </w:pPr>
            <w:r>
              <w:rPr>
                <w:caps w:val="false"/>
                <w:smallCaps w:val="false"/>
              </w:rPr>
              <w:t> </w:t>
            </w:r>
          </w:p>
        </w:tc>
        <w:tc>
          <w:tcPr>
            <w:tcW w:w="531" w:type="dxa"/>
            <w:tcBorders/>
            <w:vAlign w:val="center"/>
          </w:tcPr>
          <w:p>
            <w:pPr>
              <w:pStyle w:val="TableContents"/>
              <w:bidi w:val="0"/>
              <w:spacing w:before="0" w:after="283"/>
              <w:ind w:left="0" w:right="0" w:hanging="0"/>
              <w:jc w:val="center"/>
              <w:rPr>
                <w:caps w:val="false"/>
                <w:smallCaps w:val="false"/>
              </w:rPr>
            </w:pPr>
            <w:r>
              <w:rPr>
                <w:caps w:val="false"/>
                <w:smallCaps w:val="false"/>
              </w:rPr>
              <w:t> </w:t>
            </w:r>
          </w:p>
        </w:tc>
      </w:tr>
      <w:tr>
        <w:trPr/>
        <w:tc>
          <w:tcPr>
            <w:tcW w:w="814" w:type="dxa"/>
            <w:tcBorders/>
            <w:vAlign w:val="center"/>
          </w:tcPr>
          <w:p>
            <w:pPr>
              <w:pStyle w:val="TableContents"/>
              <w:bidi w:val="0"/>
              <w:spacing w:before="0" w:after="283"/>
              <w:ind w:left="0" w:right="0" w:hanging="0"/>
              <w:jc w:val="left"/>
              <w:rPr/>
            </w:pPr>
            <w:hyperlink w:anchor="a_035">
              <w:r>
                <w:rPr>
                  <w:rStyle w:val="InternetLink"/>
                  <w:rFonts w:ascii="Times New Roman;Times;Serif" w:hAnsi="Times New Roman;Times;Serif"/>
                  <w:b/>
                  <w:i w:val="false"/>
                  <w:caps w:val="false"/>
                  <w:smallCaps w:val="false"/>
                  <w:sz w:val="20"/>
                </w:rPr>
                <w:t>PART IV</w:t>
              </w:r>
            </w:hyperlink>
          </w:p>
        </w:tc>
        <w:tc>
          <w:tcPr>
            <w:tcW w:w="886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53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r>
      <w:tr>
        <w:trPr/>
        <w:tc>
          <w:tcPr>
            <w:tcW w:w="814" w:type="dxa"/>
            <w:tcBorders/>
            <w:vAlign w:val="center"/>
          </w:tcPr>
          <w:p>
            <w:pPr>
              <w:pStyle w:val="TableContents"/>
              <w:bidi w:val="0"/>
              <w:spacing w:before="0" w:after="283"/>
              <w:ind w:left="0" w:right="0" w:hanging="27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15.</w:t>
            </w:r>
          </w:p>
        </w:tc>
        <w:tc>
          <w:tcPr>
            <w:tcW w:w="8860" w:type="dxa"/>
            <w:tcBorders/>
            <w:vAlign w:val="center"/>
          </w:tcPr>
          <w:p>
            <w:pPr>
              <w:pStyle w:val="TableContents"/>
              <w:bidi w:val="0"/>
              <w:spacing w:before="0" w:after="283"/>
              <w:jc w:val="left"/>
              <w:rPr/>
            </w:pPr>
            <w:hyperlink w:anchor="a_036">
              <w:r>
                <w:rPr>
                  <w:rStyle w:val="InternetLink"/>
                  <w:rFonts w:ascii="Times New Roman;Times;Serif" w:hAnsi="Times New Roman;Times;Serif"/>
                  <w:b w:val="false"/>
                  <w:i w:val="false"/>
                  <w:caps w:val="false"/>
                  <w:smallCaps w:val="false"/>
                  <w:sz w:val="20"/>
                </w:rPr>
                <w:t>Exhibits and Financial Statement Schedules</w:t>
              </w:r>
            </w:hyperlink>
          </w:p>
        </w:tc>
        <w:tc>
          <w:tcPr>
            <w:tcW w:w="53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r>
      <w:tr>
        <w:trPr/>
        <w:tc>
          <w:tcPr>
            <w:tcW w:w="814" w:type="dxa"/>
            <w:tcBorders/>
            <w:vAlign w:val="center"/>
          </w:tcPr>
          <w:p>
            <w:pPr>
              <w:pStyle w:val="TableContents"/>
              <w:bidi w:val="0"/>
              <w:spacing w:before="0" w:after="283"/>
              <w:ind w:left="0" w:right="0" w:hanging="27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16.</w:t>
            </w:r>
          </w:p>
        </w:tc>
        <w:tc>
          <w:tcPr>
            <w:tcW w:w="8860" w:type="dxa"/>
            <w:tcBorders/>
            <w:vAlign w:val="center"/>
          </w:tcPr>
          <w:p>
            <w:pPr>
              <w:pStyle w:val="TableContents"/>
              <w:bidi w:val="0"/>
              <w:spacing w:before="0" w:after="283"/>
              <w:jc w:val="left"/>
              <w:rPr/>
            </w:pPr>
            <w:hyperlink w:anchor="a_037">
              <w:r>
                <w:rPr>
                  <w:rStyle w:val="InternetLink"/>
                  <w:rFonts w:ascii="Times New Roman;Times;Serif" w:hAnsi="Times New Roman;Times;Serif"/>
                  <w:b w:val="false"/>
                  <w:i w:val="false"/>
                  <w:caps w:val="false"/>
                  <w:smallCaps w:val="false"/>
                  <w:sz w:val="20"/>
                </w:rPr>
                <w:t>Form 10-K Summary</w:t>
              </w:r>
            </w:hyperlink>
          </w:p>
        </w:tc>
        <w:tc>
          <w:tcPr>
            <w:tcW w:w="53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r>
      <w:tr>
        <w:trPr/>
        <w:tc>
          <w:tcPr>
            <w:tcW w:w="814" w:type="dxa"/>
            <w:tcBorders/>
            <w:vAlign w:val="center"/>
          </w:tcPr>
          <w:p>
            <w:pPr>
              <w:pStyle w:val="TableContents"/>
              <w:bidi w:val="0"/>
              <w:spacing w:before="0" w:after="283"/>
              <w:jc w:val="left"/>
              <w:rPr>
                <w:caps w:val="false"/>
                <w:smallCaps w:val="false"/>
              </w:rPr>
            </w:pPr>
            <w:r>
              <w:rPr>
                <w:caps w:val="false"/>
                <w:smallCaps w:val="false"/>
              </w:rPr>
              <w:t> </w:t>
            </w:r>
          </w:p>
        </w:tc>
        <w:tc>
          <w:tcPr>
            <w:tcW w:w="8860" w:type="dxa"/>
            <w:tcBorders/>
            <w:vAlign w:val="center"/>
          </w:tcPr>
          <w:p>
            <w:pPr>
              <w:pStyle w:val="TableContents"/>
              <w:bidi w:val="0"/>
              <w:spacing w:before="0" w:after="283"/>
              <w:jc w:val="left"/>
              <w:rPr>
                <w:caps w:val="false"/>
                <w:smallCaps w:val="false"/>
              </w:rPr>
            </w:pPr>
            <w:r>
              <w:rPr>
                <w:caps w:val="false"/>
                <w:smallCaps w:val="false"/>
              </w:rPr>
              <w:t> </w:t>
            </w:r>
          </w:p>
        </w:tc>
        <w:tc>
          <w:tcPr>
            <w:tcW w:w="531"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674" w:type="dxa"/>
            <w:gridSpan w:val="2"/>
            <w:tcBorders/>
            <w:vAlign w:val="center"/>
          </w:tcPr>
          <w:p>
            <w:pPr>
              <w:pStyle w:val="TableContents"/>
              <w:bidi w:val="0"/>
              <w:spacing w:before="0" w:after="283"/>
              <w:jc w:val="left"/>
              <w:rPr/>
            </w:pPr>
            <w:hyperlink w:anchor="a_038">
              <w:r>
                <w:rPr>
                  <w:rStyle w:val="InternetLink"/>
                  <w:rFonts w:ascii="Times New Roman;Times;Serif" w:hAnsi="Times New Roman;Times;Serif"/>
                  <w:b w:val="false"/>
                  <w:i w:val="false"/>
                  <w:caps w:val="false"/>
                  <w:smallCaps w:val="false"/>
                  <w:sz w:val="20"/>
                </w:rPr>
                <w:t>Signatures</w:t>
              </w:r>
            </w:hyperlink>
          </w:p>
        </w:tc>
        <w:tc>
          <w:tcPr>
            <w:tcW w:w="531"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674" w:type="dxa"/>
            <w:gridSpan w:val="2"/>
            <w:tcBorders/>
            <w:vAlign w:val="center"/>
          </w:tcPr>
          <w:p>
            <w:pPr>
              <w:pStyle w:val="TableContents"/>
              <w:bidi w:val="0"/>
              <w:spacing w:before="0" w:after="283"/>
              <w:jc w:val="left"/>
              <w:rPr/>
            </w:pPr>
            <w:hyperlink w:anchor="a_039">
              <w:r>
                <w:rPr>
                  <w:rStyle w:val="InternetLink"/>
                  <w:rFonts w:ascii="Times New Roman;Times;Serif" w:hAnsi="Times New Roman;Times;Serif"/>
                  <w:b w:val="false"/>
                  <w:i w:val="false"/>
                  <w:caps w:val="false"/>
                  <w:smallCaps w:val="false"/>
                  <w:sz w:val="20"/>
                </w:rPr>
                <w:t>Exhibit Index</w:t>
              </w:r>
            </w:hyperlink>
          </w:p>
        </w:tc>
        <w:tc>
          <w:tcPr>
            <w:tcW w:w="531"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6" w:space="1" w:color="000000"/>
        </w:rPr>
      </w:pPr>
      <w:r>
        <w:rPr>
          <w:caps w:val="false"/>
          <w:smallCaps w:val="false"/>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contained in this annual report and in the documents incorporated by reference constitute “forward-looking statements” within the meaning of Section 21E of the Securities Exchange Act of 1934 and Section 27A of the Securities Act of 1933. Middlesex Water Company (the Company) intends that these statements be covered by the safe harbors created under those laws. They include, but are not limited to statements as to:</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b w:val="false"/>
              </w:rPr>
            </w:pPr>
            <w:r>
              <w:rPr>
                <w:b w:val="false"/>
              </w:rPr>
              <w:t>-</w:t>
            </w:r>
          </w:p>
        </w:tc>
        <w:tc>
          <w:tcPr>
            <w:tcW w:w="10073" w:type="dxa"/>
            <w:tcBorders/>
            <w:vAlign w:val="center"/>
          </w:tcPr>
          <w:p>
            <w:pPr>
              <w:pStyle w:val="TableContents"/>
              <w:bidi w:val="0"/>
              <w:spacing w:before="0" w:after="283"/>
              <w:jc w:val="both"/>
              <w:rPr>
                <w:b w:val="false"/>
              </w:rPr>
            </w:pPr>
            <w:r>
              <w:rPr>
                <w:b w:val="false"/>
              </w:rPr>
              <w:t>expected financial condition, performance, prospects and earnings of the Company;</w:t>
            </w:r>
          </w:p>
        </w:tc>
      </w:tr>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b w:val="false"/>
              </w:rPr>
            </w:pPr>
            <w:r>
              <w:rPr>
                <w:b w:val="false"/>
              </w:rPr>
              <w:t>-</w:t>
            </w:r>
          </w:p>
        </w:tc>
        <w:tc>
          <w:tcPr>
            <w:tcW w:w="10073" w:type="dxa"/>
            <w:tcBorders/>
            <w:vAlign w:val="center"/>
          </w:tcPr>
          <w:p>
            <w:pPr>
              <w:pStyle w:val="TableContents"/>
              <w:bidi w:val="0"/>
              <w:spacing w:before="0" w:after="283"/>
              <w:jc w:val="both"/>
              <w:rPr>
                <w:b w:val="false"/>
              </w:rPr>
            </w:pPr>
            <w:r>
              <w:rPr>
                <w:b w:val="false"/>
              </w:rPr>
              <w:t>strategic plans for growth;</w:t>
            </w:r>
          </w:p>
        </w:tc>
      </w:tr>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b w:val="false"/>
              </w:rPr>
            </w:pPr>
            <w:r>
              <w:rPr>
                <w:b w:val="false"/>
              </w:rPr>
              <w:t>-</w:t>
            </w:r>
          </w:p>
        </w:tc>
        <w:tc>
          <w:tcPr>
            <w:tcW w:w="10073" w:type="dxa"/>
            <w:tcBorders/>
            <w:vAlign w:val="center"/>
          </w:tcPr>
          <w:p>
            <w:pPr>
              <w:pStyle w:val="TableContents"/>
              <w:bidi w:val="0"/>
              <w:spacing w:before="0" w:after="283"/>
              <w:jc w:val="both"/>
              <w:rPr>
                <w:b w:val="false"/>
              </w:rPr>
            </w:pPr>
            <w:r>
              <w:rPr>
                <w:b w:val="false"/>
              </w:rPr>
              <w:t>the amount and timing of rate increases and other regulatory matters, including the recovery of certain costs recorded as regulatory assets;</w:t>
            </w:r>
          </w:p>
        </w:tc>
      </w:tr>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b w:val="false"/>
              </w:rPr>
            </w:pPr>
            <w:r>
              <w:rPr>
                <w:b w:val="false"/>
              </w:rPr>
              <w:t>-</w:t>
            </w:r>
          </w:p>
        </w:tc>
        <w:tc>
          <w:tcPr>
            <w:tcW w:w="10073" w:type="dxa"/>
            <w:tcBorders/>
            <w:vAlign w:val="center"/>
          </w:tcPr>
          <w:p>
            <w:pPr>
              <w:pStyle w:val="TableContents"/>
              <w:bidi w:val="0"/>
              <w:spacing w:before="0" w:after="283"/>
              <w:jc w:val="both"/>
              <w:rPr>
                <w:b w:val="false"/>
              </w:rPr>
            </w:pPr>
            <w:r>
              <w:rPr>
                <w:b w:val="false"/>
              </w:rPr>
              <w:t>the Company’s expected liquidity needs during the upcoming fiscal year and beyond and the sources and availability of funds to meet its liquidity needs;</w:t>
            </w:r>
          </w:p>
        </w:tc>
      </w:tr>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b w:val="false"/>
              </w:rPr>
            </w:pPr>
            <w:r>
              <w:rPr>
                <w:b w:val="false"/>
              </w:rPr>
              <w:t>-</w:t>
            </w:r>
          </w:p>
        </w:tc>
        <w:tc>
          <w:tcPr>
            <w:tcW w:w="10073" w:type="dxa"/>
            <w:tcBorders/>
            <w:vAlign w:val="center"/>
          </w:tcPr>
          <w:p>
            <w:pPr>
              <w:pStyle w:val="TableContents"/>
              <w:bidi w:val="0"/>
              <w:spacing w:before="0" w:after="283"/>
              <w:jc w:val="both"/>
              <w:rPr>
                <w:b w:val="false"/>
              </w:rPr>
            </w:pPr>
            <w:r>
              <w:rPr>
                <w:b w:val="false"/>
              </w:rPr>
              <w:t>expected customer rates, consumption volumes, service fees, revenues, margins, expenses and operating results;</w:t>
            </w:r>
          </w:p>
        </w:tc>
      </w:tr>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b w:val="false"/>
              </w:rPr>
            </w:pPr>
            <w:r>
              <w:rPr>
                <w:b w:val="false"/>
              </w:rPr>
              <w:t>-</w:t>
            </w:r>
          </w:p>
        </w:tc>
        <w:tc>
          <w:tcPr>
            <w:tcW w:w="10073" w:type="dxa"/>
            <w:tcBorders/>
            <w:vAlign w:val="center"/>
          </w:tcPr>
          <w:p>
            <w:pPr>
              <w:pStyle w:val="TableContents"/>
              <w:bidi w:val="0"/>
              <w:spacing w:before="0" w:after="283"/>
              <w:jc w:val="both"/>
              <w:rPr>
                <w:b w:val="false"/>
              </w:rPr>
            </w:pPr>
            <w:r>
              <w:rPr>
                <w:b w:val="false"/>
              </w:rPr>
              <w:t>financial projections;</w:t>
            </w:r>
          </w:p>
        </w:tc>
      </w:tr>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b w:val="false"/>
              </w:rPr>
            </w:pPr>
            <w:r>
              <w:rPr>
                <w:b w:val="false"/>
              </w:rPr>
              <w:t>-</w:t>
            </w:r>
          </w:p>
        </w:tc>
        <w:tc>
          <w:tcPr>
            <w:tcW w:w="10073" w:type="dxa"/>
            <w:tcBorders/>
            <w:vAlign w:val="center"/>
          </w:tcPr>
          <w:p>
            <w:pPr>
              <w:pStyle w:val="TableContents"/>
              <w:bidi w:val="0"/>
              <w:spacing w:before="0" w:after="283"/>
              <w:jc w:val="both"/>
              <w:rPr>
                <w:b w:val="false"/>
              </w:rPr>
            </w:pPr>
            <w:r>
              <w:rPr>
                <w:b w:val="false"/>
              </w:rPr>
              <w:t>the expected amount of cash contributions to fund the Company’s retirement benefit plans, anticipated discount rates and rates of return on plan assets;</w:t>
            </w:r>
          </w:p>
        </w:tc>
      </w:tr>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b w:val="false"/>
              </w:rPr>
            </w:pPr>
            <w:r>
              <w:rPr>
                <w:b w:val="false"/>
              </w:rPr>
              <w:t>-</w:t>
            </w:r>
          </w:p>
        </w:tc>
        <w:tc>
          <w:tcPr>
            <w:tcW w:w="10073" w:type="dxa"/>
            <w:tcBorders/>
            <w:vAlign w:val="center"/>
          </w:tcPr>
          <w:p>
            <w:pPr>
              <w:pStyle w:val="TableContents"/>
              <w:bidi w:val="0"/>
              <w:spacing w:before="0" w:after="283"/>
              <w:jc w:val="both"/>
              <w:rPr>
                <w:b w:val="false"/>
              </w:rPr>
            </w:pPr>
            <w:r>
              <w:rPr>
                <w:b w:val="false"/>
              </w:rPr>
              <w:t>the ability of the Company to pay dividends;</w:t>
            </w:r>
          </w:p>
        </w:tc>
      </w:tr>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b w:val="false"/>
              </w:rPr>
            </w:pPr>
            <w:r>
              <w:rPr>
                <w:b w:val="false"/>
              </w:rPr>
              <w:t>-</w:t>
            </w:r>
          </w:p>
        </w:tc>
        <w:tc>
          <w:tcPr>
            <w:tcW w:w="10073" w:type="dxa"/>
            <w:tcBorders/>
            <w:vAlign w:val="center"/>
          </w:tcPr>
          <w:p>
            <w:pPr>
              <w:pStyle w:val="TableContents"/>
              <w:bidi w:val="0"/>
              <w:spacing w:before="0" w:after="283"/>
              <w:jc w:val="both"/>
              <w:rPr>
                <w:b w:val="false"/>
              </w:rPr>
            </w:pPr>
            <w:r>
              <w:rPr>
                <w:b w:val="false"/>
              </w:rPr>
              <w:t>the Company’s compliance with environmental laws and regulations and estimations of the materiality of any related costs;</w:t>
            </w:r>
          </w:p>
        </w:tc>
      </w:tr>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b w:val="false"/>
              </w:rPr>
            </w:pPr>
            <w:r>
              <w:rPr>
                <w:b w:val="false"/>
              </w:rPr>
              <w:t>-</w:t>
            </w:r>
          </w:p>
        </w:tc>
        <w:tc>
          <w:tcPr>
            <w:tcW w:w="10073" w:type="dxa"/>
            <w:tcBorders/>
            <w:vAlign w:val="center"/>
          </w:tcPr>
          <w:p>
            <w:pPr>
              <w:pStyle w:val="TableContents"/>
              <w:bidi w:val="0"/>
              <w:spacing w:before="0" w:after="283"/>
              <w:jc w:val="both"/>
              <w:rPr>
                <w:b w:val="false"/>
              </w:rPr>
            </w:pPr>
            <w:r>
              <w:rPr>
                <w:b w:val="false"/>
              </w:rPr>
              <w:t>the safety and reliability of the Company’s equipment, facilities and operations;</w:t>
            </w:r>
          </w:p>
        </w:tc>
      </w:tr>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b w:val="false"/>
              </w:rPr>
            </w:pPr>
            <w:r>
              <w:rPr>
                <w:b w:val="false"/>
              </w:rPr>
              <w:t>-</w:t>
            </w:r>
          </w:p>
        </w:tc>
        <w:tc>
          <w:tcPr>
            <w:tcW w:w="10073" w:type="dxa"/>
            <w:tcBorders/>
            <w:vAlign w:val="center"/>
          </w:tcPr>
          <w:p>
            <w:pPr>
              <w:pStyle w:val="TableContents"/>
              <w:bidi w:val="0"/>
              <w:spacing w:before="0" w:after="283"/>
              <w:jc w:val="both"/>
              <w:rPr>
                <w:b w:val="false"/>
              </w:rPr>
            </w:pPr>
            <w:r>
              <w:rPr>
                <w:b w:val="false"/>
              </w:rPr>
              <w:t>the Company’s plans to renew municipal franchises and consents in the territories it serves;</w:t>
            </w:r>
          </w:p>
        </w:tc>
      </w:tr>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b w:val="false"/>
              </w:rPr>
            </w:pPr>
            <w:r>
              <w:rPr>
                <w:b w:val="false"/>
              </w:rPr>
              <w:t>-</w:t>
            </w:r>
          </w:p>
        </w:tc>
        <w:tc>
          <w:tcPr>
            <w:tcW w:w="10073" w:type="dxa"/>
            <w:tcBorders/>
            <w:vAlign w:val="center"/>
          </w:tcPr>
          <w:p>
            <w:pPr>
              <w:pStyle w:val="TableContents"/>
              <w:bidi w:val="0"/>
              <w:spacing w:before="0" w:after="283"/>
              <w:jc w:val="both"/>
              <w:rPr>
                <w:b w:val="false"/>
              </w:rPr>
            </w:pPr>
            <w:r>
              <w:rPr>
                <w:b w:val="false"/>
              </w:rPr>
              <w:t xml:space="preserve">trends; and </w:t>
            </w:r>
          </w:p>
        </w:tc>
      </w:tr>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b w:val="false"/>
              </w:rPr>
            </w:pPr>
            <w:r>
              <w:rPr>
                <w:b w:val="false"/>
              </w:rPr>
              <w:t>-</w:t>
            </w:r>
          </w:p>
        </w:tc>
        <w:tc>
          <w:tcPr>
            <w:tcW w:w="10073" w:type="dxa"/>
            <w:tcBorders/>
            <w:vAlign w:val="center"/>
          </w:tcPr>
          <w:p>
            <w:pPr>
              <w:pStyle w:val="TableContents"/>
              <w:bidi w:val="0"/>
              <w:spacing w:before="0" w:after="283"/>
              <w:jc w:val="both"/>
              <w:rPr>
                <w:b w:val="false"/>
              </w:rPr>
            </w:pPr>
            <w:r>
              <w:rPr>
                <w:b w:val="false"/>
              </w:rPr>
              <w:t>the availability and quality of our water supply.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are subject to risks, uncertainties and other factors that could cause actual results to differ materially from future results expressed or implied by the forward-looking statements. Important factors that could cause actual results to differ materially from anticipated results and outcomes include, but are not limited to:</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b w:val="false"/>
              </w:rPr>
            </w:pPr>
            <w:r>
              <w:rPr>
                <w:b w:val="false"/>
              </w:rPr>
              <w:t>-</w:t>
            </w:r>
          </w:p>
        </w:tc>
        <w:tc>
          <w:tcPr>
            <w:tcW w:w="10073" w:type="dxa"/>
            <w:tcBorders/>
            <w:vAlign w:val="center"/>
          </w:tcPr>
          <w:p>
            <w:pPr>
              <w:pStyle w:val="TableContents"/>
              <w:bidi w:val="0"/>
              <w:spacing w:before="0" w:after="283"/>
              <w:jc w:val="both"/>
              <w:rPr>
                <w:b w:val="false"/>
              </w:rPr>
            </w:pPr>
            <w:r>
              <w:rPr>
                <w:b w:val="false"/>
              </w:rPr>
              <w:t>effects of general economic conditions;</w:t>
            </w:r>
          </w:p>
        </w:tc>
      </w:tr>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b w:val="false"/>
              </w:rPr>
            </w:pPr>
            <w:r>
              <w:rPr>
                <w:b w:val="false"/>
              </w:rPr>
              <w:t>-</w:t>
            </w:r>
          </w:p>
        </w:tc>
        <w:tc>
          <w:tcPr>
            <w:tcW w:w="10073" w:type="dxa"/>
            <w:tcBorders/>
            <w:vAlign w:val="center"/>
          </w:tcPr>
          <w:p>
            <w:pPr>
              <w:pStyle w:val="TableContents"/>
              <w:bidi w:val="0"/>
              <w:spacing w:before="0" w:after="283"/>
              <w:jc w:val="both"/>
              <w:rPr>
                <w:b w:val="false"/>
              </w:rPr>
            </w:pPr>
            <w:r>
              <w:rPr>
                <w:b w:val="false"/>
              </w:rPr>
              <w:t>increases in competition for growth in non-franchised markets to be potentially served by the Company;</w:t>
            </w:r>
          </w:p>
        </w:tc>
      </w:tr>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b w:val="false"/>
              </w:rPr>
            </w:pPr>
            <w:r>
              <w:rPr>
                <w:b w:val="false"/>
              </w:rPr>
              <w:t>-</w:t>
            </w:r>
          </w:p>
        </w:tc>
        <w:tc>
          <w:tcPr>
            <w:tcW w:w="10073" w:type="dxa"/>
            <w:tcBorders/>
            <w:vAlign w:val="center"/>
          </w:tcPr>
          <w:p>
            <w:pPr>
              <w:pStyle w:val="TableContents"/>
              <w:bidi w:val="0"/>
              <w:spacing w:before="0" w:after="283"/>
              <w:jc w:val="both"/>
              <w:rPr>
                <w:b w:val="false"/>
              </w:rPr>
            </w:pPr>
            <w:r>
              <w:rPr>
                <w:b w:val="false"/>
              </w:rPr>
              <w:t>ability of the Company to adequately control selected operating expenses which are necessary to maintain safe and proper utility services, and which may be beyond the Company’s control;</w:t>
            </w:r>
          </w:p>
        </w:tc>
      </w:tr>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b w:val="false"/>
              </w:rPr>
            </w:pPr>
            <w:r>
              <w:rPr>
                <w:b w:val="false"/>
              </w:rPr>
              <w:t>-</w:t>
            </w:r>
          </w:p>
        </w:tc>
        <w:tc>
          <w:tcPr>
            <w:tcW w:w="10073" w:type="dxa"/>
            <w:tcBorders/>
            <w:vAlign w:val="center"/>
          </w:tcPr>
          <w:p>
            <w:pPr>
              <w:pStyle w:val="TableContents"/>
              <w:bidi w:val="0"/>
              <w:spacing w:before="0" w:after="283"/>
              <w:jc w:val="both"/>
              <w:rPr>
                <w:b w:val="false"/>
              </w:rPr>
            </w:pPr>
            <w:r>
              <w:rPr>
                <w:b w:val="false"/>
              </w:rPr>
              <w:t>availability of adequate supplies of water;</w:t>
            </w:r>
          </w:p>
        </w:tc>
      </w:tr>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b w:val="false"/>
              </w:rPr>
            </w:pPr>
            <w:r>
              <w:rPr>
                <w:b w:val="false"/>
              </w:rPr>
              <w:t>-</w:t>
            </w:r>
          </w:p>
        </w:tc>
        <w:tc>
          <w:tcPr>
            <w:tcW w:w="10073" w:type="dxa"/>
            <w:tcBorders/>
            <w:vAlign w:val="center"/>
          </w:tcPr>
          <w:p>
            <w:pPr>
              <w:pStyle w:val="TableContents"/>
              <w:bidi w:val="0"/>
              <w:spacing w:before="0" w:after="283"/>
              <w:jc w:val="both"/>
              <w:rPr>
                <w:b w:val="false"/>
              </w:rPr>
            </w:pPr>
            <w:r>
              <w:rPr>
                <w:b w:val="false"/>
              </w:rPr>
              <w:t>actions taken by government regulators, including decisions on rate increase requests;</w:t>
            </w:r>
          </w:p>
        </w:tc>
      </w:tr>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b w:val="false"/>
              </w:rPr>
            </w:pPr>
            <w:r>
              <w:rPr>
                <w:b w:val="false"/>
              </w:rPr>
              <w:t>-</w:t>
            </w:r>
          </w:p>
        </w:tc>
        <w:tc>
          <w:tcPr>
            <w:tcW w:w="10073" w:type="dxa"/>
            <w:tcBorders/>
            <w:vAlign w:val="center"/>
          </w:tcPr>
          <w:p>
            <w:pPr>
              <w:pStyle w:val="TableContents"/>
              <w:bidi w:val="0"/>
              <w:spacing w:before="0" w:after="283"/>
              <w:jc w:val="both"/>
              <w:rPr>
                <w:b w:val="false"/>
              </w:rPr>
            </w:pPr>
            <w:r>
              <w:rPr>
                <w:b w:val="false"/>
              </w:rPr>
              <w:t>new or modified water quality standards and compliance with related legal and regulatory requirements;</w:t>
            </w:r>
          </w:p>
        </w:tc>
      </w:tr>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b w:val="false"/>
              </w:rPr>
            </w:pPr>
            <w:r>
              <w:rPr>
                <w:b w:val="false"/>
              </w:rPr>
              <w:t>-</w:t>
            </w:r>
          </w:p>
        </w:tc>
        <w:tc>
          <w:tcPr>
            <w:tcW w:w="10073" w:type="dxa"/>
            <w:tcBorders/>
            <w:vAlign w:val="center"/>
          </w:tcPr>
          <w:p>
            <w:pPr>
              <w:pStyle w:val="TableContents"/>
              <w:bidi w:val="0"/>
              <w:spacing w:before="0" w:after="283"/>
              <w:jc w:val="both"/>
              <w:rPr>
                <w:b w:val="false"/>
              </w:rPr>
            </w:pPr>
            <w:r>
              <w:rPr>
                <w:b w:val="false"/>
              </w:rPr>
              <w:t>weather variations and other natural phenomena impacting utility operations;</w:t>
            </w:r>
          </w:p>
        </w:tc>
      </w:tr>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b w:val="false"/>
              </w:rPr>
            </w:pPr>
            <w:r>
              <w:rPr>
                <w:b w:val="false"/>
              </w:rPr>
              <w:t>-</w:t>
            </w:r>
          </w:p>
        </w:tc>
        <w:tc>
          <w:tcPr>
            <w:tcW w:w="10073" w:type="dxa"/>
            <w:tcBorders/>
            <w:vAlign w:val="center"/>
          </w:tcPr>
          <w:p>
            <w:pPr>
              <w:pStyle w:val="TableContents"/>
              <w:bidi w:val="0"/>
              <w:spacing w:before="0" w:after="283"/>
              <w:jc w:val="both"/>
              <w:rPr>
                <w:b w:val="false"/>
              </w:rPr>
            </w:pPr>
            <w:r>
              <w:rPr>
                <w:b w:val="false"/>
              </w:rPr>
              <w:t>financial and operating risks associated with acquisitions and, or privatizations;</w:t>
            </w:r>
          </w:p>
        </w:tc>
      </w:tr>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b w:val="false"/>
              </w:rPr>
            </w:pPr>
            <w:r>
              <w:rPr>
                <w:b w:val="false"/>
              </w:rPr>
              <w:t>-</w:t>
            </w:r>
          </w:p>
        </w:tc>
        <w:tc>
          <w:tcPr>
            <w:tcW w:w="10073" w:type="dxa"/>
            <w:tcBorders/>
            <w:vAlign w:val="center"/>
          </w:tcPr>
          <w:p>
            <w:pPr>
              <w:pStyle w:val="TableContents"/>
              <w:bidi w:val="0"/>
              <w:spacing w:before="0" w:after="283"/>
              <w:jc w:val="both"/>
              <w:rPr>
                <w:b w:val="false"/>
              </w:rPr>
            </w:pPr>
            <w:r>
              <w:rPr>
                <w:b w:val="false"/>
              </w:rPr>
              <w:t>acts of war or terrorism;</w:t>
            </w:r>
          </w:p>
        </w:tc>
      </w:tr>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b w:val="false"/>
              </w:rPr>
            </w:pPr>
            <w:r>
              <w:rPr>
                <w:b w:val="false"/>
              </w:rPr>
              <w:t>-</w:t>
            </w:r>
          </w:p>
        </w:tc>
        <w:tc>
          <w:tcPr>
            <w:tcW w:w="10073" w:type="dxa"/>
            <w:tcBorders/>
            <w:vAlign w:val="center"/>
          </w:tcPr>
          <w:p>
            <w:pPr>
              <w:pStyle w:val="TableContents"/>
              <w:bidi w:val="0"/>
              <w:spacing w:before="0" w:after="283"/>
              <w:jc w:val="both"/>
              <w:rPr>
                <w:b w:val="false"/>
              </w:rPr>
            </w:pPr>
            <w:r>
              <w:rPr>
                <w:b w:val="false"/>
              </w:rPr>
              <w:t>cyber-attacks;</w:t>
            </w:r>
          </w:p>
        </w:tc>
      </w:tr>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b w:val="false"/>
              </w:rPr>
            </w:pPr>
            <w:r>
              <w:rPr>
                <w:b w:val="false"/>
              </w:rPr>
              <w:t>-</w:t>
            </w:r>
          </w:p>
        </w:tc>
        <w:tc>
          <w:tcPr>
            <w:tcW w:w="10073" w:type="dxa"/>
            <w:tcBorders/>
            <w:vAlign w:val="center"/>
          </w:tcPr>
          <w:p>
            <w:pPr>
              <w:pStyle w:val="TableContents"/>
              <w:bidi w:val="0"/>
              <w:spacing w:before="0" w:after="283"/>
              <w:jc w:val="both"/>
              <w:rPr>
                <w:b w:val="false"/>
              </w:rPr>
            </w:pPr>
            <w:r>
              <w:rPr>
                <w:b w:val="false"/>
              </w:rPr>
              <w:t>changes in the pace of housing development;</w:t>
            </w:r>
          </w:p>
        </w:tc>
      </w:tr>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b w:val="false"/>
              </w:rPr>
            </w:pPr>
            <w:r>
              <w:rPr>
                <w:b w:val="false"/>
              </w:rPr>
              <w:t>-</w:t>
            </w:r>
          </w:p>
        </w:tc>
        <w:tc>
          <w:tcPr>
            <w:tcW w:w="10073" w:type="dxa"/>
            <w:tcBorders/>
            <w:vAlign w:val="center"/>
          </w:tcPr>
          <w:p>
            <w:pPr>
              <w:pStyle w:val="TableContents"/>
              <w:bidi w:val="0"/>
              <w:spacing w:before="0" w:after="283"/>
              <w:jc w:val="both"/>
              <w:rPr>
                <w:b w:val="false"/>
              </w:rPr>
            </w:pPr>
            <w:r>
              <w:rPr>
                <w:b w:val="false"/>
              </w:rPr>
              <w:t>availability and cost of capital resources;</w:t>
            </w:r>
          </w:p>
        </w:tc>
      </w:tr>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b w:val="false"/>
              </w:rPr>
            </w:pPr>
            <w:r>
              <w:rPr>
                <w:b w:val="false"/>
              </w:rPr>
              <w:t>-</w:t>
            </w:r>
          </w:p>
        </w:tc>
        <w:tc>
          <w:tcPr>
            <w:tcW w:w="10073" w:type="dxa"/>
            <w:tcBorders/>
            <w:vAlign w:val="center"/>
          </w:tcPr>
          <w:p>
            <w:pPr>
              <w:pStyle w:val="TableContents"/>
              <w:bidi w:val="0"/>
              <w:spacing w:before="0" w:after="283"/>
              <w:jc w:val="both"/>
              <w:rPr>
                <w:b w:val="false"/>
              </w:rPr>
            </w:pPr>
            <w:r>
              <w:rPr>
                <w:b w:val="false"/>
              </w:rPr>
              <w:t xml:space="preserve">timely availability of materials and supplies for operations and for critical infrastructure projects; </w:t>
            </w:r>
          </w:p>
        </w:tc>
      </w:tr>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b w:val="false"/>
              </w:rPr>
            </w:pPr>
            <w:r>
              <w:rPr>
                <w:b w:val="false"/>
              </w:rPr>
              <w:t>-</w:t>
            </w:r>
          </w:p>
        </w:tc>
        <w:tc>
          <w:tcPr>
            <w:tcW w:w="10073" w:type="dxa"/>
            <w:tcBorders/>
            <w:vAlign w:val="center"/>
          </w:tcPr>
          <w:p>
            <w:pPr>
              <w:pStyle w:val="TableContents"/>
              <w:bidi w:val="0"/>
              <w:spacing w:before="0" w:after="283"/>
              <w:jc w:val="both"/>
              <w:rPr>
                <w:b w:val="false"/>
              </w:rPr>
            </w:pPr>
            <w:r>
              <w:rPr>
                <w:b w:val="false"/>
              </w:rPr>
              <w:t>effectiveness of internal control over financial reporting;</w:t>
            </w:r>
          </w:p>
        </w:tc>
      </w:tr>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b w:val="false"/>
              </w:rPr>
            </w:pPr>
            <w:r>
              <w:rPr>
                <w:b w:val="false"/>
              </w:rPr>
              <w:t>-</w:t>
            </w:r>
          </w:p>
        </w:tc>
        <w:tc>
          <w:tcPr>
            <w:tcW w:w="10073" w:type="dxa"/>
            <w:tcBorders/>
            <w:vAlign w:val="center"/>
          </w:tcPr>
          <w:p>
            <w:pPr>
              <w:pStyle w:val="TableContents"/>
              <w:bidi w:val="0"/>
              <w:spacing w:before="0" w:after="283"/>
              <w:jc w:val="both"/>
              <w:rPr>
                <w:b w:val="false"/>
              </w:rPr>
            </w:pPr>
            <w:r>
              <w:rPr>
                <w:b w:val="false"/>
              </w:rPr>
              <w:t>impact of the Novel Coronavirus (COVID-19) or other pandemic; and</w:t>
            </w:r>
          </w:p>
        </w:tc>
      </w:tr>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b w:val="false"/>
              </w:rPr>
            </w:pPr>
            <w:r>
              <w:rPr>
                <w:b w:val="false"/>
              </w:rPr>
              <w:t>-</w:t>
            </w:r>
          </w:p>
        </w:tc>
        <w:tc>
          <w:tcPr>
            <w:tcW w:w="10073" w:type="dxa"/>
            <w:tcBorders/>
            <w:vAlign w:val="center"/>
          </w:tcPr>
          <w:p>
            <w:pPr>
              <w:pStyle w:val="TableContents"/>
              <w:bidi w:val="0"/>
              <w:spacing w:before="0" w:after="283"/>
              <w:jc w:val="both"/>
              <w:rPr>
                <w:b w:val="false"/>
              </w:rPr>
            </w:pPr>
            <w:r>
              <w:rPr>
                <w:b w:val="false"/>
              </w:rPr>
              <w:t xml:space="preserve">other factors discussed elsewhere in this annual report.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of these factors are beyond the Company’s ability to control or predict. Given these uncertainties, readers are cautioned not to place undue reliance on any forward-looking statements, which only speak to the Company’s understanding as of the date of this report. The Company does not undertake any obligation to release publicly any revisions to these forward-looking statements to reflect events or circumstances after the date of this annual report or to reflect the occurrence of unanticipated events, except as may be required under applicable securities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 additional discussion of factors that may affect the Company’s business and results of operations, see Item 1A - Risk Factors.</w:t>
      </w:r>
    </w:p>
    <w:p>
      <w:pPr>
        <w:pStyle w:val="TextBody"/>
        <w:bidi w:val="0"/>
        <w:spacing w:before="0" w:after="0"/>
        <w:ind w:left="0" w:right="0" w:hanging="0"/>
        <w:jc w:val="left"/>
        <w:rPr>
          <w:caps w:val="false"/>
          <w:smallCaps w:val="false"/>
          <w:bdr w:val="single" w:sz="16" w:space="1" w:color="000000"/>
        </w:rPr>
      </w:pPr>
      <w:r>
        <w:rPr>
          <w:caps w:val="false"/>
          <w:smallCaps w:val="false"/>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PART I</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4" w:name="a_003"/>
      <w:bookmarkStart w:id="5" w:name="a_003"/>
      <w:bookmarkEnd w:id="5"/>
    </w:p>
    <w:tbl>
      <w:tblPr>
        <w:tblW w:w="5000" w:type="pct"/>
        <w:jc w:val="left"/>
        <w:tblInd w:w="0" w:type="dxa"/>
        <w:tblLayout w:type="fixed"/>
        <w:tblCellMar>
          <w:top w:w="0" w:type="dxa"/>
          <w:left w:w="0" w:type="dxa"/>
          <w:bottom w:w="0" w:type="dxa"/>
          <w:right w:w="0" w:type="dxa"/>
        </w:tblCellMar>
      </w:tblPr>
      <w:tblGrid>
        <w:gridCol w:w="224"/>
        <w:gridCol w:w="4282"/>
        <w:gridCol w:w="5699"/>
      </w:tblGrid>
      <w:tr>
        <w:trPr/>
        <w:tc>
          <w:tcPr>
            <w:tcW w:w="224" w:type="dxa"/>
            <w:tcBorders/>
            <w:vAlign w:val="center"/>
          </w:tcPr>
          <w:p>
            <w:pPr>
              <w:pStyle w:val="TableContents"/>
              <w:bidi w:val="0"/>
              <w:spacing w:before="0" w:after="283"/>
              <w:jc w:val="left"/>
              <w:rPr>
                <w:sz w:val="4"/>
                <w:szCs w:val="4"/>
              </w:rPr>
            </w:pPr>
            <w:r>
              <w:rPr>
                <w:sz w:val="4"/>
                <w:szCs w:val="4"/>
              </w:rPr>
            </w:r>
          </w:p>
        </w:tc>
        <w:tc>
          <w:tcPr>
            <w:tcW w:w="4282" w:type="dxa"/>
            <w:tcBorders/>
            <w:vAlign w:val="center"/>
          </w:tcPr>
          <w:p>
            <w:pPr>
              <w:pStyle w:val="TableContents"/>
              <w:bidi w:val="0"/>
              <w:spacing w:before="0" w:after="283"/>
              <w:jc w:val="left"/>
              <w:rPr>
                <w:b/>
              </w:rPr>
            </w:pPr>
            <w:r>
              <w:rPr>
                <w:b/>
              </w:rPr>
              <w:t>Item 1.</w:t>
            </w:r>
          </w:p>
        </w:tc>
        <w:tc>
          <w:tcPr>
            <w:tcW w:w="5699" w:type="dxa"/>
            <w:tcBorders/>
            <w:vAlign w:val="center"/>
          </w:tcPr>
          <w:p>
            <w:pPr>
              <w:pStyle w:val="TableContents"/>
              <w:bidi w:val="0"/>
              <w:spacing w:before="0" w:after="283"/>
              <w:jc w:val="left"/>
              <w:rPr>
                <w:b/>
              </w:rPr>
            </w:pPr>
            <w:r>
              <w:rPr>
                <w:b/>
              </w:rPr>
              <w:t>Business.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6" w:name="a_004"/>
      <w:bookmarkEnd w:id="6"/>
      <w:r>
        <w:rPr>
          <w:rFonts w:ascii="Times New Roman;Times;Serif" w:hAnsi="Times New Roman;Times;Serif"/>
          <w:b/>
          <w:i w:val="false"/>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Middlesex Water Company (Middlesex) was incorporated as a water utility company in 1897 and owns and operates regulated water utility and wastewater systems primarily in New Jersey and Delaware. Middlesex also operates water and wastewater systems under contract on behalf of municipal and private clients primarily in New Jersey and Delaware.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“the Company,” “we,” “our,” and “us” refer to Middlesex Water Company and its subsidiaries, including Tidewater Utilities, Inc. (Tidewater) and Tidewater’s wholly-owned subsidiaries, Southern Shores Water Company, LLC (Southern Shores) and White Marsh Environmental Systems, Inc. (White Marsh). The Company’s other subsidiaries are Pinelands Water Company (Pinelands Water) and Pinelands Wastewater Company (Pinelands Wastewater) (collectively, Pinelands), Utility Service Affiliates, Inc. (USA) and Utility Service Affiliates (Perth Amboy) Inc., (USA-PA).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principal executive offices are located at 485C Route 1 South, Suite 400, Iselin, New Jersey 08830. Our telephone number is (732) 634-1500. Our website address is http://www.middlesexwater.com. Information contained on our website is not part of this Annual Report on Form 10-K. We make available, free of charge through our website, reports and amendments filed or furnished pursuant to Section 13(a) or 15(d) of the Securities Exchange Act of 1934, after such material is electronically filed with or furnished to the United States Securities and Exchange Commission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Middlesex System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Located in New Jersey, the Middlesex System provides water services to approximately 61,000 retail customers, primarily in eastern Middlesex County and under wholesale contracts to the City of Rahway, Townships of Edison and Marlboro, the Borough of Highland Park and the Old Bridge Municipal Utilities Authority. The Middlesex System treats, stores and distributes water for residential, commercial, industrial and fire protection purposes. The Middlesex System also provides water treatment and pumping services to the Township of East Brunswick under contract. The amount of water supply allocated to the Township of East Brunswick is granted directly to the Township by the New Jersey Water Supply Authority. The Middlesex System produced approximately 66% of our 2023 consolidated operating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Middlesex System’s retail customers are located in an area of approximately 55 square miles in Woodbridge Township, the City of South Amboy, the Boroughs of Metuchen and Carteret, portions of the Township of Edison and the Borough of South Plainfield, all in Middlesex County, and a portion of the Township of Clark in Union County. Retail customers include a mix of residential customers, large industrial concerns and commercial and light industrial facilities. These customers are located in generally well-developed areas of central New Jersey.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contract customers of the Middlesex System comprise an area of approximately 110 square miles with a population of over 200,000. Contract sales to the Townships of Edison and Marlboro, the City of Rahway and the Old Bridge Municipal Utilities Authority are supplemental to the water systems owned and operated by these customers. Middlesex is the sole source of water for the Borough of Highland Park and the Township of East Brunswick.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Middlesex provides water service to approximately 300 customers in Cumberland County, New Jersey. This system is referred to as the Fortescue System, and is not physically interconnected with the Middlesex System. The Fortescue System produced less than 0.1% of our 2023 consolidated operating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Tidewater System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Tidewater, together with its wholly-owned subsidiary, Southern Shores, provides water services to approximately 59,000 retail customers for residential, commercial and fire protection purposes in over 470 separate communities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New Castle, Kent and Sussex Counties, Delaware. The Tidewater System produced approximately 25% of our 2023 consolidated operating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USA-PA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USA-PA operates the City of Perth Amboy, New Jersey’s (Perth Amboy) water and wastewater systems under a 10-year agreement, which expires in December 2028. In addition to performing day-to day operations, USA-PA is also responsible for emergency responses and management of capital projects funded by Perth Amboy. USA-PA produced approximately 4% of our 2023 consolidated operating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Pinelands Systems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Pinelands Water provides water services to approximately 2,500 residential customers in Burlington County, New Jersey. Pinelands Water is not physically interconnected with the Middlesex System. Pinelands Water produced approximately 1% of our 2023 consolidated operating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Pinelands Wastewater provides wastewater collection and treatment services to approximately 2,500 residential customers and one municipal wastewater system in Burlington County, New Jersey. Pinelands Wastewater produced approximately 1% of our 2023 consolidated operating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USA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USA operates the Borough of Avalon, New Jersey’s (Avalon) water utility, sewer utility and storm water system under a ten-year operations and maintenance contract expiring in 2032. In addition to performing day-to-day service operations, USA is responsible for emergency responses and management of capital projects funded by Avalon.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USA operates the Borough of Highland Park, New Jersey’s (Highland Park) water utility and sewer utility under a ten-year operations and maintenance contract expiring in 2030.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USA also provides water and wastewater services to several other New Jersey municipalities under contracts that are not regulated by a public utility commission as to rates and 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 marketing agreement with HomeServe USA Corp. (HomeServe) expiring in 2031, USA offers residential customers in New Jersey and Delaware various water and wastewater related home maintenance programs. HomeServe is a leading national provider of such home maintenance service programs. USA receives a service fee for the billing, cash collection and other administrative matters associated with HomeServe’s service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USA produced approximately 2% of our 2023 consolidated operating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White Marsh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White Marsh operates or maintains water and/or wastewater systems that serve approximately 4,300 service connections under 31 separate contracts. White Marsh also owns two commercial properties that are leased to Tidewater for its administrative office campus and its field operations center. White Marsh produced approximately 1% of our 2023 consolidated operating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7" w:name="a_005"/>
      <w:bookmarkEnd w:id="7"/>
      <w:r>
        <w:rPr>
          <w:rFonts w:ascii="Times New Roman;Times;Serif" w:hAnsi="Times New Roman;Times;Serif"/>
          <w:b/>
          <w:i w:val="false"/>
          <w:caps w:val="false"/>
          <w:smallCaps w:val="false"/>
          <w:sz w:val="20"/>
        </w:rPr>
        <w:t>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Consolidated operating revenues, operating income and net income are as follows:</w:t>
      </w:r>
    </w:p>
    <w:p>
      <w:pPr>
        <w:pStyle w:val="TextBody"/>
        <w:bidi w:val="0"/>
        <w:spacing w:before="0" w:after="0"/>
        <w:ind w:left="0" w:right="0" w:hanging="0"/>
        <w:jc w:val="left"/>
        <w:rPr>
          <w:caps w:val="false"/>
          <w:smallCaps w:val="false"/>
        </w:rPr>
      </w:pPr>
      <w:r>
        <w:rPr>
          <w:caps w:val="false"/>
          <w:smallCaps w:val="false"/>
        </w:rPr>
        <w:t> </w:t>
      </w:r>
    </w:p>
    <w:tbl>
      <w:tblPr>
        <w:tblW w:w="5165" w:type="dxa"/>
        <w:jc w:val="left"/>
        <w:tblInd w:w="0" w:type="dxa"/>
        <w:tblLayout w:type="fixed"/>
        <w:tblCellMar>
          <w:top w:w="0" w:type="dxa"/>
          <w:left w:w="0" w:type="dxa"/>
          <w:bottom w:w="0" w:type="dxa"/>
          <w:right w:w="0" w:type="dxa"/>
        </w:tblCellMar>
      </w:tblPr>
      <w:tblGrid>
        <w:gridCol w:w="1970"/>
        <w:gridCol w:w="60"/>
        <w:gridCol w:w="140"/>
        <w:gridCol w:w="800"/>
        <w:gridCol w:w="60"/>
        <w:gridCol w:w="60"/>
        <w:gridCol w:w="140"/>
        <w:gridCol w:w="800"/>
        <w:gridCol w:w="60"/>
        <w:gridCol w:w="60"/>
        <w:gridCol w:w="140"/>
        <w:gridCol w:w="800"/>
        <w:gridCol w:w="75"/>
      </w:tblGrid>
      <w:tr>
        <w:trPr/>
        <w:tc>
          <w:tcPr>
            <w:tcW w:w="19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060" w:type="dxa"/>
            <w:gridSpan w:val="10"/>
            <w:tcBorders/>
            <w:vAlign w:val="center"/>
          </w:tcPr>
          <w:p>
            <w:pPr>
              <w:pStyle w:val="TableContents"/>
              <w:bidi w:val="0"/>
              <w:spacing w:before="0" w:after="283"/>
              <w:jc w:val="center"/>
              <w:rPr>
                <w:b/>
              </w:rPr>
            </w:pPr>
            <w:r>
              <w:rPr>
                <w:b/>
              </w:rPr>
              <w:t>(Thousands of Dollars)</w:t>
            </w:r>
          </w:p>
        </w:tc>
        <w:tc>
          <w:tcPr>
            <w:tcW w:w="75" w:type="dxa"/>
            <w:tcBorders/>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060" w:type="dxa"/>
            <w:gridSpan w:val="10"/>
            <w:tcBorders/>
            <w:vAlign w:val="center"/>
          </w:tcPr>
          <w:p>
            <w:pPr>
              <w:pStyle w:val="TableContents"/>
              <w:bidi w:val="0"/>
              <w:spacing w:before="0" w:after="283"/>
              <w:jc w:val="center"/>
              <w:rPr>
                <w:b/>
              </w:rPr>
            </w:pPr>
            <w:r>
              <w:rPr>
                <w:b/>
              </w:rPr>
              <w:t>Years Ended December 31,</w:t>
            </w:r>
          </w:p>
        </w:tc>
        <w:tc>
          <w:tcPr>
            <w:tcW w:w="75" w:type="dxa"/>
            <w:tcBorders/>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2021</w:t>
            </w:r>
          </w:p>
        </w:tc>
        <w:tc>
          <w:tcPr>
            <w:tcW w:w="75" w:type="dxa"/>
            <w:tcBorders/>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before="0" w:after="283"/>
              <w:jc w:val="left"/>
              <w:rPr/>
            </w:pPr>
            <w:r>
              <w:rPr/>
              <w:t>Operating Revenues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166,274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162,434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143,141</w:t>
            </w:r>
          </w:p>
        </w:tc>
        <w:tc>
          <w:tcPr>
            <w:tcW w:w="75" w:type="dxa"/>
            <w:tcBorders/>
            <w:shd w:fill="CCEEFF" w:val="clear"/>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before="0" w:after="283"/>
              <w:jc w:val="left"/>
              <w:rPr/>
            </w:pPr>
            <w:r>
              <w:rPr/>
              <w:t>Operating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39,223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47,333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33,211</w:t>
            </w:r>
          </w:p>
        </w:tc>
        <w:tc>
          <w:tcPr>
            <w:tcW w:w="75" w:type="dxa"/>
            <w:tcBorders/>
            <w:shd w:fill="CCEEFF" w:val="clear"/>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before="0" w:after="283"/>
              <w:jc w:val="left"/>
              <w:rPr/>
            </w:pPr>
            <w:r>
              <w:rPr/>
              <w:t>Net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31,524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42,429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36,543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revenues were earned from the following sources:</w:t>
      </w:r>
    </w:p>
    <w:p>
      <w:pPr>
        <w:pStyle w:val="TextBody"/>
        <w:bidi w:val="0"/>
        <w:spacing w:before="0" w:after="0"/>
        <w:ind w:left="0" w:right="0" w:hanging="0"/>
        <w:jc w:val="left"/>
        <w:rPr>
          <w:caps w:val="false"/>
          <w:smallCaps w:val="false"/>
        </w:rPr>
      </w:pPr>
      <w:r>
        <w:rPr>
          <w:caps w:val="false"/>
          <w:smallCaps w:val="false"/>
        </w:rPr>
        <w:t> </w:t>
      </w:r>
    </w:p>
    <w:tbl>
      <w:tblPr>
        <w:tblW w:w="4879" w:type="dxa"/>
        <w:jc w:val="left"/>
        <w:tblInd w:w="0" w:type="dxa"/>
        <w:tblLayout w:type="fixed"/>
        <w:tblCellMar>
          <w:top w:w="0" w:type="dxa"/>
          <w:left w:w="0" w:type="dxa"/>
          <w:bottom w:w="0" w:type="dxa"/>
          <w:right w:w="0" w:type="dxa"/>
        </w:tblCellMar>
      </w:tblPr>
      <w:tblGrid>
        <w:gridCol w:w="1940"/>
        <w:gridCol w:w="60"/>
        <w:gridCol w:w="62"/>
        <w:gridCol w:w="790"/>
        <w:gridCol w:w="62"/>
        <w:gridCol w:w="62"/>
        <w:gridCol w:w="62"/>
        <w:gridCol w:w="790"/>
        <w:gridCol w:w="62"/>
        <w:gridCol w:w="62"/>
        <w:gridCol w:w="62"/>
        <w:gridCol w:w="790"/>
        <w:gridCol w:w="75"/>
      </w:tblGrid>
      <w:tr>
        <w:trPr/>
        <w:tc>
          <w:tcPr>
            <w:tcW w:w="19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804" w:type="dxa"/>
            <w:gridSpan w:val="10"/>
            <w:tcBorders/>
            <w:vAlign w:val="center"/>
          </w:tcPr>
          <w:p>
            <w:pPr>
              <w:pStyle w:val="TableContents"/>
              <w:bidi w:val="0"/>
              <w:spacing w:before="0" w:after="283"/>
              <w:jc w:val="center"/>
              <w:rPr>
                <w:b/>
              </w:rPr>
            </w:pPr>
            <w:r>
              <w:rPr>
                <w:b/>
              </w:rPr>
              <w:t>Years Ended December 31,</w:t>
            </w:r>
          </w:p>
        </w:tc>
        <w:tc>
          <w:tcPr>
            <w:tcW w:w="75" w:type="dxa"/>
            <w:tcBorders/>
            <w:vAlign w:val="center"/>
          </w:tcPr>
          <w:p>
            <w:pPr>
              <w:pStyle w:val="TableContents"/>
              <w:bidi w:val="0"/>
              <w:spacing w:before="0" w:after="283"/>
              <w:jc w:val="left"/>
              <w:rPr/>
            </w:pPr>
            <w:r>
              <w:rPr/>
              <w:t> </w:t>
            </w:r>
          </w:p>
        </w:tc>
      </w:tr>
      <w:tr>
        <w:trPr/>
        <w:tc>
          <w:tcPr>
            <w:tcW w:w="19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5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5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5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2021</w:t>
            </w:r>
          </w:p>
        </w:tc>
        <w:tc>
          <w:tcPr>
            <w:tcW w:w="75" w:type="dxa"/>
            <w:tcBorders/>
            <w:vAlign w:val="center"/>
          </w:tcPr>
          <w:p>
            <w:pPr>
              <w:pStyle w:val="TableContents"/>
              <w:bidi w:val="0"/>
              <w:spacing w:before="0" w:after="283"/>
              <w:jc w:val="left"/>
              <w:rPr/>
            </w:pPr>
            <w:r>
              <w:rPr/>
              <w:t> </w:t>
            </w:r>
          </w:p>
        </w:tc>
      </w:tr>
      <w:tr>
        <w:trPr/>
        <w:tc>
          <w:tcPr>
            <w:tcW w:w="19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52" w:type="dxa"/>
            <w:gridSpan w:val="2"/>
            <w:tcBorders/>
            <w:vAlign w:val="center"/>
          </w:tcPr>
          <w:p>
            <w:pPr>
              <w:pStyle w:val="TableContents"/>
              <w:bidi w:val="0"/>
              <w:spacing w:before="0" w:after="283"/>
              <w:jc w:val="center"/>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52" w:type="dxa"/>
            <w:gridSpan w:val="2"/>
            <w:tcBorders/>
            <w:vAlign w:val="center"/>
          </w:tcPr>
          <w:p>
            <w:pPr>
              <w:pStyle w:val="TableContents"/>
              <w:bidi w:val="0"/>
              <w:spacing w:before="0" w:after="283"/>
              <w:jc w:val="center"/>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52"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1940" w:type="dxa"/>
            <w:tcBorders/>
            <w:vAlign w:val="center"/>
          </w:tcPr>
          <w:p>
            <w:pPr>
              <w:pStyle w:val="TableContents"/>
              <w:bidi w:val="0"/>
              <w:spacing w:before="0" w:after="283"/>
              <w:jc w:val="left"/>
              <w:rPr/>
            </w:pPr>
            <w:r>
              <w:rPr/>
              <w:t>Residential</w:t>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790" w:type="dxa"/>
            <w:tcBorders/>
            <w:vAlign w:val="center"/>
          </w:tcPr>
          <w:p>
            <w:pPr>
              <w:pStyle w:val="TableContents"/>
              <w:bidi w:val="0"/>
              <w:spacing w:before="0" w:after="283"/>
              <w:jc w:val="right"/>
              <w:rPr/>
            </w:pPr>
            <w:r>
              <w:rPr/>
              <w:t>52.1%</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790" w:type="dxa"/>
            <w:tcBorders/>
            <w:vAlign w:val="center"/>
          </w:tcPr>
          <w:p>
            <w:pPr>
              <w:pStyle w:val="TableContents"/>
              <w:bidi w:val="0"/>
              <w:spacing w:before="0" w:after="283"/>
              <w:jc w:val="right"/>
              <w:rPr/>
            </w:pPr>
            <w:r>
              <w:rPr/>
              <w:t>52.3%</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790" w:type="dxa"/>
            <w:tcBorders/>
            <w:vAlign w:val="center"/>
          </w:tcPr>
          <w:p>
            <w:pPr>
              <w:pStyle w:val="TableContents"/>
              <w:bidi w:val="0"/>
              <w:spacing w:before="0" w:after="283"/>
              <w:jc w:val="right"/>
              <w:rPr/>
            </w:pPr>
            <w:r>
              <w:rPr/>
              <w:t>54.3%</w:t>
            </w:r>
          </w:p>
        </w:tc>
        <w:tc>
          <w:tcPr>
            <w:tcW w:w="75" w:type="dxa"/>
            <w:tcBorders/>
            <w:vAlign w:val="center"/>
          </w:tcPr>
          <w:p>
            <w:pPr>
              <w:pStyle w:val="TableContents"/>
              <w:bidi w:val="0"/>
              <w:spacing w:before="0" w:after="283"/>
              <w:jc w:val="left"/>
              <w:rPr/>
            </w:pPr>
            <w:r>
              <w:rPr/>
              <w:t> </w:t>
            </w:r>
          </w:p>
        </w:tc>
      </w:tr>
      <w:tr>
        <w:trPr/>
        <w:tc>
          <w:tcPr>
            <w:tcW w:w="1940" w:type="dxa"/>
            <w:tcBorders/>
            <w:shd w:fill="CCEEFF" w:val="clear"/>
            <w:vAlign w:val="center"/>
          </w:tcPr>
          <w:p>
            <w:pPr>
              <w:pStyle w:val="TableContents"/>
              <w:bidi w:val="0"/>
              <w:spacing w:before="0" w:after="283"/>
              <w:jc w:val="left"/>
              <w:rPr/>
            </w:pPr>
            <w:r>
              <w:rPr/>
              <w:t>Commercial</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pPr>
            <w:r>
              <w:rPr/>
              <w:t>14.4</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pPr>
            <w:r>
              <w:rPr/>
              <w:t>14.0</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pPr>
            <w:r>
              <w:rPr/>
              <w:t>11.7</w:t>
            </w:r>
          </w:p>
        </w:tc>
        <w:tc>
          <w:tcPr>
            <w:tcW w:w="75" w:type="dxa"/>
            <w:tcBorders/>
            <w:shd w:fill="CCEEFF" w:val="clear"/>
            <w:vAlign w:val="center"/>
          </w:tcPr>
          <w:p>
            <w:pPr>
              <w:pStyle w:val="TableContents"/>
              <w:bidi w:val="0"/>
              <w:spacing w:before="0" w:after="283"/>
              <w:jc w:val="left"/>
              <w:rPr/>
            </w:pPr>
            <w:r>
              <w:rPr/>
              <w:t> </w:t>
            </w:r>
          </w:p>
        </w:tc>
      </w:tr>
      <w:tr>
        <w:trPr/>
        <w:tc>
          <w:tcPr>
            <w:tcW w:w="1940" w:type="dxa"/>
            <w:tcBorders/>
            <w:vAlign w:val="center"/>
          </w:tcPr>
          <w:p>
            <w:pPr>
              <w:pStyle w:val="TableContents"/>
              <w:bidi w:val="0"/>
              <w:spacing w:before="0" w:after="283"/>
              <w:jc w:val="left"/>
              <w:rPr/>
            </w:pPr>
            <w:r>
              <w:rPr/>
              <w:t>Industrial</w:t>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790" w:type="dxa"/>
            <w:tcBorders/>
            <w:vAlign w:val="center"/>
          </w:tcPr>
          <w:p>
            <w:pPr>
              <w:pStyle w:val="TableContents"/>
              <w:bidi w:val="0"/>
              <w:spacing w:before="0" w:after="283"/>
              <w:jc w:val="right"/>
              <w:rPr/>
            </w:pPr>
            <w:r>
              <w:rPr/>
              <w:t>7.0</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790" w:type="dxa"/>
            <w:tcBorders/>
            <w:vAlign w:val="center"/>
          </w:tcPr>
          <w:p>
            <w:pPr>
              <w:pStyle w:val="TableContents"/>
              <w:bidi w:val="0"/>
              <w:spacing w:before="0" w:after="283"/>
              <w:jc w:val="right"/>
              <w:rPr/>
            </w:pPr>
            <w:r>
              <w:rPr/>
              <w:t>6.9</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790" w:type="dxa"/>
            <w:tcBorders/>
            <w:vAlign w:val="center"/>
          </w:tcPr>
          <w:p>
            <w:pPr>
              <w:pStyle w:val="TableContents"/>
              <w:bidi w:val="0"/>
              <w:spacing w:before="0" w:after="283"/>
              <w:jc w:val="right"/>
              <w:rPr/>
            </w:pPr>
            <w:r>
              <w:rPr/>
              <w:t>6.3</w:t>
            </w:r>
          </w:p>
        </w:tc>
        <w:tc>
          <w:tcPr>
            <w:tcW w:w="75" w:type="dxa"/>
            <w:tcBorders/>
            <w:vAlign w:val="center"/>
          </w:tcPr>
          <w:p>
            <w:pPr>
              <w:pStyle w:val="TableContents"/>
              <w:bidi w:val="0"/>
              <w:spacing w:before="0" w:after="283"/>
              <w:jc w:val="left"/>
              <w:rPr/>
            </w:pPr>
            <w:r>
              <w:rPr/>
              <w:t> </w:t>
            </w:r>
          </w:p>
        </w:tc>
      </w:tr>
      <w:tr>
        <w:trPr/>
        <w:tc>
          <w:tcPr>
            <w:tcW w:w="1940" w:type="dxa"/>
            <w:tcBorders/>
            <w:shd w:fill="CCEEFF" w:val="clear"/>
            <w:vAlign w:val="center"/>
          </w:tcPr>
          <w:p>
            <w:pPr>
              <w:pStyle w:val="TableContents"/>
              <w:bidi w:val="0"/>
              <w:spacing w:before="0" w:after="283"/>
              <w:jc w:val="left"/>
              <w:rPr/>
            </w:pPr>
            <w:r>
              <w:rPr/>
              <w:t>Fire Protection</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pPr>
            <w:r>
              <w:rPr/>
              <w:t>7.6</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pPr>
            <w:r>
              <w:rPr/>
              <w:t>7.8</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pPr>
            <w:r>
              <w:rPr/>
              <w:t>8.8</w:t>
            </w:r>
          </w:p>
        </w:tc>
        <w:tc>
          <w:tcPr>
            <w:tcW w:w="75" w:type="dxa"/>
            <w:tcBorders/>
            <w:shd w:fill="CCEEFF" w:val="clear"/>
            <w:vAlign w:val="center"/>
          </w:tcPr>
          <w:p>
            <w:pPr>
              <w:pStyle w:val="TableContents"/>
              <w:bidi w:val="0"/>
              <w:spacing w:before="0" w:after="283"/>
              <w:jc w:val="left"/>
              <w:rPr/>
            </w:pPr>
            <w:r>
              <w:rPr/>
              <w:t> </w:t>
            </w:r>
          </w:p>
        </w:tc>
      </w:tr>
      <w:tr>
        <w:trPr/>
        <w:tc>
          <w:tcPr>
            <w:tcW w:w="1940" w:type="dxa"/>
            <w:tcBorders/>
            <w:vAlign w:val="center"/>
          </w:tcPr>
          <w:p>
            <w:pPr>
              <w:pStyle w:val="TableContents"/>
              <w:bidi w:val="0"/>
              <w:spacing w:before="0" w:after="283"/>
              <w:jc w:val="left"/>
              <w:rPr/>
            </w:pPr>
            <w:r>
              <w:rPr/>
              <w:t>Contract Sales</w:t>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790" w:type="dxa"/>
            <w:tcBorders/>
            <w:vAlign w:val="center"/>
          </w:tcPr>
          <w:p>
            <w:pPr>
              <w:pStyle w:val="TableContents"/>
              <w:bidi w:val="0"/>
              <w:spacing w:before="0" w:after="283"/>
              <w:jc w:val="right"/>
              <w:rPr/>
            </w:pPr>
            <w:r>
              <w:rPr/>
              <w:t>11.5</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790" w:type="dxa"/>
            <w:tcBorders/>
            <w:vAlign w:val="center"/>
          </w:tcPr>
          <w:p>
            <w:pPr>
              <w:pStyle w:val="TableContents"/>
              <w:bidi w:val="0"/>
              <w:spacing w:before="0" w:after="283"/>
              <w:jc w:val="right"/>
              <w:rPr/>
            </w:pPr>
            <w:r>
              <w:rPr/>
              <w:t>11.6</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790" w:type="dxa"/>
            <w:tcBorders/>
            <w:vAlign w:val="center"/>
          </w:tcPr>
          <w:p>
            <w:pPr>
              <w:pStyle w:val="TableContents"/>
              <w:bidi w:val="0"/>
              <w:spacing w:before="0" w:after="283"/>
              <w:jc w:val="right"/>
              <w:rPr/>
            </w:pPr>
            <w:r>
              <w:rPr/>
              <w:t>10.2</w:t>
            </w:r>
          </w:p>
        </w:tc>
        <w:tc>
          <w:tcPr>
            <w:tcW w:w="75" w:type="dxa"/>
            <w:tcBorders/>
            <w:vAlign w:val="center"/>
          </w:tcPr>
          <w:p>
            <w:pPr>
              <w:pStyle w:val="TableContents"/>
              <w:bidi w:val="0"/>
              <w:spacing w:before="0" w:after="283"/>
              <w:jc w:val="left"/>
              <w:rPr/>
            </w:pPr>
            <w:r>
              <w:rPr/>
              <w:t> </w:t>
            </w:r>
          </w:p>
        </w:tc>
      </w:tr>
      <w:tr>
        <w:trPr/>
        <w:tc>
          <w:tcPr>
            <w:tcW w:w="1940" w:type="dxa"/>
            <w:tcBorders/>
            <w:shd w:fill="CCEEFF" w:val="clear"/>
            <w:vAlign w:val="center"/>
          </w:tcPr>
          <w:p>
            <w:pPr>
              <w:pStyle w:val="TableContents"/>
              <w:bidi w:val="0"/>
              <w:spacing w:before="0" w:after="283"/>
              <w:jc w:val="left"/>
              <w:rPr/>
            </w:pPr>
            <w:r>
              <w:rPr/>
              <w:t>Contract Operations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pPr>
            <w:r>
              <w:rPr/>
              <w:t>7.4</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pPr>
            <w:r>
              <w:rPr/>
              <w:t>7.4</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pPr>
            <w:r>
              <w:rPr/>
              <w:t>8.6</w:t>
            </w:r>
          </w:p>
        </w:tc>
        <w:tc>
          <w:tcPr>
            <w:tcW w:w="75" w:type="dxa"/>
            <w:tcBorders/>
            <w:shd w:fill="CCEEFF" w:val="clear"/>
            <w:vAlign w:val="center"/>
          </w:tcPr>
          <w:p>
            <w:pPr>
              <w:pStyle w:val="TableContents"/>
              <w:bidi w:val="0"/>
              <w:spacing w:before="0" w:after="283"/>
              <w:jc w:val="left"/>
              <w:rPr/>
            </w:pPr>
            <w:r>
              <w:rPr/>
              <w:t> </w:t>
            </w:r>
          </w:p>
        </w:tc>
      </w:tr>
      <w:tr>
        <w:trPr/>
        <w:tc>
          <w:tcPr>
            <w:tcW w:w="1940" w:type="dxa"/>
            <w:tcBorders/>
            <w:vAlign w:val="center"/>
          </w:tcPr>
          <w:p>
            <w:pPr>
              <w:pStyle w:val="TableContents"/>
              <w:bidi w:val="0"/>
              <w:spacing w:before="0" w:after="283"/>
              <w:jc w:val="left"/>
              <w:rPr/>
            </w:pPr>
            <w:r>
              <w:rPr/>
              <w:t>Other</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2" w:type="dxa"/>
            <w:tcBorders>
              <w:bottom w:val="single" w:sz="8" w:space="0" w:color="000000"/>
            </w:tcBorders>
            <w:tcMar>
              <w:bottom w:w="28" w:type="dxa"/>
            </w:tcMar>
            <w:vAlign w:val="center"/>
          </w:tcPr>
          <w:p>
            <w:pPr>
              <w:pStyle w:val="TableContents"/>
              <w:bidi w:val="0"/>
              <w:spacing w:before="0" w:after="283"/>
              <w:jc w:val="left"/>
              <w:rPr/>
            </w:pPr>
            <w:r>
              <w:rPr/>
              <w:t> </w:t>
            </w:r>
          </w:p>
        </w:tc>
        <w:tc>
          <w:tcPr>
            <w:tcW w:w="790" w:type="dxa"/>
            <w:tcBorders>
              <w:bottom w:val="single" w:sz="8" w:space="0" w:color="000000"/>
            </w:tcBorders>
            <w:tcMar>
              <w:bottom w:w="28" w:type="dxa"/>
            </w:tcMar>
            <w:vAlign w:val="center"/>
          </w:tcPr>
          <w:p>
            <w:pPr>
              <w:pStyle w:val="TableContents"/>
              <w:bidi w:val="0"/>
              <w:spacing w:before="0" w:after="283"/>
              <w:jc w:val="right"/>
              <w:rPr/>
            </w:pPr>
            <w:r>
              <w:rPr/>
              <w:t>0.0</w:t>
            </w:r>
          </w:p>
        </w:tc>
        <w:tc>
          <w:tcPr>
            <w:tcW w:w="62" w:type="dxa"/>
            <w:tcBorders>
              <w:bottom w:val="single" w:sz="8" w:space="0" w:color="000000"/>
            </w:tcBorders>
            <w:tcMar>
              <w:bottom w:w="28" w:type="dxa"/>
            </w:tcMar>
            <w:vAlign w:val="center"/>
          </w:tcPr>
          <w:p>
            <w:pPr>
              <w:pStyle w:val="TableContents"/>
              <w:bidi w:val="0"/>
              <w:spacing w:before="0" w:after="283"/>
              <w:jc w:val="left"/>
              <w:rPr/>
            </w:pPr>
            <w:r>
              <w:rPr/>
              <w:t> </w:t>
            </w:r>
          </w:p>
        </w:tc>
        <w:tc>
          <w:tcPr>
            <w:tcW w:w="62" w:type="dxa"/>
            <w:tcBorders>
              <w:bottom w:val="single" w:sz="8" w:space="0" w:color="000000"/>
            </w:tcBorders>
            <w:tcMar>
              <w:bottom w:w="28" w:type="dxa"/>
            </w:tcMar>
            <w:vAlign w:val="center"/>
          </w:tcPr>
          <w:p>
            <w:pPr>
              <w:pStyle w:val="TableContents"/>
              <w:bidi w:val="0"/>
              <w:spacing w:before="0" w:after="283"/>
              <w:jc w:val="left"/>
              <w:rPr/>
            </w:pPr>
            <w:r>
              <w:rPr/>
              <w:t> </w:t>
            </w:r>
          </w:p>
        </w:tc>
        <w:tc>
          <w:tcPr>
            <w:tcW w:w="62" w:type="dxa"/>
            <w:tcBorders>
              <w:bottom w:val="single" w:sz="8" w:space="0" w:color="000000"/>
            </w:tcBorders>
            <w:tcMar>
              <w:bottom w:w="28" w:type="dxa"/>
            </w:tcMar>
            <w:vAlign w:val="center"/>
          </w:tcPr>
          <w:p>
            <w:pPr>
              <w:pStyle w:val="TableContents"/>
              <w:bidi w:val="0"/>
              <w:spacing w:before="0" w:after="283"/>
              <w:jc w:val="left"/>
              <w:rPr/>
            </w:pPr>
            <w:r>
              <w:rPr/>
              <w:t> </w:t>
            </w:r>
          </w:p>
        </w:tc>
        <w:tc>
          <w:tcPr>
            <w:tcW w:w="790" w:type="dxa"/>
            <w:tcBorders>
              <w:bottom w:val="single" w:sz="8" w:space="0" w:color="000000"/>
            </w:tcBorders>
            <w:tcMar>
              <w:bottom w:w="28" w:type="dxa"/>
            </w:tcMar>
            <w:vAlign w:val="center"/>
          </w:tcPr>
          <w:p>
            <w:pPr>
              <w:pStyle w:val="TableContents"/>
              <w:bidi w:val="0"/>
              <w:spacing w:before="0" w:after="283"/>
              <w:jc w:val="right"/>
              <w:rPr/>
            </w:pPr>
            <w:r>
              <w:rPr/>
              <w:t>0.0</w:t>
            </w:r>
          </w:p>
        </w:tc>
        <w:tc>
          <w:tcPr>
            <w:tcW w:w="62" w:type="dxa"/>
            <w:tcBorders>
              <w:bottom w:val="single" w:sz="8" w:space="0" w:color="000000"/>
            </w:tcBorders>
            <w:tcMar>
              <w:bottom w:w="28" w:type="dxa"/>
            </w:tcMar>
            <w:vAlign w:val="center"/>
          </w:tcPr>
          <w:p>
            <w:pPr>
              <w:pStyle w:val="TableContents"/>
              <w:bidi w:val="0"/>
              <w:spacing w:before="0" w:after="283"/>
              <w:jc w:val="left"/>
              <w:rPr/>
            </w:pPr>
            <w:r>
              <w:rPr/>
              <w:t> </w:t>
            </w:r>
          </w:p>
        </w:tc>
        <w:tc>
          <w:tcPr>
            <w:tcW w:w="62" w:type="dxa"/>
            <w:tcBorders>
              <w:bottom w:val="single" w:sz="8" w:space="0" w:color="000000"/>
            </w:tcBorders>
            <w:tcMar>
              <w:bottom w:w="28" w:type="dxa"/>
            </w:tcMar>
            <w:vAlign w:val="center"/>
          </w:tcPr>
          <w:p>
            <w:pPr>
              <w:pStyle w:val="TableContents"/>
              <w:bidi w:val="0"/>
              <w:spacing w:before="0" w:after="283"/>
              <w:jc w:val="left"/>
              <w:rPr/>
            </w:pPr>
            <w:r>
              <w:rPr/>
              <w:t> </w:t>
            </w:r>
          </w:p>
        </w:tc>
        <w:tc>
          <w:tcPr>
            <w:tcW w:w="62" w:type="dxa"/>
            <w:tcBorders>
              <w:bottom w:val="single" w:sz="8" w:space="0" w:color="000000"/>
            </w:tcBorders>
            <w:tcMar>
              <w:bottom w:w="28" w:type="dxa"/>
            </w:tcMar>
            <w:vAlign w:val="center"/>
          </w:tcPr>
          <w:p>
            <w:pPr>
              <w:pStyle w:val="TableContents"/>
              <w:bidi w:val="0"/>
              <w:spacing w:before="0" w:after="283"/>
              <w:jc w:val="left"/>
              <w:rPr/>
            </w:pPr>
            <w:r>
              <w:rPr/>
              <w:t> </w:t>
            </w:r>
          </w:p>
        </w:tc>
        <w:tc>
          <w:tcPr>
            <w:tcW w:w="790" w:type="dxa"/>
            <w:tcBorders>
              <w:bottom w:val="single" w:sz="8" w:space="0" w:color="000000"/>
            </w:tcBorders>
            <w:tcMar>
              <w:bottom w:w="28" w:type="dxa"/>
            </w:tcMar>
            <w:vAlign w:val="center"/>
          </w:tcPr>
          <w:p>
            <w:pPr>
              <w:pStyle w:val="TableContents"/>
              <w:bidi w:val="0"/>
              <w:spacing w:before="0" w:after="283"/>
              <w:jc w:val="right"/>
              <w:rPr/>
            </w:pPr>
            <w:r>
              <w:rPr/>
              <w:t>0.1</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940" w:type="dxa"/>
            <w:tcBorders/>
            <w:shd w:fill="CCEEFF" w:val="clear"/>
            <w:vAlign w:val="center"/>
          </w:tcPr>
          <w:p>
            <w:pPr>
              <w:pStyle w:val="TableContents"/>
              <w:bidi w:val="0"/>
              <w:spacing w:before="0" w:after="283"/>
              <w:jc w:val="left"/>
              <w:rPr/>
            </w:pPr>
            <w:r>
              <w:rPr/>
              <w:t>Total</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90" w:type="dxa"/>
            <w:tcBorders>
              <w:bottom w:val="single" w:sz="8" w:space="0" w:color="000000"/>
            </w:tcBorders>
            <w:shd w:fill="CCEEFF" w:val="clear"/>
            <w:tcMar>
              <w:bottom w:w="28" w:type="dxa"/>
            </w:tcMar>
            <w:vAlign w:val="center"/>
          </w:tcPr>
          <w:p>
            <w:pPr>
              <w:pStyle w:val="TableContents"/>
              <w:bidi w:val="0"/>
              <w:spacing w:before="0" w:after="283"/>
              <w:jc w:val="right"/>
              <w:rPr/>
            </w:pPr>
            <w:r>
              <w:rPr/>
              <w:t>100.0%</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90" w:type="dxa"/>
            <w:tcBorders>
              <w:bottom w:val="single" w:sz="8" w:space="0" w:color="000000"/>
            </w:tcBorders>
            <w:shd w:fill="CCEEFF" w:val="clear"/>
            <w:tcMar>
              <w:bottom w:w="28" w:type="dxa"/>
            </w:tcMar>
            <w:vAlign w:val="center"/>
          </w:tcPr>
          <w:p>
            <w:pPr>
              <w:pStyle w:val="TableContents"/>
              <w:bidi w:val="0"/>
              <w:spacing w:before="0" w:after="283"/>
              <w:jc w:val="right"/>
              <w:rPr/>
            </w:pPr>
            <w:r>
              <w:rPr/>
              <w:t>100.0%</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90" w:type="dxa"/>
            <w:tcBorders>
              <w:bottom w:val="single" w:sz="8" w:space="0" w:color="000000"/>
            </w:tcBorders>
            <w:shd w:fill="CCEEFF" w:val="clear"/>
            <w:tcMar>
              <w:bottom w:w="28" w:type="dxa"/>
            </w:tcMar>
            <w:vAlign w:val="center"/>
          </w:tcPr>
          <w:p>
            <w:pPr>
              <w:pStyle w:val="TableContents"/>
              <w:bidi w:val="0"/>
              <w:spacing w:before="0" w:after="283"/>
              <w:jc w:val="right"/>
              <w:rPr/>
            </w:pPr>
            <w:r>
              <w:rPr/>
              <w:t>100.0%</w:t>
            </w:r>
          </w:p>
        </w:tc>
        <w:tc>
          <w:tcPr>
            <w:tcW w:w="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firstLine="2091"/>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8" w:name="a_006"/>
      <w:bookmarkEnd w:id="8"/>
      <w:r>
        <w:rPr>
          <w:rFonts w:ascii="Times New Roman;Times;Serif" w:hAnsi="Times New Roman;Times;Serif"/>
          <w:b/>
          <w:i w:val="false"/>
          <w:caps w:val="false"/>
          <w:smallCaps w:val="false"/>
          <w:sz w:val="20"/>
        </w:rPr>
        <w:t xml:space="preserve">Water Supplies and Contracts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New Jersey and Delaware water supply systems are physically separate and are not interconnected. In New Jersey, the Pinelands System and Fortescue System are not interconnected with the Middlesex System or each other. We believe we have adequate sources of water supply to meet the current service requirements of our present customers in New Jersey and Delaware.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Middlesex System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Middlesex System produced approximately 13.8 billion gallons in 2023 from:</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
        <w:gridCol w:w="216"/>
        <w:gridCol w:w="9941"/>
      </w:tblGrid>
      <w:tr>
        <w:trPr/>
        <w:tc>
          <w:tcPr>
            <w:tcW w:w="4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pPr>
            <w:r>
              <w:rPr/>
              <w:t>●</w:t>
            </w:r>
          </w:p>
        </w:tc>
        <w:tc>
          <w:tcPr>
            <w:tcW w:w="9941" w:type="dxa"/>
            <w:tcBorders/>
            <w:vAlign w:val="center"/>
          </w:tcPr>
          <w:p>
            <w:pPr>
              <w:pStyle w:val="TableContents"/>
              <w:bidi w:val="0"/>
              <w:spacing w:before="0" w:after="283"/>
              <w:jc w:val="both"/>
              <w:rPr/>
            </w:pPr>
            <w:r>
              <w:rPr/>
              <w:t>The Carl J. Olsen Surface Water Treatment Plant (CJO Plant)-10.7 billion gallons;</w:t>
            </w:r>
          </w:p>
        </w:tc>
      </w:tr>
    </w:tbl>
    <w:tbl>
      <w:tblPr>
        <w:tblW w:w="5000" w:type="pct"/>
        <w:jc w:val="left"/>
        <w:tblInd w:w="0" w:type="dxa"/>
        <w:tblLayout w:type="fixed"/>
        <w:tblCellMar>
          <w:top w:w="0" w:type="dxa"/>
          <w:left w:w="0" w:type="dxa"/>
          <w:bottom w:w="0" w:type="dxa"/>
          <w:right w:w="0" w:type="dxa"/>
        </w:tblCellMar>
      </w:tblPr>
      <w:tblGrid>
        <w:gridCol w:w="51"/>
        <w:gridCol w:w="229"/>
        <w:gridCol w:w="9925"/>
      </w:tblGrid>
      <w:tr>
        <w:trPr/>
        <w:tc>
          <w:tcPr>
            <w:tcW w:w="5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w:t>
            </w:r>
          </w:p>
        </w:tc>
        <w:tc>
          <w:tcPr>
            <w:tcW w:w="9925" w:type="dxa"/>
            <w:tcBorders/>
            <w:vAlign w:val="center"/>
          </w:tcPr>
          <w:p>
            <w:pPr>
              <w:pStyle w:val="TableContents"/>
              <w:bidi w:val="0"/>
              <w:spacing w:before="0" w:after="283"/>
              <w:jc w:val="both"/>
              <w:rPr/>
            </w:pPr>
            <w:r>
              <w:rPr/>
              <w:t>Twenty-seven Company-owned wells (ground water)-2.0 billion gallons; and</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balance purchased from a non-affiliated water utility regulated by the New Jersey Board of Public Utilities (NJBPU) under an agreement which expires February 27, 2026. This agreement provides for minimum purchases of 3.0 million gallons per day (mgd) of treated water with provisions for additional purchases.</w:t>
            </w:r>
          </w:p>
        </w:tc>
      </w:tr>
    </w:tbl>
    <w:p>
      <w:pPr>
        <w:pStyle w:val="TextBody"/>
        <w:bidi w:val="0"/>
        <w:spacing w:before="0" w:after="0"/>
        <w:ind w:left="78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2021, Middlesex temporarily ceased pumping from its Company-owned wells at the Park Avenue Wellfield Treatment Plant (Park Avenue Plant) in South Plainfield, New Jersey and alternate sources of supply were obtained in order to comply with new State of New Jersey water quality regulations relative to poly- and perfluoroalkyl substances, collectively referred to as PFAS, that became effective in 2021.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2021, the Company began design for construction of an enhanced treatment process at the Park Avenue Plant to meet the expected PFAS water quality standards anticipated to be enacted by the State of New Jersey, which at that time were unknown as to their timing and extent. In June 2022, a portion of the enhanced treatment process was completed, placed into service and effectively treated the ground water in compliance with all state and federal drinking water standards. In June 2023, the Company completed the permanent construction of the entire Park Avenue Plant treatment upgrades and placed the upgrades into operation in full compliance with the new State of New Jersey PFAS water quality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Middlesex System’s distribution storage facilities are used to supply water to customers at times of peak demand, outages and emergencies.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source of surface water for the Middlesex System is the Delaware &amp; Raritan Canal, which is owned by the State of New Jersey and operated by the New Jersey Water Supply Authority (NJWSA). Middlesex is under contract with the NJWSA, which expires November 30, 2048, and provides for average purchases of 27.0 mgd, with a peak up to 47.0 mgd, of untreated water from the Delaware &amp; Raritan Canal, augmented by the Round Valley/Spruce Run Reservoir System. The untreated surface water is pumped to, and treated at, the CJO Plant.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Water supply to customers of the Fortescue System is derived from two wells, which produced approximately 6.7 million gallons in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Tidewater System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Tidewater System produced approximately 2.9 billion gallons in 2023, primarily from 175 wells. Tidewater expects to submit applications to Delaware regulatory authorities for the approval of additional wells as growth, customer demand and water quality warrant. Tidewater augments its water production with annual purchases of up to 60.0 million gallons of treated water from the City of Dover, Delaware. Tidewater does not have a central water treatment facility for the over 470 separate communities it serves. As the number has grown, many of Tidewater’s individual systems have been interconnected, forming several regional systems that are served by multiple water treatment facilities owned by Tidewater.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Pinelands Water System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Water supply to our Pinelands Water System is derived from four wells which produced approximately 134.7 million gallons in 2023. The aggregate pumping capacity of the four wells is 2.2 mgd.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9" w:name="a_007"/>
      <w:bookmarkEnd w:id="9"/>
      <w:r>
        <w:rPr>
          <w:rFonts w:ascii="Times New Roman;Times;Serif" w:hAnsi="Times New Roman;Times;Serif"/>
          <w:b/>
          <w:i w:val="false"/>
          <w:caps w:val="false"/>
          <w:smallCaps w:val="false"/>
          <w:sz w:val="20"/>
        </w:rPr>
        <w:t>Wastewater Facilities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Pinelands Wastewater System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Pinelands Wastewater System discharges into the South Branch of the Rancocas Creek through a wastewater treatment plant that provides clarification, sedimentation, filtration and disinfection. The total capacity of the plant is 0.5 mgd, and the system treated approximately 94.8 million gallons in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0" w:name="a_008"/>
      <w:bookmarkEnd w:id="10"/>
      <w:r>
        <w:rPr>
          <w:rFonts w:ascii="Times New Roman;Times;Serif" w:hAnsi="Times New Roman;Times;Serif"/>
          <w:b/>
          <w:i w:val="false"/>
          <w:caps w:val="false"/>
          <w:smallCaps w:val="false"/>
          <w:sz w:val="20"/>
        </w:rPr>
        <w:t>Human Capital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strives to attract and retain employees by offering competitive compensation and benefits along with career development and training opportunities in a safe, supportive and inclusive work environment. Our mission, our business philosophy and the manner in which we deliver value for our customers, our shareholders and our employees is inherent in what we, as an enterprise, profess to be our core values of Respect, Integrity, Growth, Honesty and Teamwork. Our employees’ success is a key element of the Company’s success.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Workforce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2023, the Company had 355 employees. None of our employees are subject to a collective bargaining agreement. We believe our employee relations are positive.</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Employee Compensation and Benefits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offer comprehensive competitive employee compensation and benefit programs consistent with job functions, skill levels, experience, knowledge and geographic location. These programs are periodically independently evaluated by a nationally recognized consulting firm to gauge effectiveness and are benchmarked against industry peers and the overall markets in which we operate our businesses. Compensation increases and incentive compensation are based on merit, which is communicated to employees and documented in our bi-annual performance evaluation process. Benefits include a variety of programs to enhance employee overall physical, mental and financial health and well-being, including healthcare insurance, employer funded retirement savings plans, life insurance, disability insurance, accident insurance, tuition reimbursement, flu shots, wellness newsletters and webinars, flexible hybrid office and remote work capabilities, incentive programs for achieving fitness milestones, financial counseling, elder care assistance, substance abuse support and more.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Safety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implemented safety programs and management practices designed to promote a culture of safety to protect its employees. This includes required trainings for employees, as well as specific qualifications and certifications for certain operational employees. All employees have been empowered to report, and immediately stop, work which, in their personal judgement, is unsafe or is not consistent with our safety policies and procedures. They can take this action without fear of reprisal.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response to the Coronavirus (COVID-19) pandemic, the Company continues to implement changes it determines are in the best interest of our employees and customers, as well as required to comply with government emergency orders and regulations. While the nature of our utility services business requires portions of our workforce to operate in the field and at treatment facilities, we employ and maintain a variety of processes to help ensure the safety of those employees and the public in light of the pandemic.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Employee Development and Training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employs various training and other educational programs and has developed company-wide and project-specific training and educational programs, including tuition assistance for full-time employees enrolled in pre-approved undergraduate or graduate courses or professional licensing courses. All employees receive training to identify and report operational and financial risks, as well as risks to Company brand and reputation, which fosters a personal culture of accountability and reinforces our commitment to a safe and sustainable workplace. All employees receive cybersecurity training and other education regarding their use of sensitive data. Our Executive Management team and our Board of Directors continually assess succession plans, leadership development progress and policies and strategies regarding recruitment, retention, career development, diversity, equity and inclusion. Formalized succession planning strategies have been developed for key leadership positions.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Diversity, Equity &amp; Inclusion (DEI)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committed to DEI based upon our belief that embracing DEI is consistent with our Company culture and benefits all stakeholders by maintaining a workforce with a variety of skills and perspectives as a result of their diverse backgrounds and experiences. The Company remains a signatory to CEO Action for Diversity and Inclusion, a business led initiative which encourages companies to cultivate environments that support dialogue on DEI, implement and expand bias education and training and engage boards of directors in the development and evaluation of inclusion and diversity strategies.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focused on recruitment and/or development of both external and internal candidates so that all prospective and current employees are provided an opportunity to advance their careers. We are intentional in our efforts to attract candidates from historically marginalized groups and seek a diverse pool of candidates for apprenticeships and internship opportunities. Statements on DEI and our Human Rights Policy can be found on our website. We continue to monitor the results of our DEI efforts and continually explore opportunities to further engage our employees and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1" w:name="a_009"/>
      <w:bookmarkEnd w:id="11"/>
      <w:r>
        <w:rPr>
          <w:rFonts w:ascii="Times New Roman;Times;Serif" w:hAnsi="Times New Roman;Times;Serif"/>
          <w:b/>
          <w:i w:val="false"/>
          <w:caps w:val="false"/>
          <w:smallCaps w:val="false"/>
          <w:sz w:val="20"/>
        </w:rPr>
        <w:t xml:space="preserve">Competition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in our franchised service areas is substantially free from direct competition for growth with other public utilities, municipalities and other entities. However, our ability to provide contract wholesale water supply and operations and maintenance services that are not under the jurisdiction of a state public utility commission is subject to competition from other public utilities, municipalities and other entities. Although Tidewater has been granted exclusive franchises for its existing community water systems, the ability to expand service areas can be affected by the Delaware Public Service Commission (DEPSC) awarding franchises to other regulated water utilities with whom we compete for such franchises and for projects.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2" w:name="a_010"/>
      <w:bookmarkEnd w:id="12"/>
      <w:r>
        <w:rPr>
          <w:rFonts w:ascii="Times New Roman;Times;Serif" w:hAnsi="Times New Roman;Times;Serif"/>
          <w:b/>
          <w:i w:val="false"/>
          <w:caps w:val="false"/>
          <w:smallCaps w:val="false"/>
          <w:sz w:val="20"/>
        </w:rPr>
        <w:t xml:space="preserve">Regulation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rates charged to customers for utility services, the quality of the services we provide and certain other matters are regulated by the NJBPU and DEPSC (collectively, the Public Utility Commissions).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USA, USA-PA and White Marsh subsidiaries are not regulated public utilities as related to rates and service quality. However, they are subject to federal and state environmental regulations with respect to water quality and wastewater effluent quality to the extent such services are provided.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environmental and water quality regulation by the following regulatory agencies (collectively, the Government Environmental Regulatory Agencies):</w:t>
      </w:r>
    </w:p>
    <w:tbl>
      <w:tblPr>
        <w:tblW w:w="5000" w:type="pct"/>
        <w:jc w:val="left"/>
        <w:tblInd w:w="0" w:type="dxa"/>
        <w:tblLayout w:type="fixed"/>
        <w:tblCellMar>
          <w:top w:w="0" w:type="dxa"/>
          <w:left w:w="0" w:type="dxa"/>
          <w:bottom w:w="0" w:type="dxa"/>
          <w:right w:w="0" w:type="dxa"/>
        </w:tblCellMar>
      </w:tblPr>
      <w:tblGrid>
        <w:gridCol w:w="66"/>
        <w:gridCol w:w="297"/>
        <w:gridCol w:w="9842"/>
      </w:tblGrid>
      <w:tr>
        <w:trPr/>
        <w:tc>
          <w:tcPr>
            <w:tcW w:w="6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pPr>
            <w:r>
              <w:rPr/>
              <w:t>●</w:t>
            </w:r>
          </w:p>
        </w:tc>
        <w:tc>
          <w:tcPr>
            <w:tcW w:w="9842" w:type="dxa"/>
            <w:tcBorders/>
            <w:vAlign w:val="center"/>
          </w:tcPr>
          <w:p>
            <w:pPr>
              <w:pStyle w:val="TableContents"/>
              <w:bidi w:val="0"/>
              <w:spacing w:before="0" w:after="283"/>
              <w:jc w:val="both"/>
              <w:rPr/>
            </w:pPr>
            <w:r>
              <w:rPr/>
              <w:t>United States Environmental Protection Agency (USEPA);</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New Jersey Department of Environmental Protection (NJDEP) with respect to operations in New Jersey; and</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Delaware Department of Natural Resources and Environmental Control, the Delaware Department of Health and Social Services-Division of Public Health (DEDPH), and the Delaware River Basin Commission with respect to operations in Delaware.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issuances of equity securities are subject to the prior approval of the NJBPU and require registration with the United States Securities and Exchange Commission. Our issuances of long-term debt securities are subject to the prior approval of the respective state Public Utility Commissions.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Regulation of Rates and Services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regulated rate setting purposes, we account separately for our regulated utility operations to facilitate independent rate setting by the applicable Public Utility Commissions.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our regulated utility rates, the respective Public Utility Commissions consider the revenue, expenses and utility infrastructure used and useful in providing service to the public. Rate determinations by the respective Public Utility Commissions do not guarantee achievement by our regulated utility companies of specific rates of return for our regulated utility operations. Thus, we may not achieve the rates of return authorized by the Public Utility Commissions. In addition, there can be no assurance that any future rate increases will be granted or, if granted, that they will be in the amounts requested.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Middlesex Rate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2024, Middlesex’s petition to the NJBPU, filed in May 2023, seeking permission to increase its base water rates was concluded, based on a negotiated settlement that is expected to increase annual operating revenues by $15.4 million effective March 1, 2024.  The approved tariff rates were designed to recover increased operating costs as well as a return on invested capital of $563.1 million, based on an authorized return on common equity of 9.6%.  Middlesex has made capital infrastructure investments to ensure prudent upgrade and replacement of its utility assets to support continued regulatory compliance, resilience and overall quality of service. Net proceeds from the settlement of Middlesex’s 3M Company (3M) lawsuit were used to recover costs for the construction of the Park Avenue Plant PFAS treatment upgrades, including depreciation and carrying costs. The rate case settlement will result in the reclassification of $48.3 million from Regulatory Liabilities to Contributions in Aid of Construction in the March 31, 2024 balance sheet.  The Company will also record in the first quarter of 2024 the recovery of $0.7 million and $2.4 million of prior year depreciation and carrying costs, respectively, as well as the recovery of $1.4 million of prior year costs which were associated with the interim solution to comply with the Notice, all of which were approved in the rate case settlement.</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further information on the 3M settlement agreement, see </w:t>
      </w:r>
      <w:r>
        <w:rPr>
          <w:rFonts w:ascii="Times New Roman;Times;Serif" w:hAnsi="Times New Roman;Times;Serif"/>
          <w:b w:val="false"/>
          <w:i/>
          <w:caps w:val="false"/>
          <w:smallCaps w:val="false"/>
          <w:sz w:val="20"/>
        </w:rPr>
        <w:t>Item 7, Management’s Discussion and Analysis of Financial Condition and Results of Operations</w:t>
      </w:r>
      <w:r>
        <w:rPr>
          <w:rFonts w:ascii="Times New Roman;Times;Serif" w:hAnsi="Times New Roman;Times;Serif"/>
          <w:b/>
          <w:i w:val="false"/>
          <w:caps w:val="false"/>
          <w:smallCaps w:val="false"/>
          <w:sz w:val="20"/>
        </w:rPr>
        <w:t xml:space="preserve">, </w:t>
      </w:r>
      <w:r>
        <w:rPr>
          <w:rFonts w:ascii="Times New Roman;Times;Serif" w:hAnsi="Times New Roman;Times;Serif"/>
          <w:b w:val="false"/>
          <w:i/>
          <w:caps w:val="false"/>
          <w:smallCaps w:val="false"/>
          <w:sz w:val="20"/>
        </w:rPr>
        <w:t>Regulatory Notice of Non-Compliance</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Regulatory Matters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2024, the NJBPU approved Middlesex’s petition for the proposed cost recovery of its Lead Service Line Replacement (LSLR) Plan and cost recovery of project costs associated with replacing Middlesex customer-owned lead service lines. Replacement of Middlesex and Middlesex customer-owned lead service lines is required by the New Jersey LSLR Law. Under this legislation, the costs associated with replacing customer-owned lead service lines are recoverable through future customer surcharges. Cost recovery for replacing Company-owned lead service lines are recoverable through traditional base rate case filings. The current estimates for replacement of Middlesex and Middlesex customer-owned lead service lines are approximately $46 million to $77 million over a nine-year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2023, the NJBPU approved Middlesex’s petition for a Distribution System Improvement Charge (DSIC) Foundation Filing, which is a prerequisite to implementing a DSIC rate that allows water utilities to recover investments in, and generate a return on, qualifying capital improvements to their water distribution system made between base rate proceedings. Middlesex is authorized to recover DSIC revenues up to five percent (5%) of total revenues established in Middlesex’s 2021 base rate proceeding, or approximately $5.5 million. Semi-annually, beginning in April 2024, the Company must file for a change in its DSIC rate seeking recovery for DSIC-eligible investments made during the period. DSIC rates remain in effect until Middlesex’s next base rate case increase subsequent to the March 1, 2024 increase. Under the terms of the Foundational Filing, the Company is required to file a base rate petition before November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2022, the NJBPU approved Middlesex's Emergency Relief Motion to reset its Purchased Water Adjustment Clause (PWAC) tariff rate to recover additional costs of $2.7 million for the purchase of treated water from a non-affiliated water utility. A PWAC is a rate mechanism that allows for recovery of increased purchased water costs between base rate case filings. The increase, effective October 1, 2022, was on an interim basis and subject to refund with interest, pending final resolution of this matter, which the NJBPU provided in August 2023. In connection with the full recovery of the $2.7 million of additional costs, Middlesex reset its PWAC rate to zero in October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2021, Middlesex’s petition to the NJBPU seeking permission to increase its base water rates was concluded, based on a negotiated settlement, resulting in an expected increase in annual operating revenues of $27.7 million. The approved tariff rates were designed to recover increased operating costs, as well as a return on invested capital of $513.5 million, based on an authorized return on common equity of 9.6%. The increase was implemented in two phases with $20.7 million of the increase effective January 1, 2022 and the remaining $7.0 million effective January 1, 2023. As part of the negotiated settlement, the PWAC was reset to zero.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Tidewater Rate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DEPSC approved Tidewater’s application to implement a new DSIC. Effective January 1, 2024, Tidewater implemented a DSIC rate of 3.71%, which is expected to generate revenue of approximately $1.3 million annually. A Delaware DISC is subject to a semi-annual reset with an overall maximum rate of 7.5%.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2023, the DEPSC issued an Order that made a temporary base rate reduction permanent. The initial DEPSC order required Tidewater to reduce its base rates charged to general metered and private fire customers by 6.0%, effective for service rendered on and after September 1, 2022. The rate reduction was ordered as a result of Tidewater earning in excess of its authorized return, and resulted in reduced annual revenues of approximately $2.1 million in 2023.</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March 2021, Tidewater was notified by the DEPSC that it had determined Tidewater’s earned rate of return exceeded the rate of return authorized by the DEPSC. Consequently, Tidewater reset its DSIC rate to zero effective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8 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1, 2021 and refunded approximately $1.0 million to customers primarily in the form of an account credit for DSIC revenue previously billed between April 1, 2020 and March 31, 2021.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Pinelands Rate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2023, Pinelands Water and Pinelands Wastewater concluded their base rate case matters when the NJBPU approved a combined $1.0 million increase in annual base rates, effective April 15, 2023. The requests were necessitated by capital infrastructure investments the companies have made as well as increased operations and maintenance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Southern Shores Rate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January 1, 2020, the DEPSC approved the renewal of a multi-year agreement for water service to a 2,200 unit condominium community we serve in Sussex County, Delaware.  Under the agreement, current rates were to remain in effect until December 31, 2024, unless there are unanticipated capital expenditures or regulatory related changes in operating expenses exceeding certain thresholds during this time period. In 2022, capital expenditures did exceed the established threshold and rates were increased by 5.39%, effective January 1, 2023. Beginning in 2025 and thereafter, inflation-based rate increases cannot exceed the lesser of the regional Consumer Price Index or, 3%. Inflation based increases are in addition to the threshold rate increases. This agreement expires on December 31, 2029.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Rate Filings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monitors the need for rate relief for our regulated entities on an ongoing basis. When capital improvements and/or increases in operation, maintenance or other costs indicate a need for rate relief, base rate increase requests are filed with the respective Public Utility Commissions.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Regulatory Service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Twin Lakes Utilities, LLC (Twin Lakes) provides water services to approximately 115 residential customers in Shohola, Pennsylvania. Pursuant to the Pennsylvania Public Utility Code, Twin Lakes filed a petition requesting the Pennsylvania Public Utilities Commission (PAPUC) to order the acquisition of Twin Lakes by a capable public utility. The PAPUC assigned an Administrative Law Judge (ALJ) to adjudicate the matter and submit a recommended decision (Recommended Decision) to the PAPUC. As part of this legal proceeding the PAPUC also issued an Order in January 2021 appointing a large Pennsylvania based investor-owned water utility as the receiver (the Receiver Utility) of the Twin Lakes system until the petition is fully adjudicated by the PAPUC. In November 2021, the PAPUC issued an Order affirming the ALJ’s Recommended Decision, ordering the Receiver Utility to acquire the Twin Lakes water system and for Middlesex, the parent company of Twin Lakes, to submit $1.7 million into an escrow account within 30 days. Twin Lakes immediately filed a Petition For Review (PFR) with the Commonwealth Court of Pennsylvania (the Commonwealth Court) seeking reversal and vacation of the escrow requirement on the grounds that it violates the Pennsylvania Public Utility Code as well as the United States Constitution. In addition, Twin Lakes filed an emergency petition for stay of the PAPUC Order pending the Commonwealth Court’s review of the merits arguments contained in Twin Lakes’ PFR. In December 2021, the Commonwealth Court granted Twin Lakes’ emergency petition, pending its review. In August 2022, the Commonwealth Court issued an opinion upholding PAPUC’s November 2021 Order in its entirety. In September 2022, Twin Lakes filed a Petition For Allowance of Appeal (Appeal Petition) to the Supreme Court of Pennsylvania seeking reversal of the Commonwealth Court’s decision to uphold the escrow requirement on the grounds that the Commonwealth Court erred in failing to address Twin Lakes’ claims that because the $1.7 million escrow requirement placed on Middlesex violated Middlesex’s constitutional rights, Middlesex’s refusal to submit this escrow payment would jeopardize the relief Twin Lakes was otherwise entitled to in the appointment of the Receiver Utility. In March 2023, the Supreme Court of Pennsylvania issued a decision denying Twin Lakes’ Appeal Petition without addressing this claim on the merits. As a result of the Pennsylvania Courts’ failure to address Twin Lakes’ claim, Middlesex subsequently filed a Complaint with the United States District Court for the Middle District of Pennsylvania to address the issue of whether the PAPUC’s Order violated Middlesex’s rights under the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9 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 Constitution. On January 18, 2024, the District Court issued an Order dismissing Middlesex’s Complaint without addressing the issue of whether the PAPUC’s Order violated Middlesex’s rights under the United States Constitution. On January 31, 2024, Middlesex filed a Notice of Appeal of the District Court’s decision with the United States Court of Appeals for the Third Circuit.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results, total assets and financial obligations of Twin Lakes are not material to Middlesex.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Water and Wastewater Quality and Environmental Regulations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 environmental regulatory agencies regulate our operations in New Jersey and Delaware with respect to water supply, treatment and distribution systems and the quality of the water.  They also regulate our operations with respect to wastewater collection, treatment and disposal.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Regulations relating to water quality require us to perform tests to ensure our water meets state and federal quality requirements. In addition, government environmental regulatory agencies continuously review current regulations governing the limits of certain organic compounds found in the water as byproducts of the treatment process. We participate in industry-related research to identify technologies that may reduce the level of organic, inorganic and synthetic compounds found in water. The cost to water utilities to comply with any proposed water quality standards depends in part on the limits set in the regulations and on the method selected to treat the water to the required standards. We regularly test our water to determine compliance with government environmental regulatory agencies’ water quality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2021, the NJDEP issued a Notice of Non-Compliance (Notice) to Middlesex based on self-reporting by Middlesex that the level of Perfluorooctanoic Acid (PFOA) in water treated at its Park Avenue Plant in South Plainfield, New Jersey exceeded a standard promulgated in a NJDEP regulation that became effective in 2021. Middlesex was required by the regulation to notify its affected customers and complied within the required Notice period in November 2021.</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further required the Company to take any action necessary to comply with the new standard by September 7, 2022. Consequently, in November 2021, the Company implemented an interim solution to meet the Notice requirements, which included putting the Park Avenue Wellfield Treatment Plant in off-line status and obtaining alternate sources of supply. In June 2022, the Company accelerated the in-service date for a portion of the enhanced treatment project based on engineering analysis that allowed a restart of the Park Avenue Wellfield Treatment Plant to ensure continued compliance with all state and federal drinking water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13, 2022, the Company entered into an Administrative Consent Order (ACO) with the NJDEP, which required the Company to take whatever actions necessary to achieve and maintain compliance with applicable regulations. As prescribed in the ACO, the Company was to issue periodic public notifications until the ACO was closed.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2023, the Company completed the permanent construction of the entire Park Avenue Plant treatment upgrades and placed the upgrades into operation in full compliance with the NJDEP PFOA standards. In October 2023, the Company received confirmation from the NJDEP that it has complied with all requirements of the ACO and consequently, the ACO has been closed.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enhanced groundwater treatment process for PFOA, we treat the groundwater supplies in our Middlesex System with chlorination for primary disinfection purposes and use air stripping for removal of volatile organic compounds.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Surface water treatment in our Middlesex System is by conventional treatment; coagulation, sedimentation and filtration. The treatment process includes pH adjustment, ozone and chlorination for disinfection, and corrosion control for the distribution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10 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Treatment of groundwater in our Tidewater System is by chlorination for disinfection purposes and, in some cases, pH adjustment and filtration for nitrate and iron removal and granular activated carbon filtration for organics removal. Chloramination is used for final disinfection at Southern Shores.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Treatment of groundwater in the Pinelands Water and Fortescue Systems (primary disinfection only) is performed at individual well sites.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Treatment of wastewater in the Pinelands Wastewater System includes the use of rotating biological contactors.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NJDEP and DEDPH monitor our activities and review the results of water quality tests that are performed for adherence to applicable regulations. Other applicable regulations include the Lead, Copper and Lead Service Line Rules, the Federal Surface Water Treatment Rule and the Federal Total Coliform Rule and regulations for maximum contaminant levels established for various volatile organic compounds.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must comply with various environmental laws and regulations promulgated by the USEPA, NJDEP and other governmental agencies, including the Toxic Catastrophe Prevention Act, the Spill Prevention, Control, and Countermeasure Rule and the Discharge Prevention Program of the New Jersey Spill Compensation and Control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3" w:name="a_011"/>
      <w:bookmarkEnd w:id="13"/>
      <w:r>
        <w:rPr>
          <w:rFonts w:ascii="Times New Roman;Times;Serif" w:hAnsi="Times New Roman;Times;Serif"/>
          <w:b/>
          <w:i w:val="false"/>
          <w:caps w:val="false"/>
          <w:smallCaps w:val="false"/>
          <w:sz w:val="20"/>
        </w:rPr>
        <w:t>Seasonality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demand for our water during the warmer months is generally greater than other times of the year due primarily to additional consumption of water in connection with irrigation systems, swimming pools, cooling systems and other outside water use. Throughout the year, and particularly during typically warmer months, demand may vary with temperature and rainfall timing and overall levels. In the event that temperatures during the typically warmer months are cooler than normal, or if there is more rainfall than normal, the customer demand for our water may decrease and therefore, adversely affect our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4" w:name="a_012"/>
      <w:bookmarkEnd w:id="14"/>
      <w:r>
        <w:rPr>
          <w:rFonts w:ascii="Times New Roman;Times;Serif" w:hAnsi="Times New Roman;Times;Serif"/>
          <w:b/>
          <w:i w:val="false"/>
          <w:caps w:val="false"/>
          <w:smallCaps w:val="false"/>
          <w:sz w:val="20"/>
        </w:rPr>
        <w:t>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2023, President and Chief Executive Officer, Dennis W. Doll announced a plan to retire upon turning age 65. On January 23, 2024, the Company named Nadine Leslie as its new President and Chief Executive Officer effective March 1, 2024.  Ms. Leslie will also be appointed to the Board of Directors effective March 1, 2024. Mr. Doll will remain Chairman of the Company’s Board of Directors through the expiration of his current term as a Director as of the May 21, 2024 Annual Meeting of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table lists information concerning our executive management team in 2023:</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599"/>
        <w:gridCol w:w="60"/>
        <w:gridCol w:w="425"/>
        <w:gridCol w:w="60"/>
        <w:gridCol w:w="7061"/>
      </w:tblGrid>
      <w:tr>
        <w:trPr/>
        <w:tc>
          <w:tcPr>
            <w:tcW w:w="2599" w:type="dxa"/>
            <w:tcBorders>
              <w:bottom w:val="single" w:sz="8" w:space="0" w:color="000000"/>
            </w:tcBorders>
            <w:vAlign w:val="center"/>
          </w:tcPr>
          <w:p>
            <w:pPr>
              <w:pStyle w:val="TableContents"/>
              <w:bidi w:val="0"/>
              <w:spacing w:before="0" w:after="283"/>
              <w:ind w:left="0" w:right="0" w:hanging="240"/>
              <w:jc w:val="left"/>
              <w:rPr>
                <w:b/>
              </w:rPr>
            </w:pPr>
            <w:r>
              <w:rPr>
                <w:b/>
              </w:rPr>
              <w:t>Name</w:t>
            </w:r>
          </w:p>
        </w:tc>
        <w:tc>
          <w:tcPr>
            <w:tcW w:w="60" w:type="dxa"/>
            <w:tcBorders/>
            <w:tcMar>
              <w:bottom w:w="0" w:type="dxa"/>
            </w:tcMar>
            <w:vAlign w:val="center"/>
          </w:tcPr>
          <w:p>
            <w:pPr>
              <w:pStyle w:val="TableContents"/>
              <w:bidi w:val="0"/>
              <w:spacing w:before="0" w:after="283"/>
              <w:jc w:val="left"/>
              <w:rPr/>
            </w:pPr>
            <w:r>
              <w:rPr/>
              <w:t> </w:t>
            </w:r>
          </w:p>
        </w:tc>
        <w:tc>
          <w:tcPr>
            <w:tcW w:w="425" w:type="dxa"/>
            <w:tcBorders>
              <w:bottom w:val="single" w:sz="8" w:space="0" w:color="000000"/>
            </w:tcBorders>
            <w:vAlign w:val="center"/>
          </w:tcPr>
          <w:p>
            <w:pPr>
              <w:pStyle w:val="TableContents"/>
              <w:bidi w:val="0"/>
              <w:spacing w:before="0" w:after="283"/>
              <w:jc w:val="center"/>
              <w:rPr>
                <w:b/>
              </w:rPr>
            </w:pPr>
            <w:r>
              <w:rPr>
                <w:b/>
              </w:rPr>
              <w:t>Age</w:t>
            </w:r>
          </w:p>
        </w:tc>
        <w:tc>
          <w:tcPr>
            <w:tcW w:w="60" w:type="dxa"/>
            <w:tcBorders/>
            <w:tcMar>
              <w:bottom w:w="0" w:type="dxa"/>
            </w:tcMar>
            <w:vAlign w:val="center"/>
          </w:tcPr>
          <w:p>
            <w:pPr>
              <w:pStyle w:val="TableContents"/>
              <w:bidi w:val="0"/>
              <w:spacing w:before="0" w:after="283"/>
              <w:jc w:val="left"/>
              <w:rPr/>
            </w:pPr>
            <w:r>
              <w:rPr/>
              <w:t> </w:t>
            </w:r>
          </w:p>
        </w:tc>
        <w:tc>
          <w:tcPr>
            <w:tcW w:w="7061" w:type="dxa"/>
            <w:tcBorders>
              <w:bottom w:val="single" w:sz="8" w:space="0" w:color="000000"/>
            </w:tcBorders>
            <w:vAlign w:val="center"/>
          </w:tcPr>
          <w:p>
            <w:pPr>
              <w:pStyle w:val="TableContents"/>
              <w:bidi w:val="0"/>
              <w:spacing w:before="0" w:after="283"/>
              <w:ind w:left="0" w:right="0" w:hanging="240"/>
              <w:jc w:val="left"/>
              <w:rPr>
                <w:b/>
              </w:rPr>
            </w:pPr>
            <w:r>
              <w:rPr>
                <w:b/>
              </w:rPr>
              <w:t>Principal Position(s)</w:t>
            </w:r>
          </w:p>
        </w:tc>
      </w:tr>
      <w:tr>
        <w:trPr/>
        <w:tc>
          <w:tcPr>
            <w:tcW w:w="2599" w:type="dxa"/>
            <w:tcBorders/>
            <w:shd w:fill="CCEEFF" w:val="clear"/>
            <w:tcMar>
              <w:bottom w:w="0" w:type="dxa"/>
            </w:tcMar>
            <w:vAlign w:val="center"/>
          </w:tcPr>
          <w:p>
            <w:pPr>
              <w:pStyle w:val="TableContents"/>
              <w:bidi w:val="0"/>
              <w:spacing w:before="0" w:after="283"/>
              <w:jc w:val="left"/>
              <w:rPr/>
            </w:pPr>
            <w:r>
              <w:rPr/>
              <w:t>Dennis W. Doll</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5" w:type="dxa"/>
            <w:tcBorders/>
            <w:shd w:fill="CCEEFF" w:val="clear"/>
            <w:tcMar>
              <w:bottom w:w="0" w:type="dxa"/>
            </w:tcMar>
            <w:vAlign w:val="center"/>
          </w:tcPr>
          <w:p>
            <w:pPr>
              <w:pStyle w:val="TableContents"/>
              <w:bidi w:val="0"/>
              <w:spacing w:before="0" w:after="283"/>
              <w:jc w:val="center"/>
              <w:rPr/>
            </w:pPr>
            <w:r>
              <w:rPr/>
              <w:t>65</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61" w:type="dxa"/>
            <w:tcBorders/>
            <w:shd w:fill="CCEEFF" w:val="clear"/>
            <w:tcMar>
              <w:bottom w:w="0" w:type="dxa"/>
            </w:tcMar>
            <w:vAlign w:val="center"/>
          </w:tcPr>
          <w:p>
            <w:pPr>
              <w:pStyle w:val="TableContents"/>
              <w:bidi w:val="0"/>
              <w:spacing w:before="0" w:after="283"/>
              <w:ind w:left="0" w:right="0" w:hanging="240"/>
              <w:jc w:val="left"/>
              <w:rPr/>
            </w:pPr>
            <w:r>
              <w:rPr/>
              <w:t>President, Chief Executive Officer and Chairman of the Board of Directors</w:t>
            </w:r>
          </w:p>
        </w:tc>
      </w:tr>
      <w:tr>
        <w:trPr/>
        <w:tc>
          <w:tcPr>
            <w:tcW w:w="2599" w:type="dxa"/>
            <w:tcBorders/>
            <w:tcMar>
              <w:bottom w:w="0" w:type="dxa"/>
            </w:tcMar>
            <w:vAlign w:val="center"/>
          </w:tcPr>
          <w:p>
            <w:pPr>
              <w:pStyle w:val="TableContents"/>
              <w:bidi w:val="0"/>
              <w:spacing w:before="0" w:after="283"/>
              <w:jc w:val="left"/>
              <w:rPr/>
            </w:pPr>
            <w:r>
              <w:rPr/>
              <w:t xml:space="preserve">A. Bruce O’Connor </w:t>
            </w:r>
          </w:p>
        </w:tc>
        <w:tc>
          <w:tcPr>
            <w:tcW w:w="60" w:type="dxa"/>
            <w:tcBorders/>
            <w:tcMar>
              <w:bottom w:w="0" w:type="dxa"/>
            </w:tcMar>
            <w:vAlign w:val="center"/>
          </w:tcPr>
          <w:p>
            <w:pPr>
              <w:pStyle w:val="TableContents"/>
              <w:bidi w:val="0"/>
              <w:spacing w:before="0" w:after="283"/>
              <w:jc w:val="left"/>
              <w:rPr/>
            </w:pPr>
            <w:r>
              <w:rPr/>
              <w:t> </w:t>
            </w:r>
          </w:p>
        </w:tc>
        <w:tc>
          <w:tcPr>
            <w:tcW w:w="425" w:type="dxa"/>
            <w:tcBorders/>
            <w:tcMar>
              <w:bottom w:w="0" w:type="dxa"/>
            </w:tcMar>
            <w:vAlign w:val="center"/>
          </w:tcPr>
          <w:p>
            <w:pPr>
              <w:pStyle w:val="TableContents"/>
              <w:bidi w:val="0"/>
              <w:spacing w:before="0" w:after="283"/>
              <w:jc w:val="center"/>
              <w:rPr/>
            </w:pPr>
            <w:r>
              <w:rPr/>
              <w:t>65</w:t>
            </w:r>
          </w:p>
        </w:tc>
        <w:tc>
          <w:tcPr>
            <w:tcW w:w="60" w:type="dxa"/>
            <w:tcBorders/>
            <w:tcMar>
              <w:bottom w:w="0" w:type="dxa"/>
            </w:tcMar>
            <w:vAlign w:val="center"/>
          </w:tcPr>
          <w:p>
            <w:pPr>
              <w:pStyle w:val="TableContents"/>
              <w:bidi w:val="0"/>
              <w:spacing w:before="0" w:after="283"/>
              <w:jc w:val="left"/>
              <w:rPr/>
            </w:pPr>
            <w:r>
              <w:rPr/>
              <w:t> </w:t>
            </w:r>
          </w:p>
        </w:tc>
        <w:tc>
          <w:tcPr>
            <w:tcW w:w="7061" w:type="dxa"/>
            <w:tcBorders/>
            <w:tcMar>
              <w:bottom w:w="0" w:type="dxa"/>
            </w:tcMar>
            <w:vAlign w:val="center"/>
          </w:tcPr>
          <w:p>
            <w:pPr>
              <w:pStyle w:val="TableContents"/>
              <w:bidi w:val="0"/>
              <w:spacing w:before="0" w:after="283"/>
              <w:ind w:left="0" w:right="0" w:hanging="240"/>
              <w:jc w:val="left"/>
              <w:rPr/>
            </w:pPr>
            <w:r>
              <w:rPr/>
              <w:t xml:space="preserve">Senior Vice President, Treasurer and Chief Financial Officer </w:t>
            </w:r>
          </w:p>
        </w:tc>
      </w:tr>
      <w:tr>
        <w:trPr/>
        <w:tc>
          <w:tcPr>
            <w:tcW w:w="2599" w:type="dxa"/>
            <w:tcBorders/>
            <w:shd w:fill="CCEEFF" w:val="clear"/>
            <w:tcMar>
              <w:bottom w:w="0" w:type="dxa"/>
            </w:tcMar>
            <w:vAlign w:val="center"/>
          </w:tcPr>
          <w:p>
            <w:pPr>
              <w:pStyle w:val="TableContents"/>
              <w:bidi w:val="0"/>
              <w:spacing w:before="0" w:after="283"/>
              <w:jc w:val="left"/>
              <w:rPr/>
            </w:pPr>
            <w:r>
              <w:rPr/>
              <w:t>G. Christian Andreasen, Jr.</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5" w:type="dxa"/>
            <w:tcBorders/>
            <w:shd w:fill="CCEEFF" w:val="clear"/>
            <w:tcMar>
              <w:bottom w:w="0" w:type="dxa"/>
            </w:tcMar>
            <w:vAlign w:val="center"/>
          </w:tcPr>
          <w:p>
            <w:pPr>
              <w:pStyle w:val="TableContents"/>
              <w:bidi w:val="0"/>
              <w:spacing w:before="0" w:after="283"/>
              <w:jc w:val="center"/>
              <w:rPr/>
            </w:pPr>
            <w:r>
              <w:rPr/>
              <w:t>64</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61" w:type="dxa"/>
            <w:tcBorders/>
            <w:shd w:fill="CCEEFF" w:val="clear"/>
            <w:tcMar>
              <w:bottom w:w="0" w:type="dxa"/>
            </w:tcMar>
            <w:vAlign w:val="center"/>
          </w:tcPr>
          <w:p>
            <w:pPr>
              <w:pStyle w:val="TableContents"/>
              <w:bidi w:val="0"/>
              <w:spacing w:before="0" w:after="283"/>
              <w:ind w:left="0" w:right="0" w:hanging="240"/>
              <w:jc w:val="left"/>
              <w:rPr/>
            </w:pPr>
            <w:r>
              <w:rPr/>
              <w:t>Vice President-Enterprise Engineering</w:t>
            </w:r>
          </w:p>
        </w:tc>
      </w:tr>
      <w:tr>
        <w:trPr/>
        <w:tc>
          <w:tcPr>
            <w:tcW w:w="2599" w:type="dxa"/>
            <w:tcBorders/>
            <w:tcMar>
              <w:bottom w:w="0" w:type="dxa"/>
            </w:tcMar>
            <w:vAlign w:val="center"/>
          </w:tcPr>
          <w:p>
            <w:pPr>
              <w:pStyle w:val="TableContents"/>
              <w:bidi w:val="0"/>
              <w:spacing w:before="0" w:after="283"/>
              <w:jc w:val="left"/>
              <w:rPr/>
            </w:pPr>
            <w:r>
              <w:rPr/>
              <w:t>Robert K. Fullagar</w:t>
            </w:r>
          </w:p>
        </w:tc>
        <w:tc>
          <w:tcPr>
            <w:tcW w:w="60" w:type="dxa"/>
            <w:tcBorders/>
            <w:tcMar>
              <w:bottom w:w="0" w:type="dxa"/>
            </w:tcMar>
            <w:vAlign w:val="center"/>
          </w:tcPr>
          <w:p>
            <w:pPr>
              <w:pStyle w:val="TableContents"/>
              <w:bidi w:val="0"/>
              <w:spacing w:before="0" w:after="283"/>
              <w:jc w:val="left"/>
              <w:rPr/>
            </w:pPr>
            <w:r>
              <w:rPr/>
              <w:t> </w:t>
            </w:r>
          </w:p>
        </w:tc>
        <w:tc>
          <w:tcPr>
            <w:tcW w:w="425" w:type="dxa"/>
            <w:tcBorders/>
            <w:tcMar>
              <w:bottom w:w="0" w:type="dxa"/>
            </w:tcMar>
            <w:vAlign w:val="center"/>
          </w:tcPr>
          <w:p>
            <w:pPr>
              <w:pStyle w:val="TableContents"/>
              <w:bidi w:val="0"/>
              <w:spacing w:before="0" w:after="283"/>
              <w:jc w:val="center"/>
              <w:rPr/>
            </w:pPr>
            <w:r>
              <w:rPr/>
              <w:t>57</w:t>
            </w:r>
          </w:p>
        </w:tc>
        <w:tc>
          <w:tcPr>
            <w:tcW w:w="60" w:type="dxa"/>
            <w:tcBorders/>
            <w:tcMar>
              <w:bottom w:w="0" w:type="dxa"/>
            </w:tcMar>
            <w:vAlign w:val="center"/>
          </w:tcPr>
          <w:p>
            <w:pPr>
              <w:pStyle w:val="TableContents"/>
              <w:bidi w:val="0"/>
              <w:spacing w:before="0" w:after="283"/>
              <w:jc w:val="left"/>
              <w:rPr/>
            </w:pPr>
            <w:r>
              <w:rPr/>
              <w:t> </w:t>
            </w:r>
          </w:p>
        </w:tc>
        <w:tc>
          <w:tcPr>
            <w:tcW w:w="7061" w:type="dxa"/>
            <w:tcBorders/>
            <w:tcMar>
              <w:bottom w:w="0" w:type="dxa"/>
            </w:tcMar>
            <w:vAlign w:val="center"/>
          </w:tcPr>
          <w:p>
            <w:pPr>
              <w:pStyle w:val="TableContents"/>
              <w:bidi w:val="0"/>
              <w:spacing w:before="0" w:after="283"/>
              <w:ind w:left="0" w:right="0" w:hanging="240"/>
              <w:jc w:val="left"/>
              <w:rPr/>
            </w:pPr>
            <w:r>
              <w:rPr/>
              <w:t>Vice President-Operations</w:t>
            </w:r>
          </w:p>
        </w:tc>
      </w:tr>
      <w:tr>
        <w:trPr/>
        <w:tc>
          <w:tcPr>
            <w:tcW w:w="2599" w:type="dxa"/>
            <w:tcBorders/>
            <w:shd w:fill="CCEEFF" w:val="clear"/>
            <w:tcMar>
              <w:bottom w:w="0" w:type="dxa"/>
            </w:tcMar>
            <w:vAlign w:val="center"/>
          </w:tcPr>
          <w:p>
            <w:pPr>
              <w:pStyle w:val="TableContents"/>
              <w:bidi w:val="0"/>
              <w:spacing w:before="0" w:after="283"/>
              <w:jc w:val="left"/>
              <w:rPr/>
            </w:pPr>
            <w:r>
              <w:rPr/>
              <w:t>Lorrie B. Ginegaw</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5" w:type="dxa"/>
            <w:tcBorders/>
            <w:shd w:fill="CCEEFF" w:val="clear"/>
            <w:tcMar>
              <w:bottom w:w="0" w:type="dxa"/>
            </w:tcMar>
            <w:vAlign w:val="center"/>
          </w:tcPr>
          <w:p>
            <w:pPr>
              <w:pStyle w:val="TableContents"/>
              <w:bidi w:val="0"/>
              <w:spacing w:before="0" w:after="283"/>
              <w:jc w:val="center"/>
              <w:rPr/>
            </w:pPr>
            <w:r>
              <w:rPr/>
              <w:t>48</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61" w:type="dxa"/>
            <w:tcBorders/>
            <w:shd w:fill="CCEEFF" w:val="clear"/>
            <w:tcMar>
              <w:bottom w:w="0" w:type="dxa"/>
            </w:tcMar>
            <w:vAlign w:val="center"/>
          </w:tcPr>
          <w:p>
            <w:pPr>
              <w:pStyle w:val="TableContents"/>
              <w:bidi w:val="0"/>
              <w:spacing w:before="0" w:after="283"/>
              <w:ind w:left="0" w:right="0" w:hanging="240"/>
              <w:jc w:val="left"/>
              <w:rPr/>
            </w:pPr>
            <w:r>
              <w:rPr/>
              <w:t>Vice President-Human Resources</w:t>
            </w:r>
          </w:p>
        </w:tc>
      </w:tr>
      <w:tr>
        <w:trPr/>
        <w:tc>
          <w:tcPr>
            <w:tcW w:w="2599" w:type="dxa"/>
            <w:tcBorders/>
            <w:tcMar>
              <w:bottom w:w="0" w:type="dxa"/>
            </w:tcMar>
            <w:vAlign w:val="center"/>
          </w:tcPr>
          <w:p>
            <w:pPr>
              <w:pStyle w:val="TableContents"/>
              <w:bidi w:val="0"/>
              <w:spacing w:before="0" w:after="283"/>
              <w:jc w:val="left"/>
              <w:rPr/>
            </w:pPr>
            <w:r>
              <w:rPr/>
              <w:t>Jay L. Kooper</w:t>
            </w:r>
          </w:p>
        </w:tc>
        <w:tc>
          <w:tcPr>
            <w:tcW w:w="60" w:type="dxa"/>
            <w:tcBorders/>
            <w:tcMar>
              <w:bottom w:w="0" w:type="dxa"/>
            </w:tcMar>
            <w:vAlign w:val="center"/>
          </w:tcPr>
          <w:p>
            <w:pPr>
              <w:pStyle w:val="TableContents"/>
              <w:bidi w:val="0"/>
              <w:spacing w:before="0" w:after="283"/>
              <w:jc w:val="left"/>
              <w:rPr/>
            </w:pPr>
            <w:r>
              <w:rPr/>
              <w:t> </w:t>
            </w:r>
          </w:p>
        </w:tc>
        <w:tc>
          <w:tcPr>
            <w:tcW w:w="425" w:type="dxa"/>
            <w:tcBorders/>
            <w:tcMar>
              <w:bottom w:w="0" w:type="dxa"/>
            </w:tcMar>
            <w:vAlign w:val="center"/>
          </w:tcPr>
          <w:p>
            <w:pPr>
              <w:pStyle w:val="TableContents"/>
              <w:bidi w:val="0"/>
              <w:spacing w:before="0" w:after="283"/>
              <w:jc w:val="center"/>
              <w:rPr/>
            </w:pPr>
            <w:r>
              <w:rPr/>
              <w:t>51</w:t>
            </w:r>
          </w:p>
        </w:tc>
        <w:tc>
          <w:tcPr>
            <w:tcW w:w="60" w:type="dxa"/>
            <w:tcBorders/>
            <w:tcMar>
              <w:bottom w:w="0" w:type="dxa"/>
            </w:tcMar>
            <w:vAlign w:val="center"/>
          </w:tcPr>
          <w:p>
            <w:pPr>
              <w:pStyle w:val="TableContents"/>
              <w:bidi w:val="0"/>
              <w:spacing w:before="0" w:after="283"/>
              <w:jc w:val="left"/>
              <w:rPr/>
            </w:pPr>
            <w:r>
              <w:rPr/>
              <w:t> </w:t>
            </w:r>
          </w:p>
        </w:tc>
        <w:tc>
          <w:tcPr>
            <w:tcW w:w="7061" w:type="dxa"/>
            <w:tcBorders/>
            <w:tcMar>
              <w:bottom w:w="0" w:type="dxa"/>
            </w:tcMar>
            <w:vAlign w:val="center"/>
          </w:tcPr>
          <w:p>
            <w:pPr>
              <w:pStyle w:val="TableContents"/>
              <w:bidi w:val="0"/>
              <w:spacing w:before="0" w:after="283"/>
              <w:ind w:left="0" w:right="0" w:hanging="240"/>
              <w:jc w:val="left"/>
              <w:rPr/>
            </w:pPr>
            <w:r>
              <w:rPr/>
              <w:t>Vice President-General Counsel and Secretary</w:t>
            </w:r>
          </w:p>
        </w:tc>
      </w:tr>
      <w:tr>
        <w:trPr/>
        <w:tc>
          <w:tcPr>
            <w:tcW w:w="2599" w:type="dxa"/>
            <w:tcBorders/>
            <w:shd w:fill="CCEEFF" w:val="clear"/>
            <w:tcMar>
              <w:bottom w:w="0" w:type="dxa"/>
            </w:tcMar>
            <w:vAlign w:val="center"/>
          </w:tcPr>
          <w:p>
            <w:pPr>
              <w:pStyle w:val="TableContents"/>
              <w:bidi w:val="0"/>
              <w:spacing w:before="0" w:after="283"/>
              <w:jc w:val="left"/>
              <w:rPr/>
            </w:pPr>
            <w:r>
              <w:rPr/>
              <w:t>Georgia M. Simpson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5" w:type="dxa"/>
            <w:tcBorders/>
            <w:shd w:fill="CCEEFF" w:val="clear"/>
            <w:tcMar>
              <w:bottom w:w="0" w:type="dxa"/>
            </w:tcMar>
            <w:vAlign w:val="center"/>
          </w:tcPr>
          <w:p>
            <w:pPr>
              <w:pStyle w:val="TableContents"/>
              <w:bidi w:val="0"/>
              <w:spacing w:before="0" w:after="283"/>
              <w:jc w:val="center"/>
              <w:rPr/>
            </w:pPr>
            <w:r>
              <w:rPr/>
              <w:t>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61" w:type="dxa"/>
            <w:tcBorders/>
            <w:shd w:fill="CCEEFF" w:val="clear"/>
            <w:tcMar>
              <w:bottom w:w="0" w:type="dxa"/>
            </w:tcMar>
            <w:vAlign w:val="center"/>
          </w:tcPr>
          <w:p>
            <w:pPr>
              <w:pStyle w:val="TableContents"/>
              <w:bidi w:val="0"/>
              <w:spacing w:before="0" w:after="283"/>
              <w:ind w:left="0" w:right="0" w:hanging="240"/>
              <w:jc w:val="left"/>
              <w:rPr/>
            </w:pPr>
            <w:r>
              <w:rPr/>
              <w:t>Vice President-Information Technology and Chief Technology Officer</w:t>
            </w:r>
          </w:p>
        </w:tc>
      </w:tr>
      <w:tr>
        <w:trPr/>
        <w:tc>
          <w:tcPr>
            <w:tcW w:w="2599" w:type="dxa"/>
            <w:tcBorders/>
            <w:tcMar>
              <w:bottom w:w="0" w:type="dxa"/>
            </w:tcMar>
            <w:vAlign w:val="center"/>
          </w:tcPr>
          <w:p>
            <w:pPr>
              <w:pStyle w:val="TableContents"/>
              <w:bidi w:val="0"/>
              <w:spacing w:before="0" w:after="283"/>
              <w:jc w:val="left"/>
              <w:rPr/>
            </w:pPr>
            <w:r>
              <w:rPr/>
              <w:t>Bernadette M. Sohler</w:t>
            </w:r>
          </w:p>
        </w:tc>
        <w:tc>
          <w:tcPr>
            <w:tcW w:w="60" w:type="dxa"/>
            <w:tcBorders/>
            <w:tcMar>
              <w:bottom w:w="0" w:type="dxa"/>
            </w:tcMar>
            <w:vAlign w:val="center"/>
          </w:tcPr>
          <w:p>
            <w:pPr>
              <w:pStyle w:val="TableContents"/>
              <w:bidi w:val="0"/>
              <w:spacing w:before="0" w:after="283"/>
              <w:jc w:val="left"/>
              <w:rPr/>
            </w:pPr>
            <w:r>
              <w:rPr/>
              <w:t> </w:t>
            </w:r>
          </w:p>
        </w:tc>
        <w:tc>
          <w:tcPr>
            <w:tcW w:w="425" w:type="dxa"/>
            <w:tcBorders/>
            <w:tcMar>
              <w:bottom w:w="0" w:type="dxa"/>
            </w:tcMar>
            <w:vAlign w:val="center"/>
          </w:tcPr>
          <w:p>
            <w:pPr>
              <w:pStyle w:val="TableContents"/>
              <w:bidi w:val="0"/>
              <w:spacing w:before="0" w:after="283"/>
              <w:jc w:val="center"/>
              <w:rPr/>
            </w:pPr>
            <w:r>
              <w:rPr/>
              <w:t>63</w:t>
            </w:r>
          </w:p>
        </w:tc>
        <w:tc>
          <w:tcPr>
            <w:tcW w:w="60" w:type="dxa"/>
            <w:tcBorders/>
            <w:tcMar>
              <w:bottom w:w="0" w:type="dxa"/>
            </w:tcMar>
            <w:vAlign w:val="center"/>
          </w:tcPr>
          <w:p>
            <w:pPr>
              <w:pStyle w:val="TableContents"/>
              <w:bidi w:val="0"/>
              <w:spacing w:before="0" w:after="283"/>
              <w:jc w:val="left"/>
              <w:rPr/>
            </w:pPr>
            <w:r>
              <w:rPr/>
              <w:t> </w:t>
            </w:r>
          </w:p>
        </w:tc>
        <w:tc>
          <w:tcPr>
            <w:tcW w:w="7061" w:type="dxa"/>
            <w:tcBorders/>
            <w:tcMar>
              <w:bottom w:w="0" w:type="dxa"/>
            </w:tcMar>
            <w:vAlign w:val="center"/>
          </w:tcPr>
          <w:p>
            <w:pPr>
              <w:pStyle w:val="TableContents"/>
              <w:bidi w:val="0"/>
              <w:spacing w:before="0" w:after="283"/>
              <w:ind w:left="0" w:right="0" w:hanging="240"/>
              <w:jc w:val="left"/>
              <w:rPr/>
            </w:pPr>
            <w:r>
              <w:rPr/>
              <w:t>Vice President-Corporate Affairs</w:t>
            </w:r>
          </w:p>
        </w:tc>
      </w:tr>
      <w:tr>
        <w:trPr/>
        <w:tc>
          <w:tcPr>
            <w:tcW w:w="2599" w:type="dxa"/>
            <w:tcBorders/>
            <w:shd w:fill="CCEEFF" w:val="clear"/>
            <w:tcMar>
              <w:bottom w:w="0" w:type="dxa"/>
            </w:tcMar>
            <w:vAlign w:val="center"/>
          </w:tcPr>
          <w:p>
            <w:pPr>
              <w:pStyle w:val="TableContents"/>
              <w:bidi w:val="0"/>
              <w:spacing w:before="0" w:after="283"/>
              <w:jc w:val="left"/>
              <w:rPr/>
            </w:pPr>
            <w:r>
              <w:rPr/>
              <w:t>Bruce E. Patrick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5" w:type="dxa"/>
            <w:tcBorders/>
            <w:shd w:fill="CCEEFF" w:val="clear"/>
            <w:tcMar>
              <w:bottom w:w="0" w:type="dxa"/>
            </w:tcMar>
            <w:vAlign w:val="center"/>
          </w:tcPr>
          <w:p>
            <w:pPr>
              <w:pStyle w:val="TableContents"/>
              <w:bidi w:val="0"/>
              <w:spacing w:before="0" w:after="283"/>
              <w:jc w:val="center"/>
              <w:rPr/>
            </w:pPr>
            <w:r>
              <w:rPr/>
              <w:t>55</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61" w:type="dxa"/>
            <w:tcBorders/>
            <w:shd w:fill="CCEEFF" w:val="clear"/>
            <w:tcMar>
              <w:bottom w:w="0" w:type="dxa"/>
            </w:tcMar>
            <w:vAlign w:val="center"/>
          </w:tcPr>
          <w:p>
            <w:pPr>
              <w:pStyle w:val="TableContents"/>
              <w:bidi w:val="0"/>
              <w:spacing w:before="0" w:after="283"/>
              <w:jc w:val="left"/>
              <w:rPr/>
            </w:pPr>
            <w:r>
              <w:rPr/>
              <w:t xml:space="preserve">President-Tidewater </w:t>
            </w:r>
          </w:p>
        </w:tc>
      </w:tr>
      <w:tr>
        <w:trPr/>
        <w:tc>
          <w:tcPr>
            <w:tcW w:w="2599" w:type="dxa"/>
            <w:tcBorders/>
            <w:tcMar>
              <w:bottom w:w="0" w:type="dxa"/>
            </w:tcMar>
            <w:vAlign w:val="center"/>
          </w:tcPr>
          <w:p>
            <w:pPr>
              <w:pStyle w:val="TableContents"/>
              <w:bidi w:val="0"/>
              <w:spacing w:before="0" w:after="283"/>
              <w:jc w:val="left"/>
              <w:rPr/>
            </w:pPr>
            <w:r>
              <w:rPr/>
              <w:t>Robert J. Capko</w:t>
            </w:r>
          </w:p>
        </w:tc>
        <w:tc>
          <w:tcPr>
            <w:tcW w:w="60" w:type="dxa"/>
            <w:tcBorders/>
            <w:tcMar>
              <w:bottom w:w="0" w:type="dxa"/>
            </w:tcMar>
            <w:vAlign w:val="center"/>
          </w:tcPr>
          <w:p>
            <w:pPr>
              <w:pStyle w:val="TableContents"/>
              <w:bidi w:val="0"/>
              <w:spacing w:before="0" w:after="283"/>
              <w:jc w:val="left"/>
              <w:rPr/>
            </w:pPr>
            <w:r>
              <w:rPr/>
              <w:t> </w:t>
            </w:r>
          </w:p>
        </w:tc>
        <w:tc>
          <w:tcPr>
            <w:tcW w:w="425" w:type="dxa"/>
            <w:tcBorders/>
            <w:tcMar>
              <w:bottom w:w="0" w:type="dxa"/>
            </w:tcMar>
            <w:vAlign w:val="center"/>
          </w:tcPr>
          <w:p>
            <w:pPr>
              <w:pStyle w:val="TableContents"/>
              <w:bidi w:val="0"/>
              <w:spacing w:before="0" w:after="283"/>
              <w:jc w:val="center"/>
              <w:rPr/>
            </w:pPr>
            <w:r>
              <w:rPr/>
              <w:t>50</w:t>
            </w:r>
          </w:p>
        </w:tc>
        <w:tc>
          <w:tcPr>
            <w:tcW w:w="60" w:type="dxa"/>
            <w:tcBorders/>
            <w:tcMar>
              <w:bottom w:w="0" w:type="dxa"/>
            </w:tcMar>
            <w:vAlign w:val="center"/>
          </w:tcPr>
          <w:p>
            <w:pPr>
              <w:pStyle w:val="TableContents"/>
              <w:bidi w:val="0"/>
              <w:spacing w:before="0" w:after="283"/>
              <w:jc w:val="left"/>
              <w:rPr/>
            </w:pPr>
            <w:r>
              <w:rPr/>
              <w:t> </w:t>
            </w:r>
          </w:p>
        </w:tc>
        <w:tc>
          <w:tcPr>
            <w:tcW w:w="7061" w:type="dxa"/>
            <w:tcBorders/>
            <w:tcMar>
              <w:bottom w:w="0" w:type="dxa"/>
            </w:tcMar>
            <w:vAlign w:val="center"/>
          </w:tcPr>
          <w:p>
            <w:pPr>
              <w:pStyle w:val="TableContents"/>
              <w:bidi w:val="0"/>
              <w:spacing w:before="0" w:after="283"/>
              <w:jc w:val="left"/>
              <w:rPr/>
            </w:pPr>
            <w:r>
              <w:rPr/>
              <w:t>Corporate Controller and Principal Accounting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Dennis W. Doll</w:t>
      </w:r>
      <w:r>
        <w:rPr>
          <w:rFonts w:ascii="Times New Roman;Times;Serif" w:hAnsi="Times New Roman;Times;Serif"/>
          <w:b w:val="false"/>
          <w:i w:val="false"/>
          <w:caps w:val="false"/>
          <w:smallCaps w:val="false"/>
          <w:sz w:val="20"/>
        </w:rPr>
        <w:t xml:space="preserve"> – Mr. Doll joined the Company as Executive Vice President in November 2004 and was named President and Chief Executive Officer, and a Director of Middlesex, effective January 1, 2006.  In May 2010, he was elected Chairman of the Board, also serving as Chairman of the Boards of the Company’s subsidiary companies. He is a Past President of the National Association of Water Companies and past Chairman of the Board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11 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the New Jersey Utilities Association, representing the state’s electric, gas, water and telecommunications industries. He is a past Chairman of the Board of The Water Research Foundation where he continues to serve as a non-Trustee member of the Audit Committee. He has also served as a Director and member of the Executive Committee of the Board of Directors of the American Water Works Association. He presently serves as Treasurer and member of the Board of Trustees of Court Appointed Special Advocates of Middlesex County, NJ serving the needs of children living in foster care.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 Bruce O’Connor</w:t>
      </w:r>
      <w:r>
        <w:rPr>
          <w:rFonts w:ascii="Times New Roman;Times;Serif" w:hAnsi="Times New Roman;Times;Serif"/>
          <w:b w:val="false"/>
          <w:i w:val="false"/>
          <w:caps w:val="false"/>
          <w:smallCaps w:val="false"/>
          <w:sz w:val="20"/>
        </w:rPr>
        <w:t xml:space="preserve"> – Mr. O’Connor, a Certified Public Accountant, joined the Company in 1990 and was named Vice President and Chief Financial Officer in 1996 and Treasurer in 2014. On January 1, 2019, Mr. O’Connor was appointed Senior Vice President of Middlesex. Mr. O’Connor is also the principal financial officer and a Director of all Middlesex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 Christian Andreasen, Jr.</w:t>
      </w:r>
      <w:r>
        <w:rPr>
          <w:rFonts w:ascii="Times New Roman;Times;Serif" w:hAnsi="Times New Roman;Times;Serif"/>
          <w:b w:val="false"/>
          <w:i w:val="false"/>
          <w:caps w:val="false"/>
          <w:smallCaps w:val="false"/>
          <w:sz w:val="20"/>
        </w:rPr>
        <w:t xml:space="preserve"> – Mr. Andreasen, a licensed professional engineer, joined the Company in 1982, was named Assistant Vice President-Enterprise Engineering in January 2019 and promoted to Vice President-Enterprise Engineering in July 2019. He is President and a Director of Pinelands Water and Pinelands Wastewater. Mr. Andreasen serves as a Member and Vice Chair of the NJDEP’s Water Supply Advisory Council.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Robert K. Fullagar –</w:t>
      </w:r>
      <w:r>
        <w:rPr>
          <w:rFonts w:ascii="Times New Roman;Times;Serif" w:hAnsi="Times New Roman;Times;Serif"/>
          <w:b w:val="false"/>
          <w:i w:val="false"/>
          <w:caps w:val="false"/>
          <w:smallCaps w:val="false"/>
          <w:sz w:val="20"/>
        </w:rPr>
        <w:t xml:space="preserve"> Mr. Fullagar, a licensed professional engineer, joined the Company in 1997, was named Assistant Vice President-Operations in January 2019 and promoted to Vice President-Operations in July 2019. He is President and a Director of USA-PA, USA and Twin Lakes. Mr. Fullagar serves as Sector Chair of the New Jersey Infrastructure Advisory Committee and is a Member of the NJDEP’s Licensed Operator Advisory Committee.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Lorrie B. Ginegaw</w:t>
      </w:r>
      <w:r>
        <w:rPr>
          <w:rFonts w:ascii="Times New Roman;Times;Serif" w:hAnsi="Times New Roman;Times;Serif"/>
          <w:b w:val="false"/>
          <w:i w:val="false"/>
          <w:caps w:val="false"/>
          <w:smallCaps w:val="false"/>
          <w:sz w:val="20"/>
        </w:rPr>
        <w:t xml:space="preserve"> – Ms. Ginegaw joined Tidewater in 2004 and in 2007 was promoted to Director of Human Resources for Middlesex. In March 2012, Ms. Ginegaw was named Vice President-Human Resources. Prior to joining the Company, Ms. Ginegaw worked in various human resources positions in the healthcare and transportation/logistics industries. Ms. Ginegaw serves as a volunteer director on the Board of the New Jersey Utilities Association.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Jay L. Kooper </w:t>
      </w:r>
      <w:r>
        <w:rPr>
          <w:rFonts w:ascii="Times New Roman;Times;Serif" w:hAnsi="Times New Roman;Times;Serif"/>
          <w:b w:val="false"/>
          <w:i w:val="false"/>
          <w:caps w:val="false"/>
          <w:smallCaps w:val="false"/>
          <w:sz w:val="20"/>
        </w:rPr>
        <w:t>– Mr. Kooper joined the Company in 2014 as Vice President and General Counsel and serves as Secretary for the Company and all subsidiaries. Prior to joining the Company, Mr. Kooper held various positions in private and public entities as well as in private law practice, representing electric, gas, water, wastewater, telephone and cable companies as well as municipalities and private clients before 17 state public utility commissions and legislatures, federal agencies and federal and state appellate courts.  Mr. Kooper serves as a volunteer director on selected non-profit utility industry-related Boards including the National Association of Water Companies (current Director and Chairman of the New Jersey Chapter) and the New Jersey State Bar Association’s Public Utility Law Section (current Consultor and Past Chairman) and on other non-profit boards based in New Jersey, including as President of Temple B’Nai Abraham in Livingston, New Jersey and as a Director of the Crohn’s and Colitis Foundation’s New Jersey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Georgia M. Simpson</w:t>
      </w:r>
      <w:r>
        <w:rPr>
          <w:rFonts w:ascii="Times New Roman;Times;Serif" w:hAnsi="Times New Roman;Times;Serif"/>
          <w:b w:val="false"/>
          <w:i w:val="false"/>
          <w:caps w:val="false"/>
          <w:smallCaps w:val="false"/>
          <w:sz w:val="20"/>
        </w:rPr>
        <w:t xml:space="preserve"> – Ms. Simpson joined the Company in 2009, was named Assistant Vice President-Information Technology in January 2019 and promoted to Vice President- Information Technology in July 2019. In April 2022, Ms. Simpson was named Chief Technology Officer. Prior to joining the Company, Ms. Simpson held various Information Technology positions and has gained an extensive array of technical and business computer certifications.  Ms. Simpson serves as a member of the Delaware Cyber Security Advisory Council, the Society for Information Management, New Jersey chapter and the Project Management Institute, New Jersey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Bernadette M. Sohler – </w:t>
      </w:r>
      <w:r>
        <w:rPr>
          <w:rFonts w:ascii="Times New Roman;Times;Serif" w:hAnsi="Times New Roman;Times;Serif"/>
          <w:b w:val="false"/>
          <w:i w:val="false"/>
          <w:caps w:val="false"/>
          <w:smallCaps w:val="false"/>
          <w:sz w:val="20"/>
        </w:rPr>
        <w:t>Ms. Sohler joined the Company in 1994 after having served in several marketing and public relations management positions in the financial services industry. She was named Director of Communications in 2004 and promoted to Vice President-Corporate Affairs in March 2007 and also serves as Vice President of USA. Ms. Sohler is a volunteer director on area Chambers of Commerce and several other non-profit Boards supporting public safety and the arts. She is a past director of the National Association of Water Companies and former Chair of the New Jersey Utilities Association’s Communications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12 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Bruce E. Patrick</w:t>
      </w:r>
      <w:r>
        <w:rPr>
          <w:rFonts w:ascii="Times New Roman;Times;Serif" w:hAnsi="Times New Roman;Times;Serif"/>
          <w:b w:val="false"/>
          <w:i w:val="false"/>
          <w:caps w:val="false"/>
          <w:smallCaps w:val="false"/>
          <w:sz w:val="20"/>
        </w:rPr>
        <w:t xml:space="preserve"> – Mr. Patrick, a licensed professional engineer, joined Tidewater in February 2002 as Vice President of Engineering. He was promoted to Vice President and General Manager in April 2012, Executive Vice President in April 2023, and President in December 2023. Mr. Patrick has extensive experience in regulatory compliance, permitting, planning and design. Prior to joining Tidewater, he served as Kent County, Delaware Public Works Director and County Engineer where he had overall responsibility for the County’s regional wastewater facilities. Mr. Patrick also held prior positions with the Delaware Department of Natural Resources and Environmental Control as well as the Delaware Division of Public Health.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Robert J. Capko</w:t>
      </w:r>
      <w:r>
        <w:rPr>
          <w:rFonts w:ascii="Times New Roman;Times;Serif" w:hAnsi="Times New Roman;Times;Serif"/>
          <w:b w:val="false"/>
          <w:i w:val="false"/>
          <w:caps w:val="false"/>
          <w:smallCaps w:val="false"/>
          <w:sz w:val="20"/>
        </w:rPr>
        <w:t xml:space="preserve"> – Mr. Capko, a Certified Public Accountant, joined the Company in 2009 as Corporate Controller. On March 28, 2023, Mr. Capko was appointed Principal Accounting Officer of Middlesex. Mr. Capko is also a Director and Treasurer of Tidewater and White Marsh and Controller of USA, USA-PA, Pinelands Water and Pinelands Wastewater. Prior to joining Middlesex, Mr. Capko was an Audit Senior Manager with Deloitte &amp; Touche LLP, with a focus on publicly traded regulated utilities including several regulated public utility clients subject to the jurisdiction of the NJBPU.</w:t>
      </w:r>
    </w:p>
    <w:p>
      <w:pPr>
        <w:pStyle w:val="TextBody"/>
        <w:bidi w:val="0"/>
        <w:spacing w:before="0" w:after="0"/>
        <w:ind w:left="0" w:right="0" w:hanging="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5" w:name="a_013"/>
      <w:bookmarkStart w:id="16" w:name="a_013"/>
      <w:bookmarkEnd w:id="16"/>
    </w:p>
    <w:tbl>
      <w:tblPr>
        <w:tblW w:w="5000" w:type="pct"/>
        <w:jc w:val="left"/>
        <w:tblInd w:w="0" w:type="dxa"/>
        <w:tblLayout w:type="fixed"/>
        <w:tblCellMar>
          <w:top w:w="0" w:type="dxa"/>
          <w:left w:w="0" w:type="dxa"/>
          <w:bottom w:w="0" w:type="dxa"/>
          <w:right w:w="0" w:type="dxa"/>
        </w:tblCellMar>
      </w:tblPr>
      <w:tblGrid>
        <w:gridCol w:w="127"/>
        <w:gridCol w:w="3651"/>
        <w:gridCol w:w="6427"/>
      </w:tblGrid>
      <w:tr>
        <w:trPr/>
        <w:tc>
          <w:tcPr>
            <w:tcW w:w="127" w:type="dxa"/>
            <w:tcBorders/>
            <w:vAlign w:val="center"/>
          </w:tcPr>
          <w:p>
            <w:pPr>
              <w:pStyle w:val="TableContents"/>
              <w:bidi w:val="0"/>
              <w:spacing w:before="0" w:after="283"/>
              <w:jc w:val="left"/>
              <w:rPr>
                <w:sz w:val="4"/>
                <w:szCs w:val="4"/>
              </w:rPr>
            </w:pPr>
            <w:r>
              <w:rPr>
                <w:sz w:val="4"/>
                <w:szCs w:val="4"/>
              </w:rPr>
            </w:r>
          </w:p>
        </w:tc>
        <w:tc>
          <w:tcPr>
            <w:tcW w:w="3651" w:type="dxa"/>
            <w:tcBorders/>
            <w:vAlign w:val="center"/>
          </w:tcPr>
          <w:p>
            <w:pPr>
              <w:pStyle w:val="TableContents"/>
              <w:bidi w:val="0"/>
              <w:spacing w:before="0" w:after="283"/>
              <w:jc w:val="left"/>
              <w:rPr>
                <w:b/>
              </w:rPr>
            </w:pPr>
            <w:r>
              <w:rPr>
                <w:b/>
              </w:rPr>
              <w:t>ITEM 1A.</w:t>
            </w:r>
          </w:p>
        </w:tc>
        <w:tc>
          <w:tcPr>
            <w:tcW w:w="6427" w:type="dxa"/>
            <w:tcBorders/>
            <w:vAlign w:val="center"/>
          </w:tcPr>
          <w:p>
            <w:pPr>
              <w:pStyle w:val="TableContents"/>
              <w:bidi w:val="0"/>
              <w:spacing w:before="0" w:after="283"/>
              <w:jc w:val="left"/>
              <w:rPr>
                <w:b/>
              </w:rPr>
            </w:pPr>
            <w:r>
              <w:rPr>
                <w:b/>
              </w:rPr>
              <w:t>RISK FACTORS.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Operational Risks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Weather conditions and overuse of underground aquifers may interfere with our sources of water, demand for water services and our ability to supply water to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meet current and future water demands of our customers depends on the availability of an adequate supply of water. Unexpected conditions may interfere with our water supply sources. Drought and overuse of underground aquifers may limit the availability of ground and/or surface water. Freezing weather may also contribute to water transmission interruptions caused by water main breakage. Any interruption in our water supply could cause a reduction in our revenue and profitability. These factors may adversely affect our ability to supply water in sufficient quantities to our customers. Governmental drought restrictions may result in decreased customer demand for water services and can adversely affect our revenue and earnings.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water sources or water service provided to customers may become contaminated by naturally-occurring or man-made compounds and events. This may cause disruption in services and impose operational and regulatory enforcement costs upon us to restore the water to required levels of quality as well as may damage our reputation and cause private litigation claims against us</w:t>
      </w:r>
      <w:r>
        <w:rPr>
          <w:rFonts w:ascii="Times New Roman;Times;Serif" w:hAnsi="Times New Roman;Times;Serif"/>
          <w:b/>
          <w:i/>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sources of water or water in our distribution systems may become contaminated by naturally-occurring or man-made compounds or other events. In the event that any portion of our water supply sources or water distribution systems is contaminated, we may need to interrupt service to our customers until we are able to remediate the contamination or substitute the flow of water from an uncontaminated water source through existing interconnections with other water purveyors or through our transmission and distribution systems, where possible. We may also incur significant costs in treating any contaminated water, or remediating the effects on our treatment and distribution systems, through the use of our current treatment facilities, or development of new treatment methods. Our inability to substitute water supply from an uncontaminated water source, or to adequately treat the contaminated water supply in a cost-effective manner, may reduce our revenues or increase our expenses and make us less profitable.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unable to recover costs associated with treating water supplies through rates or, recovery of these costs may not occur in a timely manner. In addition, we could be subject to claims for damages arising from government enforcement actions or legal actions arising out of interruption of service or perceived human exposure to hazardous substances in our drinking water and water supplies. Such costs could adversely affect our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Contamination of the water supply or the water service provided to our customers could result in substantial injury or damage to our customers, employees or others and we could be exposed to substantial claims and litigation, which are inherently subject to uncertainties and are potentially subject to unfavorable regulatory and/or legal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13 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actions. Negative impacts to our profitability and/or our reputation may occur even if we are not responsible for the contamination or the consequences arising out of human exposure to contamination or hazardous substances in the water supplies. Pending or future claims against us could have a material adverse impact on our financial condition, results of operations and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necessity for ongoing physical and technological security has resulted, and may continue to result, in increased operating costs.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of physical and technological threats to the health and security of the United States of America, we employ procedures to review and modify security measures. We provide ongoing training and communications to our employees about threats to our water supply, our assets and related systems and our employees’ personal safety. We have incurred, and will continue to incur, costs for security measures in efforts to protect against such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Climate variability may cause weather volatility in the future, which may impact water usage and related revenue or, may require additional expenditures to reduce risk associated with any increasing storm, flood, drought or other weather occurrences.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Increased climate variability may cause increased precipitation and flooding, increased frequency and severity of storms and other weather events, potential degradation of water quality, decreases in available water supply, changes in water usage patterns and disruptions in service. Because of the uncertainty of weather volatility related to climate variability, we cannot predict its potential impact on our financial condition, results of operations, cash flows and liquidity.  Although some or all potential expenditures and costs with respect to our regulated businesses could be recovered through rates we charge to our customers, there can be no assurance that the NJBPU or the DEPSC would authorize recovery of such costs, in whole or in part.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Regulatory Risks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revenue and earnings depend on the rates we charge our customers. We cannot raise utility rates in our regulated businesses without petitioning the appropriate Public Utility Commissions. If these agencies modify, delay or deny our petition, our revenues will not increase and our earnings will decline unless we are able to reduce costs without degrading service quality.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NJBPU regulates our public utility companies in New Jersey with respect to rates and charges for service, classification of accounts, awards of new service territory, acquisitions, financings and other matters. That means, for example, that we cannot raise the utility rates we charge to our customers without first petitioning the NJBPU and navigating a lengthy administrative process. Similarly, the DEPSC regulates our public utility companies in Delaware. We cannot provide assurance as to when we will request approval for any such matter, nor can we predict whether these Public Utility Commissions will approve, deny or reduce the amount of such requests.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costs are not completely within our control. The failure to obtain any rate increase would prevent us from increasing our revenues and, unless we are able to reduce costs without degrading service quality, would result in reduced earnings.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are subject to environmental laws and regulations, including water quality and wastewater effluent quality regulations, as well as other state and local regulations. Compliance with those laws and regulations requires us to incur costs and we are subject to fines or other sanctions for non-compliance.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 environmental regulatory agencies regulate our operations in New Jersey and Delaware with respect to water supply, treatment and distribution systems and the quality of water. Government environmental regulatory agencies also regulate our operations in New Jersey and Delaware with respect to wastewater collection, treatment and disposal.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Government environmental regulatory agencies’ regulations relating to water quality require us to perform expanded types of testing to ensure our water meets state and federal water quality requirements. We are subject to USEPA regulations under the Federal Safe Drinking Water Act and under the Federal Clean Water Act regarding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14 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wastewater services. Regulations under the Safe Drinking Water Act include the Lead and Copper Rule, the maximum contaminant levels established for various volatile organic compounds, the Federal Surface Water Treatment Rule and the Total Coliform Rule. There are also similar NJDEP regulations for our New Jersey water systems. The NJDEP and DEDPH monitor our activities and review the results of water quality tests we perform for adherence to applicable regulations. In addition, Government Environmental Regulatory Agencies are continually reviewing regulations governing the limits of certain organic compounds found in the water as byproducts of treatment.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subject to regulations related to fire protection services in New Jersey and Delaware. In New Jersey there is no state-wide fire protection regulatory agency. However, New Jersey regulations exist as to the size of piping required regarding the provision of fire protection services. In Delaware, fire protection is regulated statewide by the Office of State Fire Marshal.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compliance with the water and wastewater effluent quality standards depends in part on the limits set in the regulations and on the methods selected to comply with these standards. If new or more restrictive standards are imposed, the cost of compliance could increase and therefore, have an adverse impact on our revenues and results of operations if we cannot recover those costs through the rates we charge our customers. The cost of compliance with fire protection requirements could also increase and make us less profitable if we cannot recover those costs through our rates charged to our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must comply with various environmental laws and regulations promulgated by the USEPA, NJDEP and other governmental agencies, including the Toxic Catastrophe Prevention Act, the Spill Prevention, Control, and Countermeasure Rule and the Discharge Prevention Program of the New Jersey Spill Compensation and Control Act. If we fail to comply with environmental or other laws and regulations to which our business is subject, we could be fined or subject to other sanctions, which could adversely impact our business or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Financial Risks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depend upon our ability to raise money in the capital markets to finance some of the costs of complying with laws and regulations, including environmental laws and regulations or to pay for some of the costs of improvements to or the expansion of our utility system assets. Our regulated utility companies cannot issue debt or equity securities without prior regulatory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require financing from external sources to fund the ongoing capital program for the improvement in our utility system assets and for planned expansion of those systems. We expect to spend approximately $226 million for capital projects through 2026. We must obtain prior approval from our economic regulators to sell debt or equity securities to raise capital for these projects. If sufficient capital is not available, or the cost of capital is too high, or if the regulatory authorities deny our petition to sell debt or equity securities, we may not be able to meet the costs of complying with environmental laws and regulations or the costs of improving and expanding our utility system assets to the level we believe operationally prudent. This may result in the imposition of fines from environmental regulators or restrictions on our operations which could curtail our ability to upgrade or replace utility system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face competition from other utilities and service providers which might hinder our growth opportunities and mitigate our future profitability.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risks of competition from other utilities or other entities authorized by federal, state or local agencies to expand rate-regulated or contracted utility services. Once a state utility regulator grants a franchise to a public utility to serve a specific territory, that utility effectively has an exclusive right to service that territory. Although a new franchise offers some protection against competitors, the pursuit of franchises is often competitive, particularly in Delaware, where new franchises may be awarded to utilities based upon competitive negotiation. Competing entities have challenged, and may challenge in the future, our applications for new franchises. Also, third parties entering into agreements to operate municipal utility systems may adversely affect the management of our long-term agreements to supply water or wastewater services on a contract basis to those municipalities, which could adversely affect our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have short-term and long-term contractual obligations for water, wastewater and storm water system operation and maintenance under which we may incur costs in excess of payments received.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USA-PA and USA operate and maintain water and wastewater systems for three New Jersey municipalities under 10-year contracts expiring in 2028, 2030 and 2032, respectively. These contracts do not protect us against incurring costs in excess of revenues we earn pursuant to the contracts. There can be no absolute assurance we will not experience losses resulting from these contracts. Losses under these contracts, or our failure or inability to perform or renew such agreements, may have a material adverse effect on our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 market conditions and key assumptions may adversely impact the value of our postretirement benefit plan assets and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factors can adversely affect the rate of return on assets held in trusts to satisfy our future postretirement benefit obligations, as well as negatively affect interest rates, which impacts the discount rates used in the determination of our postretirement benefit actuarial valuations. In addition, changes in demographics, such as increases in life expectancy assumptions, can increase future postretirement benefit obligations. Any negative impact to these factors, either individually or a combination thereof, may have a material adverse effect on our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 element of our growth strategy is the acquisition of water and wastewater assets, operations, contracts or companies. Any pending or future acquisitions we decide to undertake will involve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acquisition and/or operation of water and wastewater systems is an element of our growth strategy. This strategy depends on identifying suitable opportunities that meet our risk/reward profile and reaching mutually agreeable terms with acquisition candidates or contract parties. Further, acquisitions may result in dilution in the value of our equity securities, incurrence of debt and contingent liabilities and fluctuations in financial results. In addition, the assets, operations, contracts or companies we acquire may not achieve the revenues and profitability projected.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ability to achieve organic customer growth in our market area is dependent on the residential building market. New housing starts and home sale closings are one element that impacts our rate of growth and therefore, may not meet our expectations.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our revenues to increase from customer growth for our regulated water operations as a result of anticipated construction, sale and close of new housing units. If housing starts decline, or do not increase as we have projected, or home sales closing cycle times increase as a result of economic conditions or otherwise, the timing and extent of our organic revenue growth may not meet our expectations, our deferred project costs may not produce revenue-generating projects in the timeframes anticipated and our financial results could be negatively impacted.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There can be no assurance we will continue to pay dividends in the future or, if dividends are paid, that they will be in amounts similar to past 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paid dividends on our common stock each year since 1912 and have increased the amount of dividends paid each year since 1973. Our earnings, financial condition, capital requirements, applicable regulations and other factors, including the timeliness and adequacy of rate increases, will determine both our ability to pay dividends and the amount of those dividends. There can be no assurance we will continue to pay dividends in the future or, if dividends are paid, that they will be in amounts similar to past 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we are unable to pay the principal and interest on our indebtedness as it comes due or we default under certain other provisions of our loan documents, our indebtedness could be accelerated and our results of operations and financial condition could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pay the principal and interest on our indebtedness as it comes due will depend upon our current and future performance. Our performance is affected by many factors, some of which are beyond our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cash generated from operations and, if necessary, borrowings under existing credit facilities, will be sufficient to enable us to make our debt payments as they become due. If, however, we do not generate sufficient cash, we may be required to refinance our obligations or sell additional equity, which may be on terms that are less favorable than we desire.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assurance can be given that any refinancing or sale of equity will be possible when needed, or that we will be able to negotiate acceptable terms. In addition, our failure to comply with certain provisions contained in our trust indentures and loan agreements relating to our outstanding indebtedness could lead to a default under these documents, which could result in an acceleration of our indebtedness.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business is subject to seasonal fluctuations, which could affect demand for our water service and our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Demand for our water during the warmer months is generally greater than during colder months due primarily to additional consumption of water in connection with irrigation systems, swimming pools, cooling systems and other outdoor water use. Throughout the year, and particularly during typically warmer months, demand may vary with temperature and rainfall levels. In the event that temperatures during the typically warmer months are cooler than normal, or if there is more rainfall than normal, the demand for our water may decrease and adversely affect our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economic conditions may materially and adversely affect our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economic conditions could negatively impact our customers’ water usage demands, particularly the level of water usage demand by our commercial and industrial customers in our Middlesex System. If water demand by our commercial and industrial customers in our Middlesex System decreases, our financial condition and results of operations could be negatively impacted until completion of a subsequent base rate filing.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current concentration of our business in central New Jersey and in Delaware makes us susceptible to adverse developments in local regulatory, economic, demographic, competitive and weather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Middlesex System provides water services to customers located primarily in eastern Middlesex County, New Jersey. Water service is provided under wholesale contracts to the Townships of Edison, East Brunswick and Marlboro, the Borough of Highland Park, the Old Bridge Municipal Utilities Authority and the City of Rahway. We also provide water services to customers in the State of Delaware. Our revenues and operating results are therefore subject to local regulatory, economic, demographic, competitive and weather conditions in a relatively concentrated geographic area. A change in any of these conditions could make it more costly for us to conduct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are subject to anti-takeover measures that may be used to discourage, delay or prevent changes of control that might benefit non-management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Subsection 10A of the New Jersey Business Corporation Act, known as the New Jersey Shareholders Protection Act, applies to us. The Shareholders Protection Act deters merger proposals, tender offers or other attempts to effect changes in control that are not approved by our Board of Directors. In addition, we have a classified Board of Directors, which means only a portion of the Director population is elected each year. A classified Board can make it more difficult for an acquirer to gain control of the Company by voting its candidates onto the Board of Directors and may also deter merger proposals and tender offers. Our Board of Directors also has the ability, subject to obtaining NJBPU approval, to issue one or more series of preferred stock having such number of shares, designation, preferences, voting rights, limitations and other rights as the Board of Directors may fix. This could be used by the Board of Directors to discourage, delay or prevent an acquisition the Board of Directors determines is not in the best interest of the common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17 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identified material weaknesses in our internal controls which, if not remediated appropriately or timely, could result in loss of investor confidence and adversely impact our stock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Internal controls related to the operation of technology systems are critical to maintaining adequate internal control over financial reporting. During the fourth quarter of 2023, management identified a material weakness in internal control related to ineffective information technology general controls (ITGCs) in the areas of user access and change management over certain information technology (IT) systems that support the Company’s financial reporting processes.  Certain of those controls were found to be deficient because of a lack of sufficient IT control processes designed to prevent or detect unauthorized changes in applications and data in selected IT environments. In December 2023, management implemented various auditing and monitoring solutions that provide greater transparency into changes made within our IT systems. These control solutions are supported by a timely review process that focuses on the proper authorization and approval of IT system changes. Due to the timing of implementing the solutions, the controls implemented did not operate over a sufficient time period to adequately test and validate the remediation and reassess other ITGCs, which may require further remediation actions. In addition, there were ineffective controls related to income tax accounting for a non-routine transaction, which management has identified as a material weakness in internal controls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Therefore, management concluded that our internal control over financial reporting was not effective as of December 31, 2023. Until remediation measures are completed, fully tested and determined effective, we will not be able to conclude that the material weaknesses have been remediated. If we are unable to determine that our remediation measures are effective or otherwise remediate the material weaknesses, or are otherwise unable to maintain effective internal control over financial reporting or disclosure controls and procedures, our ability to record, process and report financial information accurately, and to prepare financial statements within required time periods, could be adversely affected, which could subject us to litigation or investigations requiring management resources and payment of legal and other expenses, negatively affecting investor confidence in our financial statements and adversely impacting our stock price.</w:t>
      </w:r>
    </w:p>
    <w:p>
      <w:pPr>
        <w:pStyle w:val="TextBody"/>
        <w:bidi w:val="0"/>
        <w:spacing w:before="0" w:after="0"/>
        <w:ind w:left="1080" w:right="0" w:hanging="1080"/>
        <w:jc w:val="left"/>
        <w:rPr>
          <w:caps w:val="false"/>
          <w:smallCaps w:val="false"/>
        </w:rPr>
      </w:pPr>
      <w:r>
        <w:rPr>
          <w:caps w:val="false"/>
          <w:smallCaps w:val="false"/>
        </w:rPr>
        <w:t> </w:t>
      </w:r>
    </w:p>
    <w:p>
      <w:pPr>
        <w:pStyle w:val="TextBody"/>
        <w:bidi w:val="0"/>
        <w:spacing w:before="0" w:after="0"/>
        <w:ind w:left="1080" w:right="0" w:hanging="108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Risks</w:t>
      </w:r>
    </w:p>
    <w:p>
      <w:pPr>
        <w:pStyle w:val="TextBody"/>
        <w:bidi w:val="0"/>
        <w:spacing w:before="0" w:after="0"/>
        <w:ind w:left="1080" w:right="0" w:hanging="108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We rely on our information technology systems to help manage our operations.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information technology systems require periodic modifications, upgrades and/or replacement which subject us to costs and risks including potential disruption of our internal control structure, substantial unanticipated capital expenditures, additional operating expenses, retention of sufficiently skilled personnel and other risks in transitioning to new systems or integrating new systems. A failure to modify, upgrade or replace our information technology systems could have an adverse impact on our business. In addition, challenges implementing new technology systems may cause disruptions in our business operations and have an adverse effect on our business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information technology systems may be subject to physical and cyber attacks.</w:t>
      </w:r>
    </w:p>
    <w:p>
      <w:pPr>
        <w:pStyle w:val="TextBody"/>
        <w:bidi w:val="0"/>
        <w:spacing w:before="0" w:after="0"/>
        <w:ind w:left="0" w:right="0" w:firstLine="915"/>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our computer, information and communications technology systems in connection with the operation of our business, especially with respect to customer service and billing, accounting and, in some cases, the monitoring and operation of our operating facilities.  Our computer and communications systems and operations could be damaged or interrupted by natural disasters, cyber-attacks, power loss and internet, telecommunications or data network failures or acts of war or terrorism or similar events or disruptions.  Any of these or other events could cause service interruption, delays and loss of critical data or, impede aspects of operations and therefore, adversely affect our financial results.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Cyber-attacks could result in the loss, or compromise, of customer, financial or operational data, disruption of billing, collections or normal field service activities, disruption of electronic monitoring and control of operational systems and delays in financial reporting and other management functions. Possible impacts associated with a cyber-incident may include remediation costs related to lost, stolen, or compromised data, repairs to data processing systems, increased cyber security protection costs, adverse effects on our compliance with regulatory and environmental laws and regulations, including standards for drinking water, litigation and reputational damage.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18 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depend significantly on the technical and management services of our team, and the departure of any of certain persons could cause our operating results to temporarily be short of our expectations.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depends significantly on the continued individual and collective contributions of our team. If we lose the services of certain members of our team, or are unable to attract and retain qualified personnel in key roles, our operating results could be negatively impacted.</w:t>
      </w:r>
    </w:p>
    <w:p>
      <w:pPr>
        <w:pStyle w:val="TextBody"/>
        <w:bidi w:val="0"/>
        <w:spacing w:before="0" w:after="0"/>
        <w:ind w:left="0" w:right="0" w:hanging="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7" w:name="a_014"/>
      <w:bookmarkStart w:id="18" w:name="a_014"/>
      <w:bookmarkEnd w:id="18"/>
    </w:p>
    <w:tbl>
      <w:tblPr>
        <w:tblW w:w="5000" w:type="pct"/>
        <w:jc w:val="left"/>
        <w:tblInd w:w="0" w:type="dxa"/>
        <w:tblLayout w:type="fixed"/>
        <w:tblCellMar>
          <w:top w:w="0" w:type="dxa"/>
          <w:left w:w="0" w:type="dxa"/>
          <w:bottom w:w="0" w:type="dxa"/>
          <w:right w:w="0" w:type="dxa"/>
        </w:tblCellMar>
      </w:tblPr>
      <w:tblGrid>
        <w:gridCol w:w="73"/>
        <w:gridCol w:w="2073"/>
        <w:gridCol w:w="8059"/>
      </w:tblGrid>
      <w:tr>
        <w:trPr/>
        <w:tc>
          <w:tcPr>
            <w:tcW w:w="73"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b/>
              </w:rPr>
            </w:pPr>
            <w:r>
              <w:rPr>
                <w:b/>
              </w:rPr>
              <w:t>ITEM 1B.</w:t>
            </w:r>
          </w:p>
        </w:tc>
        <w:tc>
          <w:tcPr>
            <w:tcW w:w="8059" w:type="dxa"/>
            <w:tcBorders/>
            <w:vAlign w:val="center"/>
          </w:tcPr>
          <w:p>
            <w:pPr>
              <w:pStyle w:val="TableContents"/>
              <w:bidi w:val="0"/>
              <w:spacing w:before="0" w:after="283"/>
              <w:jc w:val="left"/>
              <w:rPr>
                <w:b/>
              </w:rPr>
            </w:pPr>
            <w:r>
              <w:rPr>
                <w:b/>
              </w:rPr>
              <w:t>UNRESOLVED STAFF COMMENTS.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9" w:name="a_015"/>
      <w:bookmarkStart w:id="20" w:name="a_015"/>
      <w:bookmarkEnd w:id="20"/>
    </w:p>
    <w:tbl>
      <w:tblPr>
        <w:tblW w:w="5000" w:type="pct"/>
        <w:jc w:val="left"/>
        <w:tblInd w:w="0" w:type="dxa"/>
        <w:tblLayout w:type="fixed"/>
        <w:tblCellMar>
          <w:top w:w="0" w:type="dxa"/>
          <w:left w:w="0" w:type="dxa"/>
          <w:bottom w:w="0" w:type="dxa"/>
          <w:right w:w="0" w:type="dxa"/>
        </w:tblCellMar>
      </w:tblPr>
      <w:tblGrid>
        <w:gridCol w:w="117"/>
        <w:gridCol w:w="3352"/>
        <w:gridCol w:w="6736"/>
      </w:tblGrid>
      <w:tr>
        <w:trPr/>
        <w:tc>
          <w:tcPr>
            <w:tcW w:w="117" w:type="dxa"/>
            <w:tcBorders/>
            <w:vAlign w:val="center"/>
          </w:tcPr>
          <w:p>
            <w:pPr>
              <w:pStyle w:val="TableContents"/>
              <w:bidi w:val="0"/>
              <w:spacing w:before="0" w:after="283"/>
              <w:jc w:val="left"/>
              <w:rPr>
                <w:sz w:val="4"/>
                <w:szCs w:val="4"/>
              </w:rPr>
            </w:pPr>
            <w:r>
              <w:rPr>
                <w:sz w:val="4"/>
                <w:szCs w:val="4"/>
              </w:rPr>
            </w:r>
          </w:p>
        </w:tc>
        <w:tc>
          <w:tcPr>
            <w:tcW w:w="3352" w:type="dxa"/>
            <w:tcBorders/>
            <w:vAlign w:val="center"/>
          </w:tcPr>
          <w:p>
            <w:pPr>
              <w:pStyle w:val="TableContents"/>
              <w:bidi w:val="0"/>
              <w:spacing w:before="0" w:after="283"/>
              <w:jc w:val="left"/>
              <w:rPr>
                <w:b/>
              </w:rPr>
            </w:pPr>
            <w:r>
              <w:rPr>
                <w:b/>
              </w:rPr>
              <w:t>ITEM 1C.</w:t>
            </w:r>
          </w:p>
        </w:tc>
        <w:tc>
          <w:tcPr>
            <w:tcW w:w="6736" w:type="dxa"/>
            <w:tcBorders/>
            <w:vAlign w:val="center"/>
          </w:tcPr>
          <w:p>
            <w:pPr>
              <w:pStyle w:val="TableContents"/>
              <w:bidi w:val="0"/>
              <w:spacing w:before="0" w:after="283"/>
              <w:jc w:val="both"/>
              <w:rPr>
                <w:b/>
              </w:rPr>
            </w:pPr>
            <w:r>
              <w:rPr>
                <w:b/>
              </w:rPr>
              <w:t>CYBERSECURITY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Cybersecurity Program</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cybersecurity program is an integral element of the Company's overarching strategic plan. The robustness of the cybersecurity initiatives directly impact the realization of the Company's mission, vision, and goals. Aligned with the National Institute of Standards and Technology Cyber Security Framework, the Company employs a comprehensive "defense-in-depth" strategy, deploying multiple security measures to safeguard its operational environment and data integrity systems.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continually evaluates and refines its cybersecurity program in response to key factors such as evolving threat landscapes, program maturation, gap analysis, and guidance from external security consultants. The Company’s cybersecurity program relies on three key pillars: People, Process and Technology (PPT) to deliver a robust cybersecurity program. The cybersecurity program includes various aspects of PPT, including, but not limited to:</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Technology:</w:t>
            </w:r>
            <w:r>
              <w:rPr/>
              <w:t xml:space="preserve"> Encryption, threat management, backups, monitoring, investigative support utilizing artificial intelligence embedded tools;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Identity and Access Control Management Tools:</w:t>
            </w:r>
            <w:r>
              <w:rPr/>
              <w:t xml:space="preserve"> Multi-factor authentication, monitoring and alerting of privilege account access;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Cybersecurity Processes:</w:t>
            </w:r>
            <w:r>
              <w:rPr/>
              <w:t xml:space="preserve"> Vulnerability scanning, penetration testing, and periodic assessments conducted by external security consultants;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Incident Response Training:</w:t>
            </w:r>
            <w:r>
              <w:rPr/>
              <w:t xml:space="preserve"> Regularly assessed incident response preparedness through various incident response and disaster recovery exercises;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Cyber Risk Awareness and Training:</w:t>
            </w:r>
            <w:r>
              <w:rPr/>
              <w:t xml:space="preserve"> Frequent simulation exercises to heighten awareness of cybersecurity threats and educate our user community on preventative measures and reporting protocols. All employees participate in required periodic training with respect to cybersecurity risk and risk mitigation.</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Chief Technology Officer (CTO), with over 25 years of experience in various disciplines of information technology, oversees the cybersecurity program. Reporting to the Chief Executive Officer, the CTO provides regular briefs to the Board of Directors (the Board) and executive management, informing them about prevention, detection, mitigation, and remediation of cybersecurity incidents, as well as ongoing risks and threats.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industry, the continuous functioning of information systems is of the utmost importance. Leveraging information technology systems, we collect, process and safeguard sensitive data and utilize automated tools to operate our plants.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Identified as a critical risk factor, cybersecurity threats encompass potential hazards such as malicious code, employee misconduct, advanced persistent threats, fraud, and phishing attacks. These risks have the potential to lead to information technology system failures, threat to water supply, or compromise of sensitive information.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19 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cybersecurity program aims to protect the uninterrupted availability of critical information technology resources. Regular assessments, conducted both internally and by third parties, evaluate our program against industry standards, including the National Institute of Standards and Technology Cybersecurity Standard and the Risk Management Framework.</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have not experienced cybersecurity breaches or incidents that have significantly impacted our financial condition, results of operations, or business strategy, the effectiveness of our measures to prevent, detect, mitigate, or recover is based on currently known threats and recovery methods. There is no guarantee that cybersecurity breaches or incidents will not impact our business operations, strategy, financial condition, or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ever-evolving landscape of cybersecurity threats introduces ongoing challenges. The Company recognizes the increasing frequency and sophistication of these threats. Despite implementing measures to secure operational and technology systems and fostering a culture of continuous improvement, the dynamic nature of cyber-attacks and vulnerabilities implies that these defenses may not be foolproof.</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Cybersecurity Risk Management Program and Strategy</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Cybersecurity risk management strategy is an integral component of our operations and our overall risk management process. Recognizing the dynamic nature of cybersecurity threats, we have implemented a comprehensive risk management program that aims to identify, assess, and mitigate potential risks. Our strategy involves a proactive approach, incorporating preventative measures, continuous monitoring, and adaptive response mechanisms. We prioritize the safeguarding of our operational network environment, sensitive data, including confidential business information and personal details of our customers and employees. Regular assessments conducted both internally and by third parties ensure our cybersecurity program aligns with industry standards. In addition to a dedicated cybersecurity team, we employ a defense-in-depth strategy, utilizing multiple security measures to protect our information technology system. Collaboration with third-party experts, industry peers and ongoing training initiatives ensures our cybersecurity strategy remains robust and responsive to evolving threats. We understand the importance of maintaining a vigilant and adaptive stance in the ever-evolving landscape of cybersecurity to safeguard our business operations, financial stability, and as a direct result, our overall success.</w:t>
      </w:r>
    </w:p>
    <w:p>
      <w:pPr>
        <w:pStyle w:val="TextBody"/>
        <w:bidi w:val="0"/>
        <w:spacing w:before="0" w:after="0"/>
        <w:ind w:left="63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Key elements of our cybersecurity risk mitigation approach are comprised of:</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8"/>
        <w:gridCol w:w="530"/>
        <w:gridCol w:w="9557"/>
      </w:tblGrid>
      <w:tr>
        <w:trPr/>
        <w:tc>
          <w:tcPr>
            <w:tcW w:w="11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pPr>
            <w:r>
              <w:rPr/>
              <w:t>●</w:t>
            </w:r>
          </w:p>
        </w:tc>
        <w:tc>
          <w:tcPr>
            <w:tcW w:w="9557" w:type="dxa"/>
            <w:tcBorders/>
            <w:vAlign w:val="center"/>
          </w:tcPr>
          <w:p>
            <w:pPr>
              <w:pStyle w:val="TableContents"/>
              <w:bidi w:val="0"/>
              <w:spacing w:before="0" w:after="283"/>
              <w:jc w:val="both"/>
              <w:rPr/>
            </w:pPr>
            <w:r>
              <w:rPr/>
              <w:t>A dedicated cybersecurity team;</w:t>
            </w:r>
          </w:p>
        </w:tc>
      </w:tr>
    </w:tbl>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Collaboration with a third-party managed detection and response company for 24/7 monitoring and response;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Cybersecurity insurance to cover a portion of losses and damages resulting from cyber-attacks or security breaches;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175"/>
        <w:gridCol w:w="9991"/>
      </w:tblGrid>
      <w:tr>
        <w:trPr/>
        <w:tc>
          <w:tcPr>
            <w:tcW w:w="3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pPr>
            <w:r>
              <w:rPr/>
              <w:t>●</w:t>
            </w:r>
          </w:p>
        </w:tc>
        <w:tc>
          <w:tcPr>
            <w:tcW w:w="9991" w:type="dxa"/>
            <w:tcBorders/>
            <w:vAlign w:val="center"/>
          </w:tcPr>
          <w:p>
            <w:pPr>
              <w:pStyle w:val="TableContents"/>
              <w:bidi w:val="0"/>
              <w:spacing w:before="0" w:after="283"/>
              <w:jc w:val="both"/>
              <w:rPr/>
            </w:pPr>
            <w:r>
              <w:rPr/>
              <w:t>An incident response team that is comprised of various departments required for an effective response;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Conducting periodic drills and exercises, including industry collaborations and participation from the executive team;</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6"/>
        <w:gridCol w:w="206"/>
        <w:gridCol w:w="9953"/>
      </w:tblGrid>
      <w:tr>
        <w:trPr/>
        <w:tc>
          <w:tcPr>
            <w:tcW w:w="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pPr>
            <w:r>
              <w:rPr/>
              <w:t>●</w:t>
            </w:r>
          </w:p>
        </w:tc>
        <w:tc>
          <w:tcPr>
            <w:tcW w:w="9953" w:type="dxa"/>
            <w:tcBorders/>
            <w:vAlign w:val="center"/>
          </w:tcPr>
          <w:p>
            <w:pPr>
              <w:pStyle w:val="TableContents"/>
              <w:bidi w:val="0"/>
              <w:spacing w:before="0" w:after="283"/>
              <w:jc w:val="both"/>
              <w:rPr/>
            </w:pPr>
            <w:r>
              <w:rPr/>
              <w:t>Continuous information security awareness training and phishing simulation exercises;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9"/>
        <w:gridCol w:w="267"/>
        <w:gridCol w:w="9879"/>
      </w:tblGrid>
      <w:tr>
        <w:trPr/>
        <w:tc>
          <w:tcPr>
            <w:tcW w:w="5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pPr>
            <w:r>
              <w:rPr/>
              <w:t>●</w:t>
            </w:r>
          </w:p>
        </w:tc>
        <w:tc>
          <w:tcPr>
            <w:tcW w:w="9879" w:type="dxa"/>
            <w:tcBorders/>
            <w:vAlign w:val="center"/>
          </w:tcPr>
          <w:p>
            <w:pPr>
              <w:pStyle w:val="TableContents"/>
              <w:bidi w:val="0"/>
              <w:spacing w:before="0" w:after="283"/>
              <w:jc w:val="both"/>
              <w:rPr/>
            </w:pPr>
            <w:r>
              <w:rPr/>
              <w:t>Regular security assessments to address evolving risks and threats;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198"/>
        <w:gridCol w:w="9963"/>
      </w:tblGrid>
      <w:tr>
        <w:trPr/>
        <w:tc>
          <w:tcPr>
            <w:tcW w:w="4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pPr>
            <w:r>
              <w:rPr/>
              <w:t>●</w:t>
            </w:r>
          </w:p>
        </w:tc>
        <w:tc>
          <w:tcPr>
            <w:tcW w:w="9963" w:type="dxa"/>
            <w:tcBorders/>
            <w:vAlign w:val="center"/>
          </w:tcPr>
          <w:p>
            <w:pPr>
              <w:pStyle w:val="TableContents"/>
              <w:bidi w:val="0"/>
              <w:spacing w:before="0" w:after="283"/>
              <w:jc w:val="both"/>
              <w:rPr/>
            </w:pPr>
            <w:r>
              <w:rPr/>
              <w:t>Deployment of automation solutions to strengthen detection and response capabilities;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Utilizing services offered by the United States Department of Homeland Security to assist with resiliency planning.</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20 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Third-Party Relationships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utilizes partners and third-party service providers to help deliver safe and reliable water and wastewater services across its regulated operations. In connection with these relationships, we perform due diligence, cyber risk scoring, cybersecurity related contractual obligations, and periodic reviews of third-party control environments to ensure alignment with the Company's risk exposure, business requirements, and risk tolerances.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extend our cybersecurity focus to third-party service providers by evaluating and monitoring their cybersecurity risks. High-risk vendors undergo continuous monitoring, and we maintain contractual agreements that mandate our third-party providers’ commitment to managing cybersecurity risks, providing incident notifications, and being subject to cybersecurity audits.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Cybersecurity Governance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Corporate Governance and Nominating Committee of the Board is tasked with overseeing cybersecurity risk. Management, including the CTO, provides regular reports to the Board covering aspects such as risks, threats, the evolving threat landscape, enhancements to the cybersecurity program, and the preparedness of internal responses.</w:t>
      </w:r>
    </w:p>
    <w:p>
      <w:pPr>
        <w:pStyle w:val="TextBody"/>
        <w:bidi w:val="0"/>
        <w:spacing w:before="0" w:after="0"/>
        <w:ind w:left="0" w:right="0" w:hanging="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1" w:name="a_016"/>
      <w:bookmarkStart w:id="22" w:name="a_016"/>
      <w:bookmarkEnd w:id="22"/>
    </w:p>
    <w:tbl>
      <w:tblPr>
        <w:tblW w:w="5000" w:type="pct"/>
        <w:jc w:val="left"/>
        <w:tblInd w:w="0" w:type="dxa"/>
        <w:tblLayout w:type="fixed"/>
        <w:tblCellMar>
          <w:top w:w="0" w:type="dxa"/>
          <w:left w:w="0" w:type="dxa"/>
          <w:bottom w:w="0" w:type="dxa"/>
          <w:right w:w="0" w:type="dxa"/>
        </w:tblCellMar>
      </w:tblPr>
      <w:tblGrid>
        <w:gridCol w:w="149"/>
        <w:gridCol w:w="3555"/>
        <w:gridCol w:w="6501"/>
      </w:tblGrid>
      <w:tr>
        <w:trPr/>
        <w:tc>
          <w:tcPr>
            <w:tcW w:w="149" w:type="dxa"/>
            <w:tcBorders/>
            <w:vAlign w:val="center"/>
          </w:tcPr>
          <w:p>
            <w:pPr>
              <w:pStyle w:val="TableContents"/>
              <w:bidi w:val="0"/>
              <w:spacing w:before="0" w:after="283"/>
              <w:jc w:val="left"/>
              <w:rPr>
                <w:sz w:val="4"/>
                <w:szCs w:val="4"/>
              </w:rPr>
            </w:pPr>
            <w:r>
              <w:rPr>
                <w:sz w:val="4"/>
                <w:szCs w:val="4"/>
              </w:rPr>
            </w:r>
          </w:p>
        </w:tc>
        <w:tc>
          <w:tcPr>
            <w:tcW w:w="3555" w:type="dxa"/>
            <w:tcBorders/>
            <w:vAlign w:val="center"/>
          </w:tcPr>
          <w:p>
            <w:pPr>
              <w:pStyle w:val="TableContents"/>
              <w:bidi w:val="0"/>
              <w:spacing w:before="0" w:after="283"/>
              <w:jc w:val="left"/>
              <w:rPr>
                <w:b/>
              </w:rPr>
            </w:pPr>
            <w:r>
              <w:rPr>
                <w:b/>
              </w:rPr>
              <w:t>ITEM 2.</w:t>
            </w:r>
          </w:p>
        </w:tc>
        <w:tc>
          <w:tcPr>
            <w:tcW w:w="6501" w:type="dxa"/>
            <w:tcBorders/>
            <w:vAlign w:val="center"/>
          </w:tcPr>
          <w:p>
            <w:pPr>
              <w:pStyle w:val="TableContents"/>
              <w:bidi w:val="0"/>
              <w:spacing w:before="0" w:after="283"/>
              <w:jc w:val="left"/>
              <w:rPr>
                <w:b/>
              </w:rPr>
            </w:pPr>
            <w:r>
              <w:rPr>
                <w:b/>
              </w:rPr>
              <w:t>PROPERTIES.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Utility Plant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water utility plant in our systems consists of source of supply, pumping, water treatment, transmission and distribution, general facilities and all appurtenances, including all connecting pipes.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wastewater utility plant in our systems consist of pumping, treatment, collection mains, general facilities and all appurtenances, including all connecting pipes.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our water and wastewater utility plant facilities are sufficient for the operations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Middlesex System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Middlesex System’s principal source of surface supply is the Delaware &amp; Raritan Canal owned by the State of New Jersey and operated as a water resource by the NJWSA.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Water is withdrawn from the Delaware &amp; Raritan Canal at New Brunswick, New Jersey through our intake and pumping station, located on state-owned land bordering the canal. Water is transported through two raw water pipelines for treatment and distribution at our CJO Plant in Edison, New Jersey.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CJO Plant includes chemical storage and chemical feed equipment, two dual rapid mixing basins, four upflow clarifiers which are also called superpulsators, three ozone contactors, twelve rapid filters containing gravel, sand and anthracite for water treatment and a steel washwater tank. The CJO Plant also includes a computerized Supervisory Control and Data Acquisitions system to monitor and control the CJO Plant and the water supply and distribution system in the Middlesex System. There is a State of New Jersey certified on-site laboratory capable of performing bacteriological, chemical, process control and advanced instrumental chemical sampling and analysis. The firm design capacity of the CJO Plant is 55 mgd (60 mgd maximum capacity). The five electric motor-driven, vertical turbine pumps presently installed have an aggregate capacity of 85 mgd.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there is a 15 mgd auxiliary pumping station on-site at the CJO Plant location. It has a dedicated substation and emergency power supply provided by a diesel-driven generator. It pumps from the 10 million gallon distribution storage reservoir directly into the distribution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transmission and distribution system is comprised of 746 miles of mains and includes 24,300 feet of 48-inch concrete transmission main and 23,400 feet of 42-inch ductile iron transmission main connecting the CJO Plant to our distribution pipe network and related storage facilities. Also included are a 58,600 foot transmission main and a 38,800 foot transmission main, augmented with a long-term, non-exclusive agreement with East Brunswick to transport water through the East Brunswick system to several of our other contract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21 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Middlesex System’s storage facilities consist of a 10 million gallon reservoir at the CJO Plant, 5 million gallon and 2 million gallon reservoirs in Edison and a 2 million gallon reservoir at the Park Avenue Plant.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New Jersey, we own the properties on which the Middlesex System’s 27 wells are located, the properties on which our storage tanks are located as well as the property where the CJO Plant is located. We own our operations center located at 1500 Ronson Road, Iselin, New Jersey, consisting of a 27,000 square foot office building, 16,500 square foot maintenance facility and a 1.96 acre equipment and materials storage and staging yard. We lease 29,036 square feet of commercial office space adjacent to the Ronson Road complex. The leased space, which is under contract through 2028, houses our corporate administrative functions including executive, accounting, customer service and billing, engineering, human resources, information technology and legal.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Tidewater System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Tidewater System is comprised of 85 production plants that vary in pumping capacity from 46,000 gallons per day to 4.4 mgd. Water is transported to our customers through 917 miles of transmission and distribution mains. Storage facilities include 48 tanks, with an aggregate capacity of 9.9 million gallons. The Delaware office property, located on an eleven-acre parcel owned by White Marsh, consists of two office buildings totaling approximately 17,000 square feet. In addition, Tidewater maintains a field operations center servicing its largest service territory in Sussex County, Delaware. The operations center is located on a 2.9 acre parcel owned by White Marsh, and consists of three buildings totaling approximately 12,000 square feet.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Pinelands Water System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Pinelands Water owns well site and storage properties in Southampton Township, New Jersey. The Pinelands Water storage facility is a 1.3 million gallon standpipe. Water is transported to our customers through 18 miles of transmission and distribution mains.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Pinelands Wastewater System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Pinelands Wastewater owns a 12 acre site on which its 0.5 mgd capacity wastewater treatment plant and connecting pipes are located. Its wastewater collection system is comprised of approximately 24 miles of sewer lines.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Fortescue System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Fortescue System includes two well sites, which are located in Downe Township, Cumberland County, New Jersey. Water is transported to its customers through our 4.2 mile distribution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USA-PA, USA and White Marsh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non-regulated subsidiaries, namely USA-PA, USA and White Marsh, do not own utility plant property.</w:t>
      </w:r>
    </w:p>
    <w:p>
      <w:pPr>
        <w:pStyle w:val="TextBody"/>
        <w:bidi w:val="0"/>
        <w:spacing w:before="0" w:after="0"/>
        <w:ind w:left="0" w:right="0" w:hanging="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3" w:name="a_017"/>
      <w:bookmarkStart w:id="24" w:name="a_017"/>
      <w:bookmarkEnd w:id="24"/>
    </w:p>
    <w:tbl>
      <w:tblPr>
        <w:tblW w:w="5000" w:type="pct"/>
        <w:jc w:val="left"/>
        <w:tblInd w:w="0" w:type="dxa"/>
        <w:tblLayout w:type="fixed"/>
        <w:tblCellMar>
          <w:top w:w="0" w:type="dxa"/>
          <w:left w:w="0" w:type="dxa"/>
          <w:bottom w:w="0" w:type="dxa"/>
          <w:right w:w="0" w:type="dxa"/>
        </w:tblCellMar>
      </w:tblPr>
      <w:tblGrid>
        <w:gridCol w:w="101"/>
        <w:gridCol w:w="2432"/>
        <w:gridCol w:w="7672"/>
      </w:tblGrid>
      <w:tr>
        <w:trPr/>
        <w:tc>
          <w:tcPr>
            <w:tcW w:w="101" w:type="dxa"/>
            <w:tcBorders/>
            <w:vAlign w:val="center"/>
          </w:tcPr>
          <w:p>
            <w:pPr>
              <w:pStyle w:val="TableContents"/>
              <w:bidi w:val="0"/>
              <w:spacing w:before="0" w:after="283"/>
              <w:jc w:val="left"/>
              <w:rPr>
                <w:sz w:val="4"/>
                <w:szCs w:val="4"/>
              </w:rPr>
            </w:pPr>
            <w:r>
              <w:rPr>
                <w:sz w:val="4"/>
                <w:szCs w:val="4"/>
              </w:rPr>
            </w:r>
          </w:p>
        </w:tc>
        <w:tc>
          <w:tcPr>
            <w:tcW w:w="2432" w:type="dxa"/>
            <w:tcBorders/>
            <w:vAlign w:val="center"/>
          </w:tcPr>
          <w:p>
            <w:pPr>
              <w:pStyle w:val="TableContents"/>
              <w:bidi w:val="0"/>
              <w:spacing w:before="0" w:after="283"/>
              <w:jc w:val="left"/>
              <w:rPr>
                <w:b/>
              </w:rPr>
            </w:pPr>
            <w:r>
              <w:rPr>
                <w:b/>
              </w:rPr>
              <w:t>ITEM 3.</w:t>
            </w:r>
          </w:p>
        </w:tc>
        <w:tc>
          <w:tcPr>
            <w:tcW w:w="7672" w:type="dxa"/>
            <w:tcBorders/>
            <w:vAlign w:val="center"/>
          </w:tcPr>
          <w:p>
            <w:pPr>
              <w:pStyle w:val="TableContents"/>
              <w:bidi w:val="0"/>
              <w:spacing w:before="0" w:after="283"/>
              <w:jc w:val="left"/>
              <w:rPr>
                <w:b/>
              </w:rPr>
            </w:pPr>
            <w:r>
              <w:rPr>
                <w:b/>
              </w:rPr>
              <w:t xml:space="preserve">LEGAL PROCEEDINGS.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September 2021, the NJDEP issued a Notice to Middlesex based on self-reporting by Middlesex that the level of PFOA in water treated at its Park Avenue Plant in New Jersey exceeded a recently promulgated NJDEP standard effective in 2021. Neither the NJDEP nor Middlesex characterized this exceedance as an acute health emergency. However, Middlesex was required to notify its affected customers and the Company complied in due course. Water currently being delivered to customers is in compliance with all USEPA and NJDEP drinking water standards, including the newly established water quality standard for PFOA.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2021, the Company was served with two PFOA-related class action lawsuits seeking restitution for medical, water filter replacement and other claimed related costs. These lawsuits are in the early stages of the legal process and their ultimate resolution cannot be predicted at this time. The following summarizes the legal complaints brought against Middlesex related to this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22 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Vera et al. v. Middlesex Water Company </w:t>
      </w:r>
      <w:r>
        <w:rPr>
          <w:rFonts w:ascii="Times New Roman;Times;Serif" w:hAnsi="Times New Roman;Times;Serif"/>
          <w:b w:val="false"/>
          <w:i w:val="false"/>
          <w:caps w:val="false"/>
          <w:smallCaps w:val="false"/>
          <w:sz w:val="20"/>
        </w:rPr>
        <w:t>- On October 29, 2021, a complaint was filed in the Superior Court of New Jersey, Middlesex County seeking restitution, equitable and injunctive relief for the costs of (1) seeking medical advice; (2) installing home water filters; (3) purchasing bottled water; and (4) court-supervised medical monitoring/testing going forward. On November 19, 2021, a first amended complaint was filed together with motions for Class Certification and Injunctive Relief. On December 17, 2021, the parties entered into a Stipulation where it was agreed that Plaintiff’s motion for injunctive relief would be withdrawn. On February 16, 2022, Middlesex filed a Motion To Dismiss Plaintiffs’ complaint for: (1) failure to include an indispensable party, 3M, whom Middlesex claims is the source of the PFOA in the Company’s wells; and (2) failure to state legally cognizable claims in support of all of the counts set forth in the complaint. Plaintiff’s motion for Class Certification and further discovery was postponed pending the outcome of Middlesex’s Motion To Dismiss. On April 21, 2022, the Judge granted Vera’s Motion for Class Certification and granted in part and denied in part Middlesex’s Motion to Dismiss. On May 4, 2022, the Company impleaded 3M as a third-party defendant in this lawsuit.  On July 6, 2022, the Company filed a Motion to Remove this case from New Jersey Superior Court to the United States District Court for the District of New Jersey. Vera challenged Middlesex’s Motion To Remove at the United States District Court for the District of New Jersey in an attempt to remand the case back to the Superior Court of New Jersey. On March 21, 2023, the United States District Court for the District of New Jersey issued an order remanding the case back to the Superior Court of New Jersey. Discovery is underway in this matter. On August 29, 2023, the Company executed a settlement agreement with 3M to resolve a lawsuit related to perfluoroalkyl substances in which Middlesex and 3M agreed to enter into joint mediation to resolve this and another PFOA-related class action lawsuit against Middlesex and 3M seeking restitution for medical, water replacement and other claimed related costs. A mediation session among the parties was held on November 17, 2023. The Superior Court of New Jersey has set a deadline of February 29, 2024 for the parties to submit a final settlement agreement with the Court should the parties be able to reach a settlement.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Lonsk et al. v. Middlesex Water Company and 3M Company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On November 9, 2021, a complaint was filed in the United States District Court, District of New Jersey seeking Class Certification and restitution, equitable and injunctive relief for the costs of (1) seeking medical advice; (2) installing home water filters; (3) purchasing bottled water; and (4) all other claimed related costs. On December 23, 2021, the parties agreed to postpone the filing date of Middlesex’s and 3M’s answers to the complaint to January 14, 2022 at the earliest. This filing date was subsequently further postponed to March 1, 2022. On March 4, 2022, Middlesex filed a Motion to Dismiss Plaintiffs’ complaint. On April 15, 2022, Plaintiffs filed an Amended Complaint. On July 7, 2022, this case was reassigned to a new trial judge at the United States District Court for the District of New Jersey. On October 31, 2022, the trial judge in this matter dismissed Middlesex’s and 3M’s motions to dismiss the Plaintiffs’ complaint and Middlesex and 3M filed answers to Plaintiffs’ amended complaint on November 21, 2022. On August 29, 2023 the Company executed a settlement agreement with 3M to resolve a lawsuit related to perfluoroalkyl substances in which Middlesex and 3M agreed to enter into a joint mediation, scheduled for November 2023, to resolve this and another PFOA-related class action lawsuit against Middlesex and 3M seeking restitution for medical, water replacement and other claimed related costs. Discovery in this case is currently underway and continues. A mediation session among the parties was held on November 17, 2023. The Superior Court of New jersey has set a deadline of March 4, 2024 for the parties to submit a final settlement agreement with the Court should the parties be able to reach a settlement.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further discussion of the 3M settlement and the case above, see </w:t>
      </w:r>
      <w:r>
        <w:rPr>
          <w:rFonts w:ascii="Times New Roman;Times;Serif" w:hAnsi="Times New Roman;Times;Serif"/>
          <w:b w:val="false"/>
          <w:i/>
          <w:caps w:val="false"/>
          <w:smallCaps w:val="false"/>
          <w:sz w:val="20"/>
        </w:rPr>
        <w:t>Item 7 - Management’s Discussion and Analysis of Financial Condition and Results of Operations, Regulatory Notice of Non-Compliance.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 defendant in other lawsuits in the normal course of business. We believe the resolution of these pending claims and legal proceedings will not have a material adverse effect on the Company’s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5" w:name="a_018"/>
      <w:bookmarkStart w:id="26" w:name="a_018"/>
      <w:bookmarkEnd w:id="26"/>
    </w:p>
    <w:tbl>
      <w:tblPr>
        <w:tblW w:w="5000" w:type="pct"/>
        <w:jc w:val="left"/>
        <w:tblInd w:w="0" w:type="dxa"/>
        <w:tblLayout w:type="fixed"/>
        <w:tblCellMar>
          <w:top w:w="0" w:type="dxa"/>
          <w:left w:w="0" w:type="dxa"/>
          <w:bottom w:w="0" w:type="dxa"/>
          <w:right w:w="0" w:type="dxa"/>
        </w:tblCellMar>
      </w:tblPr>
      <w:tblGrid>
        <w:gridCol w:w="85"/>
        <w:gridCol w:w="2044"/>
        <w:gridCol w:w="8076"/>
      </w:tblGrid>
      <w:tr>
        <w:trPr/>
        <w:tc>
          <w:tcPr>
            <w:tcW w:w="85" w:type="dxa"/>
            <w:tcBorders/>
            <w:vAlign w:val="center"/>
          </w:tcPr>
          <w:p>
            <w:pPr>
              <w:pStyle w:val="TableContents"/>
              <w:bidi w:val="0"/>
              <w:spacing w:before="0" w:after="283"/>
              <w:jc w:val="left"/>
              <w:rPr>
                <w:sz w:val="4"/>
                <w:szCs w:val="4"/>
              </w:rPr>
            </w:pPr>
            <w:r>
              <w:rPr>
                <w:sz w:val="4"/>
                <w:szCs w:val="4"/>
              </w:rPr>
            </w:r>
          </w:p>
        </w:tc>
        <w:tc>
          <w:tcPr>
            <w:tcW w:w="2044" w:type="dxa"/>
            <w:tcBorders/>
            <w:vAlign w:val="center"/>
          </w:tcPr>
          <w:p>
            <w:pPr>
              <w:pStyle w:val="TableContents"/>
              <w:bidi w:val="0"/>
              <w:spacing w:before="0" w:after="283"/>
              <w:jc w:val="left"/>
              <w:rPr>
                <w:b/>
              </w:rPr>
            </w:pPr>
            <w:r>
              <w:rPr>
                <w:b/>
              </w:rPr>
              <w:t>ITEM 4.</w:t>
            </w:r>
          </w:p>
        </w:tc>
        <w:tc>
          <w:tcPr>
            <w:tcW w:w="8076" w:type="dxa"/>
            <w:tcBorders/>
            <w:vAlign w:val="center"/>
          </w:tcPr>
          <w:p>
            <w:pPr>
              <w:pStyle w:val="TableContents"/>
              <w:bidi w:val="0"/>
              <w:spacing w:before="0" w:after="283"/>
              <w:jc w:val="left"/>
              <w:rPr>
                <w:b/>
              </w:rPr>
            </w:pPr>
            <w:r>
              <w:rPr>
                <w:b/>
              </w:rPr>
              <w:t>MINE SAFETY DISCLOSURES.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23 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7" w:name="a_019"/>
      <w:bookmarkEnd w:id="27"/>
      <w:r>
        <w:rPr>
          <w:rFonts w:ascii="Times New Roman;Times;Serif" w:hAnsi="Times New Roman;Times;Serif"/>
          <w:b/>
          <w:i w:val="false"/>
          <w:caps w:val="false"/>
          <w:smallCaps w:val="false"/>
          <w:sz w:val="20"/>
        </w:rPr>
        <w:t>PART II</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8" w:name="a_020"/>
      <w:bookmarkStart w:id="29" w:name="a_020"/>
      <w:bookmarkEnd w:id="29"/>
    </w:p>
    <w:tbl>
      <w:tblPr>
        <w:tblW w:w="5000" w:type="pct"/>
        <w:jc w:val="left"/>
        <w:tblInd w:w="0" w:type="dxa"/>
        <w:tblLayout w:type="fixed"/>
        <w:tblCellMar>
          <w:top w:w="0" w:type="dxa"/>
          <w:left w:w="0" w:type="dxa"/>
          <w:bottom w:w="0" w:type="dxa"/>
          <w:right w:w="0" w:type="dxa"/>
        </w:tblCellMar>
      </w:tblPr>
      <w:tblGrid>
        <w:gridCol w:w="37"/>
        <w:gridCol w:w="783"/>
        <w:gridCol w:w="9385"/>
      </w:tblGrid>
      <w:tr>
        <w:trPr/>
        <w:tc>
          <w:tcPr>
            <w:tcW w:w="37"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b/>
              </w:rPr>
            </w:pPr>
            <w:r>
              <w:rPr>
                <w:b/>
              </w:rPr>
              <w:t>ITEM 5.</w:t>
            </w:r>
          </w:p>
        </w:tc>
        <w:tc>
          <w:tcPr>
            <w:tcW w:w="9385" w:type="dxa"/>
            <w:tcBorders/>
            <w:vAlign w:val="center"/>
          </w:tcPr>
          <w:p>
            <w:pPr>
              <w:pStyle w:val="TableContents"/>
              <w:bidi w:val="0"/>
              <w:spacing w:before="0" w:after="283"/>
              <w:jc w:val="left"/>
              <w:rPr>
                <w:b/>
              </w:rPr>
            </w:pPr>
            <w:r>
              <w:rPr>
                <w:b/>
              </w:rPr>
              <w:t>MARKET FOR THE REGISTRANT'S COMMON EQUITY, RELATED STOCKHOLDER MATTERS AND ISSUER PURCHASES OF EQUITY SECURITIES.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common stock is traded on the NASDAQ Stock Market, LLC, under the symbol MSEX. As of December 31, 2023, there were 1,717 holders of record.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paid dividends on its common stock each year since 1912. The payment of future dividends is contingent upon the future earnings of the Company, its financial condition and other factors deemed relevant by the Board of Directors at its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four or more quarterly dividends are in arrears, the preferred shareholders, as a class, are entitled to elect two members to the Board of Directors in addition to Directors elected by holders of the common stock. In the event dividends on the preferred stock are in arrears, no dividends may be declared or paid on the common stock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issues shares of its common stock in connection with its Middlesex Water Company Investment Plan (the Investment Plan), a direct share purchase and dividend reinvestment plan for the Company’s common stock. Since the inception of the Investment Plan and its predecessor plan, the Company has periodically replenished the level of authorized shares in the plans. Currently, 0.7 million shares remain registered with the SEC and available for issuance to participants under the Investment Plan. The Company raised approximately $12.1 million through the issuance of shares under the Investment Plan during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 2023, the Company began offering shares of its common stock for purchase at a 3% discount to participants in the Investment Plan. The discount offering ended December 1, 2023.  The discount applied to all common stock purchases made under the Investment Plan during that time period, whether by optional cash payment or by dividend reinvestment.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a long-term incentive compensation plan for certain management employees where awards are made in the form of restricted common stock. Shares issued in connection with this plan are subject to forfeiture by the employee in the event of termination of employment for any reason within five years of the award, other than as a result of retirement at normal retirement age, death, disability or change in control. The maximum number of shares authorized for award under this plan is 0.3 million shares, of which approximately 75% remain available for future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a stock plan for its independent members of the Board of Directors as a component of their compensation. In 2023, shares of the Company’s common stock valued at $0.4 million were granted and issued to the Independent Directors. The maximum number of shares authorized for grant under this plan is 0.1 million. Approximately 42% of the authorized shares remain available for future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forth below is a graph comparing the yearly change in the cumulative total return (which includes reinvestment of dividends) of a $100 investment for the Company’s common stock, a peer group of investor-owned water utilities, and the S&amp;P 500 Stock Index for the period of five years commencing December 31, 2018. The S&amp;P 500 Stock Index measures the stock performance of 500 large companies listed on stock exchanges in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24 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COMPARISON OF 5 YEAR CUMULATIVE TOTAL RETURN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Among Middlesex Water Company, the S&amp;P 500 Stock Index and a Peer Group*</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5495925" cy="32099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495925" cy="3209925"/>
                    </a:xfrm>
                    <a:prstGeom prst="rect">
                      <a:avLst/>
                    </a:prstGeom>
                  </pic:spPr>
                </pic:pic>
              </a:graphicData>
            </a:graphic>
          </wp:inline>
        </w:drawing>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Peer group includes American States Water Company, Artesian Resources Corp., California Water Service Group, Global Water Resources Inc, SJW Corp., York Water Company and Middlesex.</w:t>
      </w:r>
    </w:p>
    <w:p>
      <w:pPr>
        <w:pStyle w:val="TextBody"/>
        <w:bidi w:val="0"/>
        <w:spacing w:before="0" w:after="0"/>
        <w:ind w:left="720" w:right="0" w:hanging="0"/>
        <w:jc w:val="both"/>
        <w:rPr>
          <w:caps w:val="false"/>
          <w:smallCaps w:val="false"/>
        </w:rPr>
      </w:pPr>
      <w:r>
        <w:rPr>
          <w:caps w:val="false"/>
          <w:smallCaps w:val="false"/>
        </w:rPr>
        <w:t> </w:t>
      </w:r>
    </w:p>
    <w:tbl>
      <w:tblPr>
        <w:tblW w:w="7820" w:type="dxa"/>
        <w:jc w:val="left"/>
        <w:tblInd w:w="0" w:type="dxa"/>
        <w:tblLayout w:type="fixed"/>
        <w:tblCellMar>
          <w:top w:w="0" w:type="dxa"/>
          <w:left w:w="0" w:type="dxa"/>
          <w:bottom w:w="0" w:type="dxa"/>
          <w:right w:w="0" w:type="dxa"/>
        </w:tblCellMar>
      </w:tblPr>
      <w:tblGrid>
        <w:gridCol w:w="2645"/>
        <w:gridCol w:w="60"/>
        <w:gridCol w:w="60"/>
        <w:gridCol w:w="680"/>
        <w:gridCol w:w="60"/>
        <w:gridCol w:w="60"/>
        <w:gridCol w:w="60"/>
        <w:gridCol w:w="680"/>
        <w:gridCol w:w="60"/>
        <w:gridCol w:w="60"/>
        <w:gridCol w:w="60"/>
        <w:gridCol w:w="680"/>
        <w:gridCol w:w="60"/>
        <w:gridCol w:w="60"/>
        <w:gridCol w:w="60"/>
        <w:gridCol w:w="680"/>
        <w:gridCol w:w="60"/>
        <w:gridCol w:w="60"/>
        <w:gridCol w:w="60"/>
        <w:gridCol w:w="680"/>
        <w:gridCol w:w="60"/>
        <w:gridCol w:w="60"/>
        <w:gridCol w:w="60"/>
        <w:gridCol w:w="680"/>
        <w:gridCol w:w="75"/>
      </w:tblGrid>
      <w:tr>
        <w:trPr/>
        <w:tc>
          <w:tcPr>
            <w:tcW w:w="26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2018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2019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75" w:type="dxa"/>
            <w:tcBorders/>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283"/>
              <w:jc w:val="left"/>
              <w:rPr/>
            </w:pPr>
            <w:r>
              <w:rPr/>
              <w:t>Middlesex Water Company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121.14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140.27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235.68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156.10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132.41</w:t>
            </w:r>
          </w:p>
        </w:tc>
        <w:tc>
          <w:tcPr>
            <w:tcW w:w="75" w:type="dxa"/>
            <w:tcBorders/>
            <w:shd w:fill="CCEEFF" w:val="clear"/>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283"/>
              <w:jc w:val="left"/>
              <w:rPr/>
            </w:pPr>
            <w:r>
              <w:rPr/>
              <w:t>S&amp;P 500 Stock Index</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131.49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155.68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200.37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164.08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207.21</w:t>
            </w:r>
          </w:p>
        </w:tc>
        <w:tc>
          <w:tcPr>
            <w:tcW w:w="75" w:type="dxa"/>
            <w:tcBorders/>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283"/>
              <w:jc w:val="left"/>
              <w:rPr/>
            </w:pPr>
            <w:r>
              <w:rPr/>
              <w:t>Peer Group</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123.86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126.00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164.71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148.74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127.88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0" w:name="a_021"/>
      <w:bookmarkStart w:id="31" w:name="a_021"/>
      <w:bookmarkEnd w:id="31"/>
    </w:p>
    <w:tbl>
      <w:tblPr>
        <w:tblW w:w="5000" w:type="pct"/>
        <w:jc w:val="left"/>
        <w:tblInd w:w="0" w:type="dxa"/>
        <w:tblLayout w:type="fixed"/>
        <w:tblCellMar>
          <w:top w:w="0" w:type="dxa"/>
          <w:left w:w="0" w:type="dxa"/>
          <w:bottom w:w="0" w:type="dxa"/>
          <w:right w:w="0" w:type="dxa"/>
        </w:tblCellMar>
      </w:tblPr>
      <w:tblGrid>
        <w:gridCol w:w="152"/>
        <w:gridCol w:w="3639"/>
        <w:gridCol w:w="6414"/>
      </w:tblGrid>
      <w:tr>
        <w:trPr/>
        <w:tc>
          <w:tcPr>
            <w:tcW w:w="152" w:type="dxa"/>
            <w:tcBorders/>
            <w:vAlign w:val="center"/>
          </w:tcPr>
          <w:p>
            <w:pPr>
              <w:pStyle w:val="TableContents"/>
              <w:bidi w:val="0"/>
              <w:spacing w:before="0" w:after="283"/>
              <w:jc w:val="left"/>
              <w:rPr>
                <w:sz w:val="4"/>
                <w:szCs w:val="4"/>
              </w:rPr>
            </w:pPr>
            <w:r>
              <w:rPr>
                <w:sz w:val="4"/>
                <w:szCs w:val="4"/>
              </w:rPr>
            </w:r>
          </w:p>
        </w:tc>
        <w:tc>
          <w:tcPr>
            <w:tcW w:w="3639" w:type="dxa"/>
            <w:tcBorders/>
            <w:vAlign w:val="center"/>
          </w:tcPr>
          <w:p>
            <w:pPr>
              <w:pStyle w:val="TableContents"/>
              <w:bidi w:val="0"/>
              <w:spacing w:before="0" w:after="283"/>
              <w:jc w:val="left"/>
              <w:rPr>
                <w:b/>
              </w:rPr>
            </w:pPr>
            <w:r>
              <w:rPr>
                <w:b/>
              </w:rPr>
              <w:t>ITEM 6.</w:t>
            </w:r>
          </w:p>
        </w:tc>
        <w:tc>
          <w:tcPr>
            <w:tcW w:w="6414" w:type="dxa"/>
            <w:tcBorders/>
            <w:vAlign w:val="center"/>
          </w:tcPr>
          <w:p>
            <w:pPr>
              <w:pStyle w:val="TableContents"/>
              <w:bidi w:val="0"/>
              <w:spacing w:before="0" w:after="283"/>
              <w:jc w:val="left"/>
              <w:rPr>
                <w:b/>
              </w:rPr>
            </w:pPr>
            <w:r>
              <w:rPr>
                <w:b/>
              </w:rPr>
              <w:t xml:space="preserve">[RESERVED]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25 </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ind w:left="0" w:right="0" w:hanging="0"/>
        <w:jc w:val="left"/>
        <w:rPr>
          <w:sz w:val="4"/>
          <w:szCs w:val="4"/>
        </w:rPr>
      </w:pPr>
      <w:r>
        <w:rPr>
          <w:sz w:val="4"/>
          <w:szCs w:val="4"/>
        </w:rPr>
      </w:r>
      <w:bookmarkStart w:id="32" w:name="a_022"/>
      <w:bookmarkStart w:id="33" w:name="a_022"/>
      <w:bookmarkEnd w:id="33"/>
    </w:p>
    <w:tbl>
      <w:tblPr>
        <w:tblW w:w="10205" w:type="dxa"/>
        <w:jc w:val="left"/>
        <w:tblInd w:w="0" w:type="dxa"/>
        <w:tblLayout w:type="fixed"/>
        <w:tblCellMar>
          <w:top w:w="0" w:type="dxa"/>
          <w:left w:w="0" w:type="dxa"/>
          <w:bottom w:w="0" w:type="dxa"/>
          <w:right w:w="0" w:type="dxa"/>
        </w:tblCellMar>
      </w:tblPr>
      <w:tblGrid>
        <w:gridCol w:w="38"/>
        <w:gridCol w:w="828"/>
        <w:gridCol w:w="9339"/>
      </w:tblGrid>
      <w:tr>
        <w:trPr/>
        <w:tc>
          <w:tcPr>
            <w:tcW w:w="38"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b/>
              </w:rPr>
            </w:pPr>
            <w:r>
              <w:rPr>
                <w:b/>
              </w:rPr>
              <w:t>ITEM 7.</w:t>
            </w:r>
          </w:p>
        </w:tc>
        <w:tc>
          <w:tcPr>
            <w:tcW w:w="9339" w:type="dxa"/>
            <w:tcBorders/>
            <w:vAlign w:val="center"/>
          </w:tcPr>
          <w:p>
            <w:pPr>
              <w:pStyle w:val="TableContents"/>
              <w:bidi w:val="0"/>
              <w:spacing w:before="0" w:after="283"/>
              <w:jc w:val="left"/>
              <w:rPr>
                <w:b/>
              </w:rPr>
            </w:pPr>
            <w:r>
              <w:rPr>
                <w:b/>
              </w:rPr>
              <w:t>MANAGEMENT'S DISCUSSION AND ANALYSIS OF FINANCIAL CONDITION AND RESULTS OF OPERATIONS.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should be read in conjunction with the Company’s consolidated financial statements and related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Middlesex Water Company (Middlesex or the Company) has operated as a water utility in New Jersey since 1897 and in Delaware through our wholly-owned subsidiary, Tidewater Utilities, Inc. (Tidewater), since 1992. We are in the business of collecting, treating and distributing water for domestic, commercial, municipal, industrial and fire protection purposes. We operate water and wastewater systems under contract for governmental entities and private entities primarily in New Jersey and Delaware and also provide regulated wastewater services in New Jersey. We are regulated by state public utility commissions as to rates charged to customers for water and wastewater services, as to the quality of water and wastewater services we provide and as to certain other matters in the states in which our regulated subsidiaries operate. Only our Utility Service Affiliates, Inc. (USA), Utility Service Affiliates (Perth Amboy), Inc. (USA-PA) and White Marsh Environmental Services, Inc. (White Marsh) subsidiaries are not regulated public utilities as related to rates and services quality. All municipal or commercial entities whose utility operations are managed by these entities however, are subject to environmental regulation at the federal and state levels.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New Jersey water utility system (the Middlesex System) provides water services to approximately 61,000 retail customers, primarily in central New Jersey. The Middlesex System also provides water sales under contract to municipalities in central New Jersey with a total population of over 0.2 million. Our Fortescue System provides water services in Downe Township, New Jersey. Our other New Jersey subsidiaries, Pinelands Water Company (Pinelands Water) and Pinelands Wastewater Company (Pinelands Wastewater) (collectively, Pinelands), provide water and wastewater services to approximately 2,500 customers in Southampton Township, New Jersey.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Delaware subsidiaries, Tidewater and Southern Shores Water Company, LLC (Southern Shores), provide water services to approximately 59,000 retail customers in New Castle, Kent and Sussex Counties, Delaware. Tidewater’s subsidiary, White Marsh, services approximately 4,300 customers in Kent and Sussex Counties through various operations and maintenance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USA-PA operates the water and wastewater systems for the City of Perth Amboy, New Jersey (Perth Amboy) under a 10-year operations and maintenance contract expiring in 2028. In addition to performing day-to day operations, USA-PA is also responsible for emergency response and management of capital projects funded by Perth Amboy.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USA operates the Borough of Avalon, New Jersey’s (Avalon) water utility, sewer utility and storm water system under a 10-year operations and maintenance contract expiring in 2032. USA also operates the Borough of Highland Park, New Jersey’s (Highland Park) water and wastewater systems under a 10-year operations and maintenance contract expiring in 2030. In addition to performing day-to-day service operations, USA is responsible for emergency response and management of capital projects funded by Avalon and Highland Park. Under a marketing agreement with HomeServe USA Corp. (HomeServe) expiring in 2031, USA offers residential customers in New Jersey and Delaware water and wastewater related services and home maintenance programs. HomeServe is a leading national provider of such home maintenance service programs. USA receives a service fee for the billing, cash collection and other administrative matters associated with HomeServe’s service contracts. USA also provides unregulated water and wastewater services under contract with several New Jersey municipalities.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Middlesex President and Chief Executive Officer Retirement Announcement and Replacement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May 2023, President and Chief Executive Officer, Dennis W. Doll announced a plan to retire upon turning age 65. On January 23, 2024, the Company named Nadine Leslie as its new President and Chief Executive Officer effective March 1, 2024.  Ms. Leslie will also be appointed to the Board of Directors effective March 1, 2024. Mr. Doll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will remain Chairman of the Company’s Board of Directors through the expiration of his current term as a Director as of the May 21, 2024 Annual Meeting of Shareholders.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Regulatory Notice of Non-Compliance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2021, the New Jersey Department of Environmental Protection (NJDEP) issued a Notice of Non-Compliance (Notice) to Middlesex based on self-reporting by Middlesex that the level of Perfluorooctanoic Acid (PFOA) in water treated at its Park Avenue Wellfield Treatment Plant (Park Avenue Plant) in South Plainfield, New Jersey exceeded a standard promulgated in a NJDEP regulation that became effective in 2021. Middlesex was required by the regulation to notify its affected customers and complied within the required Notice period in November 2021.</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further required the Company to take any action necessary to comply with the new standard by September 7, 2022. Consequently, in November 2021, the Company implemented an interim solution to meet the Notice requirements, which included putting the Park Avenue Wellfield Treatment Plant in off-line status and obtaining alternate sources of supply. In June 2022, the Company accelerated the in-service date for a portion of the enhanced treatment project based on engineering analysis that allowed a restart of the Park Avenue Wellfield Treatment Plant to ensure continued compliance with all state and federal drinking water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2022, the Company entered into an Administrative Consent Order (ACO) with the NJDEP, which required the Company to take whatever actions necessary to achieve and maintain compliance with applicable regulations. As prescribed in the ACO, the Company was to issue periodic public notifications until the ACO was closed.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2023, the Company completed the permanent construction of the entire Park Avenue Plant treatment upgrades and placed the upgrades into operation in full compliance with the NJDEP PFOA standards. In October 2023, the Company received confirmation from the NJDEP that it has complied with all requirements of the ACO and consequently, the ACO has been closed.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had previously initiated a lawsuit against 3M Company (3M), in connection with the Company’s claim that 3M introduced perfluoroalkyl substances (commonly known as “PFAS”), which include PFOA, into the Company’s water supply at its Park Avenue Plant.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29, 2023, Middlesex and 3M executed a settlement agreement (the Settlement Agreement) to resolve the lawsuit. The Settlement Agreement provides that:</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3M will pay $93.2 million in two installments, one payment of $23.3 million received in December 2023 and one payment of $69.9 million in July 2024. Middlesex is obligated to pay 30% of the proceeds received plus reimbursable out-of-pocket legal expenses to its lawyers as legal fees, or $29.5 million in total;</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 xml:space="preserve">Proceeds received from the Settlement Agreement are being used to mitigate the impact of the increase in Middlesex’s customer rates approved by the NJBPU and to be implemented March 1, 2024 (for further discussion of Middlesex’s base rate increase, see </w:t>
            </w:r>
            <w:r>
              <w:rPr>
                <w:i/>
              </w:rPr>
              <w:t>Rates, Middlesex</w:t>
            </w:r>
            <w:r>
              <w:rPr/>
              <w:t xml:space="preserve"> below);</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Middlesex, by nature of its status as a U.S. water purveyor impacted by PFAS, was automatically included in a Multi-District Litigation Settlement before the United States District Court for the District of South Carolina in which 3M and other companies (Non-3M Companies) are participants. Middlesex agreed as part of the Settlement Agreement to remain a member of the plaintiff class in order to be eligible to obtain future additional compensation from 3M and the Non-3M Companies for any future remediation which may be required of its water treatment facilities;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Middlesex and 3M agreed to enter into a joint mediation, which occurred in November 2023, to resolve two PFOA-related class action lawsuits against Middlesex seeking restitution for medical, water replacement and other claimed related costs. Both Middlesex and 3M are defendants in these lawsuits. These lawsuits remain in the legal process and their ultimate resolution is not known at this time.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27 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Capital Construction Program</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multi-year capital construction program encompasses numerous projects designed to upgrade and replace utility infrastructure as well as enhance the integrity and reliability of assets to better serve the current and future generations of water and wastewater customers. The Company plans to invest approximately $75 million in 2024 in connection with this plan for projects that include, but are not limited to:</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Replacement of approximately 17,200 linear feet of cast iron 6" water main in the Port Reading and Carteret sections of Woodbridge, New Jersey;</w:t>
            </w:r>
          </w:p>
        </w:tc>
      </w:tr>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Replacement of control room and electrical distribution equipment at our The Carl J. Olsen Surface Water Treatment Plant (CJO Plant);</w:t>
            </w:r>
          </w:p>
        </w:tc>
      </w:tr>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Supply and storage improvements and installation of emergency generators at several of our Tidewater facilities;</w:t>
            </w:r>
          </w:p>
        </w:tc>
      </w:tr>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Construction of residual removal equipment and chemical feed improvements, pumps and a surge mitigation tank as well as other improvements and upgrades at our Park Avenue Plant;</w:t>
            </w:r>
          </w:p>
        </w:tc>
      </w:tr>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Upgrades and improvements to our Enterprise Resource Planning System; and</w:t>
            </w:r>
          </w:p>
        </w:tc>
      </w:tr>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Various water main replacements and improvements.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Strategy for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strategy for profitable growth is focused on the following key areas: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Invest in projects, products and services that complement our core water and wastewater competencies;</w:t>
            </w:r>
          </w:p>
        </w:tc>
      </w:tr>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Timely and adequate recovery of infrastructure investments and other costs to maintain service quality;</w:t>
            </w:r>
          </w:p>
        </w:tc>
      </w:tr>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Prudent acquisitions of investor and municipally-owned water and wastewater utilities; and</w:t>
            </w:r>
          </w:p>
        </w:tc>
      </w:tr>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Operation of municipal and industrial water and wastewater systems on a contract basis which meet our risk profile.</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Middlesex </w:t>
      </w:r>
      <w:r>
        <w:rPr>
          <w:rFonts w:ascii="Times New Roman;Times;Serif" w:hAnsi="Times New Roman;Times;Serif"/>
          <w:b w:val="false"/>
          <w:i w:val="false"/>
          <w:caps w:val="false"/>
          <w:smallCaps w:val="false"/>
          <w:sz w:val="20"/>
        </w:rPr>
        <w:t xml:space="preserve">- In February 2024, Middlesex’s petition to the NJBPU, filed in May 2023, seeking permission to increase its base water rates was concluded, based on a negotiated settlement that is expected to increase annual operating revenues by $15.4 million effective March 1, 2024.  The approved tariff rates were designed to recover increased operating costs as well as a return on invested capital of $563.1 million, based on an authorized return on common equity of 9.6%.  Middlesex has made capital infrastructure investments to ensure prudent upgrade and replacement of its utility assets to support continued regulatory compliance, resilience and overall quality of service.  Net proceeds from the 3M Settlement Agreement were used to recover costs for the construction of the Park Avenue Plant PFAS treatment upgrades, including depreciation and carrying costs. The rate case settlement will result in the reclassification of $48.3 million from Regulatory Liabilities to Contributions in Aid of Construction in the March 31, 2024 balance sheet.  The Company will also record in the first quarter of 2024 the recovery of $0.7 million and $2.4 million of prior year depreciation and carrying costs, respectively, as well as the recovery of $1.4 million of prior year costs which were associated with the interim solution to comply with the Notice, all of which were approved in the rate case settlement. For further information on the 3M Settlement Agreement, see </w:t>
      </w:r>
      <w:r>
        <w:rPr>
          <w:rFonts w:ascii="Times New Roman;Times;Serif" w:hAnsi="Times New Roman;Times;Serif"/>
          <w:b w:val="false"/>
          <w:i/>
          <w:caps w:val="false"/>
          <w:smallCaps w:val="false"/>
          <w:sz w:val="20"/>
        </w:rPr>
        <w:t xml:space="preserve">Regulatory Notice of Non-Compliance </w:t>
      </w:r>
      <w:r>
        <w:rPr>
          <w:rFonts w:ascii="Times New Roman;Times;Serif" w:hAnsi="Times New Roman;Times;Serif"/>
          <w:b w:val="false"/>
          <w:i w:val="false"/>
          <w:caps w:val="false"/>
          <w:smallCaps w:val="false"/>
          <w:sz w:val="20"/>
        </w:rPr>
        <w:t>above</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2024, the NJBPU approved Middlesex’s petition for the proposed cost recovery of its Lead Service Line Replacement (LSLR) Plan and cost recovery of project costs associated with replacing Middlesex customer-owned lead service lines. Replacement of Middlesex and Middlesex customer-owned lead service lines is required by the New Jersey LSLR Law. Under this legislation, the costs associated with replacing customer-owned lead service lines are recoverable through future customer surcharges. Cost recovery for replacing Company-owned lead service lines are recoverable through traditional base rate case filings. The current estimates for replacement of Middlesex and Middlesex customer-owned lead service lines are approximately $46 million to $77 million over a nine-year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October 2023, the NJBPU approved Middlesex’s petition for a Distribution System Improvement Charge (DSIC) Foundation Filing, which is a prerequisite to implementing a DSIC rate that allows water utilities to recover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28 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investments in, and generate a return on, qualifying capital improvements to their water distribution system made between base rate proceedings. Middlesex is authorized to recover DSIC revenues up to five percent (5%) of total revenues established in Middlesex’s 2021 base rate proceeding, or approximately $5.5 million. Semi-annually, beginning in April 2024, the Company must file for a change in its DSIC rate seeking recovery for DSIC-eligible investments made during the period. DSIC rates remain in effect until Middlesex’s next base rate case increase subsequent to the March 1, 2024 increase. Under the terms of the Foundational filing, the Company is required to file a base rate petition before November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2022, the NJBPU approved Middlesex's Emergency Relief Motion to reset its Purchased Water Adjustment Clause (PWAC) tariff rate to recover additional costs of $2.7 million for the purchase of treated water from a non-affiliated water utility. A PWAC is a rate mechanism that allows for recovery of increased purchased water costs between base rate case filings. The increase, effective October 1, 2022, was on an interim basis and subject to refund with interest, pending final resolution of this matter, which the NJBPU provided in August 2023. In connection with the full recovery of the $2.7 million of additional costs, Middlesex reset its PWAC rate to zero in October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2021, Middlesex’s petition to the NJBPU seeking permission to increase its base water rates was concluded, based on a negotiated settlement, resulting in an expected increase in annual operating revenues of $27.7 million. The approved tariff rates were designed to recover increased operating costs, as well as a return on invested capital of $513.5 million, based on an authorized return on common equity of 9.6%. The increase was implemented in two phases with $20.7 million of the increase effective January 1, 2022 and the remaining $7.0 million effective January 1, 2023. As part of the negotiated settlement, the PWAC was reset to zero.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Tidewater - </w:t>
      </w:r>
      <w:r>
        <w:rPr>
          <w:rFonts w:ascii="Times New Roman;Times;Serif" w:hAnsi="Times New Roman;Times;Serif"/>
          <w:b w:val="false"/>
          <w:i w:val="false"/>
          <w:caps w:val="false"/>
          <w:smallCaps w:val="false"/>
          <w:sz w:val="20"/>
        </w:rPr>
        <w:t>In December 2023, the DEPSC approved Tidewater’s application to implement a new DSIC. Effective January 1, 2024, Tidewater implemented a DSIC rate of 3.71%, which is expected to generate revenue of approximately $1.3 million annually. A Delaware DISC is subject to a semi-annual reset with an overall maximum rate of 7.5%.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2023, the DEPSC issued an Order that made a temporary base rate reduction permanent. The initial DEPSC order required Tidewater to reduce its base rates charged to general metered and private fire customers by 6.0%, effective for service rendered on and after September 1, 2022. The rate reduction was ordered as a result of Tidewater earning in excess of its authorized return, and resulted in reduced annual revenues of approximately $2.1 million in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2021, Tidewater was notified by the DEPSC that it had determined Tidewater’s earned rate of return exceeded the rate of return authorized by the DEPSC. Consequently, Tidewater reset its DSIC rate to zero effective April 1, 2021 and refunded approximately $1.0 million to customers primarily in the form of an account credit for DSIC revenue previously billed between April 1, 2020 and March 31, 2021.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Pinelands - </w:t>
      </w:r>
      <w:r>
        <w:rPr>
          <w:rFonts w:ascii="Times New Roman;Times;Serif" w:hAnsi="Times New Roman;Times;Serif"/>
          <w:b w:val="false"/>
          <w:i w:val="false"/>
          <w:caps w:val="false"/>
          <w:smallCaps w:val="false"/>
          <w:sz w:val="20"/>
        </w:rPr>
        <w:t>In April 2023, Pinelands Water and Pinelands Wastewater concluded their base rate case matters when the NJBPU approved a combined $1.0 million increase in annual base rates, effective April 15, 2023. The requests were necessitated by capital infrastructure investments the companies have made as well as increased operations and maintenance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Southern Shores </w:t>
      </w:r>
      <w:r>
        <w:rPr>
          <w:rFonts w:ascii="Times New Roman;Times;Serif" w:hAnsi="Times New Roman;Times;Serif"/>
          <w:b/>
          <w:i/>
          <w:caps w:val="false"/>
          <w:smallCaps w:val="false"/>
          <w:sz w:val="20"/>
        </w:rPr>
        <w:t xml:space="preserve">- </w:t>
      </w:r>
      <w:r>
        <w:rPr>
          <w:rFonts w:ascii="Times New Roman;Times;Serif" w:hAnsi="Times New Roman;Times;Serif"/>
          <w:b w:val="false"/>
          <w:i w:val="false"/>
          <w:caps w:val="false"/>
          <w:smallCaps w:val="false"/>
          <w:sz w:val="20"/>
        </w:rPr>
        <w:t>Effective January 1, 2020, the DEPSC approved the renewal of a multi-year agreement for water service to a 2,200 unit condominium community we serve in Sussex County, Delaware.  Under the agreement, current rates were to remain in effect until December 31, 2024, unless there are unanticipated capital expenditures or regulatory related changes in operating expenses exceeding certain thresholds during this time period. In 2022, capital expenditures did exceed the established threshold and rates were increased by 5.39% effective January 1, 2023. Beginning in 2025 and thereafter, inflation-based rate increases cannot exceed the lesser of the regional Consumer Price Index or 3%. Inflation based increases are in addition to the threshold rate increases. The agreement expires on December 31, 2029.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29 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Outlook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increase operating income and net income is based significantly on four factors: weather, adequate and timely rate relief, effective cost management and customer growth (which are evident in comparison discussions in the </w:t>
      </w:r>
      <w:r>
        <w:rPr>
          <w:rFonts w:ascii="Times New Roman;Times;Serif" w:hAnsi="Times New Roman;Times;Serif"/>
          <w:b w:val="false"/>
          <w:i/>
          <w:caps w:val="false"/>
          <w:smallCaps w:val="false"/>
          <w:sz w:val="20"/>
        </w:rPr>
        <w:t>Results of Operations</w:t>
      </w:r>
      <w:r>
        <w:rPr>
          <w:rFonts w:ascii="Times New Roman;Times;Serif" w:hAnsi="Times New Roman;Times;Serif"/>
          <w:b w:val="false"/>
          <w:i w:val="false"/>
          <w:caps w:val="false"/>
          <w:smallCaps w:val="false"/>
          <w:sz w:val="20"/>
        </w:rPr>
        <w:t xml:space="preserve"> section below). Weather patterns which can result in lower customer demand for water may occur in 2024. As operating costs are anticipated to increase in 2024 in a variety of categories, we continue to implement plans to further streamline operations and further reduce, and mitigate increases in, operating costs. Changes in customer water usage habits, as well as increases in capital expenditures and operating costs, are significant factors in determining the timing and extent of rate increase requests.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investments in system infrastructure continue to grow significantly and our operating costs are anticipated to increase in 2024 and 2025 in a variety of categories. These factors, among others, may require base rate increase requests filings by Tidewater, Pinelands Water and Pinelands Wastewater later in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Overall, organic residential customer growth continues in our Tidewater system (approximately 4% in 2023). However, current and evolving economic market conditions may challenge that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Builders and developers in Tidewater’s service areas are experiencing lower home starts and longer home sales closing cycles due to supply chain issues, which may be further affected by inflationary trends on housing construction materials and mortgage interest rates.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projected to spend approximately $226 million for the 2024-2026 capital investment program, including approximately $15 million for replacement of a thirty inch main in our Middlesex System, $9 million for LSLR compliance in the Middlesex System, $34 million on the RENEW Program, which is our ongoing initiative to replace water mains in the Middlesex System, $6 million for evaluation of PFAS treatment at our CJO Plant and $7 million for control room and electrical distribution equipment at our CJO Plant.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Operating Results by Segment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two operating segments, Regulated and Non-Regulated. Our Regulated segment contributed approximately 93%, 93% and 91% of total revenues for the years ended December 31, 2023, 2022 and 2021, respectively, and approximately 92%, 93% and 93% of net income for the years ended December 31, 2023, 2022 and 2021, respectively . The discussion of the Company’s results of operations is on a consolidated basis and includes significant factors by subsidiary. The segments in the tables included below are comprised of the following companies: Regulated- Middlesex, Tidewater, Pinelands and Southern Shores; Non-Regulated- USA, USA-PA, and White Marsh.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 for 2023 as Compared to 2022</w:t>
      </w:r>
    </w:p>
    <w:p>
      <w:pPr>
        <w:pStyle w:val="TextBody"/>
        <w:bidi w:val="0"/>
        <w:spacing w:before="0" w:after="0"/>
        <w:ind w:left="0" w:right="0" w:hanging="0"/>
        <w:jc w:val="left"/>
        <w:rPr>
          <w:caps w:val="false"/>
          <w:smallCaps w:val="false"/>
        </w:rPr>
      </w:pPr>
      <w:r>
        <w:rPr>
          <w:caps w:val="false"/>
          <w:smallCaps w:val="false"/>
        </w:rPr>
        <w:t> </w:t>
      </w:r>
    </w:p>
    <w:tbl>
      <w:tblPr>
        <w:tblW w:w="10025" w:type="dxa"/>
        <w:jc w:val="left"/>
        <w:tblInd w:w="0" w:type="dxa"/>
        <w:tblLayout w:type="fixed"/>
        <w:tblCellMar>
          <w:top w:w="0" w:type="dxa"/>
          <w:left w:w="0" w:type="dxa"/>
          <w:bottom w:w="0" w:type="dxa"/>
          <w:right w:w="0" w:type="dxa"/>
        </w:tblCellMar>
      </w:tblPr>
      <w:tblGrid>
        <w:gridCol w:w="3635"/>
        <w:gridCol w:w="60"/>
        <w:gridCol w:w="211"/>
        <w:gridCol w:w="844"/>
        <w:gridCol w:w="95"/>
        <w:gridCol w:w="60"/>
        <w:gridCol w:w="254"/>
        <w:gridCol w:w="801"/>
        <w:gridCol w:w="60"/>
        <w:gridCol w:w="60"/>
        <w:gridCol w:w="140"/>
        <w:gridCol w:w="560"/>
        <w:gridCol w:w="60"/>
        <w:gridCol w:w="60"/>
        <w:gridCol w:w="211"/>
        <w:gridCol w:w="844"/>
        <w:gridCol w:w="60"/>
        <w:gridCol w:w="60"/>
        <w:gridCol w:w="254"/>
        <w:gridCol w:w="801"/>
        <w:gridCol w:w="60"/>
        <w:gridCol w:w="60"/>
        <w:gridCol w:w="140"/>
        <w:gridCol w:w="560"/>
        <w:gridCol w:w="75"/>
      </w:tblGrid>
      <w:tr>
        <w:trPr/>
        <w:tc>
          <w:tcPr>
            <w:tcW w:w="36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255" w:type="dxa"/>
            <w:gridSpan w:val="22"/>
            <w:tcBorders/>
            <w:vAlign w:val="center"/>
          </w:tcPr>
          <w:p>
            <w:pPr>
              <w:pStyle w:val="TableContents"/>
              <w:bidi w:val="0"/>
              <w:spacing w:before="0" w:after="283"/>
              <w:jc w:val="center"/>
              <w:rPr>
                <w:b/>
              </w:rPr>
            </w:pPr>
            <w:r>
              <w:rPr>
                <w:b/>
              </w:rPr>
              <w:t>(In Millions)</w:t>
            </w:r>
          </w:p>
        </w:tc>
        <w:tc>
          <w:tcPr>
            <w:tcW w:w="75" w:type="dxa"/>
            <w:tcBorders/>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255" w:type="dxa"/>
            <w:gridSpan w:val="22"/>
            <w:tcBorders/>
            <w:vAlign w:val="center"/>
          </w:tcPr>
          <w:p>
            <w:pPr>
              <w:pStyle w:val="TableContents"/>
              <w:bidi w:val="0"/>
              <w:spacing w:before="0" w:after="283"/>
              <w:jc w:val="center"/>
              <w:rPr>
                <w:b/>
              </w:rPr>
            </w:pPr>
            <w:r>
              <w:rPr>
                <w:b/>
              </w:rPr>
              <w:t>Years Ended December 31,</w:t>
            </w:r>
          </w:p>
        </w:tc>
        <w:tc>
          <w:tcPr>
            <w:tcW w:w="75" w:type="dxa"/>
            <w:tcBorders/>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085"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50"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Regulated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Non-</w:t>
              <w:br/>
              <w:t>Regulated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Regulated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Non-</w:t>
              <w:br/>
              <w:t>Regulated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Revenues</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w:t>
            </w:r>
          </w:p>
        </w:tc>
        <w:tc>
          <w:tcPr>
            <w:tcW w:w="844" w:type="dxa"/>
            <w:tcBorders/>
            <w:shd w:fill="CCEEFF" w:val="clear"/>
            <w:vAlign w:val="center"/>
          </w:tcPr>
          <w:p>
            <w:pPr>
              <w:pStyle w:val="TableContents"/>
              <w:bidi w:val="0"/>
              <w:spacing w:before="0" w:after="283"/>
              <w:jc w:val="right"/>
              <w:rPr/>
            </w:pPr>
            <w:r>
              <w:rPr/>
              <w:t>154.0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w:t>
            </w:r>
          </w:p>
        </w:tc>
        <w:tc>
          <w:tcPr>
            <w:tcW w:w="801" w:type="dxa"/>
            <w:tcBorders/>
            <w:shd w:fill="CCEEFF" w:val="clear"/>
            <w:vAlign w:val="center"/>
          </w:tcPr>
          <w:p>
            <w:pPr>
              <w:pStyle w:val="TableContents"/>
              <w:bidi w:val="0"/>
              <w:spacing w:before="0" w:after="283"/>
              <w:jc w:val="right"/>
              <w:rPr/>
            </w:pPr>
            <w:r>
              <w:rPr/>
              <w:t>12.3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166.3</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w:t>
            </w:r>
          </w:p>
        </w:tc>
        <w:tc>
          <w:tcPr>
            <w:tcW w:w="844" w:type="dxa"/>
            <w:tcBorders/>
            <w:shd w:fill="CCEEFF" w:val="clear"/>
            <w:vAlign w:val="center"/>
          </w:tcPr>
          <w:p>
            <w:pPr>
              <w:pStyle w:val="TableContents"/>
              <w:bidi w:val="0"/>
              <w:spacing w:before="0" w:after="283"/>
              <w:jc w:val="right"/>
              <w:rPr/>
            </w:pPr>
            <w:r>
              <w:rPr/>
              <w:t>150.6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w:t>
            </w:r>
          </w:p>
        </w:tc>
        <w:tc>
          <w:tcPr>
            <w:tcW w:w="801" w:type="dxa"/>
            <w:tcBorders/>
            <w:shd w:fill="CCEEFF" w:val="clear"/>
            <w:vAlign w:val="center"/>
          </w:tcPr>
          <w:p>
            <w:pPr>
              <w:pStyle w:val="TableContents"/>
              <w:bidi w:val="0"/>
              <w:spacing w:before="0" w:after="283"/>
              <w:jc w:val="right"/>
              <w:rPr/>
            </w:pPr>
            <w:r>
              <w:rPr/>
              <w:t>11.8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162.4</w:t>
            </w:r>
          </w:p>
        </w:tc>
        <w:tc>
          <w:tcPr>
            <w:tcW w:w="75" w:type="dxa"/>
            <w:tcBorders/>
            <w:shd w:fill="CCEEFF" w:val="clear"/>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283"/>
              <w:jc w:val="left"/>
              <w:rPr/>
            </w:pPr>
            <w:r>
              <w:rPr/>
              <w:t>Operations and maintenance expenses</w:t>
            </w:r>
          </w:p>
        </w:tc>
        <w:tc>
          <w:tcPr>
            <w:tcW w:w="6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44" w:type="dxa"/>
            <w:tcBorders/>
            <w:vAlign w:val="center"/>
          </w:tcPr>
          <w:p>
            <w:pPr>
              <w:pStyle w:val="TableContents"/>
              <w:bidi w:val="0"/>
              <w:spacing w:before="0" w:after="283"/>
              <w:jc w:val="right"/>
              <w:rPr/>
            </w:pPr>
            <w:r>
              <w:rPr/>
              <w:t>74.8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801" w:type="dxa"/>
            <w:tcBorders/>
            <w:vAlign w:val="center"/>
          </w:tcPr>
          <w:p>
            <w:pPr>
              <w:pStyle w:val="TableContents"/>
              <w:bidi w:val="0"/>
              <w:spacing w:before="0" w:after="283"/>
              <w:jc w:val="right"/>
              <w:rPr/>
            </w:pPr>
            <w:r>
              <w:rPr/>
              <w:t>8.4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83.2</w:t>
            </w:r>
          </w:p>
        </w:tc>
        <w:tc>
          <w:tcPr>
            <w:tcW w:w="60" w:type="dxa"/>
            <w:tcBorders>
              <w:right w:val="single" w:sz="8"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44" w:type="dxa"/>
            <w:tcBorders/>
            <w:vAlign w:val="center"/>
          </w:tcPr>
          <w:p>
            <w:pPr>
              <w:pStyle w:val="TableContents"/>
              <w:bidi w:val="0"/>
              <w:spacing w:before="0" w:after="283"/>
              <w:jc w:val="right"/>
              <w:rPr/>
            </w:pPr>
            <w:r>
              <w:rPr/>
              <w:t>70.8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801" w:type="dxa"/>
            <w:tcBorders/>
            <w:vAlign w:val="center"/>
          </w:tcPr>
          <w:p>
            <w:pPr>
              <w:pStyle w:val="TableContents"/>
              <w:bidi w:val="0"/>
              <w:spacing w:before="0" w:after="283"/>
              <w:jc w:val="right"/>
              <w:rPr/>
            </w:pPr>
            <w:r>
              <w:rPr/>
              <w:t>8.3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79.1</w:t>
            </w:r>
          </w:p>
        </w:tc>
        <w:tc>
          <w:tcPr>
            <w:tcW w:w="75" w:type="dxa"/>
            <w:tcBorders/>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Depreciation expense</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pPr>
            <w:r>
              <w:rPr/>
              <w:t>24.9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pPr>
            <w:r>
              <w:rPr/>
              <w:t>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25.2</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pPr>
            <w:r>
              <w:rPr/>
              <w:t>22.8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pPr>
            <w:r>
              <w:rPr/>
              <w:t>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23.0</w:t>
            </w:r>
          </w:p>
        </w:tc>
        <w:tc>
          <w:tcPr>
            <w:tcW w:w="75" w:type="dxa"/>
            <w:tcBorders/>
            <w:shd w:fill="CCEEFF" w:val="clear"/>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283"/>
              <w:jc w:val="left"/>
              <w:rPr/>
            </w:pPr>
            <w:r>
              <w:rPr/>
              <w:t>Other taxes</w:t>
            </w:r>
          </w:p>
        </w:tc>
        <w:tc>
          <w:tcPr>
            <w:tcW w:w="6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44" w:type="dxa"/>
            <w:tcBorders/>
            <w:vAlign w:val="center"/>
          </w:tcPr>
          <w:p>
            <w:pPr>
              <w:pStyle w:val="TableContents"/>
              <w:bidi w:val="0"/>
              <w:spacing w:before="0" w:after="283"/>
              <w:jc w:val="right"/>
              <w:rPr/>
            </w:pPr>
            <w:r>
              <w:rPr/>
              <w:t>18.5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801" w:type="dxa"/>
            <w:tcBorders/>
            <w:vAlign w:val="center"/>
          </w:tcPr>
          <w:p>
            <w:pPr>
              <w:pStyle w:val="TableContents"/>
              <w:bidi w:val="0"/>
              <w:spacing w:before="0" w:after="283"/>
              <w:jc w:val="right"/>
              <w:rPr/>
            </w:pPr>
            <w:r>
              <w:rPr/>
              <w:t>0.2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18.7</w:t>
            </w:r>
          </w:p>
        </w:tc>
        <w:tc>
          <w:tcPr>
            <w:tcW w:w="60" w:type="dxa"/>
            <w:tcBorders>
              <w:right w:val="single" w:sz="8"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44" w:type="dxa"/>
            <w:tcBorders/>
            <w:vAlign w:val="center"/>
          </w:tcPr>
          <w:p>
            <w:pPr>
              <w:pStyle w:val="TableContents"/>
              <w:bidi w:val="0"/>
              <w:spacing w:before="0" w:after="283"/>
              <w:jc w:val="right"/>
              <w:rPr/>
            </w:pPr>
            <w:r>
              <w:rPr/>
              <w:t>18.0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801" w:type="dxa"/>
            <w:tcBorders/>
            <w:vAlign w:val="center"/>
          </w:tcPr>
          <w:p>
            <w:pPr>
              <w:pStyle w:val="TableContents"/>
              <w:bidi w:val="0"/>
              <w:spacing w:before="0" w:after="283"/>
              <w:jc w:val="right"/>
              <w:rPr/>
            </w:pPr>
            <w:r>
              <w:rPr/>
              <w:t>0.2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18.2</w:t>
            </w:r>
          </w:p>
        </w:tc>
        <w:tc>
          <w:tcPr>
            <w:tcW w:w="75" w:type="dxa"/>
            <w:tcBorders/>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Gain on Sale of Subsidiary</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1"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4" w:type="dxa"/>
            <w:tcBorders>
              <w:bottom w:val="single" w:sz="8" w:space="0" w:color="000000"/>
            </w:tcBorders>
            <w:shd w:fill="CCEEFF" w:val="clear"/>
            <w:tcMar>
              <w:bottom w:w="28" w:type="dxa"/>
            </w:tcMar>
            <w:vAlign w:val="center"/>
          </w:tcPr>
          <w:p>
            <w:pPr>
              <w:pStyle w:val="TableContents"/>
              <w:bidi w:val="0"/>
              <w:spacing w:before="0" w:after="283"/>
              <w:jc w:val="right"/>
              <w:rPr/>
            </w:pPr>
            <w:r>
              <w:rPr/>
              <w:t>5.2</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1"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5.2</w:t>
            </w:r>
          </w:p>
        </w:tc>
        <w:tc>
          <w:tcPr>
            <w:tcW w:w="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283"/>
              <w:jc w:val="left"/>
              <w:rPr/>
            </w:pPr>
            <w:r>
              <w:rPr/>
              <w:t>  </w:t>
            </w:r>
            <w:r>
              <w:rPr>
                <w:b/>
              </w:rPr>
              <w:t>Operating income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11" w:type="dxa"/>
            <w:tcBorders>
              <w:bottom w:val="single" w:sz="8" w:space="0" w:color="000000"/>
            </w:tcBorders>
            <w:tcMar>
              <w:bottom w:w="28" w:type="dxa"/>
            </w:tcMar>
            <w:vAlign w:val="center"/>
          </w:tcPr>
          <w:p>
            <w:pPr>
              <w:pStyle w:val="TableContents"/>
              <w:bidi w:val="0"/>
              <w:spacing w:before="0" w:after="283"/>
              <w:jc w:val="left"/>
              <w:rPr/>
            </w:pPr>
            <w:r>
              <w:rPr/>
              <w:t> </w:t>
            </w:r>
          </w:p>
        </w:tc>
        <w:tc>
          <w:tcPr>
            <w:tcW w:w="844" w:type="dxa"/>
            <w:tcBorders>
              <w:bottom w:val="single" w:sz="8" w:space="0" w:color="000000"/>
            </w:tcBorders>
            <w:tcMar>
              <w:bottom w:w="28" w:type="dxa"/>
            </w:tcMar>
            <w:vAlign w:val="center"/>
          </w:tcPr>
          <w:p>
            <w:pPr>
              <w:pStyle w:val="TableContents"/>
              <w:bidi w:val="0"/>
              <w:spacing w:before="0" w:after="283"/>
              <w:jc w:val="right"/>
              <w:rPr/>
            </w:pPr>
            <w:r>
              <w:rPr/>
              <w:t>35.8</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54" w:type="dxa"/>
            <w:tcBorders>
              <w:bottom w:val="single" w:sz="8" w:space="0" w:color="000000"/>
            </w:tcBorders>
            <w:tcMar>
              <w:bottom w:w="28" w:type="dxa"/>
            </w:tcMar>
            <w:vAlign w:val="center"/>
          </w:tcPr>
          <w:p>
            <w:pPr>
              <w:pStyle w:val="TableContents"/>
              <w:bidi w:val="0"/>
              <w:spacing w:before="0" w:after="283"/>
              <w:jc w:val="left"/>
              <w:rPr/>
            </w:pPr>
            <w:r>
              <w:rPr/>
              <w:t> </w:t>
            </w:r>
          </w:p>
        </w:tc>
        <w:tc>
          <w:tcPr>
            <w:tcW w:w="801" w:type="dxa"/>
            <w:tcBorders>
              <w:bottom w:val="single" w:sz="8" w:space="0" w:color="000000"/>
            </w:tcBorders>
            <w:tcMar>
              <w:bottom w:w="28" w:type="dxa"/>
            </w:tcMar>
            <w:vAlign w:val="center"/>
          </w:tcPr>
          <w:p>
            <w:pPr>
              <w:pStyle w:val="TableContents"/>
              <w:bidi w:val="0"/>
              <w:spacing w:before="0" w:after="283"/>
              <w:jc w:val="right"/>
              <w:rPr/>
            </w:pPr>
            <w:r>
              <w:rPr/>
              <w:t>3.4</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tcMar>
              <w:bottom w:w="28" w:type="dxa"/>
            </w:tcMar>
            <w:vAlign w:val="center"/>
          </w:tcPr>
          <w:p>
            <w:pPr>
              <w:pStyle w:val="TableContents"/>
              <w:bidi w:val="0"/>
              <w:spacing w:before="0" w:after="283"/>
              <w:jc w:val="right"/>
              <w:rPr/>
            </w:pPr>
            <w:r>
              <w:rPr/>
              <w:t>39.2</w:t>
            </w:r>
          </w:p>
        </w:tc>
        <w:tc>
          <w:tcPr>
            <w:tcW w:w="60"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11" w:type="dxa"/>
            <w:tcBorders>
              <w:bottom w:val="single" w:sz="8" w:space="0" w:color="000000"/>
            </w:tcBorders>
            <w:tcMar>
              <w:bottom w:w="28" w:type="dxa"/>
            </w:tcMar>
            <w:vAlign w:val="center"/>
          </w:tcPr>
          <w:p>
            <w:pPr>
              <w:pStyle w:val="TableContents"/>
              <w:bidi w:val="0"/>
              <w:spacing w:before="0" w:after="283"/>
              <w:jc w:val="left"/>
              <w:rPr/>
            </w:pPr>
            <w:r>
              <w:rPr/>
              <w:t> </w:t>
            </w:r>
          </w:p>
        </w:tc>
        <w:tc>
          <w:tcPr>
            <w:tcW w:w="844" w:type="dxa"/>
            <w:tcBorders>
              <w:bottom w:val="single" w:sz="8" w:space="0" w:color="000000"/>
            </w:tcBorders>
            <w:tcMar>
              <w:bottom w:w="28" w:type="dxa"/>
            </w:tcMar>
            <w:vAlign w:val="center"/>
          </w:tcPr>
          <w:p>
            <w:pPr>
              <w:pStyle w:val="TableContents"/>
              <w:bidi w:val="0"/>
              <w:spacing w:before="0" w:after="283"/>
              <w:jc w:val="right"/>
              <w:rPr/>
            </w:pPr>
            <w:r>
              <w:rPr/>
              <w:t>44.2</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54" w:type="dxa"/>
            <w:tcBorders>
              <w:bottom w:val="single" w:sz="8" w:space="0" w:color="000000"/>
            </w:tcBorders>
            <w:tcMar>
              <w:bottom w:w="28" w:type="dxa"/>
            </w:tcMar>
            <w:vAlign w:val="center"/>
          </w:tcPr>
          <w:p>
            <w:pPr>
              <w:pStyle w:val="TableContents"/>
              <w:bidi w:val="0"/>
              <w:spacing w:before="0" w:after="283"/>
              <w:jc w:val="left"/>
              <w:rPr/>
            </w:pPr>
            <w:r>
              <w:rPr/>
              <w:t> </w:t>
            </w:r>
          </w:p>
        </w:tc>
        <w:tc>
          <w:tcPr>
            <w:tcW w:w="801" w:type="dxa"/>
            <w:tcBorders>
              <w:bottom w:val="single" w:sz="8" w:space="0" w:color="000000"/>
            </w:tcBorders>
            <w:tcMar>
              <w:bottom w:w="28" w:type="dxa"/>
            </w:tcMar>
            <w:vAlign w:val="center"/>
          </w:tcPr>
          <w:p>
            <w:pPr>
              <w:pStyle w:val="TableContents"/>
              <w:bidi w:val="0"/>
              <w:spacing w:before="0" w:after="283"/>
              <w:jc w:val="right"/>
              <w:rPr/>
            </w:pPr>
            <w:r>
              <w:rPr/>
              <w:t>3.1</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tcMar>
              <w:bottom w:w="28" w:type="dxa"/>
            </w:tcMar>
            <w:vAlign w:val="center"/>
          </w:tcPr>
          <w:p>
            <w:pPr>
              <w:pStyle w:val="TableContents"/>
              <w:bidi w:val="0"/>
              <w:spacing w:before="0" w:after="283"/>
              <w:jc w:val="right"/>
              <w:rPr/>
            </w:pPr>
            <w:r>
              <w:rPr/>
              <w:t>47.3</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283"/>
              <w:jc w:val="left"/>
              <w:rPr/>
            </w:pPr>
            <w:r>
              <w:rPr/>
              <w:t>Other income (expense), net</w:t>
            </w:r>
          </w:p>
        </w:tc>
        <w:tc>
          <w:tcPr>
            <w:tcW w:w="6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44" w:type="dxa"/>
            <w:tcBorders/>
            <w:vAlign w:val="center"/>
          </w:tcPr>
          <w:p>
            <w:pPr>
              <w:pStyle w:val="TableContents"/>
              <w:bidi w:val="0"/>
              <w:spacing w:before="0" w:after="283"/>
              <w:jc w:val="right"/>
              <w:rPr/>
            </w:pPr>
            <w:r>
              <w:rPr/>
              <w:t>6.3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801" w:type="dxa"/>
            <w:tcBorders/>
            <w:vAlign w:val="center"/>
          </w:tcPr>
          <w:p>
            <w:pPr>
              <w:pStyle w:val="TableContents"/>
              <w:bidi w:val="0"/>
              <w:spacing w:before="0" w:after="283"/>
              <w:jc w:val="right"/>
              <w:rPr/>
            </w:pPr>
            <w:r>
              <w:rPr/>
              <w:t>0.2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6.5</w:t>
            </w:r>
          </w:p>
        </w:tc>
        <w:tc>
          <w:tcPr>
            <w:tcW w:w="60" w:type="dxa"/>
            <w:tcBorders>
              <w:right w:val="single" w:sz="8"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44" w:type="dxa"/>
            <w:tcBorders/>
            <w:vAlign w:val="center"/>
          </w:tcPr>
          <w:p>
            <w:pPr>
              <w:pStyle w:val="TableContents"/>
              <w:bidi w:val="0"/>
              <w:spacing w:before="0" w:after="283"/>
              <w:jc w:val="right"/>
              <w:rPr/>
            </w:pPr>
            <w:r>
              <w:rPr/>
              <w:t>7.4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801" w:type="dxa"/>
            <w:tcBorders/>
            <w:vAlign w:val="center"/>
          </w:tcPr>
          <w:p>
            <w:pPr>
              <w:pStyle w:val="TableContents"/>
              <w:bidi w:val="0"/>
              <w:spacing w:before="0" w:after="283"/>
              <w:jc w:val="right"/>
              <w:rPr/>
            </w:pPr>
            <w:r>
              <w:rPr/>
              <w:t>0.3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7.7</w:t>
            </w:r>
          </w:p>
        </w:tc>
        <w:tc>
          <w:tcPr>
            <w:tcW w:w="75" w:type="dxa"/>
            <w:tcBorders/>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pPr>
            <w:r>
              <w:rPr/>
              <w:t>13.1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13.1</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pPr>
            <w:r>
              <w:rPr/>
              <w:t>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9.4</w:t>
            </w:r>
          </w:p>
        </w:tc>
        <w:tc>
          <w:tcPr>
            <w:tcW w:w="75" w:type="dxa"/>
            <w:tcBorders/>
            <w:shd w:fill="CCEEFF" w:val="clear"/>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283"/>
              <w:jc w:val="left"/>
              <w:rPr/>
            </w:pPr>
            <w:r>
              <w:rPr/>
              <w:t>Income taxes</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11" w:type="dxa"/>
            <w:tcBorders>
              <w:bottom w:val="single" w:sz="8" w:space="0" w:color="000000"/>
            </w:tcBorders>
            <w:tcMar>
              <w:bottom w:w="28" w:type="dxa"/>
            </w:tcMar>
            <w:vAlign w:val="center"/>
          </w:tcPr>
          <w:p>
            <w:pPr>
              <w:pStyle w:val="TableContents"/>
              <w:bidi w:val="0"/>
              <w:spacing w:before="0" w:after="283"/>
              <w:jc w:val="left"/>
              <w:rPr/>
            </w:pPr>
            <w:r>
              <w:rPr/>
              <w:t> </w:t>
            </w:r>
          </w:p>
        </w:tc>
        <w:tc>
          <w:tcPr>
            <w:tcW w:w="844" w:type="dxa"/>
            <w:tcBorders>
              <w:bottom w:val="single" w:sz="8" w:space="0" w:color="000000"/>
            </w:tcBorders>
            <w:tcMar>
              <w:bottom w:w="28" w:type="dxa"/>
            </w:tcMar>
            <w:vAlign w:val="center"/>
          </w:tcPr>
          <w:p>
            <w:pPr>
              <w:pStyle w:val="TableContents"/>
              <w:bidi w:val="0"/>
              <w:spacing w:before="0" w:after="283"/>
              <w:jc w:val="right"/>
              <w:rPr/>
            </w:pPr>
            <w:r>
              <w:rPr/>
              <w:t>(0.1</w:t>
            </w:r>
          </w:p>
        </w:tc>
        <w:tc>
          <w:tcPr>
            <w:tcW w:w="95" w:type="dxa"/>
            <w:tcBorders>
              <w:bottom w:val="single" w:sz="8" w:space="0" w:color="000000"/>
            </w:tcBorders>
            <w:tcMar>
              <w:bottom w:w="28" w:type="dxa"/>
            </w:tcMar>
            <w:vAlign w:val="center"/>
          </w:tcPr>
          <w:p>
            <w:pPr>
              <w:pStyle w:val="TableContents"/>
              <w:bidi w:val="0"/>
              <w:spacing w:before="0" w:after="283"/>
              <w:jc w:val="left"/>
              <w:rPr/>
            </w:pPr>
            <w:r>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54" w:type="dxa"/>
            <w:tcBorders>
              <w:bottom w:val="single" w:sz="8" w:space="0" w:color="000000"/>
            </w:tcBorders>
            <w:tcMar>
              <w:bottom w:w="28" w:type="dxa"/>
            </w:tcMar>
            <w:vAlign w:val="center"/>
          </w:tcPr>
          <w:p>
            <w:pPr>
              <w:pStyle w:val="TableContents"/>
              <w:bidi w:val="0"/>
              <w:spacing w:before="0" w:after="283"/>
              <w:jc w:val="left"/>
              <w:rPr/>
            </w:pPr>
            <w:r>
              <w:rPr/>
              <w:t> </w:t>
            </w:r>
          </w:p>
        </w:tc>
        <w:tc>
          <w:tcPr>
            <w:tcW w:w="801" w:type="dxa"/>
            <w:tcBorders>
              <w:bottom w:val="single" w:sz="8" w:space="0" w:color="000000"/>
            </w:tcBorders>
            <w:tcMar>
              <w:bottom w:w="28" w:type="dxa"/>
            </w:tcMar>
            <w:vAlign w:val="center"/>
          </w:tcPr>
          <w:p>
            <w:pPr>
              <w:pStyle w:val="TableContents"/>
              <w:bidi w:val="0"/>
              <w:spacing w:before="0" w:after="283"/>
              <w:jc w:val="right"/>
              <w:rPr/>
            </w:pPr>
            <w:r>
              <w:rPr/>
              <w:t>1.1</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tcMar>
              <w:bottom w:w="28" w:type="dxa"/>
            </w:tcMar>
            <w:vAlign w:val="center"/>
          </w:tcPr>
          <w:p>
            <w:pPr>
              <w:pStyle w:val="TableContents"/>
              <w:bidi w:val="0"/>
              <w:spacing w:before="0" w:after="283"/>
              <w:jc w:val="right"/>
              <w:rPr/>
            </w:pPr>
            <w:r>
              <w:rPr/>
              <w:t>1.0</w:t>
            </w:r>
          </w:p>
        </w:tc>
        <w:tc>
          <w:tcPr>
            <w:tcW w:w="60"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11" w:type="dxa"/>
            <w:tcBorders>
              <w:bottom w:val="single" w:sz="8" w:space="0" w:color="000000"/>
            </w:tcBorders>
            <w:tcMar>
              <w:bottom w:w="28" w:type="dxa"/>
            </w:tcMar>
            <w:vAlign w:val="center"/>
          </w:tcPr>
          <w:p>
            <w:pPr>
              <w:pStyle w:val="TableContents"/>
              <w:bidi w:val="0"/>
              <w:spacing w:before="0" w:after="283"/>
              <w:jc w:val="left"/>
              <w:rPr/>
            </w:pPr>
            <w:r>
              <w:rPr/>
              <w:t> </w:t>
            </w:r>
          </w:p>
        </w:tc>
        <w:tc>
          <w:tcPr>
            <w:tcW w:w="844" w:type="dxa"/>
            <w:tcBorders>
              <w:bottom w:val="single" w:sz="8" w:space="0" w:color="000000"/>
            </w:tcBorders>
            <w:tcMar>
              <w:bottom w:w="28" w:type="dxa"/>
            </w:tcMar>
            <w:vAlign w:val="center"/>
          </w:tcPr>
          <w:p>
            <w:pPr>
              <w:pStyle w:val="TableContents"/>
              <w:bidi w:val="0"/>
              <w:spacing w:before="0" w:after="283"/>
              <w:jc w:val="right"/>
              <w:rPr/>
            </w:pPr>
            <w:r>
              <w:rPr/>
              <w:t>2.0</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54" w:type="dxa"/>
            <w:tcBorders>
              <w:bottom w:val="single" w:sz="8" w:space="0" w:color="000000"/>
            </w:tcBorders>
            <w:tcMar>
              <w:bottom w:w="28" w:type="dxa"/>
            </w:tcMar>
            <w:vAlign w:val="center"/>
          </w:tcPr>
          <w:p>
            <w:pPr>
              <w:pStyle w:val="TableContents"/>
              <w:bidi w:val="0"/>
              <w:spacing w:before="0" w:after="283"/>
              <w:jc w:val="left"/>
              <w:rPr/>
            </w:pPr>
            <w:r>
              <w:rPr/>
              <w:t> </w:t>
            </w:r>
          </w:p>
        </w:tc>
        <w:tc>
          <w:tcPr>
            <w:tcW w:w="801" w:type="dxa"/>
            <w:tcBorders>
              <w:bottom w:val="single" w:sz="8" w:space="0" w:color="000000"/>
            </w:tcBorders>
            <w:tcMar>
              <w:bottom w:w="28" w:type="dxa"/>
            </w:tcMar>
            <w:vAlign w:val="center"/>
          </w:tcPr>
          <w:p>
            <w:pPr>
              <w:pStyle w:val="TableContents"/>
              <w:bidi w:val="0"/>
              <w:spacing w:before="0" w:after="283"/>
              <w:jc w:val="right"/>
              <w:rPr/>
            </w:pPr>
            <w:r>
              <w:rPr/>
              <w:t>1.2</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tcMar>
              <w:bottom w:w="28" w:type="dxa"/>
            </w:tcMar>
            <w:vAlign w:val="center"/>
          </w:tcPr>
          <w:p>
            <w:pPr>
              <w:pStyle w:val="TableContents"/>
              <w:bidi w:val="0"/>
              <w:spacing w:before="0" w:after="283"/>
              <w:jc w:val="right"/>
              <w:rPr/>
            </w:pPr>
            <w:r>
              <w:rPr/>
              <w:t>3.2</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  </w:t>
            </w:r>
            <w:r>
              <w:rPr>
                <w:b/>
              </w:rPr>
              <w:t>Net income</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44" w:type="dxa"/>
            <w:tcBorders>
              <w:bottom w:val="single" w:sz="8" w:space="0" w:color="000000"/>
            </w:tcBorders>
            <w:shd w:fill="CCEEFF" w:val="clear"/>
            <w:tcMar>
              <w:bottom w:w="28" w:type="dxa"/>
            </w:tcMar>
            <w:vAlign w:val="center"/>
          </w:tcPr>
          <w:p>
            <w:pPr>
              <w:pStyle w:val="TableContents"/>
              <w:bidi w:val="0"/>
              <w:spacing w:before="0" w:after="283"/>
              <w:jc w:val="right"/>
              <w:rPr/>
            </w:pPr>
            <w:r>
              <w:rPr/>
              <w:t>29.1</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54"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01" w:type="dxa"/>
            <w:tcBorders>
              <w:bottom w:val="single" w:sz="8" w:space="0" w:color="000000"/>
            </w:tcBorders>
            <w:shd w:fill="CCEEFF" w:val="clear"/>
            <w:tcMar>
              <w:bottom w:w="28" w:type="dxa"/>
            </w:tcMar>
            <w:vAlign w:val="center"/>
          </w:tcPr>
          <w:p>
            <w:pPr>
              <w:pStyle w:val="TableContents"/>
              <w:bidi w:val="0"/>
              <w:spacing w:before="0" w:after="283"/>
              <w:jc w:val="right"/>
              <w:rPr/>
            </w:pPr>
            <w:r>
              <w:rPr/>
              <w:t>2.5</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31.6</w:t>
            </w:r>
          </w:p>
        </w:tc>
        <w:tc>
          <w:tcPr>
            <w:tcW w:w="6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44" w:type="dxa"/>
            <w:tcBorders>
              <w:bottom w:val="single" w:sz="8" w:space="0" w:color="000000"/>
            </w:tcBorders>
            <w:shd w:fill="CCEEFF" w:val="clear"/>
            <w:tcMar>
              <w:bottom w:w="28" w:type="dxa"/>
            </w:tcMar>
            <w:vAlign w:val="center"/>
          </w:tcPr>
          <w:p>
            <w:pPr>
              <w:pStyle w:val="TableContents"/>
              <w:bidi w:val="0"/>
              <w:spacing w:before="0" w:after="283"/>
              <w:jc w:val="right"/>
              <w:rPr/>
            </w:pPr>
            <w:r>
              <w:rPr/>
              <w:t>40.2</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54"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01" w:type="dxa"/>
            <w:tcBorders>
              <w:bottom w:val="single" w:sz="8" w:space="0" w:color="000000"/>
            </w:tcBorders>
            <w:shd w:fill="CCEEFF" w:val="clear"/>
            <w:tcMar>
              <w:bottom w:w="28" w:type="dxa"/>
            </w:tcMar>
            <w:vAlign w:val="center"/>
          </w:tcPr>
          <w:p>
            <w:pPr>
              <w:pStyle w:val="TableContents"/>
              <w:bidi w:val="0"/>
              <w:spacing w:before="0" w:after="283"/>
              <w:jc w:val="right"/>
              <w:rPr/>
            </w:pPr>
            <w:r>
              <w:rPr/>
              <w:t>2.2</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42.4</w:t>
            </w:r>
          </w:p>
        </w:tc>
        <w:tc>
          <w:tcPr>
            <w:tcW w:w="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30 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revenues for the year ended December 31, 2023 increased $3.8 million from the same period in 2022 due to the following factors:</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 xml:space="preserve">Middlesex System revenues increased by $4.2 million due to the implementation of the final phase of the 2021 base rate case increase on January 1, 2023 and the PWAC rate increase offset by lower weather-driven demand across all customer classes (for further discussion of Middlesex’s 2021 base and PWAC rate increases, see </w:t>
            </w:r>
            <w:r>
              <w:rPr>
                <w:i/>
              </w:rPr>
              <w:t>Rates, Middlesex</w:t>
            </w:r>
            <w:r>
              <w:rPr/>
              <w:t xml:space="preserve"> above);</w:t>
            </w:r>
          </w:p>
        </w:tc>
      </w:tr>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 xml:space="preserve">Tidewater System revenues decreased by $0.9 million due to a DEPSC ordered rate reduction in September 2022, lower customer connection fees and lower weather-driven customer demand partially offset by an increase in customers (for further information on the Tidewater rate reduction, see </w:t>
            </w:r>
            <w:r>
              <w:rPr>
                <w:i/>
              </w:rPr>
              <w:t>Rates, Tidewater</w:t>
            </w:r>
            <w:r>
              <w:rPr/>
              <w:t xml:space="preserve"> above</w:t>
            </w:r>
            <w:r>
              <w:rPr>
                <w:i/>
              </w:rPr>
              <w:t>)</w:t>
            </w:r>
            <w:r>
              <w:rPr/>
              <w:t>;</w:t>
            </w:r>
          </w:p>
        </w:tc>
      </w:tr>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 xml:space="preserve">Pinelands System revenues increased $0.2 million due to the implementation of a base rate increase effective April 15, 2023 (for further discussion of Pinelands 2023 base rate increase, see </w:t>
            </w:r>
            <w:r>
              <w:rPr>
                <w:i/>
              </w:rPr>
              <w:t>Rates, Pinelands</w:t>
            </w:r>
            <w:r>
              <w:rPr/>
              <w:t xml:space="preserve"> above) ; and</w:t>
            </w:r>
          </w:p>
        </w:tc>
      </w:tr>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Non-regulated revenues increased $0.3 million, primarily due to higher supplemental contract services.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Operation and Maintenance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Operation and maintenance expenses for the year ended December 31, 2023 increased $4.0 million from the same period in 2022 due to the following factors:</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Variable production costs increased $2.9 million primarily due to weather-driven changes in water quality and higher chemical prices;</w:t>
            </w:r>
          </w:p>
        </w:tc>
      </w:tr>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Outside service costs rose by $0.9 million primarily due to production instrumentation calibration activities;</w:t>
            </w:r>
          </w:p>
        </w:tc>
      </w:tr>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Labor cost increased $0.7 million due to wage increases;</w:t>
            </w:r>
          </w:p>
        </w:tc>
      </w:tr>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Bad debt expense increased $0.4 million due to higher anticipated customer receivable write-offs;</w:t>
            </w:r>
          </w:p>
        </w:tc>
      </w:tr>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Non-regulated expenses increased $0.2 million due to additional billable supplemental service expenses;</w:t>
            </w:r>
          </w:p>
        </w:tc>
      </w:tr>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Lower weather-related main break activity in our Middlesex System during the winter months resulted in $0.8 million of decreased non-labor costs; and</w:t>
            </w:r>
          </w:p>
        </w:tc>
      </w:tr>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All other operation and maintenance expense categories decreased $0.3 million.</w:t>
            </w:r>
          </w:p>
        </w:tc>
      </w:tr>
    </w:tbl>
    <w:p>
      <w:pPr>
        <w:pStyle w:val="TextBody"/>
        <w:bidi w:val="0"/>
        <w:spacing w:before="0" w:after="0"/>
        <w:ind w:left="0" w:right="0" w:firstLine="4065"/>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Depreciation</w:t>
      </w:r>
    </w:p>
    <w:p>
      <w:pPr>
        <w:pStyle w:val="TextBody"/>
        <w:bidi w:val="0"/>
        <w:spacing w:before="0" w:after="0"/>
        <w:ind w:left="0" w:right="0" w:firstLine="4065"/>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 for the year ended December 31, 2023 increased $2.2 million from the same period in 2022 due to a higher level of utility plant in 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taxes for the year ended December 31, 2023 increased $0.5 million from the same period in 2022 primarily due to higher revenue related taxes on increased revenues in our Middlesex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Gain on Sale of Subsidiary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Middlesex recognized a $5.2 million gain on the sale of its regulated Delaware wastewater subsidiary in January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Income,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net for the year ended December 31, 2023 decreased $1.2 million from the same period in 2022 primarily due to lower actuarially-determined retirement benefit plans non-service benefit.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31 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Charges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charges for the year ended December 31, 2023 increased $3.8 million from the same period in 2022 due to higher average debt outstanding and higher average interest rates in 2023 as compared to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Income taxes for the year ended December 31, 2023 decreased by $2.2 million from the same period in 2022, primarily due to greater income tax benefits associated with increased repair expenditures on tangible property in the Middlesex System and lower pretax income due to gain on the sale of a subsidiary in 2022.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Net Income and Earnings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for the year ended December 31, 2023 decreased $10.9 million as compared with the same period in 2022. Basic earnings per share were $1.77 and $2.40 for the years ended December 31, 2023 and 2022, respectively. Diluted earnings per share were $1.76 and $2.39 for the years ended December 31, 2023 and 2022,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 for 2022 as Compared to 2021</w:t>
      </w:r>
    </w:p>
    <w:p>
      <w:pPr>
        <w:pStyle w:val="TextBody"/>
        <w:bidi w:val="0"/>
        <w:spacing w:before="0" w:after="0"/>
        <w:ind w:left="0" w:right="0" w:hanging="0"/>
        <w:jc w:val="left"/>
        <w:rPr>
          <w:caps w:val="false"/>
          <w:smallCaps w:val="false"/>
        </w:rPr>
      </w:pPr>
      <w:r>
        <w:rPr>
          <w:caps w:val="false"/>
          <w:smallCaps w:val="false"/>
        </w:rPr>
        <w:t> </w:t>
      </w:r>
    </w:p>
    <w:tbl>
      <w:tblPr>
        <w:tblW w:w="10060" w:type="dxa"/>
        <w:jc w:val="left"/>
        <w:tblInd w:w="0" w:type="dxa"/>
        <w:tblLayout w:type="fixed"/>
        <w:tblCellMar>
          <w:top w:w="0" w:type="dxa"/>
          <w:left w:w="0" w:type="dxa"/>
          <w:bottom w:w="0" w:type="dxa"/>
          <w:right w:w="0" w:type="dxa"/>
        </w:tblCellMar>
      </w:tblPr>
      <w:tblGrid>
        <w:gridCol w:w="3635"/>
        <w:gridCol w:w="60"/>
        <w:gridCol w:w="211"/>
        <w:gridCol w:w="844"/>
        <w:gridCol w:w="60"/>
        <w:gridCol w:w="60"/>
        <w:gridCol w:w="254"/>
        <w:gridCol w:w="801"/>
        <w:gridCol w:w="60"/>
        <w:gridCol w:w="60"/>
        <w:gridCol w:w="140"/>
        <w:gridCol w:w="560"/>
        <w:gridCol w:w="60"/>
        <w:gridCol w:w="60"/>
        <w:gridCol w:w="211"/>
        <w:gridCol w:w="844"/>
        <w:gridCol w:w="95"/>
        <w:gridCol w:w="60"/>
        <w:gridCol w:w="254"/>
        <w:gridCol w:w="801"/>
        <w:gridCol w:w="60"/>
        <w:gridCol w:w="60"/>
        <w:gridCol w:w="140"/>
        <w:gridCol w:w="560"/>
        <w:gridCol w:w="110"/>
      </w:tblGrid>
      <w:tr>
        <w:trPr/>
        <w:tc>
          <w:tcPr>
            <w:tcW w:w="36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255" w:type="dxa"/>
            <w:gridSpan w:val="22"/>
            <w:tcBorders/>
            <w:vAlign w:val="center"/>
          </w:tcPr>
          <w:p>
            <w:pPr>
              <w:pStyle w:val="TableContents"/>
              <w:bidi w:val="0"/>
              <w:spacing w:before="0" w:after="283"/>
              <w:jc w:val="center"/>
              <w:rPr/>
            </w:pPr>
            <w:r>
              <w:rPr/>
              <w:t>(In Millions)</w:t>
            </w:r>
          </w:p>
        </w:tc>
        <w:tc>
          <w:tcPr>
            <w:tcW w:w="110" w:type="dxa"/>
            <w:tcBorders/>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255" w:type="dxa"/>
            <w:gridSpan w:val="22"/>
            <w:tcBorders/>
            <w:vAlign w:val="center"/>
          </w:tcPr>
          <w:p>
            <w:pPr>
              <w:pStyle w:val="TableContents"/>
              <w:bidi w:val="0"/>
              <w:spacing w:before="0" w:after="283"/>
              <w:jc w:val="center"/>
              <w:rPr>
                <w:b/>
              </w:rPr>
            </w:pPr>
            <w:r>
              <w:rPr>
                <w:b/>
              </w:rPr>
              <w:t>Years Ended December 31,</w:t>
            </w:r>
          </w:p>
        </w:tc>
        <w:tc>
          <w:tcPr>
            <w:tcW w:w="110" w:type="dxa"/>
            <w:tcBorders/>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050"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85"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2021</w:t>
            </w:r>
          </w:p>
        </w:tc>
        <w:tc>
          <w:tcPr>
            <w:tcW w:w="110" w:type="dxa"/>
            <w:tcBorders/>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Regulated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Non-</w:t>
              <w:br/>
              <w:t>Regulated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Regulated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Non-</w:t>
              <w:br/>
              <w:t>Regulated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110" w:type="dxa"/>
            <w:tcBorders/>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Revenues</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w:t>
            </w:r>
          </w:p>
        </w:tc>
        <w:tc>
          <w:tcPr>
            <w:tcW w:w="844" w:type="dxa"/>
            <w:tcBorders/>
            <w:shd w:fill="CCEEFF" w:val="clear"/>
            <w:vAlign w:val="center"/>
          </w:tcPr>
          <w:p>
            <w:pPr>
              <w:pStyle w:val="TableContents"/>
              <w:bidi w:val="0"/>
              <w:spacing w:before="0" w:after="283"/>
              <w:jc w:val="right"/>
              <w:rPr/>
            </w:pPr>
            <w:r>
              <w:rPr/>
              <w:t>150.6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w:t>
            </w:r>
          </w:p>
        </w:tc>
        <w:tc>
          <w:tcPr>
            <w:tcW w:w="801" w:type="dxa"/>
            <w:tcBorders/>
            <w:shd w:fill="CCEEFF" w:val="clear"/>
            <w:vAlign w:val="center"/>
          </w:tcPr>
          <w:p>
            <w:pPr>
              <w:pStyle w:val="TableContents"/>
              <w:bidi w:val="0"/>
              <w:spacing w:before="0" w:after="283"/>
              <w:jc w:val="right"/>
              <w:rPr/>
            </w:pPr>
            <w:r>
              <w:rPr/>
              <w:t>11.8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162.4</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w:t>
            </w:r>
          </w:p>
        </w:tc>
        <w:tc>
          <w:tcPr>
            <w:tcW w:w="844" w:type="dxa"/>
            <w:tcBorders/>
            <w:shd w:fill="CCEEFF" w:val="clear"/>
            <w:vAlign w:val="center"/>
          </w:tcPr>
          <w:p>
            <w:pPr>
              <w:pStyle w:val="TableContents"/>
              <w:bidi w:val="0"/>
              <w:spacing w:before="0" w:after="283"/>
              <w:jc w:val="right"/>
              <w:rPr/>
            </w:pPr>
            <w:r>
              <w:rPr/>
              <w:t>130.8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w:t>
            </w:r>
          </w:p>
        </w:tc>
        <w:tc>
          <w:tcPr>
            <w:tcW w:w="801" w:type="dxa"/>
            <w:tcBorders/>
            <w:shd w:fill="CCEEFF" w:val="clear"/>
            <w:vAlign w:val="center"/>
          </w:tcPr>
          <w:p>
            <w:pPr>
              <w:pStyle w:val="TableContents"/>
              <w:bidi w:val="0"/>
              <w:spacing w:before="0" w:after="283"/>
              <w:jc w:val="right"/>
              <w:rPr/>
            </w:pPr>
            <w:r>
              <w:rPr/>
              <w:t>12.3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143.1</w:t>
            </w:r>
          </w:p>
        </w:tc>
        <w:tc>
          <w:tcPr>
            <w:tcW w:w="110" w:type="dxa"/>
            <w:tcBorders/>
            <w:shd w:fill="CCEEFF" w:val="clear"/>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283"/>
              <w:jc w:val="left"/>
              <w:rPr/>
            </w:pPr>
            <w:r>
              <w:rPr/>
              <w:t>Operations and maintenance expenses</w:t>
            </w:r>
          </w:p>
        </w:tc>
        <w:tc>
          <w:tcPr>
            <w:tcW w:w="6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44" w:type="dxa"/>
            <w:tcBorders/>
            <w:vAlign w:val="center"/>
          </w:tcPr>
          <w:p>
            <w:pPr>
              <w:pStyle w:val="TableContents"/>
              <w:bidi w:val="0"/>
              <w:spacing w:before="0" w:after="283"/>
              <w:jc w:val="right"/>
              <w:rPr/>
            </w:pPr>
            <w:r>
              <w:rPr/>
              <w:t>70.8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801" w:type="dxa"/>
            <w:tcBorders/>
            <w:vAlign w:val="center"/>
          </w:tcPr>
          <w:p>
            <w:pPr>
              <w:pStyle w:val="TableContents"/>
              <w:bidi w:val="0"/>
              <w:spacing w:before="0" w:after="283"/>
              <w:jc w:val="right"/>
              <w:rPr/>
            </w:pPr>
            <w:r>
              <w:rPr/>
              <w:t>8.3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79.1</w:t>
            </w:r>
          </w:p>
        </w:tc>
        <w:tc>
          <w:tcPr>
            <w:tcW w:w="60" w:type="dxa"/>
            <w:tcBorders>
              <w:right w:val="single" w:sz="8"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44" w:type="dxa"/>
            <w:tcBorders/>
            <w:vAlign w:val="center"/>
          </w:tcPr>
          <w:p>
            <w:pPr>
              <w:pStyle w:val="TableContents"/>
              <w:bidi w:val="0"/>
              <w:spacing w:before="0" w:after="283"/>
              <w:jc w:val="right"/>
              <w:rPr/>
            </w:pPr>
            <w:r>
              <w:rPr/>
              <w:t>65.4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801" w:type="dxa"/>
            <w:tcBorders/>
            <w:vAlign w:val="center"/>
          </w:tcPr>
          <w:p>
            <w:pPr>
              <w:pStyle w:val="TableContents"/>
              <w:bidi w:val="0"/>
              <w:spacing w:before="0" w:after="283"/>
              <w:jc w:val="right"/>
              <w:rPr/>
            </w:pPr>
            <w:r>
              <w:rPr/>
              <w:t>8.3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73.7</w:t>
            </w:r>
          </w:p>
        </w:tc>
        <w:tc>
          <w:tcPr>
            <w:tcW w:w="110" w:type="dxa"/>
            <w:tcBorders/>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Depreciation expense</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pPr>
            <w:r>
              <w:rPr/>
              <w:t>22.8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pPr>
            <w:r>
              <w:rPr/>
              <w:t>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23.0</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pPr>
            <w:r>
              <w:rPr/>
              <w:t>20.9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pPr>
            <w:r>
              <w:rPr/>
              <w:t>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21.1</w:t>
            </w:r>
          </w:p>
        </w:tc>
        <w:tc>
          <w:tcPr>
            <w:tcW w:w="110" w:type="dxa"/>
            <w:tcBorders/>
            <w:shd w:fill="CCEEFF" w:val="clear"/>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283"/>
              <w:jc w:val="left"/>
              <w:rPr/>
            </w:pPr>
            <w:r>
              <w:rPr/>
              <w:t>Other taxes</w:t>
            </w:r>
          </w:p>
        </w:tc>
        <w:tc>
          <w:tcPr>
            <w:tcW w:w="6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44" w:type="dxa"/>
            <w:tcBorders/>
            <w:vAlign w:val="center"/>
          </w:tcPr>
          <w:p>
            <w:pPr>
              <w:pStyle w:val="TableContents"/>
              <w:bidi w:val="0"/>
              <w:spacing w:before="0" w:after="283"/>
              <w:jc w:val="right"/>
              <w:rPr/>
            </w:pPr>
            <w:r>
              <w:rPr/>
              <w:t>18.0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801" w:type="dxa"/>
            <w:tcBorders/>
            <w:vAlign w:val="center"/>
          </w:tcPr>
          <w:p>
            <w:pPr>
              <w:pStyle w:val="TableContents"/>
              <w:bidi w:val="0"/>
              <w:spacing w:before="0" w:after="283"/>
              <w:jc w:val="right"/>
              <w:rPr/>
            </w:pPr>
            <w:r>
              <w:rPr/>
              <w:t>0.2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18.2</w:t>
            </w:r>
          </w:p>
        </w:tc>
        <w:tc>
          <w:tcPr>
            <w:tcW w:w="60" w:type="dxa"/>
            <w:tcBorders>
              <w:right w:val="single" w:sz="8"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44" w:type="dxa"/>
            <w:tcBorders/>
            <w:vAlign w:val="center"/>
          </w:tcPr>
          <w:p>
            <w:pPr>
              <w:pStyle w:val="TableContents"/>
              <w:bidi w:val="0"/>
              <w:spacing w:before="0" w:after="283"/>
              <w:jc w:val="right"/>
              <w:rPr/>
            </w:pPr>
            <w:r>
              <w:rPr/>
              <w:t>14.9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801" w:type="dxa"/>
            <w:tcBorders/>
            <w:vAlign w:val="center"/>
          </w:tcPr>
          <w:p>
            <w:pPr>
              <w:pStyle w:val="TableContents"/>
              <w:bidi w:val="0"/>
              <w:spacing w:before="0" w:after="283"/>
              <w:jc w:val="right"/>
              <w:rPr/>
            </w:pPr>
            <w:r>
              <w:rPr/>
              <w:t>0.2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15.1</w:t>
            </w:r>
          </w:p>
        </w:tc>
        <w:tc>
          <w:tcPr>
            <w:tcW w:w="110" w:type="dxa"/>
            <w:tcBorders/>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Gain on Sale of Subsidiary</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4" w:type="dxa"/>
            <w:tcBorders>
              <w:bottom w:val="single" w:sz="8" w:space="0" w:color="000000"/>
            </w:tcBorders>
            <w:shd w:fill="CCEEFF" w:val="clear"/>
            <w:tcMar>
              <w:bottom w:w="28" w:type="dxa"/>
            </w:tcMar>
            <w:vAlign w:val="center"/>
          </w:tcPr>
          <w:p>
            <w:pPr>
              <w:pStyle w:val="TableContents"/>
              <w:bidi w:val="0"/>
              <w:spacing w:before="0" w:after="283"/>
              <w:jc w:val="right"/>
              <w:rPr/>
            </w:pPr>
            <w:r>
              <w:rPr/>
              <w:t>5.2</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1"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5.2</w:t>
            </w:r>
          </w:p>
        </w:tc>
        <w:tc>
          <w:tcPr>
            <w:tcW w:w="6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1"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283"/>
              <w:jc w:val="left"/>
              <w:rPr/>
            </w:pPr>
            <w:r>
              <w:rPr/>
              <w:t>  </w:t>
            </w:r>
            <w:r>
              <w:rPr>
                <w:b/>
              </w:rPr>
              <w:t>Operating income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11" w:type="dxa"/>
            <w:tcBorders>
              <w:bottom w:val="single" w:sz="8" w:space="0" w:color="000000"/>
            </w:tcBorders>
            <w:tcMar>
              <w:bottom w:w="28" w:type="dxa"/>
            </w:tcMar>
            <w:vAlign w:val="center"/>
          </w:tcPr>
          <w:p>
            <w:pPr>
              <w:pStyle w:val="TableContents"/>
              <w:bidi w:val="0"/>
              <w:spacing w:before="0" w:after="283"/>
              <w:jc w:val="left"/>
              <w:rPr/>
            </w:pPr>
            <w:r>
              <w:rPr/>
              <w:t> </w:t>
            </w:r>
          </w:p>
        </w:tc>
        <w:tc>
          <w:tcPr>
            <w:tcW w:w="844" w:type="dxa"/>
            <w:tcBorders>
              <w:bottom w:val="single" w:sz="8" w:space="0" w:color="000000"/>
            </w:tcBorders>
            <w:tcMar>
              <w:bottom w:w="28" w:type="dxa"/>
            </w:tcMar>
            <w:vAlign w:val="center"/>
          </w:tcPr>
          <w:p>
            <w:pPr>
              <w:pStyle w:val="TableContents"/>
              <w:bidi w:val="0"/>
              <w:spacing w:before="0" w:after="283"/>
              <w:jc w:val="right"/>
              <w:rPr/>
            </w:pPr>
            <w:r>
              <w:rPr/>
              <w:t>44.2</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54" w:type="dxa"/>
            <w:tcBorders>
              <w:bottom w:val="single" w:sz="8" w:space="0" w:color="000000"/>
            </w:tcBorders>
            <w:tcMar>
              <w:bottom w:w="28" w:type="dxa"/>
            </w:tcMar>
            <w:vAlign w:val="center"/>
          </w:tcPr>
          <w:p>
            <w:pPr>
              <w:pStyle w:val="TableContents"/>
              <w:bidi w:val="0"/>
              <w:spacing w:before="0" w:after="283"/>
              <w:jc w:val="left"/>
              <w:rPr/>
            </w:pPr>
            <w:r>
              <w:rPr/>
              <w:t> </w:t>
            </w:r>
          </w:p>
        </w:tc>
        <w:tc>
          <w:tcPr>
            <w:tcW w:w="801" w:type="dxa"/>
            <w:tcBorders>
              <w:bottom w:val="single" w:sz="8" w:space="0" w:color="000000"/>
            </w:tcBorders>
            <w:tcMar>
              <w:bottom w:w="28" w:type="dxa"/>
            </w:tcMar>
            <w:vAlign w:val="center"/>
          </w:tcPr>
          <w:p>
            <w:pPr>
              <w:pStyle w:val="TableContents"/>
              <w:bidi w:val="0"/>
              <w:spacing w:before="0" w:after="283"/>
              <w:jc w:val="right"/>
              <w:rPr/>
            </w:pPr>
            <w:r>
              <w:rPr/>
              <w:t>3.1</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tcMar>
              <w:bottom w:w="28" w:type="dxa"/>
            </w:tcMar>
            <w:vAlign w:val="center"/>
          </w:tcPr>
          <w:p>
            <w:pPr>
              <w:pStyle w:val="TableContents"/>
              <w:bidi w:val="0"/>
              <w:spacing w:before="0" w:after="283"/>
              <w:jc w:val="right"/>
              <w:rPr/>
            </w:pPr>
            <w:r>
              <w:rPr/>
              <w:t>47.3</w:t>
            </w:r>
          </w:p>
        </w:tc>
        <w:tc>
          <w:tcPr>
            <w:tcW w:w="60"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11" w:type="dxa"/>
            <w:tcBorders>
              <w:bottom w:val="single" w:sz="8" w:space="0" w:color="000000"/>
            </w:tcBorders>
            <w:tcMar>
              <w:bottom w:w="28" w:type="dxa"/>
            </w:tcMar>
            <w:vAlign w:val="center"/>
          </w:tcPr>
          <w:p>
            <w:pPr>
              <w:pStyle w:val="TableContents"/>
              <w:bidi w:val="0"/>
              <w:spacing w:before="0" w:after="283"/>
              <w:jc w:val="left"/>
              <w:rPr/>
            </w:pPr>
            <w:r>
              <w:rPr/>
              <w:t> </w:t>
            </w:r>
          </w:p>
        </w:tc>
        <w:tc>
          <w:tcPr>
            <w:tcW w:w="844" w:type="dxa"/>
            <w:tcBorders>
              <w:bottom w:val="single" w:sz="8" w:space="0" w:color="000000"/>
            </w:tcBorders>
            <w:tcMar>
              <w:bottom w:w="28" w:type="dxa"/>
            </w:tcMar>
            <w:vAlign w:val="center"/>
          </w:tcPr>
          <w:p>
            <w:pPr>
              <w:pStyle w:val="TableContents"/>
              <w:bidi w:val="0"/>
              <w:spacing w:before="0" w:after="283"/>
              <w:jc w:val="right"/>
              <w:rPr/>
            </w:pPr>
            <w:r>
              <w:rPr/>
              <w:t>29.6</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54" w:type="dxa"/>
            <w:tcBorders>
              <w:bottom w:val="single" w:sz="8" w:space="0" w:color="000000"/>
            </w:tcBorders>
            <w:tcMar>
              <w:bottom w:w="28" w:type="dxa"/>
            </w:tcMar>
            <w:vAlign w:val="center"/>
          </w:tcPr>
          <w:p>
            <w:pPr>
              <w:pStyle w:val="TableContents"/>
              <w:bidi w:val="0"/>
              <w:spacing w:before="0" w:after="283"/>
              <w:jc w:val="left"/>
              <w:rPr/>
            </w:pPr>
            <w:r>
              <w:rPr/>
              <w:t> </w:t>
            </w:r>
          </w:p>
        </w:tc>
        <w:tc>
          <w:tcPr>
            <w:tcW w:w="801" w:type="dxa"/>
            <w:tcBorders>
              <w:bottom w:val="single" w:sz="8" w:space="0" w:color="000000"/>
            </w:tcBorders>
            <w:tcMar>
              <w:bottom w:w="28" w:type="dxa"/>
            </w:tcMar>
            <w:vAlign w:val="center"/>
          </w:tcPr>
          <w:p>
            <w:pPr>
              <w:pStyle w:val="TableContents"/>
              <w:bidi w:val="0"/>
              <w:spacing w:before="0" w:after="283"/>
              <w:jc w:val="right"/>
              <w:rPr/>
            </w:pPr>
            <w:r>
              <w:rPr/>
              <w:t>3.6</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tcMar>
              <w:bottom w:w="28" w:type="dxa"/>
            </w:tcMar>
            <w:vAlign w:val="center"/>
          </w:tcPr>
          <w:p>
            <w:pPr>
              <w:pStyle w:val="TableContents"/>
              <w:bidi w:val="0"/>
              <w:spacing w:before="0" w:after="283"/>
              <w:jc w:val="right"/>
              <w:rPr/>
            </w:pPr>
            <w:r>
              <w:rPr/>
              <w:t>33.2</w:t>
            </w:r>
          </w:p>
        </w:tc>
        <w:tc>
          <w:tcPr>
            <w:tcW w:w="11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283"/>
              <w:jc w:val="left"/>
              <w:rPr/>
            </w:pPr>
            <w:r>
              <w:rPr/>
              <w:t>Other income (expense), net</w:t>
            </w:r>
          </w:p>
        </w:tc>
        <w:tc>
          <w:tcPr>
            <w:tcW w:w="6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44" w:type="dxa"/>
            <w:tcBorders/>
            <w:vAlign w:val="center"/>
          </w:tcPr>
          <w:p>
            <w:pPr>
              <w:pStyle w:val="TableContents"/>
              <w:bidi w:val="0"/>
              <w:spacing w:before="0" w:after="283"/>
              <w:jc w:val="right"/>
              <w:rPr/>
            </w:pPr>
            <w:r>
              <w:rPr/>
              <w:t>7.4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801" w:type="dxa"/>
            <w:tcBorders/>
            <w:vAlign w:val="center"/>
          </w:tcPr>
          <w:p>
            <w:pPr>
              <w:pStyle w:val="TableContents"/>
              <w:bidi w:val="0"/>
              <w:spacing w:before="0" w:after="283"/>
              <w:jc w:val="right"/>
              <w:rPr/>
            </w:pPr>
            <w:r>
              <w:rPr/>
              <w:t>0.3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7.7</w:t>
            </w:r>
          </w:p>
        </w:tc>
        <w:tc>
          <w:tcPr>
            <w:tcW w:w="60" w:type="dxa"/>
            <w:tcBorders>
              <w:right w:val="single" w:sz="8"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44" w:type="dxa"/>
            <w:tcBorders/>
            <w:vAlign w:val="center"/>
          </w:tcPr>
          <w:p>
            <w:pPr>
              <w:pStyle w:val="TableContents"/>
              <w:bidi w:val="0"/>
              <w:spacing w:before="0" w:after="283"/>
              <w:jc w:val="right"/>
              <w:rPr/>
            </w:pPr>
            <w:r>
              <w:rPr/>
              <w:t>5.6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801" w:type="dxa"/>
            <w:tcBorders/>
            <w:vAlign w:val="center"/>
          </w:tcPr>
          <w:p>
            <w:pPr>
              <w:pStyle w:val="TableContents"/>
              <w:bidi w:val="0"/>
              <w:spacing w:before="0" w:after="283"/>
              <w:jc w:val="right"/>
              <w:rPr/>
            </w:pPr>
            <w:r>
              <w:rPr/>
              <w:t>0.3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5.9</w:t>
            </w:r>
          </w:p>
        </w:tc>
        <w:tc>
          <w:tcPr>
            <w:tcW w:w="110" w:type="dxa"/>
            <w:tcBorders/>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pPr>
            <w:r>
              <w:rPr/>
              <w:t>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9.4</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pPr>
            <w:r>
              <w:rPr/>
              <w:t>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8.1</w:t>
            </w:r>
          </w:p>
        </w:tc>
        <w:tc>
          <w:tcPr>
            <w:tcW w:w="110" w:type="dxa"/>
            <w:tcBorders/>
            <w:shd w:fill="CCEEFF" w:val="clear"/>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283"/>
              <w:jc w:val="left"/>
              <w:rPr/>
            </w:pPr>
            <w:r>
              <w:rPr/>
              <w:t>Income taxes</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11" w:type="dxa"/>
            <w:tcBorders>
              <w:bottom w:val="single" w:sz="8" w:space="0" w:color="000000"/>
            </w:tcBorders>
            <w:tcMar>
              <w:bottom w:w="28" w:type="dxa"/>
            </w:tcMar>
            <w:vAlign w:val="center"/>
          </w:tcPr>
          <w:p>
            <w:pPr>
              <w:pStyle w:val="TableContents"/>
              <w:bidi w:val="0"/>
              <w:spacing w:before="0" w:after="283"/>
              <w:jc w:val="left"/>
              <w:rPr/>
            </w:pPr>
            <w:r>
              <w:rPr/>
              <w:t> </w:t>
            </w:r>
          </w:p>
        </w:tc>
        <w:tc>
          <w:tcPr>
            <w:tcW w:w="844" w:type="dxa"/>
            <w:tcBorders>
              <w:bottom w:val="single" w:sz="8" w:space="0" w:color="000000"/>
            </w:tcBorders>
            <w:tcMar>
              <w:bottom w:w="28" w:type="dxa"/>
            </w:tcMar>
            <w:vAlign w:val="center"/>
          </w:tcPr>
          <w:p>
            <w:pPr>
              <w:pStyle w:val="TableContents"/>
              <w:bidi w:val="0"/>
              <w:spacing w:before="0" w:after="283"/>
              <w:jc w:val="right"/>
              <w:rPr/>
            </w:pPr>
            <w:r>
              <w:rPr/>
              <w:t>2.0</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54" w:type="dxa"/>
            <w:tcBorders>
              <w:bottom w:val="single" w:sz="8" w:space="0" w:color="000000"/>
            </w:tcBorders>
            <w:tcMar>
              <w:bottom w:w="28" w:type="dxa"/>
            </w:tcMar>
            <w:vAlign w:val="center"/>
          </w:tcPr>
          <w:p>
            <w:pPr>
              <w:pStyle w:val="TableContents"/>
              <w:bidi w:val="0"/>
              <w:spacing w:before="0" w:after="283"/>
              <w:jc w:val="left"/>
              <w:rPr/>
            </w:pPr>
            <w:r>
              <w:rPr/>
              <w:t> </w:t>
            </w:r>
          </w:p>
        </w:tc>
        <w:tc>
          <w:tcPr>
            <w:tcW w:w="801" w:type="dxa"/>
            <w:tcBorders>
              <w:bottom w:val="single" w:sz="8" w:space="0" w:color="000000"/>
            </w:tcBorders>
            <w:tcMar>
              <w:bottom w:w="28" w:type="dxa"/>
            </w:tcMar>
            <w:vAlign w:val="center"/>
          </w:tcPr>
          <w:p>
            <w:pPr>
              <w:pStyle w:val="TableContents"/>
              <w:bidi w:val="0"/>
              <w:spacing w:before="0" w:after="283"/>
              <w:jc w:val="right"/>
              <w:rPr/>
            </w:pPr>
            <w:r>
              <w:rPr/>
              <w:t>1.2</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tcMar>
              <w:bottom w:w="28" w:type="dxa"/>
            </w:tcMar>
            <w:vAlign w:val="center"/>
          </w:tcPr>
          <w:p>
            <w:pPr>
              <w:pStyle w:val="TableContents"/>
              <w:bidi w:val="0"/>
              <w:spacing w:before="0" w:after="283"/>
              <w:jc w:val="right"/>
              <w:rPr/>
            </w:pPr>
            <w:r>
              <w:rPr/>
              <w:t>3.2</w:t>
            </w:r>
          </w:p>
        </w:tc>
        <w:tc>
          <w:tcPr>
            <w:tcW w:w="60"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11" w:type="dxa"/>
            <w:tcBorders>
              <w:bottom w:val="single" w:sz="8" w:space="0" w:color="000000"/>
            </w:tcBorders>
            <w:tcMar>
              <w:bottom w:w="28" w:type="dxa"/>
            </w:tcMar>
            <w:vAlign w:val="center"/>
          </w:tcPr>
          <w:p>
            <w:pPr>
              <w:pStyle w:val="TableContents"/>
              <w:bidi w:val="0"/>
              <w:spacing w:before="0" w:after="283"/>
              <w:jc w:val="left"/>
              <w:rPr/>
            </w:pPr>
            <w:r>
              <w:rPr/>
              <w:t> </w:t>
            </w:r>
          </w:p>
        </w:tc>
        <w:tc>
          <w:tcPr>
            <w:tcW w:w="844" w:type="dxa"/>
            <w:tcBorders>
              <w:bottom w:val="single" w:sz="8" w:space="0" w:color="000000"/>
            </w:tcBorders>
            <w:tcMar>
              <w:bottom w:w="28" w:type="dxa"/>
            </w:tcMar>
            <w:vAlign w:val="center"/>
          </w:tcPr>
          <w:p>
            <w:pPr>
              <w:pStyle w:val="TableContents"/>
              <w:bidi w:val="0"/>
              <w:spacing w:before="0" w:after="283"/>
              <w:jc w:val="right"/>
              <w:rPr/>
            </w:pPr>
            <w:r>
              <w:rPr/>
              <w:t>(6.7</w:t>
            </w:r>
          </w:p>
        </w:tc>
        <w:tc>
          <w:tcPr>
            <w:tcW w:w="95" w:type="dxa"/>
            <w:tcBorders>
              <w:bottom w:val="single" w:sz="8" w:space="0" w:color="000000"/>
            </w:tcBorders>
            <w:tcMar>
              <w:bottom w:w="28" w:type="dxa"/>
            </w:tcMar>
            <w:vAlign w:val="center"/>
          </w:tcPr>
          <w:p>
            <w:pPr>
              <w:pStyle w:val="TableContents"/>
              <w:bidi w:val="0"/>
              <w:spacing w:before="0" w:after="283"/>
              <w:jc w:val="left"/>
              <w:rPr/>
            </w:pPr>
            <w:r>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54" w:type="dxa"/>
            <w:tcBorders>
              <w:bottom w:val="single" w:sz="8" w:space="0" w:color="000000"/>
            </w:tcBorders>
            <w:tcMar>
              <w:bottom w:w="28" w:type="dxa"/>
            </w:tcMar>
            <w:vAlign w:val="center"/>
          </w:tcPr>
          <w:p>
            <w:pPr>
              <w:pStyle w:val="TableContents"/>
              <w:bidi w:val="0"/>
              <w:spacing w:before="0" w:after="283"/>
              <w:jc w:val="left"/>
              <w:rPr/>
            </w:pPr>
            <w:r>
              <w:rPr/>
              <w:t> </w:t>
            </w:r>
          </w:p>
        </w:tc>
        <w:tc>
          <w:tcPr>
            <w:tcW w:w="801" w:type="dxa"/>
            <w:tcBorders>
              <w:bottom w:val="single" w:sz="8" w:space="0" w:color="000000"/>
            </w:tcBorders>
            <w:tcMar>
              <w:bottom w:w="28" w:type="dxa"/>
            </w:tcMar>
            <w:vAlign w:val="center"/>
          </w:tcPr>
          <w:p>
            <w:pPr>
              <w:pStyle w:val="TableContents"/>
              <w:bidi w:val="0"/>
              <w:spacing w:before="0" w:after="283"/>
              <w:jc w:val="right"/>
              <w:rPr/>
            </w:pPr>
            <w:r>
              <w:rPr/>
              <w:t>1.2</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tcMar>
              <w:bottom w:w="28" w:type="dxa"/>
            </w:tcMar>
            <w:vAlign w:val="center"/>
          </w:tcPr>
          <w:p>
            <w:pPr>
              <w:pStyle w:val="TableContents"/>
              <w:bidi w:val="0"/>
              <w:spacing w:before="0" w:after="283"/>
              <w:jc w:val="right"/>
              <w:rPr/>
            </w:pPr>
            <w:r>
              <w:rPr/>
              <w:t>(5.5</w:t>
            </w:r>
          </w:p>
        </w:tc>
        <w:tc>
          <w:tcPr>
            <w:tcW w:w="110" w:type="dxa"/>
            <w:tcBorders>
              <w:bottom w:val="single" w:sz="8" w:space="0" w:color="000000"/>
            </w:tcBorders>
            <w:tcMar>
              <w:bottom w:w="28" w:type="dxa"/>
            </w:tcMar>
            <w:vAlign w:val="center"/>
          </w:tcPr>
          <w:p>
            <w:pPr>
              <w:pStyle w:val="TableContents"/>
              <w:bidi w:val="0"/>
              <w:spacing w:before="0" w:after="283"/>
              <w:jc w:val="left"/>
              <w:rPr/>
            </w:pPr>
            <w:r>
              <w:rPr/>
              <w:t>)</w:t>
            </w:r>
          </w:p>
        </w:tc>
      </w:tr>
      <w:tr>
        <w:trPr/>
        <w:tc>
          <w:tcPr>
            <w:tcW w:w="3635" w:type="dxa"/>
            <w:tcBorders/>
            <w:shd w:fill="CCEEFF" w:val="clear"/>
            <w:vAlign w:val="center"/>
          </w:tcPr>
          <w:p>
            <w:pPr>
              <w:pStyle w:val="TableContents"/>
              <w:bidi w:val="0"/>
              <w:spacing w:before="0" w:after="283"/>
              <w:jc w:val="left"/>
              <w:rPr/>
            </w:pPr>
            <w:r>
              <w:rPr/>
              <w:t>  </w:t>
            </w:r>
            <w:r>
              <w:rPr>
                <w:b/>
              </w:rPr>
              <w:t>Net income</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44" w:type="dxa"/>
            <w:tcBorders>
              <w:bottom w:val="single" w:sz="8" w:space="0" w:color="000000"/>
            </w:tcBorders>
            <w:shd w:fill="CCEEFF" w:val="clear"/>
            <w:tcMar>
              <w:bottom w:w="28" w:type="dxa"/>
            </w:tcMar>
            <w:vAlign w:val="center"/>
          </w:tcPr>
          <w:p>
            <w:pPr>
              <w:pStyle w:val="TableContents"/>
              <w:bidi w:val="0"/>
              <w:spacing w:before="0" w:after="283"/>
              <w:jc w:val="right"/>
              <w:rPr/>
            </w:pPr>
            <w:r>
              <w:rPr/>
              <w:t>40.2</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54"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01" w:type="dxa"/>
            <w:tcBorders>
              <w:bottom w:val="single" w:sz="8" w:space="0" w:color="000000"/>
            </w:tcBorders>
            <w:shd w:fill="CCEEFF" w:val="clear"/>
            <w:tcMar>
              <w:bottom w:w="28" w:type="dxa"/>
            </w:tcMar>
            <w:vAlign w:val="center"/>
          </w:tcPr>
          <w:p>
            <w:pPr>
              <w:pStyle w:val="TableContents"/>
              <w:bidi w:val="0"/>
              <w:spacing w:before="0" w:after="283"/>
              <w:jc w:val="right"/>
              <w:rPr/>
            </w:pPr>
            <w:r>
              <w:rPr/>
              <w:t>2.2</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42.4</w:t>
            </w:r>
          </w:p>
        </w:tc>
        <w:tc>
          <w:tcPr>
            <w:tcW w:w="6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44" w:type="dxa"/>
            <w:tcBorders>
              <w:bottom w:val="single" w:sz="8" w:space="0" w:color="000000"/>
            </w:tcBorders>
            <w:shd w:fill="CCEEFF" w:val="clear"/>
            <w:tcMar>
              <w:bottom w:w="28" w:type="dxa"/>
            </w:tcMar>
            <w:vAlign w:val="center"/>
          </w:tcPr>
          <w:p>
            <w:pPr>
              <w:pStyle w:val="TableContents"/>
              <w:bidi w:val="0"/>
              <w:spacing w:before="0" w:after="283"/>
              <w:jc w:val="right"/>
              <w:rPr/>
            </w:pPr>
            <w:r>
              <w:rPr/>
              <w:t>33.8</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54"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01" w:type="dxa"/>
            <w:tcBorders>
              <w:bottom w:val="single" w:sz="8" w:space="0" w:color="000000"/>
            </w:tcBorders>
            <w:shd w:fill="CCEEFF" w:val="clear"/>
            <w:tcMar>
              <w:bottom w:w="28" w:type="dxa"/>
            </w:tcMar>
            <w:vAlign w:val="center"/>
          </w:tcPr>
          <w:p>
            <w:pPr>
              <w:pStyle w:val="TableContents"/>
              <w:bidi w:val="0"/>
              <w:spacing w:before="0" w:after="283"/>
              <w:jc w:val="right"/>
              <w:rPr/>
            </w:pPr>
            <w:r>
              <w:rPr/>
              <w:t>2.7</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36.5</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revenues for the year ended December 31, 2022 increased $19.3 million from the same period in 2021 due to the following factors:</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 xml:space="preserve">Middlesex System revenues increased by $21.6 million due to the approved 2022 base rate and PWAC rate increases and higher weather driven demand across all customer classes (for further discussion of Middlesex’s 2021 base rate and PWAC rate increases see </w:t>
            </w:r>
            <w:r>
              <w:rPr>
                <w:i/>
              </w:rPr>
              <w:t>Rates, Middlesex</w:t>
            </w:r>
            <w:r>
              <w:rPr/>
              <w:t xml:space="preserve"> above);</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 xml:space="preserve">Tidewater System revenues increased $0.9 million due to additional customers and a one-time customer credit issued in 2021 partially offset by a DEPSC ordered 2022 rate reduction (for further information on the one-time credit and rate reduction, see </w:t>
            </w:r>
            <w:r>
              <w:rPr>
                <w:i/>
              </w:rPr>
              <w:t>Rates, Tidewater</w:t>
            </w:r>
            <w:r>
              <w:rPr/>
              <w:t xml:space="preserve"> above</w:t>
            </w:r>
            <w:r>
              <w:rPr>
                <w:i/>
              </w:rPr>
              <w:t>)</w:t>
            </w:r>
            <w:r>
              <w:rPr/>
              <w:t>;</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sale of our regulated Delaware wastewater subsidiary in January 2022 reduced revenues by $2.7 million;</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Non-regulated revenues decreased $0.4 million, primarily due to lower supplemental contract services; and</w:t>
            </w:r>
          </w:p>
        </w:tc>
      </w:tr>
    </w:tbl>
    <w:tbl>
      <w:tblPr>
        <w:tblW w:w="5000" w:type="pct"/>
        <w:jc w:val="left"/>
        <w:tblInd w:w="0" w:type="dxa"/>
        <w:tblLayout w:type="fixed"/>
        <w:tblCellMar>
          <w:top w:w="0" w:type="dxa"/>
          <w:left w:w="0" w:type="dxa"/>
          <w:bottom w:w="0" w:type="dxa"/>
          <w:right w:w="0" w:type="dxa"/>
        </w:tblCellMar>
      </w:tblPr>
      <w:tblGrid>
        <w:gridCol w:w="75"/>
        <w:gridCol w:w="337"/>
        <w:gridCol w:w="9793"/>
      </w:tblGrid>
      <w:tr>
        <w:trPr/>
        <w:tc>
          <w:tcPr>
            <w:tcW w:w="75"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pPr>
            <w:r>
              <w:rPr/>
              <w:t>●</w:t>
            </w:r>
          </w:p>
        </w:tc>
        <w:tc>
          <w:tcPr>
            <w:tcW w:w="9793" w:type="dxa"/>
            <w:tcBorders/>
            <w:vAlign w:val="center"/>
          </w:tcPr>
          <w:p>
            <w:pPr>
              <w:pStyle w:val="TableContents"/>
              <w:bidi w:val="0"/>
              <w:spacing w:before="0" w:after="283"/>
              <w:jc w:val="both"/>
              <w:rPr/>
            </w:pPr>
            <w:r>
              <w:rPr/>
              <w:t>All other revenue categories decreased $0.1 million.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32 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Operation and Maintenance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Operation and maintenance expenses for the year ended December 31, 2022 increased $5.4 million from the same period in 2021 due to the following factors:</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9"/>
        <w:gridCol w:w="311"/>
        <w:gridCol w:w="9825"/>
      </w:tblGrid>
      <w:tr>
        <w:trPr/>
        <w:tc>
          <w:tcPr>
            <w:tcW w:w="6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pPr>
            <w:r>
              <w:rPr/>
              <w:t>●</w:t>
            </w:r>
          </w:p>
        </w:tc>
        <w:tc>
          <w:tcPr>
            <w:tcW w:w="9825" w:type="dxa"/>
            <w:tcBorders/>
            <w:vAlign w:val="center"/>
          </w:tcPr>
          <w:p>
            <w:pPr>
              <w:pStyle w:val="TableContents"/>
              <w:bidi w:val="0"/>
              <w:spacing w:before="0" w:after="283"/>
              <w:jc w:val="both"/>
              <w:rPr/>
            </w:pPr>
            <w:r>
              <w:rPr/>
              <w:t>Labor cost increased $1.5 million due to wage increases;</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sz w:val="20"/>
              </w:rPr>
              <w:t>Variable production costs increased $1.2 million primarily due to increased production, weather-driven changes in water quality and higher chemical prices</w:t>
            </w:r>
            <w:r>
              <w:rPr/>
              <w:t>;</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Costs for employee benefits increased $1.0 million due to market fluctuations in the cash surrender value of life insurance policies and higher health insurance premiums;</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sz w:val="20"/>
              </w:rPr>
            </w:pPr>
            <w:r>
              <w:rPr>
                <w:sz w:val="20"/>
              </w:rPr>
              <w:t>Higher weather-related main break activity in our Middlesex system during the winter months resulted in $0.6 million of additional non-labor costs;</w:t>
            </w:r>
          </w:p>
        </w:tc>
      </w:tr>
    </w:tbl>
    <w:tbl>
      <w:tblPr>
        <w:tblW w:w="5000" w:type="pct"/>
        <w:jc w:val="left"/>
        <w:tblInd w:w="0" w:type="dxa"/>
        <w:tblLayout w:type="fixed"/>
        <w:tblCellMar>
          <w:top w:w="0" w:type="dxa"/>
          <w:left w:w="0" w:type="dxa"/>
          <w:bottom w:w="0" w:type="dxa"/>
          <w:right w:w="0" w:type="dxa"/>
        </w:tblCellMar>
      </w:tblPr>
      <w:tblGrid>
        <w:gridCol w:w="58"/>
        <w:gridCol w:w="261"/>
        <w:gridCol w:w="9886"/>
      </w:tblGrid>
      <w:tr>
        <w:trPr/>
        <w:tc>
          <w:tcPr>
            <w:tcW w:w="5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pPr>
            <w:r>
              <w:rPr/>
              <w:t>●</w:t>
            </w:r>
          </w:p>
        </w:tc>
        <w:tc>
          <w:tcPr>
            <w:tcW w:w="9886" w:type="dxa"/>
            <w:tcBorders/>
            <w:vAlign w:val="center"/>
          </w:tcPr>
          <w:p>
            <w:pPr>
              <w:pStyle w:val="TableContents"/>
              <w:bidi w:val="0"/>
              <w:spacing w:before="0" w:after="283"/>
              <w:jc w:val="both"/>
              <w:rPr/>
            </w:pPr>
            <w:r>
              <w:rPr/>
              <w:t>Equipment repairs and maintenance costs increased by $0.5 million;</w:t>
            </w:r>
          </w:p>
        </w:tc>
      </w:tr>
    </w:tbl>
    <w:tbl>
      <w:tblPr>
        <w:tblW w:w="5000" w:type="pct"/>
        <w:jc w:val="left"/>
        <w:tblInd w:w="0" w:type="dxa"/>
        <w:tblLayout w:type="fixed"/>
        <w:tblCellMar>
          <w:top w:w="0" w:type="dxa"/>
          <w:left w:w="0" w:type="dxa"/>
          <w:bottom w:w="0" w:type="dxa"/>
          <w:right w:w="0" w:type="dxa"/>
        </w:tblCellMar>
      </w:tblPr>
      <w:tblGrid>
        <w:gridCol w:w="54"/>
        <w:gridCol w:w="245"/>
        <w:gridCol w:w="9906"/>
      </w:tblGrid>
      <w:tr>
        <w:trPr/>
        <w:tc>
          <w:tcPr>
            <w:tcW w:w="5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w:t>
            </w:r>
          </w:p>
        </w:tc>
        <w:tc>
          <w:tcPr>
            <w:tcW w:w="9906" w:type="dxa"/>
            <w:tcBorders/>
            <w:vAlign w:val="center"/>
          </w:tcPr>
          <w:p>
            <w:pPr>
              <w:pStyle w:val="TableContents"/>
              <w:bidi w:val="0"/>
              <w:spacing w:before="0" w:after="283"/>
              <w:jc w:val="both"/>
              <w:rPr/>
            </w:pPr>
            <w:r>
              <w:rPr/>
              <w:t>Transportation expenses increased $0.3 million due to higher fuel prices;</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 xml:space="preserve">Costs associated with the NJDEP PFOA customer notification process resulted in $0.2 million of additional expense (for further information on this matter, see </w:t>
            </w:r>
            <w:r>
              <w:rPr>
                <w:i/>
              </w:rPr>
              <w:t xml:space="preserve">Regulatory Notice of Non-Compliance </w:t>
            </w:r>
            <w:r>
              <w:rPr/>
              <w:t>above</w:t>
            </w:r>
            <w:r>
              <w:rPr>
                <w:i/>
              </w:rPr>
              <w:t>)</w:t>
            </w:r>
            <w:r>
              <w:rPr>
                <w:sz w:val="20"/>
              </w:rPr>
              <w:t xml:space="preserve">; </w:t>
            </w:r>
            <w:r>
              <w:rPr/>
              <w:t>and</w:t>
            </w:r>
          </w:p>
        </w:tc>
      </w:tr>
    </w:tbl>
    <w:tbl>
      <w:tblPr>
        <w:tblW w:w="5000" w:type="pct"/>
        <w:jc w:val="left"/>
        <w:tblInd w:w="0" w:type="dxa"/>
        <w:tblLayout w:type="fixed"/>
        <w:tblCellMar>
          <w:top w:w="0" w:type="dxa"/>
          <w:left w:w="0" w:type="dxa"/>
          <w:bottom w:w="0" w:type="dxa"/>
          <w:right w:w="0" w:type="dxa"/>
        </w:tblCellMar>
      </w:tblPr>
      <w:tblGrid>
        <w:gridCol w:w="50"/>
        <w:gridCol w:w="225"/>
        <w:gridCol w:w="9930"/>
      </w:tblGrid>
      <w:tr>
        <w:trPr/>
        <w:tc>
          <w:tcPr>
            <w:tcW w:w="5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w:t>
            </w:r>
          </w:p>
        </w:tc>
        <w:tc>
          <w:tcPr>
            <w:tcW w:w="9930" w:type="dxa"/>
            <w:tcBorders/>
            <w:vAlign w:val="center"/>
          </w:tcPr>
          <w:p>
            <w:pPr>
              <w:pStyle w:val="TableContents"/>
              <w:bidi w:val="0"/>
              <w:spacing w:before="0" w:after="283"/>
              <w:jc w:val="both"/>
              <w:rPr/>
            </w:pPr>
            <w:r>
              <w:rPr/>
              <w:t>All other operation and maintenance expense categories increased $0.1 million.</w:t>
            </w:r>
          </w:p>
        </w:tc>
      </w:tr>
    </w:tbl>
    <w:p>
      <w:pPr>
        <w:pStyle w:val="TextBody"/>
        <w:bidi w:val="0"/>
        <w:spacing w:before="0" w:after="0"/>
        <w:ind w:left="99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Depreciation</w:t>
      </w:r>
    </w:p>
    <w:p>
      <w:pPr>
        <w:pStyle w:val="TextBody"/>
        <w:bidi w:val="0"/>
        <w:spacing w:before="0" w:after="0"/>
        <w:ind w:left="0" w:right="0" w:firstLine="4065"/>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 for the year ended December 31, 2022 increased $1.9 million from the same period in 2021 due to a higher level of utility plant in 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taxes for the year ended December 31, 2022 increased $3.0 million from the same period in 2021 primarily due to higher revenue related taxes on increased revenues in our Middlesex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Gain on Sale of Subsidiary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Middlesex recognized a $5.2 million gain on the sale of its regulated Delaware wastewater subsidiary in January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Income,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net for the year ended December 31, 2022 increased $1.8 million from the same period in 2021 primarily due to higher actuarially-determined retirement benefit plans non-service benefit partially offset by lower AFUDC resulting from a reduced level of capital projects under construction.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Charges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charges for the year ended December 31, 2022 increased $1.3 million from the same period in 2021 due to higher average debt outstanding and higher average interest rates in 2022 as compared to 2021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taxes for the year ended December 31, 2022 increased by $8.7 million from the same period in 2021, primarily due to income taxes on the gain on the sale of a subsidiary and the expiration of income tax benefits associated with the adoption of Internal Revenue Service tangible property regulations as Middlesex was required by the NJBPU to account for the benefit of adopting these regulations over 48 months beginning in 2018. Partially offsetting these increases were greater income tax benefits associated with increased repair expenditures on tangible property in the Middlesex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33 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Net Income and Earnings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Net income for the year ended December 31, 2022 increased $5.9 million as compared with the same period in 2021. Basic earnings per share were $2.40 and $2.08 for the years ended December 31, 2022 and 2021, respectively. Diluted earnings per share were $2.39 and $2.07 for the years ended December 31, 2022 and 2021, respectively (for further discussion of Middlesex’s 2022 rate increase, see </w:t>
      </w:r>
      <w:r>
        <w:rPr>
          <w:rFonts w:ascii="Times New Roman;Times;Serif" w:hAnsi="Times New Roman;Times;Serif"/>
          <w:b w:val="false"/>
          <w:i/>
          <w:caps w:val="false"/>
          <w:smallCaps w:val="false"/>
          <w:sz w:val="20"/>
        </w:rPr>
        <w:t>Rates, Middlesex</w:t>
      </w:r>
      <w:r>
        <w:rPr>
          <w:rFonts w:ascii="Times New Roman;Times;Serif" w:hAnsi="Times New Roman;Times;Serif"/>
          <w:b w:val="false"/>
          <w:i w:val="false"/>
          <w:caps w:val="false"/>
          <w:smallCaps w:val="false"/>
          <w:sz w:val="20"/>
        </w:rPr>
        <w:t xml:space="preserve">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Liquidity and Capital Resources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Flows from Operating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flows from operating activities are largely influenced by four factors: weather, adequate and timely rate increases, effective cost management and customer growth. The effect of those factors on net income is discussed in the Results of Operations section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2023, cash flows from operating activities decreased $8.6 million to $52.8 million. The decrease in cash flows from operating activities primarily resulted from lower net income and higher interest payments.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Increases in certain operating costs impact our liquidity and capital resources. We continually monitor the need for timely rate filing to minimize the lag between the time we experience increased operating costs and capital expenditures and the time we receive appropriate rate relief. There can be no assurances however that our regulated subsidiaries’ respective utility commissions will approve base water and/or wastewater rate increase requests in whole or in part or when the decisions will be rendered.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Flows from Investing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2023, cash flows used in investing activities increased $2.0 million to $90.2 million, which was attributable to cash received from the sale of Middlesex’s regulated wastewater subsidiary in January 2022 partially offset by lower utility plant expenditures.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further discussion on the Company’s future capital expenditures and expected funding sources, see “</w:t>
      </w:r>
      <w:r>
        <w:rPr>
          <w:rFonts w:ascii="Times New Roman;Times;Serif" w:hAnsi="Times New Roman;Times;Serif"/>
          <w:b w:val="false"/>
          <w:i/>
          <w:caps w:val="false"/>
          <w:smallCaps w:val="false"/>
          <w:sz w:val="20"/>
        </w:rPr>
        <w:t>Capital Expenditures and Commitments</w:t>
      </w:r>
      <w:r>
        <w:rPr>
          <w:rFonts w:ascii="Times New Roman;Times;Serif" w:hAnsi="Times New Roman;Times;Serif"/>
          <w:b w:val="false"/>
          <w:i w:val="false"/>
          <w:caps w:val="false"/>
          <w:smallCaps w:val="false"/>
          <w:sz w:val="20"/>
        </w:rPr>
        <w:t>”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Flows from Financing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2023, cash flows provided by financing activities increased $8.8 million to $36.0 million. The increase in cash flows provided by financing activities is due to an increase in net borrowings and higher proceeds from the issuance of common stock under the Investment Plan partially offset by increased common stock dividend payments.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further discussion on the Company’s short-term and long-term debt, see “</w:t>
      </w:r>
      <w:r>
        <w:rPr>
          <w:rFonts w:ascii="Times New Roman;Times;Serif" w:hAnsi="Times New Roman;Times;Serif"/>
          <w:b w:val="false"/>
          <w:i/>
          <w:caps w:val="false"/>
          <w:smallCaps w:val="false"/>
          <w:sz w:val="20"/>
        </w:rPr>
        <w:t>Sources of Liquidity</w:t>
      </w:r>
      <w:r>
        <w:rPr>
          <w:rFonts w:ascii="Times New Roman;Times;Serif" w:hAnsi="Times New Roman;Times;Serif"/>
          <w:b w:val="false"/>
          <w:i w:val="false"/>
          <w:caps w:val="false"/>
          <w:smallCaps w:val="false"/>
          <w:sz w:val="20"/>
        </w:rPr>
        <w:t>”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Capital Expenditures and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fund our capital program, we use internally generated funds, short-term and long-term debt borrowings, proceeds from sales of common stock under the Investment Plan and, when market conditions are favorable, proceeds from sales to the public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34 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summarizes our estimated capital expenditures for the years 2024-2026.</w:t>
      </w:r>
    </w:p>
    <w:p>
      <w:pPr>
        <w:pStyle w:val="TextBody"/>
        <w:bidi w:val="0"/>
        <w:spacing w:before="0" w:after="0"/>
        <w:ind w:left="0" w:right="0" w:hanging="0"/>
        <w:jc w:val="both"/>
        <w:rPr>
          <w:caps w:val="false"/>
          <w:smallCaps w:val="false"/>
        </w:rPr>
      </w:pPr>
      <w:r>
        <w:rPr>
          <w:caps w:val="false"/>
          <w:smallCaps w:val="false"/>
        </w:rPr>
        <w:t> </w:t>
      </w:r>
    </w:p>
    <w:tbl>
      <w:tblPr>
        <w:tblW w:w="6939" w:type="dxa"/>
        <w:jc w:val="left"/>
        <w:tblInd w:w="0" w:type="dxa"/>
        <w:tblLayout w:type="fixed"/>
        <w:tblCellMar>
          <w:top w:w="0" w:type="dxa"/>
          <w:left w:w="0" w:type="dxa"/>
          <w:bottom w:w="0" w:type="dxa"/>
          <w:right w:w="0" w:type="dxa"/>
        </w:tblCellMar>
      </w:tblPr>
      <w:tblGrid>
        <w:gridCol w:w="3890"/>
        <w:gridCol w:w="60"/>
        <w:gridCol w:w="175"/>
        <w:gridCol w:w="325"/>
        <w:gridCol w:w="60"/>
        <w:gridCol w:w="60"/>
        <w:gridCol w:w="175"/>
        <w:gridCol w:w="325"/>
        <w:gridCol w:w="60"/>
        <w:gridCol w:w="60"/>
        <w:gridCol w:w="175"/>
        <w:gridCol w:w="325"/>
        <w:gridCol w:w="60"/>
        <w:gridCol w:w="60"/>
        <w:gridCol w:w="282"/>
        <w:gridCol w:w="772"/>
        <w:gridCol w:w="75"/>
      </w:tblGrid>
      <w:tr>
        <w:trPr/>
        <w:tc>
          <w:tcPr>
            <w:tcW w:w="38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914" w:type="dxa"/>
            <w:gridSpan w:val="14"/>
            <w:tcBorders/>
            <w:vAlign w:val="center"/>
          </w:tcPr>
          <w:p>
            <w:pPr>
              <w:pStyle w:val="TableContents"/>
              <w:bidi w:val="0"/>
              <w:spacing w:before="0" w:after="283"/>
              <w:jc w:val="center"/>
              <w:rPr>
                <w:b/>
              </w:rPr>
            </w:pPr>
            <w:r>
              <w:rPr>
                <w:b/>
              </w:rPr>
              <w:t>(Millions)</w:t>
            </w:r>
          </w:p>
        </w:tc>
        <w:tc>
          <w:tcPr>
            <w:tcW w:w="75" w:type="dxa"/>
            <w:tcBorders/>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center"/>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0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2024-2026</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283"/>
              <w:jc w:val="left"/>
              <w:rPr/>
            </w:pPr>
            <w:r>
              <w:rPr/>
              <w:t>Distribution/Network System</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325" w:type="dxa"/>
            <w:tcBorders/>
            <w:shd w:fill="CCEEFF" w:val="clear"/>
            <w:vAlign w:val="center"/>
          </w:tcPr>
          <w:p>
            <w:pPr>
              <w:pStyle w:val="TableContents"/>
              <w:bidi w:val="0"/>
              <w:spacing w:before="0" w:after="283"/>
              <w:jc w:val="right"/>
              <w:rPr/>
            </w:pPr>
            <w:r>
              <w:rPr/>
              <w:t>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325" w:type="dxa"/>
            <w:tcBorders/>
            <w:shd w:fill="CCEEFF" w:val="clear"/>
            <w:vAlign w:val="center"/>
          </w:tcPr>
          <w:p>
            <w:pPr>
              <w:pStyle w:val="TableContents"/>
              <w:bidi w:val="0"/>
              <w:spacing w:before="0" w:after="283"/>
              <w:jc w:val="right"/>
              <w:rPr/>
            </w:pPr>
            <w:r>
              <w:rPr/>
              <w:t>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325" w:type="dxa"/>
            <w:tcBorders/>
            <w:shd w:fill="CCEEFF" w:val="clear"/>
            <w:vAlign w:val="center"/>
          </w:tcPr>
          <w:p>
            <w:pPr>
              <w:pStyle w:val="TableContents"/>
              <w:bidi w:val="0"/>
              <w:spacing w:before="0" w:after="283"/>
              <w:jc w:val="right"/>
              <w:rPr/>
            </w:pPr>
            <w:r>
              <w:rPr/>
              <w:t>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w:t>
            </w:r>
          </w:p>
        </w:tc>
        <w:tc>
          <w:tcPr>
            <w:tcW w:w="772" w:type="dxa"/>
            <w:tcBorders/>
            <w:shd w:fill="CCEEFF" w:val="clear"/>
            <w:vAlign w:val="center"/>
          </w:tcPr>
          <w:p>
            <w:pPr>
              <w:pStyle w:val="TableContents"/>
              <w:bidi w:val="0"/>
              <w:spacing w:before="0" w:after="283"/>
              <w:jc w:val="right"/>
              <w:rPr/>
            </w:pPr>
            <w:r>
              <w:rPr/>
              <w:t>148</w:t>
            </w:r>
          </w:p>
        </w:tc>
        <w:tc>
          <w:tcPr>
            <w:tcW w:w="75" w:type="dxa"/>
            <w:tcBorders/>
            <w:shd w:fill="CCEEFF" w:val="clear"/>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pPr>
            <w:r>
              <w:rPr/>
              <w:t>Production System</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325" w:type="dxa"/>
            <w:tcBorders/>
            <w:vAlign w:val="center"/>
          </w:tcPr>
          <w:p>
            <w:pPr>
              <w:pStyle w:val="TableContents"/>
              <w:bidi w:val="0"/>
              <w:spacing w:before="0" w:after="283"/>
              <w:jc w:val="right"/>
              <w:rPr/>
            </w:pPr>
            <w:r>
              <w:rPr/>
              <w:t>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325" w:type="dxa"/>
            <w:tcBorders/>
            <w:vAlign w:val="center"/>
          </w:tcPr>
          <w:p>
            <w:pPr>
              <w:pStyle w:val="TableContents"/>
              <w:bidi w:val="0"/>
              <w:spacing w:before="0" w:after="283"/>
              <w:jc w:val="right"/>
              <w:rPr/>
            </w:pPr>
            <w:r>
              <w:rPr/>
              <w:t>18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325" w:type="dxa"/>
            <w:tcBorders/>
            <w:vAlign w:val="center"/>
          </w:tcPr>
          <w:p>
            <w:pPr>
              <w:pStyle w:val="TableContents"/>
              <w:bidi w:val="0"/>
              <w:spacing w:before="0" w:after="283"/>
              <w:jc w:val="right"/>
              <w:rPr/>
            </w:pPr>
            <w:r>
              <w:rPr/>
              <w:t>11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jc w:val="left"/>
              <w:rPr/>
            </w:pPr>
            <w:r>
              <w:rPr/>
              <w:t> </w:t>
            </w:r>
          </w:p>
        </w:tc>
        <w:tc>
          <w:tcPr>
            <w:tcW w:w="772" w:type="dxa"/>
            <w:tcBorders/>
            <w:vAlign w:val="center"/>
          </w:tcPr>
          <w:p>
            <w:pPr>
              <w:pStyle w:val="TableContents"/>
              <w:bidi w:val="0"/>
              <w:spacing w:before="0" w:after="283"/>
              <w:jc w:val="right"/>
              <w:rPr/>
            </w:pPr>
            <w:r>
              <w:rPr/>
              <w:t>52</w:t>
            </w:r>
          </w:p>
        </w:tc>
        <w:tc>
          <w:tcPr>
            <w:tcW w:w="75" w:type="dxa"/>
            <w:tcBorders/>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283"/>
              <w:jc w:val="left"/>
              <w:rPr/>
            </w:pPr>
            <w:r>
              <w:rPr/>
              <w:t>Information Technology (IT) Systems</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325" w:type="dxa"/>
            <w:tcBorders/>
            <w:shd w:fill="CCEEFF" w:val="clear"/>
            <w:vAlign w:val="center"/>
          </w:tcPr>
          <w:p>
            <w:pPr>
              <w:pStyle w:val="TableContents"/>
              <w:bidi w:val="0"/>
              <w:spacing w:before="0" w:after="283"/>
              <w:jc w:val="right"/>
              <w:rPr/>
            </w:pPr>
            <w:r>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325" w:type="dxa"/>
            <w:tcBorders/>
            <w:shd w:fill="CCEEFF" w:val="clear"/>
            <w:vAlign w:val="center"/>
          </w:tcPr>
          <w:p>
            <w:pPr>
              <w:pStyle w:val="TableContents"/>
              <w:bidi w:val="0"/>
              <w:spacing w:before="0" w:after="283"/>
              <w:jc w:val="right"/>
              <w:rPr/>
            </w:pPr>
            <w:r>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325" w:type="dxa"/>
            <w:tcBorders/>
            <w:shd w:fill="CCEEFF" w:val="clear"/>
            <w:vAlign w:val="center"/>
          </w:tcPr>
          <w:p>
            <w:pPr>
              <w:pStyle w:val="TableContents"/>
              <w:bidi w:val="0"/>
              <w:spacing w:before="0" w:after="283"/>
              <w:jc w:val="right"/>
              <w:rPr/>
            </w:pPr>
            <w:r>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283"/>
              <w:jc w:val="right"/>
              <w:rPr/>
            </w:pPr>
            <w:r>
              <w:rPr/>
              <w:t>8</w:t>
            </w:r>
          </w:p>
        </w:tc>
        <w:tc>
          <w:tcPr>
            <w:tcW w:w="75" w:type="dxa"/>
            <w:tcBorders/>
            <w:shd w:fill="CCEEFF" w:val="clear"/>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pPr>
            <w:r>
              <w:rPr/>
              <w:t>Other</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75" w:type="dxa"/>
            <w:tcBorders>
              <w:bottom w:val="single" w:sz="8" w:space="0" w:color="000000"/>
            </w:tcBorders>
            <w:tcMar>
              <w:bottom w:w="28" w:type="dxa"/>
            </w:tcMar>
            <w:vAlign w:val="center"/>
          </w:tcPr>
          <w:p>
            <w:pPr>
              <w:pStyle w:val="TableContents"/>
              <w:bidi w:val="0"/>
              <w:spacing w:before="0" w:after="283"/>
              <w:jc w:val="left"/>
              <w:rPr/>
            </w:pPr>
            <w:r>
              <w:rPr/>
              <w:t> </w:t>
            </w:r>
          </w:p>
        </w:tc>
        <w:tc>
          <w:tcPr>
            <w:tcW w:w="325" w:type="dxa"/>
            <w:tcBorders>
              <w:bottom w:val="single" w:sz="8" w:space="0" w:color="000000"/>
            </w:tcBorders>
            <w:tcMar>
              <w:bottom w:w="28" w:type="dxa"/>
            </w:tcMar>
            <w:vAlign w:val="center"/>
          </w:tcPr>
          <w:p>
            <w:pPr>
              <w:pStyle w:val="TableContents"/>
              <w:bidi w:val="0"/>
              <w:spacing w:before="0" w:after="283"/>
              <w:jc w:val="right"/>
              <w:rPr/>
            </w:pPr>
            <w:r>
              <w:rPr/>
              <w:t>6</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75" w:type="dxa"/>
            <w:tcBorders>
              <w:bottom w:val="single" w:sz="8" w:space="0" w:color="000000"/>
            </w:tcBorders>
            <w:tcMar>
              <w:bottom w:w="28" w:type="dxa"/>
            </w:tcMar>
            <w:vAlign w:val="center"/>
          </w:tcPr>
          <w:p>
            <w:pPr>
              <w:pStyle w:val="TableContents"/>
              <w:bidi w:val="0"/>
              <w:spacing w:before="0" w:after="283"/>
              <w:jc w:val="left"/>
              <w:rPr/>
            </w:pPr>
            <w:r>
              <w:rPr/>
              <w:t> </w:t>
            </w:r>
          </w:p>
        </w:tc>
        <w:tc>
          <w:tcPr>
            <w:tcW w:w="325" w:type="dxa"/>
            <w:tcBorders>
              <w:bottom w:val="single" w:sz="8" w:space="0" w:color="000000"/>
            </w:tcBorders>
            <w:tcMar>
              <w:bottom w:w="28" w:type="dxa"/>
            </w:tcMar>
            <w:vAlign w:val="center"/>
          </w:tcPr>
          <w:p>
            <w:pPr>
              <w:pStyle w:val="TableContents"/>
              <w:bidi w:val="0"/>
              <w:spacing w:before="0" w:after="283"/>
              <w:jc w:val="right"/>
              <w:rPr/>
            </w:pPr>
            <w:r>
              <w:rPr/>
              <w:t>6</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75" w:type="dxa"/>
            <w:tcBorders>
              <w:bottom w:val="single" w:sz="8" w:space="0" w:color="000000"/>
            </w:tcBorders>
            <w:tcMar>
              <w:bottom w:w="28" w:type="dxa"/>
            </w:tcMar>
            <w:vAlign w:val="center"/>
          </w:tcPr>
          <w:p>
            <w:pPr>
              <w:pStyle w:val="TableContents"/>
              <w:bidi w:val="0"/>
              <w:spacing w:before="0" w:after="283"/>
              <w:jc w:val="left"/>
              <w:rPr/>
            </w:pPr>
            <w:r>
              <w:rPr/>
              <w:t> </w:t>
            </w:r>
          </w:p>
        </w:tc>
        <w:tc>
          <w:tcPr>
            <w:tcW w:w="325" w:type="dxa"/>
            <w:tcBorders>
              <w:bottom w:val="single" w:sz="8" w:space="0" w:color="000000"/>
            </w:tcBorders>
            <w:tcMar>
              <w:bottom w:w="28" w:type="dxa"/>
            </w:tcMar>
            <w:vAlign w:val="center"/>
          </w:tcPr>
          <w:p>
            <w:pPr>
              <w:pStyle w:val="TableContents"/>
              <w:bidi w:val="0"/>
              <w:spacing w:before="0" w:after="283"/>
              <w:jc w:val="right"/>
              <w:rPr/>
            </w:pPr>
            <w:r>
              <w:rPr/>
              <w:t>6</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82" w:type="dxa"/>
            <w:tcBorders>
              <w:bottom w:val="single" w:sz="8" w:space="0" w:color="000000"/>
            </w:tcBorders>
            <w:tcMar>
              <w:bottom w:w="28" w:type="dxa"/>
            </w:tcMar>
            <w:vAlign w:val="center"/>
          </w:tcPr>
          <w:p>
            <w:pPr>
              <w:pStyle w:val="TableContents"/>
              <w:bidi w:val="0"/>
              <w:spacing w:before="0" w:after="283"/>
              <w:jc w:val="left"/>
              <w:rPr/>
            </w:pPr>
            <w:r>
              <w:rPr/>
              <w:t> </w:t>
            </w:r>
          </w:p>
        </w:tc>
        <w:tc>
          <w:tcPr>
            <w:tcW w:w="772" w:type="dxa"/>
            <w:tcBorders>
              <w:bottom w:val="single" w:sz="8" w:space="0" w:color="000000"/>
            </w:tcBorders>
            <w:tcMar>
              <w:bottom w:w="28" w:type="dxa"/>
            </w:tcMar>
            <w:vAlign w:val="center"/>
          </w:tcPr>
          <w:p>
            <w:pPr>
              <w:pStyle w:val="TableContents"/>
              <w:bidi w:val="0"/>
              <w:spacing w:before="0" w:after="283"/>
              <w:jc w:val="right"/>
              <w:rPr/>
            </w:pPr>
            <w:r>
              <w:rPr/>
              <w:t>18</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283"/>
              <w:jc w:val="left"/>
              <w:rPr>
                <w:b/>
              </w:rPr>
            </w:pPr>
            <w:r>
              <w:rPr>
                <w:b/>
              </w:rPr>
              <w:t>Total Estimated Capital Expenditures</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325" w:type="dxa"/>
            <w:tcBorders>
              <w:bottom w:val="single" w:sz="8" w:space="0" w:color="000000"/>
            </w:tcBorders>
            <w:shd w:fill="CCEEFF" w:val="clear"/>
            <w:tcMar>
              <w:bottom w:w="28" w:type="dxa"/>
            </w:tcMar>
            <w:vAlign w:val="center"/>
          </w:tcPr>
          <w:p>
            <w:pPr>
              <w:pStyle w:val="TableContents"/>
              <w:bidi w:val="0"/>
              <w:spacing w:before="0" w:after="283"/>
              <w:jc w:val="right"/>
              <w:rPr/>
            </w:pPr>
            <w:r>
              <w:rPr/>
              <w:t>75</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325" w:type="dxa"/>
            <w:tcBorders>
              <w:bottom w:val="single" w:sz="8" w:space="0" w:color="000000"/>
            </w:tcBorders>
            <w:shd w:fill="CCEEFF" w:val="clear"/>
            <w:tcMar>
              <w:bottom w:w="28" w:type="dxa"/>
            </w:tcMar>
            <w:vAlign w:val="center"/>
          </w:tcPr>
          <w:p>
            <w:pPr>
              <w:pStyle w:val="TableContents"/>
              <w:bidi w:val="0"/>
              <w:spacing w:before="0" w:after="283"/>
              <w:jc w:val="right"/>
              <w:rPr/>
            </w:pPr>
            <w:r>
              <w:rPr/>
              <w:t>81</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325" w:type="dxa"/>
            <w:tcBorders>
              <w:bottom w:val="single" w:sz="8" w:space="0" w:color="000000"/>
            </w:tcBorders>
            <w:shd w:fill="CCEEFF" w:val="clear"/>
            <w:tcMar>
              <w:bottom w:w="28" w:type="dxa"/>
            </w:tcMar>
            <w:vAlign w:val="center"/>
          </w:tcPr>
          <w:p>
            <w:pPr>
              <w:pStyle w:val="TableContents"/>
              <w:bidi w:val="0"/>
              <w:spacing w:before="0" w:after="283"/>
              <w:jc w:val="right"/>
              <w:rPr/>
            </w:pPr>
            <w:r>
              <w:rPr/>
              <w:t>70</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82"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772" w:type="dxa"/>
            <w:tcBorders>
              <w:bottom w:val="single" w:sz="8" w:space="0" w:color="000000"/>
            </w:tcBorders>
            <w:shd w:fill="CCEEFF" w:val="clear"/>
            <w:tcMar>
              <w:bottom w:w="28" w:type="dxa"/>
            </w:tcMar>
            <w:vAlign w:val="center"/>
          </w:tcPr>
          <w:p>
            <w:pPr>
              <w:pStyle w:val="TableContents"/>
              <w:bidi w:val="0"/>
              <w:spacing w:before="0" w:after="283"/>
              <w:jc w:val="right"/>
              <w:rPr/>
            </w:pPr>
            <w:r>
              <w:rPr/>
              <w:t>226</w:t>
            </w:r>
          </w:p>
        </w:tc>
        <w:tc>
          <w:tcPr>
            <w:tcW w:w="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estimated capital expenditures for the items listed above are primarily comprised of the following:</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u w:val="single"/>
              </w:rPr>
              <w:t>Distribution/Network System</w:t>
            </w:r>
            <w:r>
              <w:rPr/>
              <w:t xml:space="preserve"> - Includes projects associated with replacement, installation and relocation of water mains and service lines and wastewater collection systems, construction of water storage tanks, installation and replacement of hydrants, meters and meter pits and the RENEW Program. RENEW is our ongoing initiative to replace water mains in the Middlesex System. In connection with RENEW, we expect to spend approximately $11 million in each of 2024 and 2025, and $12 million in 2026.</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u w:val="single"/>
              </w:rPr>
              <w:t>Production System</w:t>
            </w:r>
            <w:r>
              <w:rPr/>
              <w:t xml:space="preserve"> - Includes projects associated with our treatment plants, including approximately $2.0 million of expenditures for PFAS treatment upgrades and $6.8 million for replacement of existing motor control center and electrical distribution equipment in our Middlesex system, and $3.6 million of various treatment projects in our Tidewater system in 2024.</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u w:val="single"/>
              </w:rPr>
              <w:t>Information Technology (IT) Systems</w:t>
            </w:r>
            <w:r>
              <w:rPr/>
              <w:t xml:space="preserve"> - Includes further upgrade of our enterprise resource planning system and hardware and software purchases for other IT systems.</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u w:val="single"/>
              </w:rPr>
              <w:t>Other</w:t>
            </w:r>
            <w:r>
              <w:rPr/>
              <w:t xml:space="preserve"> - Includes purchase of transportation equipment, tools, furniture, laboratory equipment, security systems and other general infrastructure needs including improvements to field and inventory management facilities in Iselin, New Jersey.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actual amount and timing of capital expenditures is dependent on the need for replacement of existing infrastructure, customer growth, residential new home construction and sales, project scheduling and continued refinement of project scope and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pay for our capital program in 2024, we estimate we will utilize some or all of the following:</w:t>
      </w:r>
    </w:p>
    <w:tbl>
      <w:tblPr>
        <w:tblW w:w="5000" w:type="pct"/>
        <w:jc w:val="left"/>
        <w:tblInd w:w="0" w:type="dxa"/>
        <w:tblLayout w:type="fixed"/>
        <w:tblCellMar>
          <w:top w:w="0" w:type="dxa"/>
          <w:left w:w="0" w:type="dxa"/>
          <w:bottom w:w="0" w:type="dxa"/>
          <w:right w:w="0" w:type="dxa"/>
        </w:tblCellMar>
      </w:tblPr>
      <w:tblGrid>
        <w:gridCol w:w="140"/>
        <w:gridCol w:w="628"/>
        <w:gridCol w:w="9437"/>
      </w:tblGrid>
      <w:tr>
        <w:trPr/>
        <w:tc>
          <w:tcPr>
            <w:tcW w:w="140"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pPr>
            <w:r>
              <w:rPr/>
              <w:t>●</w:t>
            </w:r>
          </w:p>
        </w:tc>
        <w:tc>
          <w:tcPr>
            <w:tcW w:w="9437" w:type="dxa"/>
            <w:tcBorders/>
            <w:vAlign w:val="center"/>
          </w:tcPr>
          <w:p>
            <w:pPr>
              <w:pStyle w:val="TableContents"/>
              <w:bidi w:val="0"/>
              <w:spacing w:before="0" w:after="283"/>
              <w:jc w:val="both"/>
              <w:rPr/>
            </w:pPr>
            <w:r>
              <w:rPr/>
              <w:t>Internally generated funds;</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Short-term borrowings, as needed, through $140 million of available lines of credit with several financial institutions. As of December 31, 2023, $42.8 million was outstanding under these lines of credit (see discussion under “</w:t>
            </w:r>
            <w:r>
              <w:rPr>
                <w:i/>
              </w:rPr>
              <w:t>Sources of Liquidity-Short-term Debt</w:t>
            </w:r>
            <w:r>
              <w:rPr/>
              <w:t>” below);</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Proceeds from the Delaware State Revolving Fund (SRF) Program. SRF programs provide low cost financing for projects meeting certain water quality and system improvement benchmarks (see discussion under “</w:t>
            </w:r>
            <w:r>
              <w:rPr>
                <w:i/>
              </w:rPr>
              <w:t>Sources of Liquidity-Long-term Debt</w:t>
            </w:r>
            <w:r>
              <w:rPr/>
              <w:t>” below);</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Proceeds from other long-term borrowings (see discussion under “</w:t>
            </w:r>
            <w:r>
              <w:rPr>
                <w:i/>
              </w:rPr>
              <w:t>Sources of Liquidity-Long-term Debt</w:t>
            </w:r>
            <w:r>
              <w:rPr/>
              <w:t>” below); and</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Proceeds from common stock sales through the Middlesex Water Company Investment Plan (the Investment Plan) (see discussion under “</w:t>
            </w:r>
            <w:r>
              <w:rPr>
                <w:i/>
              </w:rPr>
              <w:t>Sources of Liquidity-Common Stock</w:t>
            </w:r>
            <w:r>
              <w:rPr/>
              <w:t>” below).</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Sources of 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Short-term Debt</w:t>
      </w:r>
      <w:r>
        <w:rPr>
          <w:rFonts w:ascii="Times New Roman;Times;Serif" w:hAnsi="Times New Roman;Times;Serif"/>
          <w:b w:val="false"/>
          <w:i w:val="false"/>
          <w:caps w:val="false"/>
          <w:smallCaps w:val="false"/>
          <w:strike w:val="false"/>
          <w:dstrike w:val="false"/>
          <w:sz w:val="20"/>
          <w:u w:val="none"/>
          <w:effect w:val="none"/>
        </w:rPr>
        <w:t xml:space="preserve"> - In January 2022, the Company increased available lines of credit from $110 million to $140 million. The outstanding borrowings under the credit lines at December 31, 2023 were $42.8 million, at a weighted average interest rate of 6.50%.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weighted average daily amounts of borrowings outstanding under the credit lines and the weighted average interest rates on those amounts were $35.7 million and $28.9 million at 6.13% and 3.34 % for the years ended December 31, 2023 and 2022,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Long-term Debt</w:t>
      </w:r>
      <w:r>
        <w:rPr>
          <w:rFonts w:ascii="Times New Roman;Times;Serif" w:hAnsi="Times New Roman;Times;Serif"/>
          <w:b w:val="false"/>
          <w:i w:val="false"/>
          <w:caps w:val="false"/>
          <w:smallCaps w:val="false"/>
          <w:sz w:val="20"/>
        </w:rPr>
        <w:t xml:space="preserve"> - Subject to regulatory approval, the Company periodically issues long-term debt to fund investments in utility plant. To the extent possible and fiscally prudent, the Company finances qualifying capital projects under SRF loan programs in New Jersey and Delaware. These government programs provide financing at interest rates typically below rates available in the broader financial markets. A portion of the borrowings under the New Jersey SRF is interest-free.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New Jersey SRF program, borrowers first enter into a construction loan agreement with the New Jersey Infrastructure Bank (NJIB) and submit requisitions for cost reimbursements over the life of the construction period. When construction on the qualifying project is substantially complete, NJIB will coordinate the conversion of the construction loan into a long-term securitized loan with a portion of the principal balance having a stated interest rate of zero percent (0%) and a portion of the principal balance at a market interest rate at the time of closing using the credit rating of the State of New Jersey. As a result of revised project funding priority ranking for the NJIB SRF Program, the Company has no current projects in the NJIB SRF program. However, it is seeking to have Middlesex’s LSLR Project added to the qualified list in order to borrow under the NJIB SRF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SRF program, borrowers typically 1) enter into a long-term note agreement for a term not to exceed twenty years, 2) submit requisitions for cost reimbursements during the construction period for up to two years after the agreement is executed and 3) as the proceeds are received from the requisitions, Tidewater records a corresponding debt obligation amount.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2023, Middlesex received approval from the NJBPU to borrow up to $300.0 million from the New Jersey SRF Program, the New Jersey Economic Development Authority, private placement and other financial institutions as needed through December 31, 2025. The Company may issue debt securities in a series of one or more transaction offerings to help fund Middlesex’s multi-year capital construction program.</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2023, Middlesex closed on a $40.0 million, 5.24% private placement of First Mortgage Bonds (FMBs) with a 2043 maturity date designated as Series 2023A. Proceeds were used to reduce the Company’s outstanding balances under its bank lines of credit.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2022, Middlesex repaid its two outstanding NJIB construction loans by issuing FMBs to the NJIB under two loan agreements. The total amount of FMBs issued is $52.2 million and designated as Series 2022A ($16.2 million) and Series 2022B ($36.0 million). The interest rate on the Series 2022A bond is zero and the interest rate on the Series 2022B bond ranges between 2.7% and 3.0%. The final maturity date for both FMBs is August 1, 2056, with scheduled debt service payments over the life of these loans.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2021, Middlesex closed on a $19.5 million, 2.79% private placement of FMBs with a 2041 maturity date designated as Series 2021A. Proceeds were used to reduce the Company’s outstanding balances under its lines of credit.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2021, Middlesex received approval from the NJBPU to redeem up to $45.5 million of outstanding FMBs, specifically Series RR ($22.5 million) and Series SS ($23.0 million), and issue replacement FMBs at an overall lower cost of debt. In November 2021, Middlesex closed on a $45.5 million, 2.90% private placement of FMBs, designated as Series 2021B with a 2051 maturity date to effectuate the redemptions.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2023, Tidewater closed on a $20.0 million loan from CoBank, ACB (CoBank) with an interest rate of 5.71% and a 2033 maturity date and fully drew all funds by June 30, 2023. Proceeds from the loan were used to pay off Tidewater’s outstanding balances under its bank lines of credit and for other general corporate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2023, Tidewater closed on three DEPSC-approved Delaware SRF loans totaling $10.2 million, all at interest rates of 2.0% with maturity dates in 2043 and 2044. These loans are for the construction, relocation, improvement, and/or interconnection of transmission mains. Tidewater has drawn a total of $6.1 million through December 31, 2023 and expects that the requisitions will continue through mid-2025.</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2021, Tidewater closed on a DEPSC-approved $5.0 million Delaware SRF loan at an interest rate of 2.0%. The loan was for construction of a one million gallon elevated storage tank. Through December 31, 2023, Tidewater has drawn a total of $4.8 million and expects that the requisitions will continue through the first quarter of 2024. The final maturity date on the loan is 2044.</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2021, Tidewater completed its $20 million secured borrowing with CoBank, at an interest rate of 3.94% and a 2046 maturity date. Proceeds from the loan were used to pay off its outstanding balances under its bank lines of credit.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2023, Pinelands Water and Pinelands Wastewater closed on $3.9 million and $3.6 million CoBank amortizing mortgage type loans, respectively, with an interest rate of 6.17% and a final maturity date of 2043 for each loan. Proceeds were used to pay off outstanding intercompany loans with Middlesex and for ongoing capital projects.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Substantially all of the utility plant of the Company is subject to the lien of its mortgage, which includes debt service and capital ratio covenants. The Company is in compliance with all of its mortgage covenants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xml:space="preserve"> - The Company issues shares of its common stock in connection with the Investment Plan, a direct share purchase and dividend reinvestment plan for the Company’s common stock. The Company raised approximately $12.1 million through the issuance of shares under the Investment Plan during 2023. In May 2023, Middlesex received approval from the NJBPU to increase the number of authorized shares under the Investment Plan by 0.7 million shares. Currently, 0.7 million shares remain registered with the United States Securities and Exchange Commission and available for issuance to participants under the Investment Plan. On March 1, 2023, the Company began offering shares of its common stock for purchase at a 3% discount to participants in the Investment Plan. The discount offering ended December 1, 2023.  The discount applied to all common stock purchases made under the Investment Plan during that time period, whether by optional cash payment or by dividend reinvestment.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fully fund the ongoing capital investment program and maintain a balanced capital structure required for a regulated water utility, Middlesex may offer for sale additional shares of its common stock. The amount, the timing and the sales method of the common stock is dependent on the timing of the construction expenditures, the level of additional debt financing and financial market conditions. Common stock offerings will occur as needed to maintain a balanced capital structure as we continue on a parallel path with future debt offerings.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2023, Middlesex received approval from the NJBPU to issue and sell up to 1.0 million shares of its common stock, without par value, through December 31, 2025. Sales of additional shares of common stock are part of the Company’s comprehensive financing plan to fund its multi-year utility plant infrastructure investment program. As described above in “Long-term Debt”, the NJBPU also approved the debt funding component of the financing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Contractual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course of normal business activities, the Company enters into a variety of contractual obligations and commercial commitments. Some result in direct obligations on the Company’s balance sheet while others are commitments, some firm and some based on uncertainties, which are disclosed in the Company’s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37 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presents our known contractual obligations for the periods specified as of December 31, 2023.</w:t>
      </w:r>
    </w:p>
    <w:p>
      <w:pPr>
        <w:pStyle w:val="TextBody"/>
        <w:bidi w:val="0"/>
        <w:spacing w:before="0" w:after="0"/>
        <w:ind w:left="0" w:right="0" w:hanging="0"/>
        <w:jc w:val="both"/>
        <w:rPr>
          <w:caps w:val="false"/>
          <w:smallCaps w:val="false"/>
        </w:rPr>
      </w:pPr>
      <w:r>
        <w:rPr>
          <w:caps w:val="false"/>
          <w:smallCaps w:val="false"/>
        </w:rPr>
        <w:t> </w:t>
      </w:r>
    </w:p>
    <w:tbl>
      <w:tblPr>
        <w:tblW w:w="8261" w:type="dxa"/>
        <w:jc w:val="left"/>
        <w:tblInd w:w="0" w:type="dxa"/>
        <w:tblLayout w:type="fixed"/>
        <w:tblCellMar>
          <w:top w:w="0" w:type="dxa"/>
          <w:left w:w="0" w:type="dxa"/>
          <w:bottom w:w="0" w:type="dxa"/>
          <w:right w:w="0" w:type="dxa"/>
        </w:tblCellMar>
      </w:tblPr>
      <w:tblGrid>
        <w:gridCol w:w="2705"/>
        <w:gridCol w:w="60"/>
        <w:gridCol w:w="150"/>
        <w:gridCol w:w="410"/>
        <w:gridCol w:w="60"/>
        <w:gridCol w:w="60"/>
        <w:gridCol w:w="431"/>
        <w:gridCol w:w="803"/>
        <w:gridCol w:w="60"/>
        <w:gridCol w:w="60"/>
        <w:gridCol w:w="348"/>
        <w:gridCol w:w="646"/>
        <w:gridCol w:w="60"/>
        <w:gridCol w:w="60"/>
        <w:gridCol w:w="348"/>
        <w:gridCol w:w="646"/>
        <w:gridCol w:w="60"/>
        <w:gridCol w:w="60"/>
        <w:gridCol w:w="310"/>
        <w:gridCol w:w="849"/>
        <w:gridCol w:w="75"/>
      </w:tblGrid>
      <w:tr>
        <w:trPr/>
        <w:tc>
          <w:tcPr>
            <w:tcW w:w="27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421" w:type="dxa"/>
            <w:gridSpan w:val="18"/>
            <w:tcBorders/>
            <w:vAlign w:val="center"/>
          </w:tcPr>
          <w:p>
            <w:pPr>
              <w:pStyle w:val="TableContents"/>
              <w:bidi w:val="0"/>
              <w:spacing w:before="0" w:after="283"/>
              <w:jc w:val="center"/>
              <w:rPr>
                <w:b/>
              </w:rPr>
            </w:pPr>
            <w:r>
              <w:rPr>
                <w:b/>
              </w:rPr>
              <w:t>Payment Due by Period</w:t>
            </w:r>
          </w:p>
        </w:tc>
        <w:tc>
          <w:tcPr>
            <w:tcW w:w="75" w:type="dxa"/>
            <w:tcBorders/>
            <w:vAlign w:val="center"/>
          </w:tcPr>
          <w:p>
            <w:pPr>
              <w:pStyle w:val="TableContents"/>
              <w:bidi w:val="0"/>
              <w:spacing w:before="0" w:after="283"/>
              <w:jc w:val="left"/>
              <w:rPr/>
            </w:pPr>
            <w:r>
              <w:rPr/>
              <w:t> </w:t>
            </w:r>
          </w:p>
        </w:tc>
      </w:tr>
      <w:tr>
        <w:trPr/>
        <w:tc>
          <w:tcPr>
            <w:tcW w:w="27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421" w:type="dxa"/>
            <w:gridSpan w:val="18"/>
            <w:tcBorders/>
            <w:vAlign w:val="center"/>
          </w:tcPr>
          <w:p>
            <w:pPr>
              <w:pStyle w:val="TableContents"/>
              <w:bidi w:val="0"/>
              <w:spacing w:before="0" w:after="283"/>
              <w:jc w:val="center"/>
              <w:rPr>
                <w:b/>
              </w:rPr>
            </w:pPr>
            <w:r>
              <w:rPr>
                <w:b/>
              </w:rPr>
              <w:t>(Millions of Dollars)</w:t>
            </w:r>
          </w:p>
        </w:tc>
        <w:tc>
          <w:tcPr>
            <w:tcW w:w="75" w:type="dxa"/>
            <w:tcBorders/>
            <w:vAlign w:val="center"/>
          </w:tcPr>
          <w:p>
            <w:pPr>
              <w:pStyle w:val="TableContents"/>
              <w:bidi w:val="0"/>
              <w:spacing w:before="0" w:after="283"/>
              <w:jc w:val="left"/>
              <w:rPr/>
            </w:pPr>
            <w:r>
              <w:rPr/>
              <w:t> </w:t>
            </w:r>
          </w:p>
        </w:tc>
      </w:tr>
      <w:tr>
        <w:trPr/>
        <w:tc>
          <w:tcPr>
            <w:tcW w:w="2705" w:type="dxa"/>
            <w:tcBorders/>
            <w:vAlign w:val="center"/>
          </w:tcPr>
          <w:p>
            <w:pPr>
              <w:pStyle w:val="TableContents"/>
              <w:bidi w:val="0"/>
              <w:spacing w:before="0" w:after="283"/>
              <w:jc w:val="center"/>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5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3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Less than 1 </w:t>
              <w:br/>
              <w:t>Year</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99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2-3 Years</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99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4-5 Years</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15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More than </w:t>
              <w:br/>
              <w:t>5 Years</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283"/>
              <w:jc w:val="left"/>
              <w:rPr/>
            </w:pPr>
            <w:r>
              <w:rPr/>
              <w:t>Long-term Debt</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w:t>
            </w:r>
          </w:p>
        </w:tc>
        <w:tc>
          <w:tcPr>
            <w:tcW w:w="410" w:type="dxa"/>
            <w:tcBorders/>
            <w:shd w:fill="CCEEFF" w:val="clear"/>
            <w:vAlign w:val="center"/>
          </w:tcPr>
          <w:p>
            <w:pPr>
              <w:pStyle w:val="TableContents"/>
              <w:bidi w:val="0"/>
              <w:spacing w:before="0" w:after="283"/>
              <w:jc w:val="right"/>
              <w:rPr/>
            </w:pPr>
            <w:r>
              <w:rPr/>
              <w:t>365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1" w:type="dxa"/>
            <w:tcBorders/>
            <w:shd w:fill="CCEEFF" w:val="clear"/>
            <w:vAlign w:val="center"/>
          </w:tcPr>
          <w:p>
            <w:pPr>
              <w:pStyle w:val="TableContents"/>
              <w:bidi w:val="0"/>
              <w:spacing w:before="0" w:after="283"/>
              <w:jc w:val="left"/>
              <w:rPr/>
            </w:pPr>
            <w:r>
              <w:rPr/>
              <w:t>$</w:t>
            </w:r>
          </w:p>
        </w:tc>
        <w:tc>
          <w:tcPr>
            <w:tcW w:w="803" w:type="dxa"/>
            <w:tcBorders/>
            <w:shd w:fill="CCEEFF" w:val="clear"/>
            <w:vAlign w:val="center"/>
          </w:tcPr>
          <w:p>
            <w:pPr>
              <w:pStyle w:val="TableContents"/>
              <w:bidi w:val="0"/>
              <w:spacing w:before="0" w:after="283"/>
              <w:jc w:val="right"/>
              <w:rPr/>
            </w:pPr>
            <w:r>
              <w:rPr/>
              <w:t>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8" w:type="dxa"/>
            <w:tcBorders/>
            <w:shd w:fill="CCEEFF" w:val="clear"/>
            <w:vAlign w:val="center"/>
          </w:tcPr>
          <w:p>
            <w:pPr>
              <w:pStyle w:val="TableContents"/>
              <w:bidi w:val="0"/>
              <w:spacing w:before="0" w:after="283"/>
              <w:jc w:val="left"/>
              <w:rPr/>
            </w:pPr>
            <w:r>
              <w:rPr/>
              <w:t>$</w:t>
            </w:r>
          </w:p>
        </w:tc>
        <w:tc>
          <w:tcPr>
            <w:tcW w:w="646" w:type="dxa"/>
            <w:tcBorders/>
            <w:shd w:fill="CCEEFF" w:val="clear"/>
            <w:vAlign w:val="center"/>
          </w:tcPr>
          <w:p>
            <w:pPr>
              <w:pStyle w:val="TableContents"/>
              <w:bidi w:val="0"/>
              <w:spacing w:before="0" w:after="283"/>
              <w:jc w:val="right"/>
              <w:rPr/>
            </w:pPr>
            <w:r>
              <w:rPr/>
              <w:t>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8" w:type="dxa"/>
            <w:tcBorders/>
            <w:shd w:fill="CCEEFF" w:val="clear"/>
            <w:vAlign w:val="center"/>
          </w:tcPr>
          <w:p>
            <w:pPr>
              <w:pStyle w:val="TableContents"/>
              <w:bidi w:val="0"/>
              <w:spacing w:before="0" w:after="283"/>
              <w:jc w:val="left"/>
              <w:rPr/>
            </w:pPr>
            <w:r>
              <w:rPr/>
              <w:t>$</w:t>
            </w:r>
          </w:p>
        </w:tc>
        <w:tc>
          <w:tcPr>
            <w:tcW w:w="646" w:type="dxa"/>
            <w:tcBorders/>
            <w:shd w:fill="CCEEFF" w:val="clear"/>
            <w:vAlign w:val="center"/>
          </w:tcPr>
          <w:p>
            <w:pPr>
              <w:pStyle w:val="TableContents"/>
              <w:bidi w:val="0"/>
              <w:spacing w:before="0" w:after="283"/>
              <w:jc w:val="right"/>
              <w:rPr/>
            </w:pPr>
            <w:r>
              <w:rPr/>
              <w:t>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pPr>
            <w:r>
              <w:rPr/>
              <w:t>$</w:t>
            </w:r>
          </w:p>
        </w:tc>
        <w:tc>
          <w:tcPr>
            <w:tcW w:w="849" w:type="dxa"/>
            <w:tcBorders/>
            <w:shd w:fill="CCEEFF" w:val="clear"/>
            <w:vAlign w:val="center"/>
          </w:tcPr>
          <w:p>
            <w:pPr>
              <w:pStyle w:val="TableContents"/>
              <w:bidi w:val="0"/>
              <w:spacing w:before="0" w:after="283"/>
              <w:jc w:val="right"/>
              <w:rPr/>
            </w:pPr>
            <w:r>
              <w:rPr/>
              <w:t>328</w:t>
            </w:r>
          </w:p>
        </w:tc>
        <w:tc>
          <w:tcPr>
            <w:tcW w:w="75" w:type="dxa"/>
            <w:tcBorders/>
            <w:shd w:fill="CCEEFF" w:val="clear"/>
            <w:vAlign w:val="center"/>
          </w:tcPr>
          <w:p>
            <w:pPr>
              <w:pStyle w:val="TableContents"/>
              <w:bidi w:val="0"/>
              <w:spacing w:before="0" w:after="283"/>
              <w:jc w:val="left"/>
              <w:rPr/>
            </w:pPr>
            <w:r>
              <w:rPr/>
              <w:t> </w:t>
            </w:r>
          </w:p>
        </w:tc>
      </w:tr>
      <w:tr>
        <w:trPr/>
        <w:tc>
          <w:tcPr>
            <w:tcW w:w="2705" w:type="dxa"/>
            <w:tcBorders/>
            <w:vAlign w:val="center"/>
          </w:tcPr>
          <w:p>
            <w:pPr>
              <w:pStyle w:val="TableContents"/>
              <w:bidi w:val="0"/>
              <w:spacing w:before="0" w:after="283"/>
              <w:jc w:val="left"/>
              <w:rPr/>
            </w:pPr>
            <w:r>
              <w:rPr/>
              <w:t>Note Payable</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right"/>
              <w:rPr/>
            </w:pPr>
            <w:r>
              <w:rPr/>
              <w:t>43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1" w:type="dxa"/>
            <w:tcBorders/>
            <w:vAlign w:val="center"/>
          </w:tcPr>
          <w:p>
            <w:pPr>
              <w:pStyle w:val="TableContents"/>
              <w:bidi w:val="0"/>
              <w:spacing w:before="0" w:after="283"/>
              <w:jc w:val="left"/>
              <w:rPr/>
            </w:pPr>
            <w:r>
              <w:rPr/>
              <w:t> </w:t>
            </w:r>
          </w:p>
        </w:tc>
        <w:tc>
          <w:tcPr>
            <w:tcW w:w="803" w:type="dxa"/>
            <w:tcBorders/>
            <w:vAlign w:val="center"/>
          </w:tcPr>
          <w:p>
            <w:pPr>
              <w:pStyle w:val="TableContents"/>
              <w:bidi w:val="0"/>
              <w:spacing w:before="0" w:after="283"/>
              <w:jc w:val="right"/>
              <w:rPr/>
            </w:pPr>
            <w:r>
              <w:rPr/>
              <w:t>43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8"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8"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pPr>
            <w:r>
              <w:rPr/>
              <w:t> </w:t>
            </w:r>
          </w:p>
        </w:tc>
        <w:tc>
          <w:tcPr>
            <w:tcW w:w="849"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283"/>
              <w:jc w:val="left"/>
              <w:rPr/>
            </w:pPr>
            <w:r>
              <w:rPr/>
              <w:t>Interest on Long-Term Debt</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right"/>
              <w:rPr/>
            </w:pPr>
            <w:r>
              <w:rPr/>
              <w:t>260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1"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right"/>
              <w:rPr/>
            </w:pPr>
            <w:r>
              <w:rPr/>
              <w:t>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8"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right"/>
              <w:rPr/>
            </w:pPr>
            <w:r>
              <w:rPr/>
              <w:t>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8"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right"/>
              <w:rPr/>
            </w:pPr>
            <w:r>
              <w:rPr/>
              <w:t>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pPr>
            <w:r>
              <w:rPr/>
              <w:t> </w:t>
            </w:r>
          </w:p>
        </w:tc>
        <w:tc>
          <w:tcPr>
            <w:tcW w:w="849" w:type="dxa"/>
            <w:tcBorders/>
            <w:shd w:fill="CCEEFF" w:val="clear"/>
            <w:vAlign w:val="center"/>
          </w:tcPr>
          <w:p>
            <w:pPr>
              <w:pStyle w:val="TableContents"/>
              <w:bidi w:val="0"/>
              <w:spacing w:before="0" w:after="283"/>
              <w:jc w:val="right"/>
              <w:rPr/>
            </w:pPr>
            <w:r>
              <w:rPr/>
              <w:t>201</w:t>
            </w:r>
          </w:p>
        </w:tc>
        <w:tc>
          <w:tcPr>
            <w:tcW w:w="75" w:type="dxa"/>
            <w:tcBorders/>
            <w:shd w:fill="CCEEFF" w:val="clear"/>
            <w:vAlign w:val="center"/>
          </w:tcPr>
          <w:p>
            <w:pPr>
              <w:pStyle w:val="TableContents"/>
              <w:bidi w:val="0"/>
              <w:spacing w:before="0" w:after="283"/>
              <w:jc w:val="left"/>
              <w:rPr/>
            </w:pPr>
            <w:r>
              <w:rPr/>
              <w:t> </w:t>
            </w:r>
          </w:p>
        </w:tc>
      </w:tr>
      <w:tr>
        <w:trPr/>
        <w:tc>
          <w:tcPr>
            <w:tcW w:w="2705" w:type="dxa"/>
            <w:tcBorders/>
            <w:vAlign w:val="center"/>
          </w:tcPr>
          <w:p>
            <w:pPr>
              <w:pStyle w:val="TableContents"/>
              <w:bidi w:val="0"/>
              <w:spacing w:before="0" w:after="283"/>
              <w:jc w:val="left"/>
              <w:rPr/>
            </w:pPr>
            <w:r>
              <w:rPr/>
              <w:t>Purchased Water Contracts</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right"/>
              <w:rPr/>
            </w:pPr>
            <w:r>
              <w:rPr/>
              <w:t>97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1" w:type="dxa"/>
            <w:tcBorders/>
            <w:vAlign w:val="center"/>
          </w:tcPr>
          <w:p>
            <w:pPr>
              <w:pStyle w:val="TableContents"/>
              <w:bidi w:val="0"/>
              <w:spacing w:before="0" w:after="283"/>
              <w:jc w:val="left"/>
              <w:rPr/>
            </w:pPr>
            <w:r>
              <w:rPr/>
              <w:t> </w:t>
            </w:r>
          </w:p>
        </w:tc>
        <w:tc>
          <w:tcPr>
            <w:tcW w:w="803" w:type="dxa"/>
            <w:tcBorders/>
            <w:vAlign w:val="center"/>
          </w:tcPr>
          <w:p>
            <w:pPr>
              <w:pStyle w:val="TableContents"/>
              <w:bidi w:val="0"/>
              <w:spacing w:before="0" w:after="283"/>
              <w:jc w:val="right"/>
              <w:rPr/>
            </w:pPr>
            <w:r>
              <w:rPr/>
              <w:t>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8"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11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8"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pPr>
            <w:r>
              <w:rPr/>
              <w:t> </w:t>
            </w:r>
          </w:p>
        </w:tc>
        <w:tc>
          <w:tcPr>
            <w:tcW w:w="849" w:type="dxa"/>
            <w:tcBorders/>
            <w:vAlign w:val="center"/>
          </w:tcPr>
          <w:p>
            <w:pPr>
              <w:pStyle w:val="TableContents"/>
              <w:bidi w:val="0"/>
              <w:spacing w:before="0" w:after="283"/>
              <w:jc w:val="right"/>
              <w:rPr/>
            </w:pPr>
            <w:r>
              <w:rPr/>
              <w:t>72</w:t>
            </w:r>
          </w:p>
        </w:tc>
        <w:tc>
          <w:tcPr>
            <w:tcW w:w="75" w:type="dxa"/>
            <w:tcBorders/>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283"/>
              <w:jc w:val="left"/>
              <w:rPr/>
            </w:pPr>
            <w:r>
              <w:rPr/>
              <w:t>Commercial  Office Leases</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10" w:type="dxa"/>
            <w:tcBorders>
              <w:bottom w:val="single" w:sz="8" w:space="0" w:color="000000"/>
            </w:tcBorders>
            <w:shd w:fill="CCEEFF" w:val="clear"/>
            <w:tcMar>
              <w:bottom w:w="28" w:type="dxa"/>
            </w:tcMar>
            <w:vAlign w:val="center"/>
          </w:tcPr>
          <w:p>
            <w:pPr>
              <w:pStyle w:val="TableContents"/>
              <w:bidi w:val="0"/>
              <w:spacing w:before="0" w:after="283"/>
              <w:jc w:val="right"/>
              <w:rPr/>
            </w:pPr>
            <w:r>
              <w:rPr/>
              <w:t>6</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3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3" w:type="dxa"/>
            <w:tcBorders>
              <w:bottom w:val="single" w:sz="8" w:space="0" w:color="000000"/>
            </w:tcBorders>
            <w:shd w:fill="CCEEFF" w:val="clear"/>
            <w:tcMar>
              <w:bottom w:w="28" w:type="dxa"/>
            </w:tcMar>
            <w:vAlign w:val="center"/>
          </w:tcPr>
          <w:p>
            <w:pPr>
              <w:pStyle w:val="TableContents"/>
              <w:bidi w:val="0"/>
              <w:spacing w:before="0" w:after="283"/>
              <w:jc w:val="right"/>
              <w:rPr/>
            </w:pPr>
            <w:r>
              <w:rPr/>
              <w:t>1</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46" w:type="dxa"/>
            <w:tcBorders>
              <w:bottom w:val="single" w:sz="8" w:space="0" w:color="000000"/>
            </w:tcBorders>
            <w:shd w:fill="CCEEFF" w:val="clear"/>
            <w:tcMar>
              <w:bottom w:w="28" w:type="dxa"/>
            </w:tcMar>
            <w:vAlign w:val="center"/>
          </w:tcPr>
          <w:p>
            <w:pPr>
              <w:pStyle w:val="TableContents"/>
              <w:bidi w:val="0"/>
              <w:spacing w:before="0" w:after="283"/>
              <w:jc w:val="right"/>
              <w:rPr/>
            </w:pPr>
            <w:r>
              <w:rPr/>
              <w:t>2</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46" w:type="dxa"/>
            <w:tcBorders>
              <w:bottom w:val="single" w:sz="8" w:space="0" w:color="000000"/>
            </w:tcBorders>
            <w:shd w:fill="CCEEFF" w:val="clear"/>
            <w:tcMar>
              <w:bottom w:w="28" w:type="dxa"/>
            </w:tcMar>
            <w:vAlign w:val="center"/>
          </w:tcPr>
          <w:p>
            <w:pPr>
              <w:pStyle w:val="TableContents"/>
              <w:bidi w:val="0"/>
              <w:spacing w:before="0" w:after="283"/>
              <w:jc w:val="right"/>
              <w:rPr/>
            </w:pPr>
            <w:r>
              <w:rPr/>
              <w:t>2</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9" w:type="dxa"/>
            <w:tcBorders>
              <w:bottom w:val="single" w:sz="8" w:space="0" w:color="000000"/>
            </w:tcBorders>
            <w:shd w:fill="CCEEFF" w:val="clear"/>
            <w:tcMar>
              <w:bottom w:w="28" w:type="dxa"/>
            </w:tcMar>
            <w:vAlign w:val="center"/>
          </w:tcPr>
          <w:p>
            <w:pPr>
              <w:pStyle w:val="TableContents"/>
              <w:bidi w:val="0"/>
              <w:spacing w:before="0" w:after="283"/>
              <w:jc w:val="right"/>
              <w:rPr/>
            </w:pPr>
            <w:r>
              <w:rPr/>
              <w:t>1</w:t>
            </w:r>
          </w:p>
        </w:tc>
        <w:tc>
          <w:tcPr>
            <w:tcW w:w="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2705" w:type="dxa"/>
            <w:tcBorders/>
            <w:vAlign w:val="center"/>
          </w:tcPr>
          <w:p>
            <w:pPr>
              <w:pStyle w:val="TableContents"/>
              <w:bidi w:val="0"/>
              <w:spacing w:before="0" w:after="283"/>
              <w:jc w:val="left"/>
              <w:rPr>
                <w:b/>
              </w:rPr>
            </w:pPr>
            <w:r>
              <w:rPr>
                <w:b/>
              </w:rPr>
              <w:t>TOTAL</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50" w:type="dxa"/>
            <w:tcBorders>
              <w:bottom w:val="single" w:sz="8" w:space="0" w:color="000000"/>
            </w:tcBorders>
            <w:tcMar>
              <w:bottom w:w="28" w:type="dxa"/>
            </w:tcMar>
            <w:vAlign w:val="center"/>
          </w:tcPr>
          <w:p>
            <w:pPr>
              <w:pStyle w:val="TableContents"/>
              <w:bidi w:val="0"/>
              <w:spacing w:before="0" w:after="283"/>
              <w:jc w:val="left"/>
              <w:rPr/>
            </w:pPr>
            <w:r>
              <w:rPr/>
              <w:t>$</w:t>
            </w:r>
          </w:p>
        </w:tc>
        <w:tc>
          <w:tcPr>
            <w:tcW w:w="410" w:type="dxa"/>
            <w:tcBorders>
              <w:bottom w:val="single" w:sz="8" w:space="0" w:color="000000"/>
            </w:tcBorders>
            <w:tcMar>
              <w:bottom w:w="28" w:type="dxa"/>
            </w:tcMar>
            <w:vAlign w:val="center"/>
          </w:tcPr>
          <w:p>
            <w:pPr>
              <w:pStyle w:val="TableContents"/>
              <w:bidi w:val="0"/>
              <w:spacing w:before="0" w:after="283"/>
              <w:jc w:val="right"/>
              <w:rPr/>
            </w:pPr>
            <w:r>
              <w:rPr/>
              <w:t>771</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431" w:type="dxa"/>
            <w:tcBorders>
              <w:bottom w:val="single" w:sz="8" w:space="0" w:color="000000"/>
            </w:tcBorders>
            <w:tcMar>
              <w:bottom w:w="28" w:type="dxa"/>
            </w:tcMar>
            <w:vAlign w:val="center"/>
          </w:tcPr>
          <w:p>
            <w:pPr>
              <w:pStyle w:val="TableContents"/>
              <w:bidi w:val="0"/>
              <w:spacing w:before="0" w:after="283"/>
              <w:jc w:val="left"/>
              <w:rPr/>
            </w:pPr>
            <w:r>
              <w:rPr/>
              <w:t>$</w:t>
            </w:r>
          </w:p>
        </w:tc>
        <w:tc>
          <w:tcPr>
            <w:tcW w:w="803" w:type="dxa"/>
            <w:tcBorders>
              <w:bottom w:val="single" w:sz="8" w:space="0" w:color="000000"/>
            </w:tcBorders>
            <w:tcMar>
              <w:bottom w:w="28" w:type="dxa"/>
            </w:tcMar>
            <w:vAlign w:val="center"/>
          </w:tcPr>
          <w:p>
            <w:pPr>
              <w:pStyle w:val="TableContents"/>
              <w:bidi w:val="0"/>
              <w:spacing w:before="0" w:after="283"/>
              <w:jc w:val="right"/>
              <w:rPr/>
            </w:pPr>
            <w:r>
              <w:rPr/>
              <w:t>71</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348" w:type="dxa"/>
            <w:tcBorders>
              <w:bottom w:val="single" w:sz="8" w:space="0" w:color="000000"/>
            </w:tcBorders>
            <w:tcMar>
              <w:bottom w:w="28" w:type="dxa"/>
            </w:tcMar>
            <w:vAlign w:val="center"/>
          </w:tcPr>
          <w:p>
            <w:pPr>
              <w:pStyle w:val="TableContents"/>
              <w:bidi w:val="0"/>
              <w:spacing w:before="0" w:after="283"/>
              <w:jc w:val="left"/>
              <w:rPr/>
            </w:pPr>
            <w:r>
              <w:rPr/>
              <w:t>$</w:t>
            </w:r>
          </w:p>
        </w:tc>
        <w:tc>
          <w:tcPr>
            <w:tcW w:w="646" w:type="dxa"/>
            <w:tcBorders>
              <w:bottom w:val="single" w:sz="8" w:space="0" w:color="000000"/>
            </w:tcBorders>
            <w:tcMar>
              <w:bottom w:w="28" w:type="dxa"/>
            </w:tcMar>
            <w:vAlign w:val="center"/>
          </w:tcPr>
          <w:p>
            <w:pPr>
              <w:pStyle w:val="TableContents"/>
              <w:bidi w:val="0"/>
              <w:spacing w:before="0" w:after="283"/>
              <w:jc w:val="right"/>
              <w:rPr/>
            </w:pPr>
            <w:r>
              <w:rPr/>
              <w:t>52</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348" w:type="dxa"/>
            <w:tcBorders>
              <w:bottom w:val="single" w:sz="8" w:space="0" w:color="000000"/>
            </w:tcBorders>
            <w:tcMar>
              <w:bottom w:w="28" w:type="dxa"/>
            </w:tcMar>
            <w:vAlign w:val="center"/>
          </w:tcPr>
          <w:p>
            <w:pPr>
              <w:pStyle w:val="TableContents"/>
              <w:bidi w:val="0"/>
              <w:spacing w:before="0" w:after="283"/>
              <w:jc w:val="left"/>
              <w:rPr/>
            </w:pPr>
            <w:r>
              <w:rPr/>
              <w:t>$</w:t>
            </w:r>
          </w:p>
        </w:tc>
        <w:tc>
          <w:tcPr>
            <w:tcW w:w="646" w:type="dxa"/>
            <w:tcBorders>
              <w:bottom w:val="single" w:sz="8" w:space="0" w:color="000000"/>
            </w:tcBorders>
            <w:tcMar>
              <w:bottom w:w="28" w:type="dxa"/>
            </w:tcMar>
            <w:vAlign w:val="center"/>
          </w:tcPr>
          <w:p>
            <w:pPr>
              <w:pStyle w:val="TableContents"/>
              <w:bidi w:val="0"/>
              <w:spacing w:before="0" w:after="283"/>
              <w:jc w:val="right"/>
              <w:rPr/>
            </w:pPr>
            <w:r>
              <w:rPr/>
              <w:t>46</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310" w:type="dxa"/>
            <w:tcBorders>
              <w:bottom w:val="single" w:sz="8" w:space="0" w:color="000000"/>
            </w:tcBorders>
            <w:tcMar>
              <w:bottom w:w="28" w:type="dxa"/>
            </w:tcMar>
            <w:vAlign w:val="center"/>
          </w:tcPr>
          <w:p>
            <w:pPr>
              <w:pStyle w:val="TableContents"/>
              <w:bidi w:val="0"/>
              <w:spacing w:before="0" w:after="283"/>
              <w:jc w:val="left"/>
              <w:rPr/>
            </w:pPr>
            <w:r>
              <w:rPr/>
              <w:t>$</w:t>
            </w:r>
          </w:p>
        </w:tc>
        <w:tc>
          <w:tcPr>
            <w:tcW w:w="849" w:type="dxa"/>
            <w:tcBorders>
              <w:bottom w:val="single" w:sz="8" w:space="0" w:color="000000"/>
            </w:tcBorders>
            <w:tcMar>
              <w:bottom w:w="28" w:type="dxa"/>
            </w:tcMar>
            <w:vAlign w:val="center"/>
          </w:tcPr>
          <w:p>
            <w:pPr>
              <w:pStyle w:val="TableContents"/>
              <w:bidi w:val="0"/>
              <w:spacing w:before="0" w:after="283"/>
              <w:jc w:val="right"/>
              <w:rPr/>
            </w:pPr>
            <w:r>
              <w:rPr/>
              <w:t>602</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above does not reflect any anticipated cash payments for retirement benefit plan obligations. The effect on the timing and amount of these payments resulting from potential changes in actuarial assumptions and returns on plan assets cannot be estimated. In 2023, the Company contributed $1.3 million to its retirement benefit plans and expects to contribute approximately $1.8 million in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currently have, nor have we ever had, any relationships with unconsolidated entities or financial partnerships, such as entities often referred to as structured finance or special purpose entities, which would have been established for the purpose of facilitating off-balance sheet arrangements, or for other contractually narrow or limited purposes. In addition, we do not engage in trading activities involving non-exchange traded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Critical Accounting Policies and Estimates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application of accounting policies and standards often requires the use of estimates, assumptions and judgments. The Company regularly evaluates these estimates, assumptions and judgments, including those related to the calculation of pension and other retirement benefits, unbilled revenues, and the recoverability of certain assets, including regulatory assets. The Company bases its estimates, assumptions and judgments on historical experience and current operating environment. Changes in any of the variables that are used for the Company’s estimates, assumptions and judgments may lead to significantly different financial statement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critical accounting policies and estimates are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Regulatory Accounting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maintain our books and records in accordance with accounting principles generally accepted in the United States of America. Middlesex and certain of its subsidiaries are subject to regulation in the states in which they operate. Those companies are required to maintain their accounts in accordance with regulatory authorities’ rules and guidelines, which may differ from other authoritative accounting pronouncements. In those instances, the Company follows the guidance in the Financial Accounting Standards Board Accounting Standards Codification Topic 980 </w:t>
      </w:r>
      <w:r>
        <w:rPr>
          <w:rFonts w:ascii="Times New Roman;Times;Serif" w:hAnsi="Times New Roman;Times;Serif"/>
          <w:b w:val="false"/>
          <w:i/>
          <w:caps w:val="false"/>
          <w:smallCaps w:val="false"/>
          <w:sz w:val="20"/>
        </w:rPr>
        <w:t>Regulated Operations</w:t>
      </w:r>
      <w:r>
        <w:rPr>
          <w:rFonts w:ascii="Times New Roman;Times;Serif" w:hAnsi="Times New Roman;Times;Serif"/>
          <w:b w:val="false"/>
          <w:i w:val="false"/>
          <w:caps w:val="false"/>
          <w:smallCaps w:val="false"/>
          <w:sz w:val="20"/>
        </w:rPr>
        <w:t xml:space="preserve"> (Regulatory Accounting).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Regulatory Accounting, costs and obligations are deferred if it is probable that these items will be recognized for rate-making purposes in future rates. Accordingly, we have recorded costs and obligations, which will be amortized over various future periods. Any change in the assessment of the probability of rate-making treatment would require us to change the accounting treatment of the deferred item. We have no reason to believe any of the deferred items that are recorded will be treated differently by the regulators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38 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Revenues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from our regulated customers, which include amounts billed quarterly to residential customers and monthly to industrial, commercial, fire-protection and wholesale customers, also include unbilled amounts based upon estimated usage from the date of the last meter reading to the end of the accounting period. While actual usage for customers may differ from the estimate, we believe the overall total estimate of consumption and revenue for the fiscal period will not differ materially from actual consumption.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Retirement Benefit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a noncontributory defined benefit pension plan (Pension Plan) which covers all currently active employees hired prior to April 1, 2007. In addition, the Company maintains an unfunded supplemental plan for certain executive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 retirement benefit plan other than pensions (Other Benefits Plan) for substantially all of its retired employees. Employees hired after March 31, 2007 are not eligible to participate in the Other Benefits Plan. Coverage includes healthcare and life insurance.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for providing retirement benefits are dependent upon numerous factors, including actual plan experience and assumptions of future experience. Future retirement benefit plan obligations and expense will depend on future investment performance, changes in future discount rates and various other demographic factors related to the population participating in the Company’s retirement benefit plans, all of which can change significantly in future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assumptions used for determining future retirement benefit plans’ obligations and costs, which are reviewed and revised as needed each year, are as follows:</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Discount Rate - calculated based on market rates for long-term, high-quality corporate bonds specific to the expected duration of our Pension Plan and Other Benefits Plan’s liabilities;</w:t>
            </w:r>
          </w:p>
        </w:tc>
      </w:tr>
    </w:tbl>
    <w:tbl>
      <w:tblPr>
        <w:tblW w:w="5000" w:type="pct"/>
        <w:jc w:val="left"/>
        <w:tblInd w:w="0" w:type="dxa"/>
        <w:tblLayout w:type="fixed"/>
        <w:tblCellMar>
          <w:top w:w="0" w:type="dxa"/>
          <w:left w:w="0" w:type="dxa"/>
          <w:bottom w:w="0" w:type="dxa"/>
          <w:right w:w="0" w:type="dxa"/>
        </w:tblCellMar>
      </w:tblPr>
      <w:tblGrid>
        <w:gridCol w:w="40"/>
        <w:gridCol w:w="180"/>
        <w:gridCol w:w="9985"/>
      </w:tblGrid>
      <w:tr>
        <w:trPr/>
        <w:tc>
          <w:tcPr>
            <w:tcW w:w="4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pPr>
            <w:r>
              <w:rPr/>
              <w:t>●</w:t>
            </w:r>
          </w:p>
        </w:tc>
        <w:tc>
          <w:tcPr>
            <w:tcW w:w="9985" w:type="dxa"/>
            <w:tcBorders/>
            <w:vAlign w:val="center"/>
          </w:tcPr>
          <w:p>
            <w:pPr>
              <w:pStyle w:val="TableContents"/>
              <w:bidi w:val="0"/>
              <w:spacing w:before="0" w:after="283"/>
              <w:jc w:val="both"/>
              <w:rPr/>
            </w:pPr>
            <w:r>
              <w:rPr/>
              <w:t>Compensation Increase - based on management projected future employee compensation increases;</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Long-Term Rate of Return - determined based on expected returns from our asset allocation for our Pension Plan and Other Benefits Plan assets;</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Mortality - The Company utilizes the Society of Actuaries’ mortality table (Pri-2012) (Mortality Improvement Scale MP-2021); and</w:t>
            </w:r>
          </w:p>
        </w:tc>
      </w:tr>
    </w:tbl>
    <w:tbl>
      <w:tblPr>
        <w:tblW w:w="5000" w:type="pct"/>
        <w:jc w:val="left"/>
        <w:tblInd w:w="0" w:type="dxa"/>
        <w:tblLayout w:type="fixed"/>
        <w:tblCellMar>
          <w:top w:w="0" w:type="dxa"/>
          <w:left w:w="0" w:type="dxa"/>
          <w:bottom w:w="0" w:type="dxa"/>
          <w:right w:w="0" w:type="dxa"/>
        </w:tblCellMar>
      </w:tblPr>
      <w:tblGrid>
        <w:gridCol w:w="46"/>
        <w:gridCol w:w="208"/>
        <w:gridCol w:w="9951"/>
      </w:tblGrid>
      <w:tr>
        <w:trPr/>
        <w:tc>
          <w:tcPr>
            <w:tcW w:w="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pPr>
            <w:r>
              <w:rPr/>
              <w:t>●</w:t>
            </w:r>
          </w:p>
        </w:tc>
        <w:tc>
          <w:tcPr>
            <w:tcW w:w="9951" w:type="dxa"/>
            <w:tcBorders/>
            <w:vAlign w:val="center"/>
          </w:tcPr>
          <w:p>
            <w:pPr>
              <w:pStyle w:val="TableContents"/>
              <w:bidi w:val="0"/>
              <w:spacing w:before="0" w:after="283"/>
              <w:jc w:val="both"/>
              <w:rPr/>
            </w:pPr>
            <w:r>
              <w:rPr/>
              <w:t>Healthcare Cost Trend Rate - based on management projected future healthcare costs.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discount rate, compensation increase rate and long-term rate of return used to determine future obligations of our retirement benefit plans as of December 31, 2023 are as follows:</w:t>
      </w:r>
    </w:p>
    <w:p>
      <w:pPr>
        <w:pStyle w:val="TextBody"/>
        <w:bidi w:val="0"/>
        <w:spacing w:before="0" w:after="0"/>
        <w:ind w:left="0" w:right="0" w:hanging="0"/>
        <w:jc w:val="both"/>
        <w:rPr>
          <w:caps w:val="false"/>
          <w:smallCaps w:val="false"/>
        </w:rPr>
      </w:pPr>
      <w:r>
        <w:rPr>
          <w:caps w:val="false"/>
          <w:smallCaps w:val="false"/>
        </w:rPr>
        <w:t> </w:t>
      </w:r>
    </w:p>
    <w:tbl>
      <w:tblPr>
        <w:tblW w:w="5835" w:type="dxa"/>
        <w:jc w:val="left"/>
        <w:tblInd w:w="0" w:type="dxa"/>
        <w:tblLayout w:type="fixed"/>
        <w:tblCellMar>
          <w:top w:w="0" w:type="dxa"/>
          <w:left w:w="0" w:type="dxa"/>
          <w:bottom w:w="28" w:type="dxa"/>
          <w:right w:w="0" w:type="dxa"/>
        </w:tblCellMar>
      </w:tblPr>
      <w:tblGrid>
        <w:gridCol w:w="2480"/>
        <w:gridCol w:w="1340"/>
        <w:gridCol w:w="2015"/>
      </w:tblGrid>
      <w:tr>
        <w:trPr/>
        <w:tc>
          <w:tcPr>
            <w:tcW w:w="2480" w:type="dxa"/>
            <w:tcBorders>
              <w:bottom w:val="single" w:sz="8" w:space="0" w:color="000000"/>
            </w:tcBorders>
            <w:vAlign w:val="center"/>
          </w:tcPr>
          <w:p>
            <w:pPr>
              <w:pStyle w:val="TableContents"/>
              <w:bidi w:val="0"/>
              <w:spacing w:before="0" w:after="283"/>
              <w:jc w:val="left"/>
              <w:rPr/>
            </w:pPr>
            <w:r>
              <w:rPr/>
              <w:t> </w:t>
            </w:r>
          </w:p>
        </w:tc>
        <w:tc>
          <w:tcPr>
            <w:tcW w:w="1340" w:type="dxa"/>
            <w:tcBorders>
              <w:bottom w:val="single" w:sz="8" w:space="0" w:color="000000"/>
            </w:tcBorders>
            <w:vAlign w:val="center"/>
          </w:tcPr>
          <w:p>
            <w:pPr>
              <w:pStyle w:val="TableContents"/>
              <w:bidi w:val="0"/>
              <w:spacing w:before="0" w:after="283"/>
              <w:jc w:val="center"/>
              <w:rPr>
                <w:b/>
              </w:rPr>
            </w:pPr>
            <w:r>
              <w:rPr>
                <w:b/>
              </w:rPr>
              <w:t>Pension Plan</w:t>
            </w:r>
          </w:p>
        </w:tc>
        <w:tc>
          <w:tcPr>
            <w:tcW w:w="2015" w:type="dxa"/>
            <w:tcBorders>
              <w:bottom w:val="single" w:sz="8" w:space="0" w:color="000000"/>
            </w:tcBorders>
            <w:vAlign w:val="center"/>
          </w:tcPr>
          <w:p>
            <w:pPr>
              <w:pStyle w:val="TableContents"/>
              <w:bidi w:val="0"/>
              <w:spacing w:before="0" w:after="283"/>
              <w:jc w:val="center"/>
              <w:rPr>
                <w:b/>
              </w:rPr>
            </w:pPr>
            <w:r>
              <w:rPr>
                <w:b/>
              </w:rPr>
              <w:t>Other Benefits Plan</w:t>
            </w:r>
          </w:p>
        </w:tc>
      </w:tr>
      <w:tr>
        <w:trPr/>
        <w:tc>
          <w:tcPr>
            <w:tcW w:w="2480" w:type="dxa"/>
            <w:tcBorders/>
            <w:shd w:fill="CCEEFF" w:val="clear"/>
            <w:tcMar>
              <w:bottom w:w="0" w:type="dxa"/>
            </w:tcMar>
            <w:vAlign w:val="center"/>
          </w:tcPr>
          <w:p>
            <w:pPr>
              <w:pStyle w:val="TableContents"/>
              <w:bidi w:val="0"/>
              <w:spacing w:before="0" w:after="283"/>
              <w:jc w:val="left"/>
              <w:rPr/>
            </w:pPr>
            <w:r>
              <w:rPr/>
              <w:t>Discount Rate</w:t>
            </w:r>
          </w:p>
        </w:tc>
        <w:tc>
          <w:tcPr>
            <w:tcW w:w="1340" w:type="dxa"/>
            <w:tcBorders/>
            <w:shd w:fill="CCEEFF" w:val="clear"/>
            <w:tcMar>
              <w:bottom w:w="0" w:type="dxa"/>
            </w:tcMar>
            <w:vAlign w:val="center"/>
          </w:tcPr>
          <w:p>
            <w:pPr>
              <w:pStyle w:val="TableContents"/>
              <w:bidi w:val="0"/>
              <w:spacing w:before="0" w:after="283"/>
              <w:jc w:val="center"/>
              <w:rPr/>
            </w:pPr>
            <w:r>
              <w:rPr/>
              <w:t>4.79%</w:t>
            </w:r>
          </w:p>
        </w:tc>
        <w:tc>
          <w:tcPr>
            <w:tcW w:w="2015" w:type="dxa"/>
            <w:tcBorders/>
            <w:shd w:fill="CCEEFF" w:val="clear"/>
            <w:tcMar>
              <w:bottom w:w="0" w:type="dxa"/>
            </w:tcMar>
            <w:vAlign w:val="center"/>
          </w:tcPr>
          <w:p>
            <w:pPr>
              <w:pStyle w:val="TableContents"/>
              <w:bidi w:val="0"/>
              <w:spacing w:before="0" w:after="283"/>
              <w:jc w:val="center"/>
              <w:rPr/>
            </w:pPr>
            <w:r>
              <w:rPr/>
              <w:t>4.79%</w:t>
            </w:r>
          </w:p>
        </w:tc>
      </w:tr>
      <w:tr>
        <w:trPr/>
        <w:tc>
          <w:tcPr>
            <w:tcW w:w="2480" w:type="dxa"/>
            <w:tcBorders/>
            <w:tcMar>
              <w:bottom w:w="0" w:type="dxa"/>
            </w:tcMar>
            <w:vAlign w:val="center"/>
          </w:tcPr>
          <w:p>
            <w:pPr>
              <w:pStyle w:val="TableContents"/>
              <w:bidi w:val="0"/>
              <w:spacing w:before="0" w:after="283"/>
              <w:jc w:val="left"/>
              <w:rPr/>
            </w:pPr>
            <w:r>
              <w:rPr/>
              <w:t>Compensation Increase</w:t>
            </w:r>
          </w:p>
        </w:tc>
        <w:tc>
          <w:tcPr>
            <w:tcW w:w="1340" w:type="dxa"/>
            <w:tcBorders/>
            <w:tcMar>
              <w:bottom w:w="0" w:type="dxa"/>
            </w:tcMar>
            <w:vAlign w:val="center"/>
          </w:tcPr>
          <w:p>
            <w:pPr>
              <w:pStyle w:val="TableContents"/>
              <w:bidi w:val="0"/>
              <w:spacing w:before="0" w:after="283"/>
              <w:jc w:val="center"/>
              <w:rPr/>
            </w:pPr>
            <w:r>
              <w:rPr/>
              <w:t>3.00%</w:t>
            </w:r>
          </w:p>
        </w:tc>
        <w:tc>
          <w:tcPr>
            <w:tcW w:w="2015" w:type="dxa"/>
            <w:tcBorders/>
            <w:tcMar>
              <w:bottom w:w="0" w:type="dxa"/>
            </w:tcMar>
            <w:vAlign w:val="center"/>
          </w:tcPr>
          <w:p>
            <w:pPr>
              <w:pStyle w:val="TableContents"/>
              <w:bidi w:val="0"/>
              <w:spacing w:before="0" w:after="283"/>
              <w:jc w:val="center"/>
              <w:rPr/>
            </w:pPr>
            <w:r>
              <w:rPr/>
              <w:t>3.00%</w:t>
            </w:r>
          </w:p>
        </w:tc>
      </w:tr>
      <w:tr>
        <w:trPr/>
        <w:tc>
          <w:tcPr>
            <w:tcW w:w="2480" w:type="dxa"/>
            <w:tcBorders>
              <w:bottom w:val="single" w:sz="8" w:space="0" w:color="000000"/>
            </w:tcBorders>
            <w:shd w:fill="CCEEFF" w:val="clear"/>
            <w:vAlign w:val="center"/>
          </w:tcPr>
          <w:p>
            <w:pPr>
              <w:pStyle w:val="TableContents"/>
              <w:bidi w:val="0"/>
              <w:spacing w:before="0" w:after="283"/>
              <w:jc w:val="left"/>
              <w:rPr/>
            </w:pPr>
            <w:r>
              <w:rPr/>
              <w:t>Long-term Rate of Return</w:t>
            </w:r>
          </w:p>
        </w:tc>
        <w:tc>
          <w:tcPr>
            <w:tcW w:w="1340" w:type="dxa"/>
            <w:tcBorders>
              <w:bottom w:val="single" w:sz="8" w:space="0" w:color="000000"/>
            </w:tcBorders>
            <w:shd w:fill="CCEEFF" w:val="clear"/>
            <w:vAlign w:val="center"/>
          </w:tcPr>
          <w:p>
            <w:pPr>
              <w:pStyle w:val="TableContents"/>
              <w:bidi w:val="0"/>
              <w:spacing w:before="0" w:after="283"/>
              <w:jc w:val="center"/>
              <w:rPr/>
            </w:pPr>
            <w:r>
              <w:rPr/>
              <w:t>7.00%</w:t>
            </w:r>
          </w:p>
        </w:tc>
        <w:tc>
          <w:tcPr>
            <w:tcW w:w="2015" w:type="dxa"/>
            <w:tcBorders>
              <w:bottom w:val="single" w:sz="8" w:space="0" w:color="000000"/>
            </w:tcBorders>
            <w:shd w:fill="CCEEFF" w:val="clear"/>
            <w:vAlign w:val="center"/>
          </w:tcPr>
          <w:p>
            <w:pPr>
              <w:pStyle w:val="TableContents"/>
              <w:bidi w:val="0"/>
              <w:spacing w:before="0" w:after="283"/>
              <w:jc w:val="center"/>
              <w:rPr/>
            </w:pPr>
            <w:r>
              <w:rPr/>
              <w:t>7.00%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2023 valuation, costs and obligations for our Other Benefits Plan assumed an 7.5% annual rate of increase in the per capita cost of covered healthcare benefits in 2024 with the annual rate of increase declining 0.5% per year for 2025-2030, resulting in an annual rate of increase in the per capita cost of covered healthcare benefits of 4.5% by year 2030.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39 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sensitivity analysis for certain actuarial assumptions used in determining projected benefit obligations (PBO) and expenses for our retirement benefit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Pension Plan</w:t>
      </w:r>
    </w:p>
    <w:tbl>
      <w:tblPr>
        <w:tblW w:w="5157" w:type="dxa"/>
        <w:jc w:val="left"/>
        <w:tblInd w:w="0" w:type="dxa"/>
        <w:tblLayout w:type="fixed"/>
        <w:tblCellMar>
          <w:top w:w="0" w:type="dxa"/>
          <w:left w:w="0" w:type="dxa"/>
          <w:bottom w:w="28" w:type="dxa"/>
          <w:right w:w="0" w:type="dxa"/>
        </w:tblCellMar>
      </w:tblPr>
      <w:tblGrid>
        <w:gridCol w:w="2690"/>
        <w:gridCol w:w="60"/>
        <w:gridCol w:w="175"/>
        <w:gridCol w:w="850"/>
        <w:gridCol w:w="119"/>
        <w:gridCol w:w="60"/>
        <w:gridCol w:w="238"/>
        <w:gridCol w:w="776"/>
        <w:gridCol w:w="189"/>
      </w:tblGrid>
      <w:tr>
        <w:trPr/>
        <w:tc>
          <w:tcPr>
            <w:tcW w:w="2690" w:type="dxa"/>
            <w:tcBorders>
              <w:bottom w:val="single" w:sz="8" w:space="0" w:color="000000"/>
            </w:tcBorders>
            <w:vAlign w:val="center"/>
          </w:tcPr>
          <w:p>
            <w:pPr>
              <w:pStyle w:val="TableContents"/>
              <w:bidi w:val="0"/>
              <w:spacing w:before="0" w:after="283"/>
              <w:jc w:val="center"/>
              <w:rPr>
                <w:b/>
              </w:rPr>
            </w:pPr>
            <w:r>
              <w:rPr>
                <w:b/>
              </w:rPr>
              <w:t>Actuarial Assumptions</w:t>
            </w:r>
          </w:p>
        </w:tc>
        <w:tc>
          <w:tcPr>
            <w:tcW w:w="60" w:type="dxa"/>
            <w:tcBorders>
              <w:bottom w:val="single" w:sz="8" w:space="0" w:color="000000"/>
            </w:tcBorders>
            <w:vAlign w:val="center"/>
          </w:tcPr>
          <w:p>
            <w:pPr>
              <w:pStyle w:val="TableContents"/>
              <w:bidi w:val="0"/>
              <w:spacing w:before="0" w:after="283"/>
              <w:jc w:val="left"/>
              <w:rPr/>
            </w:pPr>
            <w:r>
              <w:rPr/>
              <w:t> </w:t>
            </w:r>
          </w:p>
        </w:tc>
        <w:tc>
          <w:tcPr>
            <w:tcW w:w="1144" w:type="dxa"/>
            <w:gridSpan w:val="3"/>
            <w:tcBorders>
              <w:bottom w:val="single" w:sz="8" w:space="0" w:color="000000"/>
            </w:tcBorders>
            <w:vAlign w:val="center"/>
          </w:tcPr>
          <w:p>
            <w:pPr>
              <w:pStyle w:val="TableContents"/>
              <w:bidi w:val="0"/>
              <w:spacing w:before="0" w:after="283"/>
              <w:jc w:val="center"/>
              <w:rPr>
                <w:b/>
              </w:rPr>
            </w:pPr>
            <w:r>
              <w:rPr>
                <w:b/>
              </w:rPr>
              <w:t xml:space="preserve">Estimated </w:t>
              <w:br/>
              <w:t>Increase/</w:t>
              <w:br/>
              <w:t xml:space="preserve">(Decrease) </w:t>
              <w:br/>
              <w:t>on PBO</w:t>
              <w:br/>
              <w:t>(000s)</w:t>
            </w:r>
          </w:p>
        </w:tc>
        <w:tc>
          <w:tcPr>
            <w:tcW w:w="60" w:type="dxa"/>
            <w:tcBorders>
              <w:bottom w:val="single" w:sz="8" w:space="0" w:color="000000"/>
            </w:tcBorders>
            <w:vAlign w:val="center"/>
          </w:tcPr>
          <w:p>
            <w:pPr>
              <w:pStyle w:val="TableContents"/>
              <w:bidi w:val="0"/>
              <w:spacing w:before="0" w:after="283"/>
              <w:jc w:val="left"/>
              <w:rPr/>
            </w:pPr>
            <w:r>
              <w:rPr/>
              <w:t> </w:t>
            </w:r>
          </w:p>
        </w:tc>
        <w:tc>
          <w:tcPr>
            <w:tcW w:w="1203" w:type="dxa"/>
            <w:gridSpan w:val="3"/>
            <w:tcBorders>
              <w:bottom w:val="single" w:sz="8" w:space="0" w:color="000000"/>
            </w:tcBorders>
            <w:vAlign w:val="center"/>
          </w:tcPr>
          <w:p>
            <w:pPr>
              <w:pStyle w:val="TableContents"/>
              <w:bidi w:val="0"/>
              <w:spacing w:before="0" w:after="283"/>
              <w:jc w:val="center"/>
              <w:rPr>
                <w:b/>
              </w:rPr>
            </w:pPr>
            <w:r>
              <w:rPr>
                <w:b/>
              </w:rPr>
              <w:t xml:space="preserve">Estimated </w:t>
              <w:br/>
              <w:t>Increase/</w:t>
              <w:br/>
              <w:t xml:space="preserve">(Decrease) </w:t>
              <w:br/>
              <w:t>on Expense</w:t>
              <w:br/>
              <w:t>(000s)</w:t>
            </w:r>
          </w:p>
        </w:tc>
      </w:tr>
      <w:tr>
        <w:trPr/>
        <w:tc>
          <w:tcPr>
            <w:tcW w:w="2690" w:type="dxa"/>
            <w:tcBorders/>
            <w:shd w:fill="CCEEFF" w:val="clear"/>
            <w:tcMar>
              <w:bottom w:w="0" w:type="dxa"/>
            </w:tcMar>
            <w:vAlign w:val="center"/>
          </w:tcPr>
          <w:p>
            <w:pPr>
              <w:pStyle w:val="TableContents"/>
              <w:bidi w:val="0"/>
              <w:spacing w:before="0" w:after="283"/>
              <w:jc w:val="left"/>
              <w:rPr/>
            </w:pPr>
            <w:r>
              <w:rPr/>
              <w:t>Discount Rate 1% Increase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5" w:type="dxa"/>
            <w:tcBorders/>
            <w:shd w:fill="CCEEFF" w:val="clear"/>
            <w:tcMar>
              <w:bottom w:w="0" w:type="dxa"/>
            </w:tcMar>
            <w:vAlign w:val="center"/>
          </w:tcPr>
          <w:p>
            <w:pPr>
              <w:pStyle w:val="TableContents"/>
              <w:bidi w:val="0"/>
              <w:spacing w:before="0" w:after="283"/>
              <w:jc w:val="left"/>
              <w:rPr/>
            </w:pPr>
            <w:r>
              <w:rPr/>
              <w:t>$</w:t>
            </w:r>
          </w:p>
        </w:tc>
        <w:tc>
          <w:tcPr>
            <w:tcW w:w="850" w:type="dxa"/>
            <w:tcBorders/>
            <w:shd w:fill="CCEEFF" w:val="clear"/>
            <w:tcMar>
              <w:bottom w:w="0" w:type="dxa"/>
            </w:tcMar>
            <w:vAlign w:val="center"/>
          </w:tcPr>
          <w:p>
            <w:pPr>
              <w:pStyle w:val="TableContents"/>
              <w:bidi w:val="0"/>
              <w:spacing w:before="0" w:after="283"/>
              <w:jc w:val="right"/>
              <w:rPr/>
            </w:pPr>
            <w:r>
              <w:rPr/>
              <w:t>(9,903</w:t>
            </w:r>
          </w:p>
        </w:tc>
        <w:tc>
          <w:tcPr>
            <w:tcW w:w="119"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8" w:type="dxa"/>
            <w:tcBorders/>
            <w:shd w:fill="CCEEFF" w:val="clear"/>
            <w:tcMar>
              <w:bottom w:w="0" w:type="dxa"/>
            </w:tcMar>
            <w:vAlign w:val="center"/>
          </w:tcPr>
          <w:p>
            <w:pPr>
              <w:pStyle w:val="TableContents"/>
              <w:bidi w:val="0"/>
              <w:spacing w:before="0" w:after="283"/>
              <w:jc w:val="left"/>
              <w:rPr/>
            </w:pPr>
            <w:r>
              <w:rPr/>
              <w:t>$</w:t>
            </w:r>
          </w:p>
        </w:tc>
        <w:tc>
          <w:tcPr>
            <w:tcW w:w="776" w:type="dxa"/>
            <w:tcBorders/>
            <w:shd w:fill="CCEEFF" w:val="clear"/>
            <w:tcMar>
              <w:bottom w:w="0" w:type="dxa"/>
            </w:tcMar>
            <w:vAlign w:val="center"/>
          </w:tcPr>
          <w:p>
            <w:pPr>
              <w:pStyle w:val="TableContents"/>
              <w:bidi w:val="0"/>
              <w:spacing w:before="0" w:after="283"/>
              <w:jc w:val="right"/>
              <w:rPr/>
            </w:pPr>
            <w:r>
              <w:rPr/>
              <w:t>(604</w:t>
            </w:r>
          </w:p>
        </w:tc>
        <w:tc>
          <w:tcPr>
            <w:tcW w:w="189" w:type="dxa"/>
            <w:tcBorders/>
            <w:shd w:fill="CCEEFF" w:val="clear"/>
            <w:tcMar>
              <w:bottom w:w="0" w:type="dxa"/>
            </w:tcMar>
            <w:vAlign w:val="center"/>
          </w:tcPr>
          <w:p>
            <w:pPr>
              <w:pStyle w:val="TableContents"/>
              <w:bidi w:val="0"/>
              <w:spacing w:before="0" w:after="283"/>
              <w:jc w:val="left"/>
              <w:rPr/>
            </w:pPr>
            <w:r>
              <w:rPr/>
              <w:t>)</w:t>
            </w:r>
          </w:p>
        </w:tc>
      </w:tr>
      <w:tr>
        <w:trPr/>
        <w:tc>
          <w:tcPr>
            <w:tcW w:w="2690" w:type="dxa"/>
            <w:tcBorders>
              <w:bottom w:val="single" w:sz="8" w:space="0" w:color="000000"/>
            </w:tcBorders>
            <w:vAlign w:val="center"/>
          </w:tcPr>
          <w:p>
            <w:pPr>
              <w:pStyle w:val="TableContents"/>
              <w:bidi w:val="0"/>
              <w:spacing w:before="0" w:after="283"/>
              <w:jc w:val="left"/>
              <w:rPr/>
            </w:pPr>
            <w:r>
              <w:rPr/>
              <w:t>Discount Rate 1% Decrease</w:t>
            </w:r>
          </w:p>
        </w:tc>
        <w:tc>
          <w:tcPr>
            <w:tcW w:w="60" w:type="dxa"/>
            <w:tcBorders>
              <w:bottom w:val="single" w:sz="8" w:space="0" w:color="000000"/>
            </w:tcBorders>
            <w:vAlign w:val="center"/>
          </w:tcPr>
          <w:p>
            <w:pPr>
              <w:pStyle w:val="TableContents"/>
              <w:bidi w:val="0"/>
              <w:spacing w:before="0" w:after="283"/>
              <w:jc w:val="left"/>
              <w:rPr/>
            </w:pPr>
            <w:r>
              <w:rPr/>
              <w:t> </w:t>
            </w:r>
          </w:p>
        </w:tc>
        <w:tc>
          <w:tcPr>
            <w:tcW w:w="175" w:type="dxa"/>
            <w:tcBorders>
              <w:bottom w:val="single" w:sz="8" w:space="0" w:color="000000"/>
            </w:tcBorders>
            <w:vAlign w:val="center"/>
          </w:tcPr>
          <w:p>
            <w:pPr>
              <w:pStyle w:val="TableContents"/>
              <w:bidi w:val="0"/>
              <w:spacing w:before="0" w:after="283"/>
              <w:jc w:val="left"/>
              <w:rPr/>
            </w:pPr>
            <w:r>
              <w:rPr/>
              <w:t> </w:t>
            </w:r>
          </w:p>
        </w:tc>
        <w:tc>
          <w:tcPr>
            <w:tcW w:w="850" w:type="dxa"/>
            <w:tcBorders>
              <w:bottom w:val="single" w:sz="8" w:space="0" w:color="000000"/>
            </w:tcBorders>
            <w:vAlign w:val="center"/>
          </w:tcPr>
          <w:p>
            <w:pPr>
              <w:pStyle w:val="TableContents"/>
              <w:bidi w:val="0"/>
              <w:spacing w:before="0" w:after="283"/>
              <w:jc w:val="right"/>
              <w:rPr/>
            </w:pPr>
            <w:r>
              <w:rPr/>
              <w:t>12,086</w:t>
            </w:r>
          </w:p>
        </w:tc>
        <w:tc>
          <w:tcPr>
            <w:tcW w:w="119"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238" w:type="dxa"/>
            <w:tcBorders>
              <w:bottom w:val="single" w:sz="8" w:space="0" w:color="000000"/>
            </w:tcBorders>
            <w:vAlign w:val="center"/>
          </w:tcPr>
          <w:p>
            <w:pPr>
              <w:pStyle w:val="TableContents"/>
              <w:bidi w:val="0"/>
              <w:spacing w:before="0" w:after="283"/>
              <w:jc w:val="left"/>
              <w:rPr/>
            </w:pPr>
            <w:r>
              <w:rPr/>
              <w:t> </w:t>
            </w:r>
          </w:p>
        </w:tc>
        <w:tc>
          <w:tcPr>
            <w:tcW w:w="776" w:type="dxa"/>
            <w:tcBorders>
              <w:bottom w:val="single" w:sz="8" w:space="0" w:color="000000"/>
            </w:tcBorders>
            <w:vAlign w:val="center"/>
          </w:tcPr>
          <w:p>
            <w:pPr>
              <w:pStyle w:val="TableContents"/>
              <w:bidi w:val="0"/>
              <w:spacing w:before="0" w:after="283"/>
              <w:jc w:val="right"/>
              <w:rPr/>
            </w:pPr>
            <w:r>
              <w:rPr/>
              <w:t>992</w:t>
            </w:r>
          </w:p>
        </w:tc>
        <w:tc>
          <w:tcPr>
            <w:tcW w:w="189"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Benefits Plan</w:t>
      </w:r>
    </w:p>
    <w:p>
      <w:pPr>
        <w:pStyle w:val="TextBody"/>
        <w:bidi w:val="0"/>
        <w:spacing w:before="0" w:after="0"/>
        <w:ind w:left="0" w:right="0" w:hanging="0"/>
        <w:jc w:val="both"/>
        <w:rPr>
          <w:caps w:val="false"/>
          <w:smallCaps w:val="false"/>
        </w:rPr>
      </w:pPr>
      <w:r>
        <w:rPr>
          <w:caps w:val="false"/>
          <w:smallCaps w:val="false"/>
        </w:rPr>
        <w:t> </w:t>
      </w:r>
    </w:p>
    <w:tbl>
      <w:tblPr>
        <w:tblW w:w="6446" w:type="dxa"/>
        <w:jc w:val="left"/>
        <w:tblInd w:w="0" w:type="dxa"/>
        <w:tblLayout w:type="fixed"/>
        <w:tblCellMar>
          <w:top w:w="0" w:type="dxa"/>
          <w:left w:w="0" w:type="dxa"/>
          <w:bottom w:w="28" w:type="dxa"/>
          <w:right w:w="0" w:type="dxa"/>
        </w:tblCellMar>
      </w:tblPr>
      <w:tblGrid>
        <w:gridCol w:w="3980"/>
        <w:gridCol w:w="60"/>
        <w:gridCol w:w="183"/>
        <w:gridCol w:w="834"/>
        <w:gridCol w:w="126"/>
        <w:gridCol w:w="60"/>
        <w:gridCol w:w="238"/>
        <w:gridCol w:w="776"/>
        <w:gridCol w:w="189"/>
      </w:tblGrid>
      <w:tr>
        <w:trPr/>
        <w:tc>
          <w:tcPr>
            <w:tcW w:w="3980" w:type="dxa"/>
            <w:tcBorders>
              <w:bottom w:val="single" w:sz="8" w:space="0" w:color="000000"/>
            </w:tcBorders>
            <w:vAlign w:val="center"/>
          </w:tcPr>
          <w:p>
            <w:pPr>
              <w:pStyle w:val="TableContents"/>
              <w:bidi w:val="0"/>
              <w:spacing w:before="0" w:after="283"/>
              <w:jc w:val="center"/>
              <w:rPr>
                <w:b/>
              </w:rPr>
            </w:pPr>
            <w:r>
              <w:rPr>
                <w:b/>
              </w:rPr>
              <w:t>Actuarial Assumptions</w:t>
            </w:r>
          </w:p>
        </w:tc>
        <w:tc>
          <w:tcPr>
            <w:tcW w:w="60" w:type="dxa"/>
            <w:tcBorders>
              <w:bottom w:val="single" w:sz="8" w:space="0" w:color="000000"/>
            </w:tcBorders>
            <w:vAlign w:val="center"/>
          </w:tcPr>
          <w:p>
            <w:pPr>
              <w:pStyle w:val="TableContents"/>
              <w:bidi w:val="0"/>
              <w:spacing w:before="0" w:after="283"/>
              <w:jc w:val="left"/>
              <w:rPr/>
            </w:pPr>
            <w:r>
              <w:rPr/>
              <w:t> </w:t>
            </w:r>
          </w:p>
        </w:tc>
        <w:tc>
          <w:tcPr>
            <w:tcW w:w="1143" w:type="dxa"/>
            <w:gridSpan w:val="3"/>
            <w:tcBorders>
              <w:bottom w:val="single" w:sz="8" w:space="0" w:color="000000"/>
            </w:tcBorders>
            <w:vAlign w:val="center"/>
          </w:tcPr>
          <w:p>
            <w:pPr>
              <w:pStyle w:val="TableContents"/>
              <w:bidi w:val="0"/>
              <w:spacing w:before="0" w:after="283"/>
              <w:jc w:val="center"/>
              <w:rPr>
                <w:b/>
              </w:rPr>
            </w:pPr>
            <w:r>
              <w:rPr>
                <w:b/>
              </w:rPr>
              <w:t xml:space="preserve">Estimated </w:t>
              <w:br/>
              <w:t>Increase/</w:t>
              <w:br/>
              <w:t xml:space="preserve">(Decrease) </w:t>
              <w:br/>
              <w:t>on PBO</w:t>
              <w:br/>
              <w:t>(000s)</w:t>
            </w:r>
          </w:p>
        </w:tc>
        <w:tc>
          <w:tcPr>
            <w:tcW w:w="60" w:type="dxa"/>
            <w:tcBorders>
              <w:bottom w:val="single" w:sz="8" w:space="0" w:color="000000"/>
            </w:tcBorders>
            <w:vAlign w:val="center"/>
          </w:tcPr>
          <w:p>
            <w:pPr>
              <w:pStyle w:val="TableContents"/>
              <w:bidi w:val="0"/>
              <w:spacing w:before="0" w:after="283"/>
              <w:jc w:val="left"/>
              <w:rPr/>
            </w:pPr>
            <w:r>
              <w:rPr/>
              <w:t> </w:t>
            </w:r>
          </w:p>
        </w:tc>
        <w:tc>
          <w:tcPr>
            <w:tcW w:w="1203" w:type="dxa"/>
            <w:gridSpan w:val="3"/>
            <w:tcBorders>
              <w:bottom w:val="single" w:sz="8" w:space="0" w:color="000000"/>
            </w:tcBorders>
            <w:vAlign w:val="center"/>
          </w:tcPr>
          <w:p>
            <w:pPr>
              <w:pStyle w:val="TableContents"/>
              <w:bidi w:val="0"/>
              <w:spacing w:before="0" w:after="283"/>
              <w:jc w:val="center"/>
              <w:rPr>
                <w:b/>
              </w:rPr>
            </w:pPr>
            <w:r>
              <w:rPr>
                <w:b/>
              </w:rPr>
              <w:t xml:space="preserve">Estimated </w:t>
              <w:br/>
              <w:t>Increase/</w:t>
              <w:br/>
              <w:t xml:space="preserve">(Decrease) </w:t>
              <w:br/>
              <w:t>on Expense</w:t>
              <w:br/>
              <w:t>(000s)</w:t>
            </w:r>
          </w:p>
        </w:tc>
      </w:tr>
      <w:tr>
        <w:trPr/>
        <w:tc>
          <w:tcPr>
            <w:tcW w:w="3980" w:type="dxa"/>
            <w:tcBorders/>
            <w:shd w:fill="CCEEFF" w:val="clear"/>
            <w:tcMar>
              <w:bottom w:w="0" w:type="dxa"/>
            </w:tcMar>
            <w:vAlign w:val="center"/>
          </w:tcPr>
          <w:p>
            <w:pPr>
              <w:pStyle w:val="TableContents"/>
              <w:bidi w:val="0"/>
              <w:spacing w:before="0" w:after="283"/>
              <w:jc w:val="left"/>
              <w:rPr/>
            </w:pPr>
            <w:r>
              <w:rPr/>
              <w:t>Discount Rate 1% Increase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pPr>
            <w:r>
              <w:rPr/>
              <w:t>$</w:t>
            </w:r>
          </w:p>
        </w:tc>
        <w:tc>
          <w:tcPr>
            <w:tcW w:w="834" w:type="dxa"/>
            <w:tcBorders/>
            <w:shd w:fill="CCEEFF" w:val="clear"/>
            <w:tcMar>
              <w:bottom w:w="0" w:type="dxa"/>
            </w:tcMar>
            <w:vAlign w:val="center"/>
          </w:tcPr>
          <w:p>
            <w:pPr>
              <w:pStyle w:val="TableContents"/>
              <w:bidi w:val="0"/>
              <w:spacing w:before="0" w:after="283"/>
              <w:jc w:val="right"/>
              <w:rPr/>
            </w:pPr>
            <w:r>
              <w:rPr/>
              <w:t>(3,440</w:t>
            </w:r>
          </w:p>
        </w:tc>
        <w:tc>
          <w:tcPr>
            <w:tcW w:w="126"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8" w:type="dxa"/>
            <w:tcBorders/>
            <w:shd w:fill="CCEEFF" w:val="clear"/>
            <w:tcMar>
              <w:bottom w:w="0" w:type="dxa"/>
            </w:tcMar>
            <w:vAlign w:val="center"/>
          </w:tcPr>
          <w:p>
            <w:pPr>
              <w:pStyle w:val="TableContents"/>
              <w:bidi w:val="0"/>
              <w:spacing w:before="0" w:after="283"/>
              <w:jc w:val="left"/>
              <w:rPr/>
            </w:pPr>
            <w:r>
              <w:rPr/>
              <w:t>$</w:t>
            </w:r>
          </w:p>
        </w:tc>
        <w:tc>
          <w:tcPr>
            <w:tcW w:w="776" w:type="dxa"/>
            <w:tcBorders/>
            <w:shd w:fill="CCEEFF" w:val="clear"/>
            <w:tcMar>
              <w:bottom w:w="0" w:type="dxa"/>
            </w:tcMar>
            <w:vAlign w:val="center"/>
          </w:tcPr>
          <w:p>
            <w:pPr>
              <w:pStyle w:val="TableContents"/>
              <w:bidi w:val="0"/>
              <w:spacing w:before="0" w:after="283"/>
              <w:jc w:val="right"/>
              <w:rPr/>
            </w:pPr>
            <w:r>
              <w:rPr/>
              <w:t>(552</w:t>
            </w:r>
          </w:p>
        </w:tc>
        <w:tc>
          <w:tcPr>
            <w:tcW w:w="189" w:type="dxa"/>
            <w:tcBorders/>
            <w:shd w:fill="CCEEFF" w:val="clear"/>
            <w:tcMar>
              <w:bottom w:w="0" w:type="dxa"/>
            </w:tcMar>
            <w:vAlign w:val="center"/>
          </w:tcPr>
          <w:p>
            <w:pPr>
              <w:pStyle w:val="TableContents"/>
              <w:bidi w:val="0"/>
              <w:spacing w:before="0" w:after="283"/>
              <w:jc w:val="left"/>
              <w:rPr/>
            </w:pPr>
            <w:r>
              <w:rPr/>
              <w:t>)</w:t>
            </w:r>
          </w:p>
        </w:tc>
      </w:tr>
      <w:tr>
        <w:trPr/>
        <w:tc>
          <w:tcPr>
            <w:tcW w:w="3980" w:type="dxa"/>
            <w:tcBorders>
              <w:bottom w:val="single" w:sz="8" w:space="0" w:color="000000"/>
            </w:tcBorders>
            <w:vAlign w:val="center"/>
          </w:tcPr>
          <w:p>
            <w:pPr>
              <w:pStyle w:val="TableContents"/>
              <w:bidi w:val="0"/>
              <w:spacing w:before="0" w:after="283"/>
              <w:jc w:val="left"/>
              <w:rPr/>
            </w:pPr>
            <w:r>
              <w:rPr/>
              <w:t>Discount Rate 1% Decrease</w:t>
            </w:r>
          </w:p>
        </w:tc>
        <w:tc>
          <w:tcPr>
            <w:tcW w:w="60" w:type="dxa"/>
            <w:tcBorders>
              <w:bottom w:val="single" w:sz="8" w:space="0" w:color="000000"/>
            </w:tcBorders>
            <w:vAlign w:val="center"/>
          </w:tcPr>
          <w:p>
            <w:pPr>
              <w:pStyle w:val="TableContents"/>
              <w:bidi w:val="0"/>
              <w:spacing w:before="0" w:after="283"/>
              <w:jc w:val="left"/>
              <w:rPr/>
            </w:pPr>
            <w:r>
              <w:rPr/>
              <w:t> </w:t>
            </w:r>
          </w:p>
        </w:tc>
        <w:tc>
          <w:tcPr>
            <w:tcW w:w="183" w:type="dxa"/>
            <w:tcBorders>
              <w:bottom w:val="single" w:sz="8" w:space="0" w:color="000000"/>
            </w:tcBorders>
            <w:vAlign w:val="center"/>
          </w:tcPr>
          <w:p>
            <w:pPr>
              <w:pStyle w:val="TableContents"/>
              <w:bidi w:val="0"/>
              <w:spacing w:before="0" w:after="283"/>
              <w:jc w:val="left"/>
              <w:rPr/>
            </w:pPr>
            <w:r>
              <w:rPr/>
              <w:t> </w:t>
            </w:r>
          </w:p>
        </w:tc>
        <w:tc>
          <w:tcPr>
            <w:tcW w:w="834" w:type="dxa"/>
            <w:tcBorders>
              <w:bottom w:val="single" w:sz="8" w:space="0" w:color="000000"/>
            </w:tcBorders>
            <w:vAlign w:val="center"/>
          </w:tcPr>
          <w:p>
            <w:pPr>
              <w:pStyle w:val="TableContents"/>
              <w:bidi w:val="0"/>
              <w:spacing w:before="0" w:after="283"/>
              <w:jc w:val="right"/>
              <w:rPr/>
            </w:pPr>
            <w:r>
              <w:rPr/>
              <w:t>4,286</w:t>
            </w:r>
          </w:p>
        </w:tc>
        <w:tc>
          <w:tcPr>
            <w:tcW w:w="126"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238" w:type="dxa"/>
            <w:tcBorders>
              <w:bottom w:val="single" w:sz="8" w:space="0" w:color="000000"/>
            </w:tcBorders>
            <w:vAlign w:val="center"/>
          </w:tcPr>
          <w:p>
            <w:pPr>
              <w:pStyle w:val="TableContents"/>
              <w:bidi w:val="0"/>
              <w:spacing w:before="0" w:after="283"/>
              <w:jc w:val="left"/>
              <w:rPr/>
            </w:pPr>
            <w:r>
              <w:rPr/>
              <w:t> </w:t>
            </w:r>
          </w:p>
        </w:tc>
        <w:tc>
          <w:tcPr>
            <w:tcW w:w="776" w:type="dxa"/>
            <w:tcBorders>
              <w:bottom w:val="single" w:sz="8" w:space="0" w:color="000000"/>
            </w:tcBorders>
            <w:vAlign w:val="center"/>
          </w:tcPr>
          <w:p>
            <w:pPr>
              <w:pStyle w:val="TableContents"/>
              <w:bidi w:val="0"/>
              <w:spacing w:before="0" w:after="283"/>
              <w:jc w:val="right"/>
              <w:rPr/>
            </w:pPr>
            <w:r>
              <w:rPr/>
              <w:t>180</w:t>
            </w:r>
          </w:p>
        </w:tc>
        <w:tc>
          <w:tcPr>
            <w:tcW w:w="189" w:type="dxa"/>
            <w:tcBorders>
              <w:bottom w:val="single" w:sz="8" w:space="0" w:color="000000"/>
            </w:tcBorders>
            <w:vAlign w:val="center"/>
          </w:tcPr>
          <w:p>
            <w:pPr>
              <w:pStyle w:val="TableContents"/>
              <w:bidi w:val="0"/>
              <w:spacing w:before="0" w:after="283"/>
              <w:jc w:val="left"/>
              <w:rPr/>
            </w:pPr>
            <w:r>
              <w:rPr/>
              <w:t> </w:t>
            </w:r>
          </w:p>
        </w:tc>
      </w:tr>
      <w:tr>
        <w:trPr/>
        <w:tc>
          <w:tcPr>
            <w:tcW w:w="3980" w:type="dxa"/>
            <w:tcBorders/>
            <w:shd w:fill="CCEEFF" w:val="clear"/>
            <w:tcMar>
              <w:bottom w:w="0" w:type="dxa"/>
            </w:tcMar>
            <w:vAlign w:val="center"/>
          </w:tcPr>
          <w:p>
            <w:pPr>
              <w:pStyle w:val="TableContents"/>
              <w:bidi w:val="0"/>
              <w:spacing w:before="0" w:after="283"/>
              <w:jc w:val="left"/>
              <w:rPr/>
            </w:pPr>
            <w:r>
              <w:rPr/>
              <w:t>Healthcare Cost Trend Rate 1% Increase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pPr>
            <w:r>
              <w:rPr/>
              <w:t> </w:t>
            </w:r>
          </w:p>
        </w:tc>
        <w:tc>
          <w:tcPr>
            <w:tcW w:w="834" w:type="dxa"/>
            <w:tcBorders/>
            <w:shd w:fill="CCEEFF" w:val="clear"/>
            <w:tcMar>
              <w:bottom w:w="0" w:type="dxa"/>
            </w:tcMar>
            <w:vAlign w:val="center"/>
          </w:tcPr>
          <w:p>
            <w:pPr>
              <w:pStyle w:val="TableContents"/>
              <w:bidi w:val="0"/>
              <w:spacing w:before="0" w:after="283"/>
              <w:jc w:val="right"/>
              <w:rPr/>
            </w:pPr>
            <w:r>
              <w:rPr/>
              <w:t>3,264</w:t>
            </w:r>
          </w:p>
        </w:tc>
        <w:tc>
          <w:tcPr>
            <w:tcW w:w="12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8" w:type="dxa"/>
            <w:tcBorders/>
            <w:shd w:fill="CCEEFF" w:val="clear"/>
            <w:tcMar>
              <w:bottom w:w="0" w:type="dxa"/>
            </w:tcMar>
            <w:vAlign w:val="center"/>
          </w:tcPr>
          <w:p>
            <w:pPr>
              <w:pStyle w:val="TableContents"/>
              <w:bidi w:val="0"/>
              <w:spacing w:before="0" w:after="283"/>
              <w:jc w:val="left"/>
              <w:rPr/>
            </w:pPr>
            <w:r>
              <w:rPr/>
              <w:t> </w:t>
            </w:r>
          </w:p>
        </w:tc>
        <w:tc>
          <w:tcPr>
            <w:tcW w:w="776" w:type="dxa"/>
            <w:tcBorders/>
            <w:shd w:fill="CCEEFF" w:val="clear"/>
            <w:tcMar>
              <w:bottom w:w="0" w:type="dxa"/>
            </w:tcMar>
            <w:vAlign w:val="center"/>
          </w:tcPr>
          <w:p>
            <w:pPr>
              <w:pStyle w:val="TableContents"/>
              <w:bidi w:val="0"/>
              <w:spacing w:before="0" w:after="283"/>
              <w:jc w:val="right"/>
              <w:rPr/>
            </w:pPr>
            <w:r>
              <w:rPr/>
              <w:t>499</w:t>
            </w:r>
          </w:p>
        </w:tc>
        <w:tc>
          <w:tcPr>
            <w:tcW w:w="189" w:type="dxa"/>
            <w:tcBorders/>
            <w:shd w:fill="CCEEFF" w:val="clear"/>
            <w:tcMar>
              <w:bottom w:w="0" w:type="dxa"/>
            </w:tcMar>
            <w:vAlign w:val="center"/>
          </w:tcPr>
          <w:p>
            <w:pPr>
              <w:pStyle w:val="TableContents"/>
              <w:bidi w:val="0"/>
              <w:spacing w:before="0" w:after="283"/>
              <w:jc w:val="left"/>
              <w:rPr/>
            </w:pPr>
            <w:r>
              <w:rPr/>
              <w:t> </w:t>
            </w:r>
          </w:p>
        </w:tc>
      </w:tr>
      <w:tr>
        <w:trPr/>
        <w:tc>
          <w:tcPr>
            <w:tcW w:w="3980" w:type="dxa"/>
            <w:tcBorders>
              <w:bottom w:val="single" w:sz="8" w:space="0" w:color="000000"/>
            </w:tcBorders>
            <w:vAlign w:val="center"/>
          </w:tcPr>
          <w:p>
            <w:pPr>
              <w:pStyle w:val="TableContents"/>
              <w:bidi w:val="0"/>
              <w:spacing w:before="0" w:after="283"/>
              <w:jc w:val="left"/>
              <w:rPr/>
            </w:pPr>
            <w:r>
              <w:rPr/>
              <w:t>Healthcare Cost Trend Rate 1% Decrease</w:t>
            </w:r>
          </w:p>
        </w:tc>
        <w:tc>
          <w:tcPr>
            <w:tcW w:w="60" w:type="dxa"/>
            <w:tcBorders>
              <w:bottom w:val="single" w:sz="8" w:space="0" w:color="000000"/>
            </w:tcBorders>
            <w:vAlign w:val="center"/>
          </w:tcPr>
          <w:p>
            <w:pPr>
              <w:pStyle w:val="TableContents"/>
              <w:bidi w:val="0"/>
              <w:spacing w:before="0" w:after="283"/>
              <w:jc w:val="left"/>
              <w:rPr/>
            </w:pPr>
            <w:r>
              <w:rPr/>
              <w:t> </w:t>
            </w:r>
          </w:p>
        </w:tc>
        <w:tc>
          <w:tcPr>
            <w:tcW w:w="183" w:type="dxa"/>
            <w:tcBorders>
              <w:bottom w:val="single" w:sz="8" w:space="0" w:color="000000"/>
            </w:tcBorders>
            <w:vAlign w:val="center"/>
          </w:tcPr>
          <w:p>
            <w:pPr>
              <w:pStyle w:val="TableContents"/>
              <w:bidi w:val="0"/>
              <w:spacing w:before="0" w:after="283"/>
              <w:jc w:val="left"/>
              <w:rPr/>
            </w:pPr>
            <w:r>
              <w:rPr/>
              <w:t> </w:t>
            </w:r>
          </w:p>
        </w:tc>
        <w:tc>
          <w:tcPr>
            <w:tcW w:w="834" w:type="dxa"/>
            <w:tcBorders>
              <w:bottom w:val="single" w:sz="8" w:space="0" w:color="000000"/>
            </w:tcBorders>
            <w:vAlign w:val="center"/>
          </w:tcPr>
          <w:p>
            <w:pPr>
              <w:pStyle w:val="TableContents"/>
              <w:bidi w:val="0"/>
              <w:spacing w:before="0" w:after="283"/>
              <w:jc w:val="right"/>
              <w:rPr/>
            </w:pPr>
            <w:r>
              <w:rPr/>
              <w:t>(2,676</w:t>
            </w:r>
          </w:p>
        </w:tc>
        <w:tc>
          <w:tcPr>
            <w:tcW w:w="126" w:type="dxa"/>
            <w:tcBorders>
              <w:bottom w:val="single" w:sz="8" w:space="0" w:color="000000"/>
            </w:tcBorders>
            <w:vAlign w:val="center"/>
          </w:tcPr>
          <w:p>
            <w:pPr>
              <w:pStyle w:val="TableContents"/>
              <w:bidi w:val="0"/>
              <w:spacing w:before="0" w:after="283"/>
              <w:jc w:val="left"/>
              <w:rPr/>
            </w:pPr>
            <w:r>
              <w:rPr/>
              <w:t>)</w:t>
            </w:r>
          </w:p>
        </w:tc>
        <w:tc>
          <w:tcPr>
            <w:tcW w:w="60" w:type="dxa"/>
            <w:tcBorders>
              <w:bottom w:val="single" w:sz="8" w:space="0" w:color="000000"/>
            </w:tcBorders>
            <w:vAlign w:val="center"/>
          </w:tcPr>
          <w:p>
            <w:pPr>
              <w:pStyle w:val="TableContents"/>
              <w:bidi w:val="0"/>
              <w:spacing w:before="0" w:after="283"/>
              <w:jc w:val="left"/>
              <w:rPr/>
            </w:pPr>
            <w:r>
              <w:rPr/>
              <w:t> </w:t>
            </w:r>
          </w:p>
        </w:tc>
        <w:tc>
          <w:tcPr>
            <w:tcW w:w="238" w:type="dxa"/>
            <w:tcBorders>
              <w:bottom w:val="single" w:sz="8" w:space="0" w:color="000000"/>
            </w:tcBorders>
            <w:vAlign w:val="center"/>
          </w:tcPr>
          <w:p>
            <w:pPr>
              <w:pStyle w:val="TableContents"/>
              <w:bidi w:val="0"/>
              <w:spacing w:before="0" w:after="283"/>
              <w:jc w:val="left"/>
              <w:rPr/>
            </w:pPr>
            <w:r>
              <w:rPr/>
              <w:t> </w:t>
            </w:r>
          </w:p>
        </w:tc>
        <w:tc>
          <w:tcPr>
            <w:tcW w:w="776" w:type="dxa"/>
            <w:tcBorders>
              <w:bottom w:val="single" w:sz="8" w:space="0" w:color="000000"/>
            </w:tcBorders>
            <w:vAlign w:val="center"/>
          </w:tcPr>
          <w:p>
            <w:pPr>
              <w:pStyle w:val="TableContents"/>
              <w:bidi w:val="0"/>
              <w:spacing w:before="0" w:after="283"/>
              <w:jc w:val="right"/>
              <w:rPr/>
            </w:pPr>
            <w:r>
              <w:rPr/>
              <w:t>(696</w:t>
            </w:r>
          </w:p>
        </w:tc>
        <w:tc>
          <w:tcPr>
            <w:tcW w:w="189" w:type="dxa"/>
            <w:tcBorders>
              <w:bottom w:val="single" w:sz="8" w:space="0" w:color="000000"/>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Recent Accounting Standards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 1(r) of the Notes to Consolidated Financial Statements for a discussion of recent accounting pronouncements.</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40 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4" w:name="a_023"/>
      <w:bookmarkStart w:id="35" w:name="a_023"/>
      <w:bookmarkEnd w:id="35"/>
    </w:p>
    <w:tbl>
      <w:tblPr>
        <w:tblW w:w="5000" w:type="pct"/>
        <w:jc w:val="left"/>
        <w:tblInd w:w="0" w:type="dxa"/>
        <w:tblLayout w:type="fixed"/>
        <w:tblCellMar>
          <w:top w:w="0" w:type="dxa"/>
          <w:left w:w="0" w:type="dxa"/>
          <w:bottom w:w="0" w:type="dxa"/>
          <w:right w:w="0" w:type="dxa"/>
        </w:tblCellMar>
      </w:tblPr>
      <w:tblGrid>
        <w:gridCol w:w="38"/>
        <w:gridCol w:w="1101"/>
        <w:gridCol w:w="9066"/>
      </w:tblGrid>
      <w:tr>
        <w:trPr/>
        <w:tc>
          <w:tcPr>
            <w:tcW w:w="38"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b/>
              </w:rPr>
            </w:pPr>
            <w:r>
              <w:rPr>
                <w:b/>
              </w:rPr>
              <w:t>ITEM 7A.</w:t>
            </w:r>
          </w:p>
        </w:tc>
        <w:tc>
          <w:tcPr>
            <w:tcW w:w="9066" w:type="dxa"/>
            <w:tcBorders/>
            <w:vAlign w:val="center"/>
          </w:tcPr>
          <w:p>
            <w:pPr>
              <w:pStyle w:val="TableContents"/>
              <w:bidi w:val="0"/>
              <w:spacing w:before="0" w:after="283"/>
              <w:jc w:val="left"/>
              <w:rPr>
                <w:b/>
              </w:rPr>
            </w:pPr>
            <w:r>
              <w:rPr>
                <w:b/>
              </w:rPr>
              <w:t>QUALITATIVE AND QUANTITATIVE DISCLOSURES ABOUT MARKET RISK.</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exposed to market risk associated with changes in interest rates and commodity prices. The Company is subject to the risk of fluctuating interest rates in the normal course of business. Our policy is to manage interest rates through the use of fixed rate long-term debt and, to a lesser extent, variable rate short-term debt. The Company’s interest rate risk related to existing fixed rate, long-term debt is not material due to the term of the majority of our First Mortgage Bonds, which have final maturity dates ranging from 2024 to 2059. Over the next twelve months, approximately $7.8 million of the current portion of existing long-term debt instruments will mature. The Company manages its interest rate risk related to existing variable-rate short-term debt by limiting our variable rate exposure. Applying a hypothetical change in the rate of interest charged by 10% on those fixed- and variable-rate borrowings would not have a material effect on our earnings.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risks associated with commodity price increases for chemicals, electricity and other commodities are reduced through contractual arrangements and the ability to recover price increases through rates. Non-performance by these commodity suppliers could have a material adverse impact on our results of operations, financial position and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exposed to credit risk for both our Regulated and Non-Regulated business segments. Our Regulated operations serve residential, commercial, industrial and municipal customers while our Non-Regulated operations engage in business activities with developers, government entities and other customers. Our primary credit risk is exposure to customer default on contractual obligations and the associated loss that may be incurred due to the non-payment of customer accounts receivable balances. Our credit risk is managed through established credit and collection policies which are in compliance with applicable regulatory requirements and involve monitoring of customer exposure and the use of credit risk mitigation measures such as letters of credit or prepayment arrangements. Our credit portfolio is diversified with no significant customer or industry concentrations. In addition, our Regulated businesses are generally able to recover all prudently incurred costs including uncollectible customer accounts receivable expenses and collection costs through rates.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retirement benefit plan assets are exposed to the market price variations of debt and equity securities. Changes to the Company's retirement benefit plan assets’ value can impact the Company's retirement benefit plan expense, funded status and future minimum funding requirements. Risk is mitigated through our ability to recover retirement benefit plan costs through customer rates.</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41 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6" w:name="a_024"/>
      <w:bookmarkStart w:id="37" w:name="a_024"/>
      <w:bookmarkEnd w:id="37"/>
    </w:p>
    <w:tbl>
      <w:tblPr>
        <w:tblW w:w="5000" w:type="pct"/>
        <w:jc w:val="left"/>
        <w:tblInd w:w="0" w:type="dxa"/>
        <w:tblLayout w:type="fixed"/>
        <w:tblCellMar>
          <w:top w:w="0" w:type="dxa"/>
          <w:left w:w="0" w:type="dxa"/>
          <w:bottom w:w="0" w:type="dxa"/>
          <w:right w:w="0" w:type="dxa"/>
        </w:tblCellMar>
      </w:tblPr>
      <w:tblGrid>
        <w:gridCol w:w="49"/>
        <w:gridCol w:w="1181"/>
        <w:gridCol w:w="8975"/>
      </w:tblGrid>
      <w:tr>
        <w:trPr/>
        <w:tc>
          <w:tcPr>
            <w:tcW w:w="4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b/>
              </w:rPr>
            </w:pPr>
            <w:r>
              <w:rPr>
                <w:b/>
              </w:rPr>
              <w:t>ITEM 8.</w:t>
            </w:r>
          </w:p>
        </w:tc>
        <w:tc>
          <w:tcPr>
            <w:tcW w:w="8975" w:type="dxa"/>
            <w:tcBorders/>
            <w:vAlign w:val="center"/>
          </w:tcPr>
          <w:p>
            <w:pPr>
              <w:pStyle w:val="TableContents"/>
              <w:bidi w:val="0"/>
              <w:spacing w:before="0" w:after="283"/>
              <w:jc w:val="left"/>
              <w:rPr>
                <w:b/>
              </w:rPr>
            </w:pPr>
            <w:r>
              <w:rPr>
                <w:b/>
              </w:rPr>
              <w:t>FINANCIAL STATEMENTS AND SUPPLEMENTARY DATA.</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Stockholders and the Board of Directors of Middlesex Water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Opinions on the Financial Statements and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audited the accompanying consolidated balance sheets and consolidated statements of capital stock and long-term debt of Middlesex Water Company (the "Company") as of December 31, 2023 and 2022, the related consolidated statements of income, common stockholders' equity, and cash flows for each of the three years in the period ended December 31, 2023, and the related notes (collectively referred to as the "consolidated financial statements"). We also have audited the Company’s internal control over financial reporting as of December 31, 2023, based on criteria established in </w:t>
      </w:r>
      <w:r>
        <w:rPr>
          <w:rFonts w:ascii="Times New Roman;Times;Serif" w:hAnsi="Times New Roman;Times;Serif"/>
          <w:b w:val="false"/>
          <w:i/>
          <w:caps w:val="false"/>
          <w:smallCaps w:val="false"/>
          <w:sz w:val="20"/>
        </w:rPr>
        <w:t>Internal Control – Integrated Framework (2013)</w:t>
      </w:r>
      <w:r>
        <w:rPr>
          <w:rFonts w:ascii="Times New Roman;Times;Serif" w:hAnsi="Times New Roman;Times;Serif"/>
          <w:b w:val="false"/>
          <w:i w:val="false"/>
          <w:caps w:val="false"/>
          <w:smallCaps w:val="false"/>
          <w:sz w:val="20"/>
        </w:rPr>
        <w:t xml:space="preserve"> issued by the Committee of Sponsoring Organizations of the Treadway Commission (COSO).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our opinion, the consolidated financial statements present fairly, in all material respects, the financial position of the Company as of December 31, 2023 and 2022, and the results of their operations and their cash flows for each of the three years in the period ended December 31, 2023, in conformity with accounting principles generally accepted in the United States of America. Also in our opinion, because of the effect of the material weaknesses described below on the achievement of the objectives of the control criteria, the Company has not maintained, in all material respects, effective internal control over financial reporting as of December 31, 2023, based on criteria established in </w:t>
      </w:r>
      <w:r>
        <w:rPr>
          <w:rFonts w:ascii="Times New Roman;Times;Serif" w:hAnsi="Times New Roman;Times;Serif"/>
          <w:b w:val="false"/>
          <w:i/>
          <w:caps w:val="false"/>
          <w:smallCaps w:val="false"/>
          <w:sz w:val="20"/>
        </w:rPr>
        <w:t>Internal Control – Integrated Framework (2013)</w:t>
      </w:r>
      <w:r>
        <w:rPr>
          <w:rFonts w:ascii="Times New Roman;Times;Serif" w:hAnsi="Times New Roman;Times;Serif"/>
          <w:b w:val="false"/>
          <w:i w:val="false"/>
          <w:caps w:val="false"/>
          <w:smallCaps w:val="false"/>
          <w:sz w:val="20"/>
        </w:rPr>
        <w:t xml:space="preserve"> issued by COSO.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The following material weaknesses have been identified and included in the accompanying Management’s Report on Internal Control Over Financial Reporting appearing under Item 9A: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ineffective information technology general controls (ITGCs) in the areas of user access and change management over certain information technology (IT) systems that support the Company’s financial reporting processes. As a result, automated and manual process controls dependent on those ITGCs were also not effective.</w:t>
      </w:r>
    </w:p>
    <w:p>
      <w:pPr>
        <w:pStyle w:val="TextBody"/>
        <w:bidi w:val="0"/>
        <w:spacing w:lineRule="auto" w:line="256"/>
        <w:ind w:left="360" w:right="0" w:hanging="0"/>
        <w:jc w:val="both"/>
        <w:rPr>
          <w:caps w:val="false"/>
          <w:smallCaps w:val="false"/>
        </w:rPr>
      </w:pPr>
      <w:r>
        <w:rPr>
          <w:caps w:val="false"/>
          <w:smallCaps w:val="false"/>
        </w:rPr>
        <w:t> </w:t>
      </w:r>
    </w:p>
    <w:p>
      <w:pPr>
        <w:pStyle w:val="TextBody"/>
        <w:bidi w:val="0"/>
        <w:spacing w:lineRule="auto" w:line="256"/>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ineffective controls related to income tax accounting for a non-routine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considered the material weaknesses in determining the nature, timing, and extent of audit tests applied in our audit of the 2023 consolidated financial statements, and our opinion regarding the effectiveness of the Company’s internal control over financial reporting does not affect our opinion on those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pStyle w:val="TextBody"/>
        <w:bidi w:val="0"/>
        <w:spacing w:lineRule="auto" w:line="256"/>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audits of the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42 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 and Limitations of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Audit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separate opinions on the critical audit matter or on the accounts or disclosures to which it relates.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lineRule="auto" w:line="256"/>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Income Tax Accounting for Non-Routine Transaction</w:t>
      </w:r>
    </w:p>
    <w:p>
      <w:pPr>
        <w:pStyle w:val="TextBody"/>
        <w:shd w:fill="FFFFFF" w:val="clear"/>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Critical Audit Matter Description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in Notes 1 and 2 to the consolidated financial statements, the Company executed a non-routine litigation settlement agreement in 2023. Management estimated and recorded the income tax effects of this non-routine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identified management’s assessment, accounting and financial statement presentation and disclosure of income taxes for this non-routine transaction as a critical audit matter. Auditing management’s assessment, accounting, presentation and disclosure required a high degree of judgment and subjectivity and the use of individuals with specialized knowledge.</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How We Addressed the Matter in Our Audit</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procedures we performed to address this critical audit matter included:</w:t>
      </w:r>
    </w:p>
    <w:tbl>
      <w:tblPr>
        <w:tblW w:w="10205" w:type="dxa"/>
        <w:jc w:val="left"/>
        <w:tblInd w:w="0" w:type="dxa"/>
        <w:shd w:fill="FFFFFF" w:val="clear"/>
        <w:tblLayout w:type="fixed"/>
        <w:tblCellMar>
          <w:top w:w="0" w:type="dxa"/>
          <w:left w:w="0" w:type="dxa"/>
          <w:bottom w:w="0" w:type="dxa"/>
          <w:right w:w="0" w:type="dxa"/>
        </w:tblCellMar>
      </w:tblPr>
      <w:tblGrid>
        <w:gridCol w:w="38"/>
        <w:gridCol w:w="125"/>
        <w:gridCol w:w="10042"/>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25" w:type="dxa"/>
            <w:tcBorders/>
            <w:shd w:fill="FFFFFF" w:val="clear"/>
            <w:vAlign w:val="center"/>
          </w:tcPr>
          <w:p>
            <w:pPr>
              <w:pStyle w:val="TableContents"/>
              <w:bidi w:val="0"/>
              <w:spacing w:before="0" w:after="283"/>
              <w:jc w:val="left"/>
              <w:rPr>
                <w:rFonts w:ascii="Wingdings" w:hAnsi="Wingdings"/>
              </w:rPr>
            </w:pPr>
            <w:r>
              <w:rPr>
                <w:rFonts w:ascii="Wingdings" w:hAnsi="Wingdings"/>
              </w:rPr>
              <w:t>§</w:t>
            </w:r>
          </w:p>
        </w:tc>
        <w:tc>
          <w:tcPr>
            <w:tcW w:w="10042" w:type="dxa"/>
            <w:tcBorders/>
            <w:shd w:fill="FFFFFF" w:val="clear"/>
            <w:vAlign w:val="center"/>
          </w:tcPr>
          <w:p>
            <w:pPr>
              <w:pStyle w:val="TableContents"/>
              <w:bidi w:val="0"/>
              <w:spacing w:before="0" w:after="283"/>
              <w:jc w:val="both"/>
              <w:rPr/>
            </w:pPr>
            <w:r>
              <w:rPr/>
              <w:t>Testing the effectiveness of controls relating to income taxes, including controls over the determination of the accounting and presentation for the non-routine transaction.</w:t>
            </w:r>
          </w:p>
        </w:tc>
      </w:tr>
    </w:tbl>
    <w:tbl>
      <w:tblPr>
        <w:tblW w:w="10205" w:type="dxa"/>
        <w:jc w:val="left"/>
        <w:tblInd w:w="0" w:type="dxa"/>
        <w:shd w:fill="FFFFFF" w:val="clear"/>
        <w:tblLayout w:type="fixed"/>
        <w:tblCellMar>
          <w:top w:w="0" w:type="dxa"/>
          <w:left w:w="0" w:type="dxa"/>
          <w:bottom w:w="0" w:type="dxa"/>
          <w:right w:w="0" w:type="dxa"/>
        </w:tblCellMar>
      </w:tblPr>
      <w:tblGrid>
        <w:gridCol w:w="38"/>
        <w:gridCol w:w="125"/>
        <w:gridCol w:w="10042"/>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25" w:type="dxa"/>
            <w:tcBorders/>
            <w:shd w:fill="FFFFFF" w:val="clear"/>
            <w:vAlign w:val="center"/>
          </w:tcPr>
          <w:p>
            <w:pPr>
              <w:pStyle w:val="TableContents"/>
              <w:bidi w:val="0"/>
              <w:spacing w:before="0" w:after="283"/>
              <w:jc w:val="left"/>
              <w:rPr>
                <w:rFonts w:ascii="Wingdings" w:hAnsi="Wingdings"/>
              </w:rPr>
            </w:pPr>
            <w:r>
              <w:rPr>
                <w:rFonts w:ascii="Wingdings" w:hAnsi="Wingdings"/>
              </w:rPr>
              <w:t>§</w:t>
            </w:r>
          </w:p>
        </w:tc>
        <w:tc>
          <w:tcPr>
            <w:tcW w:w="10042" w:type="dxa"/>
            <w:tcBorders/>
            <w:shd w:fill="FFFFFF" w:val="clear"/>
            <w:vAlign w:val="center"/>
          </w:tcPr>
          <w:p>
            <w:pPr>
              <w:pStyle w:val="TableContents"/>
              <w:bidi w:val="0"/>
              <w:spacing w:before="0" w:after="283"/>
              <w:jc w:val="both"/>
              <w:rPr/>
            </w:pPr>
            <w:r>
              <w:rPr/>
              <w:t>Testing management’s process for determining the accounting for income taxes. Due to the non-routine nature of the transaction, we evaluated the appropriateness of the facts and circumstances relating to the transaction and the applicable tax regulations and financial reporting requirements.</w:t>
            </w:r>
          </w:p>
        </w:tc>
      </w:tr>
    </w:tbl>
    <w:tbl>
      <w:tblPr>
        <w:tblW w:w="10205" w:type="dxa"/>
        <w:jc w:val="left"/>
        <w:tblInd w:w="0" w:type="dxa"/>
        <w:shd w:fill="FFFFFF" w:val="clear"/>
        <w:tblLayout w:type="fixed"/>
        <w:tblCellMar>
          <w:top w:w="0" w:type="dxa"/>
          <w:left w:w="0" w:type="dxa"/>
          <w:bottom w:w="0" w:type="dxa"/>
          <w:right w:w="0" w:type="dxa"/>
        </w:tblCellMar>
      </w:tblPr>
      <w:tblGrid>
        <w:gridCol w:w="38"/>
        <w:gridCol w:w="125"/>
        <w:gridCol w:w="10042"/>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25" w:type="dxa"/>
            <w:tcBorders/>
            <w:shd w:fill="FFFFFF" w:val="clear"/>
            <w:vAlign w:val="center"/>
          </w:tcPr>
          <w:p>
            <w:pPr>
              <w:pStyle w:val="TableContents"/>
              <w:bidi w:val="0"/>
              <w:spacing w:before="0" w:after="283"/>
              <w:jc w:val="left"/>
              <w:rPr>
                <w:rFonts w:ascii="Wingdings" w:hAnsi="Wingdings"/>
              </w:rPr>
            </w:pPr>
            <w:r>
              <w:rPr>
                <w:rFonts w:ascii="Wingdings" w:hAnsi="Wingdings"/>
              </w:rPr>
              <w:t>§</w:t>
            </w:r>
          </w:p>
        </w:tc>
        <w:tc>
          <w:tcPr>
            <w:tcW w:w="10042" w:type="dxa"/>
            <w:tcBorders/>
            <w:shd w:fill="FFFFFF" w:val="clear"/>
            <w:vAlign w:val="center"/>
          </w:tcPr>
          <w:p>
            <w:pPr>
              <w:pStyle w:val="TableContents"/>
              <w:bidi w:val="0"/>
              <w:spacing w:before="0" w:after="283"/>
              <w:jc w:val="both"/>
              <w:rPr/>
            </w:pPr>
            <w:r>
              <w:rPr/>
              <w:t>Utilizing internal tax specialists to assist in evaluating the appropriateness of the income tax accounting impact from the significant non-routine transaction and in assessing the presentation and disclosure in the consolidated financial statements.</w:t>
            </w:r>
          </w:p>
        </w:tc>
      </w:tr>
    </w:tbl>
    <w:tbl>
      <w:tblPr>
        <w:tblW w:w="8673" w:type="dxa"/>
        <w:jc w:val="left"/>
        <w:tblInd w:w="0" w:type="dxa"/>
        <w:shd w:fill="FFFFFF" w:val="clear"/>
        <w:tblLayout w:type="fixed"/>
        <w:tblCellMar>
          <w:top w:w="0" w:type="dxa"/>
          <w:left w:w="0" w:type="dxa"/>
          <w:bottom w:w="0" w:type="dxa"/>
          <w:right w:w="0" w:type="dxa"/>
        </w:tblCellMar>
      </w:tblPr>
      <w:tblGrid>
        <w:gridCol w:w="38"/>
        <w:gridCol w:w="125"/>
        <w:gridCol w:w="8510"/>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25" w:type="dxa"/>
            <w:tcBorders/>
            <w:shd w:fill="FFFFFF" w:val="clear"/>
            <w:vAlign w:val="center"/>
          </w:tcPr>
          <w:p>
            <w:pPr>
              <w:pStyle w:val="TableContents"/>
              <w:bidi w:val="0"/>
              <w:spacing w:before="0" w:after="283"/>
              <w:jc w:val="left"/>
              <w:rPr>
                <w:rFonts w:ascii="Wingdings" w:hAnsi="Wingdings"/>
              </w:rPr>
            </w:pPr>
            <w:r>
              <w:rPr>
                <w:rFonts w:ascii="Wingdings" w:hAnsi="Wingdings"/>
              </w:rPr>
              <w:t>§</w:t>
            </w:r>
          </w:p>
        </w:tc>
        <w:tc>
          <w:tcPr>
            <w:tcW w:w="8510" w:type="dxa"/>
            <w:tcBorders/>
            <w:shd w:fill="FFFFFF" w:val="clear"/>
            <w:vAlign w:val="center"/>
          </w:tcPr>
          <w:p>
            <w:pPr>
              <w:pStyle w:val="TableContents"/>
              <w:bidi w:val="0"/>
              <w:spacing w:before="0" w:after="283"/>
              <w:jc w:val="both"/>
              <w:rPr/>
            </w:pPr>
            <w:r>
              <w:rPr/>
              <w:t>Evaluating whether the amounts and assumptions used in the calculation were reasonable.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val="false"/>
          <w:caps w:val="false"/>
          <w:smallCaps w:val="false"/>
          <w:sz w:val="20"/>
          <w:u w:val="single"/>
        </w:rPr>
        <w:t>Baker Tilly US,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Philadelphia, Pennsylvania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29,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43 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MIDDLESEX WATER COMPANY</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INCOME</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per share amounts)</w:t>
      </w:r>
    </w:p>
    <w:p>
      <w:pPr>
        <w:pStyle w:val="TextBody"/>
        <w:bidi w:val="0"/>
        <w:jc w:val="left"/>
        <w:rPr>
          <w:caps w:val="false"/>
          <w:smallCaps w:val="false"/>
        </w:rPr>
      </w:pPr>
      <w:r>
        <w:rPr>
          <w:caps w:val="false"/>
          <w:smallCaps w:val="false"/>
        </w:rPr>
        <w:t> </w:t>
      </w:r>
    </w:p>
    <w:tbl>
      <w:tblPr>
        <w:tblW w:w="7840" w:type="dxa"/>
        <w:jc w:val="left"/>
        <w:tblInd w:w="0" w:type="dxa"/>
        <w:tblLayout w:type="fixed"/>
        <w:tblCellMar>
          <w:top w:w="0" w:type="dxa"/>
          <w:left w:w="0" w:type="dxa"/>
          <w:bottom w:w="0" w:type="dxa"/>
          <w:right w:w="0" w:type="dxa"/>
        </w:tblCellMar>
      </w:tblPr>
      <w:tblGrid>
        <w:gridCol w:w="4610"/>
        <w:gridCol w:w="60"/>
        <w:gridCol w:w="140"/>
        <w:gridCol w:w="800"/>
        <w:gridCol w:w="60"/>
        <w:gridCol w:w="60"/>
        <w:gridCol w:w="140"/>
        <w:gridCol w:w="800"/>
        <w:gridCol w:w="60"/>
        <w:gridCol w:w="60"/>
        <w:gridCol w:w="140"/>
        <w:gridCol w:w="800"/>
        <w:gridCol w:w="110"/>
      </w:tblGrid>
      <w:tr>
        <w:trPr/>
        <w:tc>
          <w:tcPr>
            <w:tcW w:w="46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170" w:type="dxa"/>
            <w:gridSpan w:val="11"/>
            <w:tcBorders/>
            <w:vAlign w:val="center"/>
          </w:tcPr>
          <w:p>
            <w:pPr>
              <w:pStyle w:val="TableContents"/>
              <w:bidi w:val="0"/>
              <w:spacing w:before="0" w:after="283"/>
              <w:jc w:val="center"/>
              <w:rPr>
                <w:b/>
              </w:rPr>
            </w:pPr>
            <w:r>
              <w:rPr>
                <w:b/>
              </w:rPr>
              <w:t>Years Ended December 31,</w:t>
            </w:r>
          </w:p>
        </w:tc>
      </w:tr>
      <w:tr>
        <w:trPr/>
        <w:tc>
          <w:tcPr>
            <w:tcW w:w="4610" w:type="dxa"/>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00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00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05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2021</w:t>
            </w:r>
          </w:p>
        </w:tc>
      </w:tr>
      <w:tr>
        <w:trPr/>
        <w:tc>
          <w:tcPr>
            <w:tcW w:w="46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00"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00"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50" w:type="dxa"/>
            <w:gridSpan w:val="3"/>
            <w:tcBorders/>
            <w:vAlign w:val="center"/>
          </w:tcPr>
          <w:p>
            <w:pPr>
              <w:pStyle w:val="TableContents"/>
              <w:bidi w:val="0"/>
              <w:spacing w:before="0" w:after="283"/>
              <w:jc w:val="center"/>
              <w:rPr/>
            </w:pPr>
            <w:r>
              <w:rPr/>
              <w:t> </w:t>
            </w:r>
          </w:p>
        </w:tc>
      </w:tr>
      <w:tr>
        <w:trPr/>
        <w:tc>
          <w:tcPr>
            <w:tcW w:w="4610" w:type="dxa"/>
            <w:tcBorders>
              <w:bottom w:val="single" w:sz="8" w:space="0" w:color="000000"/>
            </w:tcBorders>
            <w:shd w:fill="CCEEFF" w:val="clear"/>
            <w:tcMar>
              <w:bottom w:w="28" w:type="dxa"/>
            </w:tcMar>
            <w:vAlign w:val="center"/>
          </w:tcPr>
          <w:p>
            <w:pPr>
              <w:pStyle w:val="TableContents"/>
              <w:bidi w:val="0"/>
              <w:spacing w:before="0" w:after="283"/>
              <w:jc w:val="left"/>
              <w:rPr/>
            </w:pPr>
            <w:r>
              <w:rPr/>
              <w:t>Operating Revenues</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166,274</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162,434</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143,141</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pPr>
            <w:r>
              <w:rPr/>
              <w:t>Operations and Maintenance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b/>
              </w:rPr>
            </w:pPr>
            <w:r>
              <w:rPr>
                <w:b/>
              </w:rPr>
              <w:t>83,113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79,096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73,671</w:t>
            </w:r>
          </w:p>
        </w:tc>
        <w:tc>
          <w:tcPr>
            <w:tcW w:w="110" w:type="dxa"/>
            <w:tcBorders/>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Depreciation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b/>
              </w:rPr>
            </w:pPr>
            <w:r>
              <w:rPr>
                <w:b/>
              </w:rPr>
              <w:t>25,194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23,029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21,109</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bottom w:val="single" w:sz="8" w:space="0" w:color="000000"/>
            </w:tcBorders>
            <w:tcMar>
              <w:bottom w:w="28" w:type="dxa"/>
            </w:tcMar>
            <w:vAlign w:val="center"/>
          </w:tcPr>
          <w:p>
            <w:pPr>
              <w:pStyle w:val="TableContents"/>
              <w:bidi w:val="0"/>
              <w:spacing w:before="0" w:after="283"/>
              <w:jc w:val="left"/>
              <w:rPr/>
            </w:pPr>
            <w:r>
              <w:rPr/>
              <w:t>Other Taxes</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right"/>
              <w:rPr>
                <w:b/>
              </w:rPr>
            </w:pPr>
            <w:r>
              <w:rPr>
                <w:b/>
              </w:rPr>
              <w:t>18,744</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right"/>
              <w:rPr/>
            </w:pPr>
            <w:r>
              <w:rPr/>
              <w:t>18,208</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right"/>
              <w:rPr/>
            </w:pPr>
            <w:r>
              <w:rPr/>
              <w:t>15,150</w:t>
            </w:r>
          </w:p>
        </w:tc>
        <w:tc>
          <w:tcPr>
            <w:tcW w:w="11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bottom w:val="single" w:sz="8" w:space="0" w:color="000000"/>
            </w:tcBorders>
            <w:tcMar>
              <w:bottom w:w="28" w:type="dxa"/>
            </w:tcMar>
            <w:vAlign w:val="center"/>
          </w:tcPr>
          <w:p>
            <w:pPr>
              <w:pStyle w:val="TableContents"/>
              <w:bidi w:val="0"/>
              <w:spacing w:before="0" w:after="283"/>
              <w:jc w:val="left"/>
              <w:rPr/>
            </w:pPr>
            <w:r>
              <w:rPr/>
              <w:t>Total Operating Expenses</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right"/>
              <w:rPr>
                <w:b/>
              </w:rPr>
            </w:pPr>
            <w:r>
              <w:rPr>
                <w:b/>
              </w:rPr>
              <w:t>127,051</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right"/>
              <w:rPr/>
            </w:pPr>
            <w:r>
              <w:rPr/>
              <w:t>120,333</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right"/>
              <w:rPr/>
            </w:pPr>
            <w:r>
              <w:rPr/>
              <w:t>109,930</w:t>
            </w:r>
          </w:p>
        </w:tc>
        <w:tc>
          <w:tcPr>
            <w:tcW w:w="11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bottom w:val="single" w:sz="8" w:space="0" w:color="000000"/>
            </w:tcBorders>
            <w:tcMar>
              <w:bottom w:w="28" w:type="dxa"/>
            </w:tcMar>
            <w:vAlign w:val="center"/>
          </w:tcPr>
          <w:p>
            <w:pPr>
              <w:pStyle w:val="TableContents"/>
              <w:bidi w:val="0"/>
              <w:spacing w:before="0" w:after="283"/>
              <w:jc w:val="left"/>
              <w:rPr/>
            </w:pPr>
            <w:r>
              <w:rPr/>
              <w:t>Gain on Sale of Subsidiary</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0"/>
              <w:jc w:val="right"/>
              <w:rPr/>
            </w:pPr>
            <w:r>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right"/>
              <w:rPr/>
            </w:pPr>
            <w:r>
              <w:rPr/>
              <w:t>5,232</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0"/>
              <w:jc w:val="right"/>
              <w:rPr/>
            </w:pPr>
            <w:r>
              <w:rPr/>
              <w:t>—</w:t>
            </w:r>
          </w:p>
        </w:tc>
        <w:tc>
          <w:tcPr>
            <w:tcW w:w="11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bottom w:val="single" w:sz="8" w:space="0" w:color="000000"/>
            </w:tcBorders>
            <w:tcMar>
              <w:bottom w:w="28" w:type="dxa"/>
            </w:tcMar>
            <w:vAlign w:val="center"/>
          </w:tcPr>
          <w:p>
            <w:pPr>
              <w:pStyle w:val="TableContents"/>
              <w:bidi w:val="0"/>
              <w:spacing w:before="0" w:after="283"/>
              <w:jc w:val="left"/>
              <w:rPr/>
            </w:pPr>
            <w:r>
              <w:rPr/>
              <w:t>Operating Income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right"/>
              <w:rPr>
                <w:b/>
              </w:rPr>
            </w:pPr>
            <w:r>
              <w:rPr>
                <w:b/>
              </w:rPr>
              <w:t>39,223</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right"/>
              <w:rPr/>
            </w:pPr>
            <w:r>
              <w:rPr/>
              <w:t>47,333</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right"/>
              <w:rPr/>
            </w:pPr>
            <w:r>
              <w:rPr/>
              <w:t>33,211</w:t>
            </w:r>
          </w:p>
        </w:tc>
        <w:tc>
          <w:tcPr>
            <w:tcW w:w="11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pPr>
            <w:r>
              <w:rPr/>
              <w:t>Other Income (Expense):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Allowance for Funds Used During Construction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b/>
              </w:rPr>
            </w:pPr>
            <w:r>
              <w:rPr>
                <w:b/>
              </w:rPr>
              <w:t>2,433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2,314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2,653</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bottom w:val="single" w:sz="8" w:space="0" w:color="000000"/>
            </w:tcBorders>
            <w:tcMar>
              <w:bottom w:w="28" w:type="dxa"/>
            </w:tcMar>
            <w:vAlign w:val="center"/>
          </w:tcPr>
          <w:p>
            <w:pPr>
              <w:pStyle w:val="TableContents"/>
              <w:bidi w:val="0"/>
              <w:spacing w:before="0" w:after="283"/>
              <w:jc w:val="left"/>
              <w:rPr/>
            </w:pPr>
            <w:r>
              <w:rPr/>
              <w:t>Other Income (Expense), net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right"/>
              <w:rPr>
                <w:b/>
              </w:rPr>
            </w:pPr>
            <w:r>
              <w:rPr>
                <w:b/>
              </w:rPr>
              <w:t>4,052</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right"/>
              <w:rPr/>
            </w:pPr>
            <w:r>
              <w:rPr/>
              <w:t>5,389</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right"/>
              <w:rPr/>
            </w:pPr>
            <w:r>
              <w:rPr/>
              <w:t>3,305</w:t>
            </w:r>
          </w:p>
        </w:tc>
        <w:tc>
          <w:tcPr>
            <w:tcW w:w="11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bottom w:val="single" w:sz="8" w:space="0" w:color="000000"/>
            </w:tcBorders>
            <w:tcMar>
              <w:bottom w:w="28" w:type="dxa"/>
            </w:tcMar>
            <w:vAlign w:val="center"/>
          </w:tcPr>
          <w:p>
            <w:pPr>
              <w:pStyle w:val="TableContents"/>
              <w:bidi w:val="0"/>
              <w:spacing w:before="0" w:after="283"/>
              <w:jc w:val="left"/>
              <w:rPr/>
            </w:pPr>
            <w:r>
              <w:rPr/>
              <w:t>Total Other Income, net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right"/>
              <w:rPr>
                <w:b/>
              </w:rPr>
            </w:pPr>
            <w:r>
              <w:rPr>
                <w:b/>
              </w:rPr>
              <w:t>6,485</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right"/>
              <w:rPr/>
            </w:pPr>
            <w:r>
              <w:rPr/>
              <w:t>7,703</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right"/>
              <w:rPr/>
            </w:pPr>
            <w:r>
              <w:rPr/>
              <w:t>5,958</w:t>
            </w:r>
          </w:p>
        </w:tc>
        <w:tc>
          <w:tcPr>
            <w:tcW w:w="11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bottom w:val="single" w:sz="8" w:space="0" w:color="000000"/>
            </w:tcBorders>
            <w:tcMar>
              <w:bottom w:w="28" w:type="dxa"/>
            </w:tcMar>
            <w:vAlign w:val="center"/>
          </w:tcPr>
          <w:p>
            <w:pPr>
              <w:pStyle w:val="TableContents"/>
              <w:bidi w:val="0"/>
              <w:spacing w:before="0" w:after="283"/>
              <w:jc w:val="left"/>
              <w:rPr/>
            </w:pPr>
            <w:r>
              <w:rPr/>
              <w:t>Interest Charges</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right"/>
              <w:rPr>
                <w:b/>
              </w:rPr>
            </w:pPr>
            <w:r>
              <w:rPr>
                <w:b/>
              </w:rPr>
              <w:t>13,143</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right"/>
              <w:rPr/>
            </w:pPr>
            <w:r>
              <w:rPr/>
              <w:t>9,367</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right"/>
              <w:rPr/>
            </w:pPr>
            <w:r>
              <w:rPr/>
              <w:t>8,114</w:t>
            </w:r>
          </w:p>
        </w:tc>
        <w:tc>
          <w:tcPr>
            <w:tcW w:w="11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bottom w:val="single" w:sz="8" w:space="0" w:color="000000"/>
            </w:tcBorders>
            <w:tcMar>
              <w:bottom w:w="28" w:type="dxa"/>
            </w:tcMar>
            <w:vAlign w:val="center"/>
          </w:tcPr>
          <w:p>
            <w:pPr>
              <w:pStyle w:val="TableContents"/>
              <w:bidi w:val="0"/>
              <w:spacing w:before="0" w:after="283"/>
              <w:jc w:val="left"/>
              <w:rPr/>
            </w:pPr>
            <w:r>
              <w:rPr/>
              <w:t>Income before Income Taxes</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right"/>
              <w:rPr>
                <w:b/>
              </w:rPr>
            </w:pPr>
            <w:r>
              <w:rPr>
                <w:b/>
              </w:rPr>
              <w:t>32,565</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right"/>
              <w:rPr/>
            </w:pPr>
            <w:r>
              <w:rPr/>
              <w:t>45,669</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right"/>
              <w:rPr/>
            </w:pPr>
            <w:r>
              <w:rPr/>
              <w:t>31,055</w:t>
            </w:r>
          </w:p>
        </w:tc>
        <w:tc>
          <w:tcPr>
            <w:tcW w:w="11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bottom w:val="single" w:sz="8" w:space="0" w:color="000000"/>
            </w:tcBorders>
            <w:tcMar>
              <w:bottom w:w="28" w:type="dxa"/>
            </w:tcMar>
            <w:vAlign w:val="center"/>
          </w:tcPr>
          <w:p>
            <w:pPr>
              <w:pStyle w:val="TableContents"/>
              <w:bidi w:val="0"/>
              <w:spacing w:before="0" w:after="283"/>
              <w:jc w:val="left"/>
              <w:rPr/>
            </w:pPr>
            <w:r>
              <w:rPr/>
              <w:t>Income Taxes</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right"/>
              <w:rPr>
                <w:b/>
              </w:rPr>
            </w:pPr>
            <w:r>
              <w:rPr>
                <w:b/>
              </w:rPr>
              <w:t>1,041</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right"/>
              <w:rPr/>
            </w:pPr>
            <w:r>
              <w:rPr/>
              <w:t>3,240</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right"/>
              <w:rPr/>
            </w:pPr>
            <w:r>
              <w:rPr/>
              <w:t>(5,488</w:t>
            </w:r>
          </w:p>
        </w:tc>
        <w:tc>
          <w:tcPr>
            <w:tcW w:w="110" w:type="dxa"/>
            <w:tcBorders>
              <w:bottom w:val="single" w:sz="8" w:space="0" w:color="000000"/>
            </w:tcBorders>
            <w:tcMar>
              <w:bottom w:w="28" w:type="dxa"/>
            </w:tcMar>
            <w:vAlign w:val="center"/>
          </w:tcPr>
          <w:p>
            <w:pPr>
              <w:pStyle w:val="TableContents"/>
              <w:bidi w:val="0"/>
              <w:spacing w:before="0" w:after="283"/>
              <w:jc w:val="left"/>
              <w:rPr/>
            </w:pPr>
            <w:r>
              <w:rPr/>
              <w:t>)</w:t>
            </w:r>
          </w:p>
        </w:tc>
      </w:tr>
      <w:tr>
        <w:trPr/>
        <w:tc>
          <w:tcPr>
            <w:tcW w:w="46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pPr>
            <w:r>
              <w:rPr/>
              <w:t>Net Income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b/>
              </w:rPr>
            </w:pPr>
            <w:r>
              <w:rPr>
                <w:b/>
              </w:rPr>
              <w:t>31,524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42,429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36,543</w:t>
            </w:r>
          </w:p>
        </w:tc>
        <w:tc>
          <w:tcPr>
            <w:tcW w:w="110" w:type="dxa"/>
            <w:tcBorders/>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bottom w:val="single" w:sz="8" w:space="0" w:color="000000"/>
            </w:tcBorders>
            <w:tcMar>
              <w:bottom w:w="28" w:type="dxa"/>
            </w:tcMar>
            <w:vAlign w:val="center"/>
          </w:tcPr>
          <w:p>
            <w:pPr>
              <w:pStyle w:val="TableContents"/>
              <w:bidi w:val="0"/>
              <w:spacing w:before="0" w:after="283"/>
              <w:jc w:val="left"/>
              <w:rPr/>
            </w:pPr>
            <w:r>
              <w:rPr/>
              <w:t>Preferred Stock Dividend Requirements</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right"/>
              <w:rPr>
                <w:b/>
              </w:rPr>
            </w:pPr>
            <w:r>
              <w:rPr>
                <w:b/>
              </w:rPr>
              <w:t>120</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right"/>
              <w:rPr/>
            </w:pPr>
            <w:r>
              <w:rPr/>
              <w:t>120</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right"/>
              <w:rPr/>
            </w:pPr>
            <w:r>
              <w:rPr/>
              <w:t>120</w:t>
            </w:r>
          </w:p>
        </w:tc>
        <w:tc>
          <w:tcPr>
            <w:tcW w:w="11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bottom w:val="single" w:sz="8" w:space="0" w:color="000000"/>
            </w:tcBorders>
            <w:tcMar>
              <w:bottom w:w="28" w:type="dxa"/>
            </w:tcMar>
            <w:vAlign w:val="center"/>
          </w:tcPr>
          <w:p>
            <w:pPr>
              <w:pStyle w:val="TableContents"/>
              <w:bidi w:val="0"/>
              <w:spacing w:before="0" w:after="283"/>
              <w:jc w:val="left"/>
              <w:rPr/>
            </w:pPr>
            <w:r>
              <w:rPr/>
              <w:t>Earnings Applicable to Common Stock</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b/>
              </w:rPr>
            </w:pPr>
            <w:r>
              <w:rPr>
                <w:b/>
              </w:rPr>
              <w:t>$</w:t>
            </w:r>
          </w:p>
        </w:tc>
        <w:tc>
          <w:tcPr>
            <w:tcW w:w="800" w:type="dxa"/>
            <w:tcBorders>
              <w:bottom w:val="single" w:sz="8" w:space="0" w:color="000000"/>
            </w:tcBorders>
            <w:tcMar>
              <w:bottom w:w="28" w:type="dxa"/>
            </w:tcMar>
            <w:vAlign w:val="center"/>
          </w:tcPr>
          <w:p>
            <w:pPr>
              <w:pStyle w:val="TableContents"/>
              <w:bidi w:val="0"/>
              <w:spacing w:before="0" w:after="283"/>
              <w:jc w:val="right"/>
              <w:rPr>
                <w:b/>
              </w:rPr>
            </w:pPr>
            <w:r>
              <w:rPr>
                <w:b/>
              </w:rPr>
              <w:t>31,404</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w:t>
            </w:r>
          </w:p>
        </w:tc>
        <w:tc>
          <w:tcPr>
            <w:tcW w:w="800" w:type="dxa"/>
            <w:tcBorders>
              <w:bottom w:val="single" w:sz="8" w:space="0" w:color="000000"/>
            </w:tcBorders>
            <w:tcMar>
              <w:bottom w:w="28" w:type="dxa"/>
            </w:tcMar>
            <w:vAlign w:val="center"/>
          </w:tcPr>
          <w:p>
            <w:pPr>
              <w:pStyle w:val="TableContents"/>
              <w:bidi w:val="0"/>
              <w:spacing w:before="0" w:after="283"/>
              <w:jc w:val="right"/>
              <w:rPr/>
            </w:pPr>
            <w:r>
              <w:rPr/>
              <w:t>42,309</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w:t>
            </w:r>
          </w:p>
        </w:tc>
        <w:tc>
          <w:tcPr>
            <w:tcW w:w="800" w:type="dxa"/>
            <w:tcBorders>
              <w:bottom w:val="single" w:sz="8" w:space="0" w:color="000000"/>
            </w:tcBorders>
            <w:tcMar>
              <w:bottom w:w="28" w:type="dxa"/>
            </w:tcMar>
            <w:vAlign w:val="center"/>
          </w:tcPr>
          <w:p>
            <w:pPr>
              <w:pStyle w:val="TableContents"/>
              <w:bidi w:val="0"/>
              <w:spacing w:before="0" w:after="283"/>
              <w:jc w:val="right"/>
              <w:rPr/>
            </w:pPr>
            <w:r>
              <w:rPr/>
              <w:t>36,423</w:t>
            </w:r>
          </w:p>
        </w:tc>
        <w:tc>
          <w:tcPr>
            <w:tcW w:w="11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pPr>
            <w:r>
              <w:rPr/>
              <w:t>Earnings per share of Common Stock:</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Basic</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800" w:type="dxa"/>
            <w:tcBorders/>
            <w:shd w:fill="CCEEFF" w:val="clear"/>
            <w:vAlign w:val="center"/>
          </w:tcPr>
          <w:p>
            <w:pPr>
              <w:pStyle w:val="TableContents"/>
              <w:bidi w:val="0"/>
              <w:spacing w:before="0" w:after="283"/>
              <w:jc w:val="right"/>
              <w:rPr>
                <w:b/>
              </w:rPr>
            </w:pPr>
            <w:r>
              <w:rPr>
                <w:b/>
              </w:rPr>
              <w:t>1.77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2.08</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pPr>
            <w:r>
              <w:rPr/>
              <w:t>Diluted</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b/>
              </w:rPr>
            </w:pPr>
            <w:r>
              <w:rPr>
                <w:b/>
              </w:rPr>
              <w:t>$</w:t>
            </w:r>
          </w:p>
        </w:tc>
        <w:tc>
          <w:tcPr>
            <w:tcW w:w="800" w:type="dxa"/>
            <w:tcBorders/>
            <w:vAlign w:val="center"/>
          </w:tcPr>
          <w:p>
            <w:pPr>
              <w:pStyle w:val="TableContents"/>
              <w:bidi w:val="0"/>
              <w:spacing w:before="0" w:after="283"/>
              <w:jc w:val="right"/>
              <w:rPr>
                <w:b/>
              </w:rPr>
            </w:pPr>
            <w:r>
              <w:rPr>
                <w:b/>
              </w:rPr>
              <w:t>1.76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2.39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2.07</w:t>
            </w:r>
          </w:p>
        </w:tc>
        <w:tc>
          <w:tcPr>
            <w:tcW w:w="110" w:type="dxa"/>
            <w:tcBorders/>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pPr>
            <w:r>
              <w:rPr/>
              <w:t>Average Number of</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Common Shares Outstanding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pPr>
            <w:r>
              <w:rPr/>
              <w:t>Basic</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b/>
              </w:rPr>
            </w:pPr>
            <w:r>
              <w:rPr>
                <w:b/>
              </w:rPr>
              <w:t>17,732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17,597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17,492</w:t>
            </w:r>
          </w:p>
        </w:tc>
        <w:tc>
          <w:tcPr>
            <w:tcW w:w="110" w:type="dxa"/>
            <w:tcBorders/>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Diluted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b/>
              </w:rPr>
            </w:pPr>
            <w:r>
              <w:rPr>
                <w:b/>
              </w:rPr>
              <w:t>17,847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17,712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17,607</w:t>
            </w:r>
          </w:p>
        </w:tc>
        <w:tc>
          <w:tcPr>
            <w:tcW w:w="110"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See Notes to Consolidated Financial Statements.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44 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MIDDLESEX WATER COMPANY</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36"/>
        <w:gridCol w:w="60"/>
        <w:gridCol w:w="5121"/>
        <w:gridCol w:w="60"/>
        <w:gridCol w:w="151"/>
        <w:gridCol w:w="1060"/>
        <w:gridCol w:w="64"/>
        <w:gridCol w:w="60"/>
        <w:gridCol w:w="151"/>
        <w:gridCol w:w="1058"/>
        <w:gridCol w:w="84"/>
      </w:tblGrid>
      <w:tr>
        <w:trPr/>
        <w:tc>
          <w:tcPr>
            <w:tcW w:w="233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12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75" w:type="dxa"/>
            <w:gridSpan w:val="3"/>
            <w:tcBorders/>
            <w:vAlign w:val="center"/>
          </w:tcPr>
          <w:p>
            <w:pPr>
              <w:pStyle w:val="TableContents"/>
              <w:bidi w:val="0"/>
              <w:spacing w:before="0" w:after="283"/>
              <w:jc w:val="center"/>
              <w:rPr>
                <w:b/>
              </w:rPr>
            </w:pPr>
            <w:r>
              <w:rPr>
                <w:b/>
              </w:rPr>
              <w:t>December 31,</w:t>
            </w:r>
          </w:p>
        </w:tc>
        <w:tc>
          <w:tcPr>
            <w:tcW w:w="60" w:type="dxa"/>
            <w:tcBorders/>
            <w:vAlign w:val="center"/>
          </w:tcPr>
          <w:p>
            <w:pPr>
              <w:pStyle w:val="TableContents"/>
              <w:bidi w:val="0"/>
              <w:spacing w:before="0" w:after="283"/>
              <w:jc w:val="left"/>
              <w:rPr/>
            </w:pPr>
            <w:r>
              <w:rPr/>
              <w:t> </w:t>
            </w:r>
          </w:p>
        </w:tc>
        <w:tc>
          <w:tcPr>
            <w:tcW w:w="1293" w:type="dxa"/>
            <w:gridSpan w:val="3"/>
            <w:tcBorders/>
            <w:vAlign w:val="center"/>
          </w:tcPr>
          <w:p>
            <w:pPr>
              <w:pStyle w:val="TableContents"/>
              <w:bidi w:val="0"/>
              <w:spacing w:before="0" w:after="283"/>
              <w:jc w:val="center"/>
              <w:rPr>
                <w:b/>
              </w:rPr>
            </w:pPr>
            <w:r>
              <w:rPr>
                <w:b/>
              </w:rPr>
              <w:t>December 31,</w:t>
            </w:r>
          </w:p>
        </w:tc>
      </w:tr>
      <w:tr>
        <w:trPr/>
        <w:tc>
          <w:tcPr>
            <w:tcW w:w="2336" w:type="dxa"/>
            <w:tcBorders>
              <w:bottom w:val="single" w:sz="8" w:space="0" w:color="000000"/>
            </w:tcBorders>
            <w:tcMar>
              <w:bottom w:w="28" w:type="dxa"/>
            </w:tcMar>
            <w:vAlign w:val="center"/>
          </w:tcPr>
          <w:p>
            <w:pPr>
              <w:pStyle w:val="TableContents"/>
              <w:bidi w:val="0"/>
              <w:spacing w:before="0" w:after="283"/>
              <w:jc w:val="left"/>
              <w:rPr>
                <w:b/>
                <w:sz w:val="20"/>
              </w:rPr>
            </w:pPr>
            <w:r>
              <w:rPr>
                <w:b/>
                <w:sz w:val="20"/>
              </w:rPr>
              <w:t>ASSETS</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5121" w:type="dxa"/>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75"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93"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2022</w:t>
            </w:r>
          </w:p>
        </w:tc>
      </w:tr>
      <w:tr>
        <w:trPr/>
        <w:tc>
          <w:tcPr>
            <w:tcW w:w="2336" w:type="dxa"/>
            <w:tcBorders/>
            <w:shd w:fill="CCEEFF" w:val="clear"/>
            <w:vAlign w:val="center"/>
          </w:tcPr>
          <w:p>
            <w:pPr>
              <w:pStyle w:val="TableContents"/>
              <w:bidi w:val="0"/>
              <w:spacing w:before="0" w:after="283"/>
              <w:jc w:val="left"/>
              <w:rPr>
                <w:b/>
              </w:rPr>
            </w:pPr>
            <w:r>
              <w:rPr>
                <w:b/>
              </w:rPr>
              <w:t>UTILITY PLANT:</w:t>
            </w:r>
          </w:p>
        </w:tc>
        <w:tc>
          <w:tcPr>
            <w:tcW w:w="60" w:type="dxa"/>
            <w:tcBorders/>
            <w:shd w:fill="CCEEFF" w:val="clear"/>
            <w:vAlign w:val="center"/>
          </w:tcPr>
          <w:p>
            <w:pPr>
              <w:pStyle w:val="TableContents"/>
              <w:bidi w:val="0"/>
              <w:spacing w:before="0" w:after="283"/>
              <w:jc w:val="left"/>
              <w:rPr/>
            </w:pPr>
            <w:r>
              <w:rPr/>
              <w:t> </w:t>
            </w:r>
          </w:p>
        </w:tc>
        <w:tc>
          <w:tcPr>
            <w:tcW w:w="5121" w:type="dxa"/>
            <w:tcBorders/>
            <w:shd w:fill="CCEEFF" w:val="clear"/>
            <w:vAlign w:val="center"/>
          </w:tcPr>
          <w:p>
            <w:pPr>
              <w:pStyle w:val="TableContents"/>
              <w:bidi w:val="0"/>
              <w:spacing w:before="0" w:after="283"/>
              <w:jc w:val="left"/>
              <w:rPr/>
            </w:pPr>
            <w:r>
              <w:rPr/>
              <w:t>Water Production</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b/>
              </w:rPr>
            </w:pPr>
            <w:r>
              <w:rPr>
                <w:b/>
              </w:rPr>
              <w:t>$</w:t>
            </w:r>
          </w:p>
        </w:tc>
        <w:tc>
          <w:tcPr>
            <w:tcW w:w="1060" w:type="dxa"/>
            <w:tcBorders/>
            <w:shd w:fill="CCEEFF" w:val="clear"/>
            <w:vAlign w:val="center"/>
          </w:tcPr>
          <w:p>
            <w:pPr>
              <w:pStyle w:val="TableContents"/>
              <w:bidi w:val="0"/>
              <w:spacing w:before="0" w:after="283"/>
              <w:jc w:val="right"/>
              <w:rPr>
                <w:b/>
              </w:rPr>
            </w:pPr>
            <w:r>
              <w:rPr>
                <w:b/>
              </w:rPr>
              <w:t>303,791</w:t>
            </w:r>
          </w:p>
        </w:tc>
        <w:tc>
          <w:tcPr>
            <w:tcW w:w="6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1058" w:type="dxa"/>
            <w:tcBorders/>
            <w:shd w:fill="CCEEFF" w:val="clear"/>
            <w:vAlign w:val="center"/>
          </w:tcPr>
          <w:p>
            <w:pPr>
              <w:pStyle w:val="TableContents"/>
              <w:bidi w:val="0"/>
              <w:spacing w:before="0" w:after="283"/>
              <w:jc w:val="right"/>
              <w:rPr/>
            </w:pPr>
            <w:r>
              <w:rPr/>
              <w:t>249,153</w:t>
            </w:r>
          </w:p>
        </w:tc>
        <w:tc>
          <w:tcPr>
            <w:tcW w:w="84" w:type="dxa"/>
            <w:tcBorders/>
            <w:shd w:fill="CCEEFF" w:val="clear"/>
            <w:vAlign w:val="center"/>
          </w:tcPr>
          <w:p>
            <w:pPr>
              <w:pStyle w:val="TableContents"/>
              <w:bidi w:val="0"/>
              <w:spacing w:before="0" w:after="283"/>
              <w:jc w:val="left"/>
              <w:rPr/>
            </w:pPr>
            <w:r>
              <w:rPr/>
              <w:t> </w:t>
            </w:r>
          </w:p>
        </w:tc>
      </w:tr>
      <w:tr>
        <w:trPr/>
        <w:tc>
          <w:tcPr>
            <w:tcW w:w="233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21" w:type="dxa"/>
            <w:tcBorders/>
            <w:vAlign w:val="center"/>
          </w:tcPr>
          <w:p>
            <w:pPr>
              <w:pStyle w:val="TableContents"/>
              <w:bidi w:val="0"/>
              <w:spacing w:before="0" w:after="283"/>
              <w:jc w:val="left"/>
              <w:rPr/>
            </w:pPr>
            <w:r>
              <w:rPr/>
              <w:t>Transmission and Distribution</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060" w:type="dxa"/>
            <w:tcBorders/>
            <w:vAlign w:val="center"/>
          </w:tcPr>
          <w:p>
            <w:pPr>
              <w:pStyle w:val="TableContents"/>
              <w:bidi w:val="0"/>
              <w:spacing w:before="0" w:after="283"/>
              <w:jc w:val="right"/>
              <w:rPr>
                <w:b/>
              </w:rPr>
            </w:pPr>
            <w:r>
              <w:rPr>
                <w:b/>
              </w:rPr>
              <w:t>809,862</w:t>
            </w:r>
          </w:p>
        </w:tc>
        <w:tc>
          <w:tcPr>
            <w:tcW w:w="6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283"/>
              <w:jc w:val="right"/>
              <w:rPr/>
            </w:pPr>
            <w:r>
              <w:rPr/>
              <w:t>735,138</w:t>
            </w:r>
          </w:p>
        </w:tc>
        <w:tc>
          <w:tcPr>
            <w:tcW w:w="84" w:type="dxa"/>
            <w:tcBorders/>
            <w:vAlign w:val="center"/>
          </w:tcPr>
          <w:p>
            <w:pPr>
              <w:pStyle w:val="TableContents"/>
              <w:bidi w:val="0"/>
              <w:spacing w:before="0" w:after="283"/>
              <w:jc w:val="left"/>
              <w:rPr/>
            </w:pPr>
            <w:r>
              <w:rPr/>
              <w:t> </w:t>
            </w:r>
          </w:p>
        </w:tc>
      </w:tr>
      <w:tr>
        <w:trPr/>
        <w:tc>
          <w:tcPr>
            <w:tcW w:w="233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21" w:type="dxa"/>
            <w:tcBorders/>
            <w:shd w:fill="CCEEFF" w:val="clear"/>
            <w:vAlign w:val="center"/>
          </w:tcPr>
          <w:p>
            <w:pPr>
              <w:pStyle w:val="TableContents"/>
              <w:bidi w:val="0"/>
              <w:spacing w:before="0" w:after="283"/>
              <w:jc w:val="left"/>
              <w:rPr/>
            </w:pPr>
            <w:r>
              <w:rPr/>
              <w:t>General</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b/>
              </w:rPr>
            </w:pPr>
            <w:r>
              <w:rPr>
                <w:b/>
              </w:rPr>
              <w:t>100,593</w:t>
            </w:r>
          </w:p>
        </w:tc>
        <w:tc>
          <w:tcPr>
            <w:tcW w:w="6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97,581</w:t>
            </w:r>
          </w:p>
        </w:tc>
        <w:tc>
          <w:tcPr>
            <w:tcW w:w="84" w:type="dxa"/>
            <w:tcBorders/>
            <w:shd w:fill="CCEEFF" w:val="clear"/>
            <w:vAlign w:val="center"/>
          </w:tcPr>
          <w:p>
            <w:pPr>
              <w:pStyle w:val="TableContents"/>
              <w:bidi w:val="0"/>
              <w:spacing w:before="0" w:after="283"/>
              <w:jc w:val="left"/>
              <w:rPr/>
            </w:pPr>
            <w:r>
              <w:rPr/>
              <w:t> </w:t>
            </w:r>
          </w:p>
        </w:tc>
      </w:tr>
      <w:tr>
        <w:trPr/>
        <w:tc>
          <w:tcPr>
            <w:tcW w:w="2336"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5121" w:type="dxa"/>
            <w:tcBorders>
              <w:bottom w:val="single" w:sz="8" w:space="0" w:color="000000"/>
            </w:tcBorders>
            <w:tcMar>
              <w:bottom w:w="28" w:type="dxa"/>
            </w:tcMar>
            <w:vAlign w:val="center"/>
          </w:tcPr>
          <w:p>
            <w:pPr>
              <w:pStyle w:val="TableContents"/>
              <w:bidi w:val="0"/>
              <w:spacing w:before="0" w:after="283"/>
              <w:jc w:val="left"/>
              <w:rPr/>
            </w:pPr>
            <w:r>
              <w:rPr/>
              <w:t>Construction Work in Progress</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51" w:type="dxa"/>
            <w:tcBorders>
              <w:bottom w:val="single" w:sz="8" w:space="0" w:color="000000"/>
            </w:tcBorders>
            <w:tcMar>
              <w:bottom w:w="28" w:type="dxa"/>
            </w:tcMar>
            <w:vAlign w:val="center"/>
          </w:tcPr>
          <w:p>
            <w:pPr>
              <w:pStyle w:val="TableContents"/>
              <w:bidi w:val="0"/>
              <w:spacing w:before="0" w:after="283"/>
              <w:jc w:val="left"/>
              <w:rPr/>
            </w:pPr>
            <w:r>
              <w:rPr/>
              <w:t> </w:t>
            </w:r>
          </w:p>
        </w:tc>
        <w:tc>
          <w:tcPr>
            <w:tcW w:w="1060" w:type="dxa"/>
            <w:tcBorders>
              <w:bottom w:val="single" w:sz="8" w:space="0" w:color="000000"/>
            </w:tcBorders>
            <w:tcMar>
              <w:bottom w:w="28" w:type="dxa"/>
            </w:tcMar>
            <w:vAlign w:val="center"/>
          </w:tcPr>
          <w:p>
            <w:pPr>
              <w:pStyle w:val="TableContents"/>
              <w:bidi w:val="0"/>
              <w:spacing w:before="0" w:after="283"/>
              <w:jc w:val="right"/>
              <w:rPr>
                <w:b/>
              </w:rPr>
            </w:pPr>
            <w:r>
              <w:rPr>
                <w:b/>
              </w:rPr>
              <w:t>19,636</w:t>
            </w:r>
          </w:p>
        </w:tc>
        <w:tc>
          <w:tcPr>
            <w:tcW w:w="64"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51" w:type="dxa"/>
            <w:tcBorders>
              <w:bottom w:val="single" w:sz="8" w:space="0" w:color="000000"/>
            </w:tcBorders>
            <w:tcMar>
              <w:bottom w:w="28" w:type="dxa"/>
            </w:tcMar>
            <w:vAlign w:val="center"/>
          </w:tcPr>
          <w:p>
            <w:pPr>
              <w:pStyle w:val="TableContents"/>
              <w:bidi w:val="0"/>
              <w:spacing w:before="0" w:after="283"/>
              <w:jc w:val="left"/>
              <w:rPr/>
            </w:pPr>
            <w:r>
              <w:rPr/>
              <w:t> </w:t>
            </w:r>
          </w:p>
        </w:tc>
        <w:tc>
          <w:tcPr>
            <w:tcW w:w="1058" w:type="dxa"/>
            <w:tcBorders>
              <w:bottom w:val="single" w:sz="8" w:space="0" w:color="000000"/>
            </w:tcBorders>
            <w:tcMar>
              <w:bottom w:w="28" w:type="dxa"/>
            </w:tcMar>
            <w:vAlign w:val="center"/>
          </w:tcPr>
          <w:p>
            <w:pPr>
              <w:pStyle w:val="TableContents"/>
              <w:bidi w:val="0"/>
              <w:spacing w:before="0" w:after="283"/>
              <w:jc w:val="right"/>
              <w:rPr/>
            </w:pPr>
            <w:r>
              <w:rPr/>
              <w:t>53,570</w:t>
            </w:r>
          </w:p>
        </w:tc>
        <w:tc>
          <w:tcPr>
            <w:tcW w:w="84"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33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21"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b/>
              </w:rPr>
            </w:pPr>
            <w:r>
              <w:rPr>
                <w:b/>
              </w:rPr>
              <w:t>1,233,882</w:t>
            </w:r>
          </w:p>
        </w:tc>
        <w:tc>
          <w:tcPr>
            <w:tcW w:w="6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1,135,442</w:t>
            </w:r>
          </w:p>
        </w:tc>
        <w:tc>
          <w:tcPr>
            <w:tcW w:w="84" w:type="dxa"/>
            <w:tcBorders/>
            <w:shd w:fill="CCEEFF" w:val="clear"/>
            <w:vAlign w:val="center"/>
          </w:tcPr>
          <w:p>
            <w:pPr>
              <w:pStyle w:val="TableContents"/>
              <w:bidi w:val="0"/>
              <w:spacing w:before="0" w:after="283"/>
              <w:jc w:val="left"/>
              <w:rPr/>
            </w:pPr>
            <w:r>
              <w:rPr/>
              <w:t> </w:t>
            </w:r>
          </w:p>
        </w:tc>
      </w:tr>
      <w:tr>
        <w:trPr/>
        <w:tc>
          <w:tcPr>
            <w:tcW w:w="2336"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5121" w:type="dxa"/>
            <w:tcBorders>
              <w:bottom w:val="single" w:sz="8" w:space="0" w:color="000000"/>
            </w:tcBorders>
            <w:tcMar>
              <w:bottom w:w="28" w:type="dxa"/>
            </w:tcMar>
            <w:vAlign w:val="center"/>
          </w:tcPr>
          <w:p>
            <w:pPr>
              <w:pStyle w:val="TableContents"/>
              <w:bidi w:val="0"/>
              <w:spacing w:before="0" w:after="283"/>
              <w:jc w:val="left"/>
              <w:rPr/>
            </w:pPr>
            <w:r>
              <w:rPr/>
              <w:t>Less Accumulated Depreciation</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51" w:type="dxa"/>
            <w:tcBorders>
              <w:bottom w:val="single" w:sz="8" w:space="0" w:color="000000"/>
            </w:tcBorders>
            <w:tcMar>
              <w:bottom w:w="28" w:type="dxa"/>
            </w:tcMar>
            <w:vAlign w:val="center"/>
          </w:tcPr>
          <w:p>
            <w:pPr>
              <w:pStyle w:val="TableContents"/>
              <w:bidi w:val="0"/>
              <w:spacing w:before="0" w:after="283"/>
              <w:jc w:val="left"/>
              <w:rPr/>
            </w:pPr>
            <w:r>
              <w:rPr/>
              <w:t> </w:t>
            </w:r>
          </w:p>
        </w:tc>
        <w:tc>
          <w:tcPr>
            <w:tcW w:w="1060" w:type="dxa"/>
            <w:tcBorders>
              <w:bottom w:val="single" w:sz="8" w:space="0" w:color="000000"/>
            </w:tcBorders>
            <w:tcMar>
              <w:bottom w:w="28" w:type="dxa"/>
            </w:tcMar>
            <w:vAlign w:val="center"/>
          </w:tcPr>
          <w:p>
            <w:pPr>
              <w:pStyle w:val="TableContents"/>
              <w:bidi w:val="0"/>
              <w:spacing w:before="0" w:after="283"/>
              <w:jc w:val="right"/>
              <w:rPr>
                <w:b/>
              </w:rPr>
            </w:pPr>
            <w:r>
              <w:rPr>
                <w:b/>
              </w:rPr>
              <w:t>235,540</w:t>
            </w:r>
          </w:p>
        </w:tc>
        <w:tc>
          <w:tcPr>
            <w:tcW w:w="64"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51" w:type="dxa"/>
            <w:tcBorders>
              <w:bottom w:val="single" w:sz="8" w:space="0" w:color="000000"/>
            </w:tcBorders>
            <w:tcMar>
              <w:bottom w:w="28" w:type="dxa"/>
            </w:tcMar>
            <w:vAlign w:val="center"/>
          </w:tcPr>
          <w:p>
            <w:pPr>
              <w:pStyle w:val="TableContents"/>
              <w:bidi w:val="0"/>
              <w:spacing w:before="0" w:after="283"/>
              <w:jc w:val="left"/>
              <w:rPr/>
            </w:pPr>
            <w:r>
              <w:rPr/>
              <w:t> </w:t>
            </w:r>
          </w:p>
        </w:tc>
        <w:tc>
          <w:tcPr>
            <w:tcW w:w="1058" w:type="dxa"/>
            <w:tcBorders>
              <w:bottom w:val="single" w:sz="8" w:space="0" w:color="000000"/>
            </w:tcBorders>
            <w:tcMar>
              <w:bottom w:w="28" w:type="dxa"/>
            </w:tcMar>
            <w:vAlign w:val="center"/>
          </w:tcPr>
          <w:p>
            <w:pPr>
              <w:pStyle w:val="TableContents"/>
              <w:bidi w:val="0"/>
              <w:spacing w:before="0" w:after="283"/>
              <w:jc w:val="right"/>
              <w:rPr/>
            </w:pPr>
            <w:r>
              <w:rPr/>
              <w:t>214,891</w:t>
            </w:r>
          </w:p>
        </w:tc>
        <w:tc>
          <w:tcPr>
            <w:tcW w:w="84"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33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21" w:type="dxa"/>
            <w:tcBorders/>
            <w:shd w:fill="CCEEFF" w:val="clear"/>
            <w:vAlign w:val="center"/>
          </w:tcPr>
          <w:p>
            <w:pPr>
              <w:pStyle w:val="TableContents"/>
              <w:bidi w:val="0"/>
              <w:spacing w:before="0" w:after="283"/>
              <w:jc w:val="left"/>
              <w:rPr/>
            </w:pPr>
            <w:r>
              <w:rPr/>
              <w:t>UTILITY PLANT - NET</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b/>
              </w:rPr>
            </w:pPr>
            <w:r>
              <w:rPr>
                <w:b/>
              </w:rPr>
              <w:t>998,342</w:t>
            </w:r>
          </w:p>
        </w:tc>
        <w:tc>
          <w:tcPr>
            <w:tcW w:w="6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920,551</w:t>
            </w:r>
          </w:p>
        </w:tc>
        <w:tc>
          <w:tcPr>
            <w:tcW w:w="84" w:type="dxa"/>
            <w:tcBorders/>
            <w:shd w:fill="CCEEFF" w:val="clear"/>
            <w:vAlign w:val="center"/>
          </w:tcPr>
          <w:p>
            <w:pPr>
              <w:pStyle w:val="TableContents"/>
              <w:bidi w:val="0"/>
              <w:spacing w:before="0" w:after="283"/>
              <w:jc w:val="left"/>
              <w:rPr/>
            </w:pPr>
            <w:r>
              <w:rPr/>
              <w:t> </w:t>
            </w:r>
          </w:p>
        </w:tc>
      </w:tr>
      <w:tr>
        <w:trPr/>
        <w:tc>
          <w:tcPr>
            <w:tcW w:w="2336"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5121"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51" w:type="dxa"/>
            <w:tcBorders>
              <w:bottom w:val="single" w:sz="8" w:space="0" w:color="000000"/>
            </w:tcBorders>
            <w:tcMar>
              <w:bottom w:w="28" w:type="dxa"/>
            </w:tcMar>
            <w:vAlign w:val="center"/>
          </w:tcPr>
          <w:p>
            <w:pPr>
              <w:pStyle w:val="TableContents"/>
              <w:bidi w:val="0"/>
              <w:spacing w:before="0" w:after="283"/>
              <w:jc w:val="left"/>
              <w:rPr/>
            </w:pPr>
            <w:r>
              <w:rPr/>
              <w:t> </w:t>
            </w:r>
          </w:p>
        </w:tc>
        <w:tc>
          <w:tcPr>
            <w:tcW w:w="1060" w:type="dxa"/>
            <w:tcBorders>
              <w:bottom w:val="single" w:sz="8" w:space="0" w:color="000000"/>
            </w:tcBorders>
            <w:tcMar>
              <w:bottom w:w="28" w:type="dxa"/>
            </w:tcMar>
            <w:vAlign w:val="center"/>
          </w:tcPr>
          <w:p>
            <w:pPr>
              <w:pStyle w:val="TableContents"/>
              <w:bidi w:val="0"/>
              <w:spacing w:before="0" w:after="283"/>
              <w:jc w:val="right"/>
              <w:rPr/>
            </w:pPr>
            <w:r>
              <w:rPr/>
              <w:t> </w:t>
            </w:r>
          </w:p>
        </w:tc>
        <w:tc>
          <w:tcPr>
            <w:tcW w:w="64"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51" w:type="dxa"/>
            <w:tcBorders>
              <w:bottom w:val="single" w:sz="8" w:space="0" w:color="000000"/>
            </w:tcBorders>
            <w:tcMar>
              <w:bottom w:w="28" w:type="dxa"/>
            </w:tcMar>
            <w:vAlign w:val="center"/>
          </w:tcPr>
          <w:p>
            <w:pPr>
              <w:pStyle w:val="TableContents"/>
              <w:bidi w:val="0"/>
              <w:spacing w:before="0" w:after="283"/>
              <w:jc w:val="left"/>
              <w:rPr/>
            </w:pPr>
            <w:r>
              <w:rPr/>
              <w:t> </w:t>
            </w:r>
          </w:p>
        </w:tc>
        <w:tc>
          <w:tcPr>
            <w:tcW w:w="1058" w:type="dxa"/>
            <w:tcBorders>
              <w:bottom w:val="single" w:sz="8" w:space="0" w:color="000000"/>
            </w:tcBorders>
            <w:tcMar>
              <w:bottom w:w="28" w:type="dxa"/>
            </w:tcMar>
            <w:vAlign w:val="center"/>
          </w:tcPr>
          <w:p>
            <w:pPr>
              <w:pStyle w:val="TableContents"/>
              <w:bidi w:val="0"/>
              <w:spacing w:before="0" w:after="283"/>
              <w:jc w:val="right"/>
              <w:rPr/>
            </w:pPr>
            <w:r>
              <w:rPr/>
              <w:t> </w:t>
            </w:r>
          </w:p>
        </w:tc>
        <w:tc>
          <w:tcPr>
            <w:tcW w:w="84"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336" w:type="dxa"/>
            <w:tcBorders/>
            <w:shd w:fill="CCEEFF" w:val="clear"/>
            <w:vAlign w:val="center"/>
          </w:tcPr>
          <w:p>
            <w:pPr>
              <w:pStyle w:val="TableContents"/>
              <w:bidi w:val="0"/>
              <w:spacing w:before="0" w:after="283"/>
              <w:jc w:val="left"/>
              <w:rPr>
                <w:b/>
              </w:rPr>
            </w:pPr>
            <w:r>
              <w:rPr>
                <w:b/>
              </w:rPr>
              <w:t>CURRENT ASSETS:</w:t>
            </w:r>
          </w:p>
        </w:tc>
        <w:tc>
          <w:tcPr>
            <w:tcW w:w="60" w:type="dxa"/>
            <w:tcBorders/>
            <w:shd w:fill="CCEEFF" w:val="clear"/>
            <w:vAlign w:val="center"/>
          </w:tcPr>
          <w:p>
            <w:pPr>
              <w:pStyle w:val="TableContents"/>
              <w:bidi w:val="0"/>
              <w:spacing w:before="0" w:after="283"/>
              <w:jc w:val="left"/>
              <w:rPr/>
            </w:pPr>
            <w:r>
              <w:rPr/>
              <w:t> </w:t>
            </w:r>
          </w:p>
        </w:tc>
        <w:tc>
          <w:tcPr>
            <w:tcW w:w="5121"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b/>
              </w:rPr>
            </w:pPr>
            <w:r>
              <w:rPr>
                <w:b/>
              </w:rPr>
              <w:t>2,390</w:t>
            </w:r>
          </w:p>
        </w:tc>
        <w:tc>
          <w:tcPr>
            <w:tcW w:w="6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3,828</w:t>
            </w:r>
          </w:p>
        </w:tc>
        <w:tc>
          <w:tcPr>
            <w:tcW w:w="84" w:type="dxa"/>
            <w:tcBorders/>
            <w:shd w:fill="CCEEFF" w:val="clear"/>
            <w:vAlign w:val="center"/>
          </w:tcPr>
          <w:p>
            <w:pPr>
              <w:pStyle w:val="TableContents"/>
              <w:bidi w:val="0"/>
              <w:spacing w:before="0" w:after="283"/>
              <w:jc w:val="left"/>
              <w:rPr/>
            </w:pPr>
            <w:r>
              <w:rPr/>
              <w:t> </w:t>
            </w:r>
          </w:p>
        </w:tc>
      </w:tr>
      <w:tr>
        <w:trPr/>
        <w:tc>
          <w:tcPr>
            <w:tcW w:w="233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21" w:type="dxa"/>
            <w:tcBorders/>
            <w:vAlign w:val="center"/>
          </w:tcPr>
          <w:p>
            <w:pPr>
              <w:pStyle w:val="TableContents"/>
              <w:bidi w:val="0"/>
              <w:spacing w:before="0" w:after="283"/>
              <w:jc w:val="left"/>
              <w:rPr/>
            </w:pPr>
            <w:r>
              <w:rPr/>
              <w:t>Accounts Receivable, net of allowance for uncollectible accounts of $2,137 and $2,326, respectively</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060" w:type="dxa"/>
            <w:tcBorders/>
            <w:vAlign w:val="center"/>
          </w:tcPr>
          <w:p>
            <w:pPr>
              <w:pStyle w:val="TableContents"/>
              <w:bidi w:val="0"/>
              <w:spacing w:before="0" w:after="283"/>
              <w:jc w:val="right"/>
              <w:rPr>
                <w:b/>
              </w:rPr>
            </w:pPr>
            <w:r>
              <w:rPr>
                <w:b/>
              </w:rPr>
              <w:t>18,172</w:t>
            </w:r>
          </w:p>
        </w:tc>
        <w:tc>
          <w:tcPr>
            <w:tcW w:w="6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283"/>
              <w:jc w:val="right"/>
              <w:rPr/>
            </w:pPr>
            <w:r>
              <w:rPr/>
              <w:t>16,018</w:t>
            </w:r>
          </w:p>
        </w:tc>
        <w:tc>
          <w:tcPr>
            <w:tcW w:w="84" w:type="dxa"/>
            <w:tcBorders/>
            <w:vAlign w:val="center"/>
          </w:tcPr>
          <w:p>
            <w:pPr>
              <w:pStyle w:val="TableContents"/>
              <w:bidi w:val="0"/>
              <w:spacing w:before="0" w:after="283"/>
              <w:jc w:val="left"/>
              <w:rPr/>
            </w:pPr>
            <w:r>
              <w:rPr/>
              <w:t> </w:t>
            </w:r>
          </w:p>
        </w:tc>
      </w:tr>
      <w:tr>
        <w:trPr/>
        <w:tc>
          <w:tcPr>
            <w:tcW w:w="233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21" w:type="dxa"/>
            <w:tcBorders/>
            <w:shd w:fill="CCEEFF" w:val="clear"/>
            <w:vAlign w:val="center"/>
          </w:tcPr>
          <w:p>
            <w:pPr>
              <w:pStyle w:val="TableContents"/>
              <w:bidi w:val="0"/>
              <w:spacing w:before="0" w:after="283"/>
              <w:jc w:val="left"/>
              <w:rPr/>
            </w:pPr>
            <w:r>
              <w:rPr/>
              <w:t>Litigation Settlement Receivable</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b/>
              </w:rPr>
            </w:pPr>
            <w:r>
              <w:rPr>
                <w:b/>
              </w:rPr>
              <w:t>69,872</w:t>
            </w:r>
          </w:p>
        </w:tc>
        <w:tc>
          <w:tcPr>
            <w:tcW w:w="6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0"/>
              <w:jc w:val="right"/>
              <w:rPr/>
            </w:pPr>
            <w:r>
              <w:rPr/>
              <w:t>—</w:t>
            </w:r>
          </w:p>
        </w:tc>
        <w:tc>
          <w:tcPr>
            <w:tcW w:w="84" w:type="dxa"/>
            <w:tcBorders/>
            <w:shd w:fill="CCEEFF" w:val="clear"/>
            <w:vAlign w:val="center"/>
          </w:tcPr>
          <w:p>
            <w:pPr>
              <w:pStyle w:val="TableContents"/>
              <w:bidi w:val="0"/>
              <w:spacing w:before="0" w:after="283"/>
              <w:jc w:val="left"/>
              <w:rPr/>
            </w:pPr>
            <w:r>
              <w:rPr/>
              <w:t> </w:t>
            </w:r>
          </w:p>
        </w:tc>
      </w:tr>
      <w:tr>
        <w:trPr/>
        <w:tc>
          <w:tcPr>
            <w:tcW w:w="233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21" w:type="dxa"/>
            <w:tcBorders/>
            <w:vAlign w:val="center"/>
          </w:tcPr>
          <w:p>
            <w:pPr>
              <w:pStyle w:val="TableContents"/>
              <w:bidi w:val="0"/>
              <w:spacing w:before="0" w:after="283"/>
              <w:jc w:val="left"/>
              <w:rPr/>
            </w:pPr>
            <w:r>
              <w:rPr/>
              <w:t>Unbilled Revenues</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060" w:type="dxa"/>
            <w:tcBorders/>
            <w:vAlign w:val="center"/>
          </w:tcPr>
          <w:p>
            <w:pPr>
              <w:pStyle w:val="TableContents"/>
              <w:bidi w:val="0"/>
              <w:spacing w:before="0" w:after="283"/>
              <w:jc w:val="right"/>
              <w:rPr>
                <w:b/>
              </w:rPr>
            </w:pPr>
            <w:r>
              <w:rPr>
                <w:b/>
              </w:rPr>
              <w:t>9,297</w:t>
            </w:r>
          </w:p>
        </w:tc>
        <w:tc>
          <w:tcPr>
            <w:tcW w:w="6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283"/>
              <w:jc w:val="right"/>
              <w:rPr/>
            </w:pPr>
            <w:r>
              <w:rPr/>
              <w:t>8,659</w:t>
            </w:r>
          </w:p>
        </w:tc>
        <w:tc>
          <w:tcPr>
            <w:tcW w:w="84" w:type="dxa"/>
            <w:tcBorders/>
            <w:vAlign w:val="center"/>
          </w:tcPr>
          <w:p>
            <w:pPr>
              <w:pStyle w:val="TableContents"/>
              <w:bidi w:val="0"/>
              <w:spacing w:before="0" w:after="283"/>
              <w:jc w:val="left"/>
              <w:rPr/>
            </w:pPr>
            <w:r>
              <w:rPr/>
              <w:t> </w:t>
            </w:r>
          </w:p>
        </w:tc>
      </w:tr>
      <w:tr>
        <w:trPr/>
        <w:tc>
          <w:tcPr>
            <w:tcW w:w="233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21" w:type="dxa"/>
            <w:tcBorders/>
            <w:shd w:fill="CCEEFF" w:val="clear"/>
            <w:vAlign w:val="center"/>
          </w:tcPr>
          <w:p>
            <w:pPr>
              <w:pStyle w:val="TableContents"/>
              <w:bidi w:val="0"/>
              <w:spacing w:before="0" w:after="283"/>
              <w:jc w:val="left"/>
              <w:rPr/>
            </w:pPr>
            <w:r>
              <w:rPr/>
              <w:t>Materials and Supplies (at average cost)</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b/>
              </w:rPr>
            </w:pPr>
            <w:r>
              <w:rPr>
                <w:b/>
              </w:rPr>
              <w:t>6,972</w:t>
            </w:r>
          </w:p>
        </w:tc>
        <w:tc>
          <w:tcPr>
            <w:tcW w:w="6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6,177</w:t>
            </w:r>
          </w:p>
        </w:tc>
        <w:tc>
          <w:tcPr>
            <w:tcW w:w="84" w:type="dxa"/>
            <w:tcBorders/>
            <w:shd w:fill="CCEEFF" w:val="clear"/>
            <w:vAlign w:val="center"/>
          </w:tcPr>
          <w:p>
            <w:pPr>
              <w:pStyle w:val="TableContents"/>
              <w:bidi w:val="0"/>
              <w:spacing w:before="0" w:after="283"/>
              <w:jc w:val="left"/>
              <w:rPr/>
            </w:pPr>
            <w:r>
              <w:rPr/>
              <w:t> </w:t>
            </w:r>
          </w:p>
        </w:tc>
      </w:tr>
      <w:tr>
        <w:trPr/>
        <w:tc>
          <w:tcPr>
            <w:tcW w:w="2336"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5121" w:type="dxa"/>
            <w:tcBorders>
              <w:bottom w:val="single" w:sz="8" w:space="0" w:color="000000"/>
            </w:tcBorders>
            <w:tcMar>
              <w:bottom w:w="28" w:type="dxa"/>
            </w:tcMar>
            <w:vAlign w:val="center"/>
          </w:tcPr>
          <w:p>
            <w:pPr>
              <w:pStyle w:val="TableContents"/>
              <w:bidi w:val="0"/>
              <w:spacing w:before="0" w:after="283"/>
              <w:jc w:val="left"/>
              <w:rPr/>
            </w:pPr>
            <w:r>
              <w:rPr/>
              <w:t>Prepayments</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51" w:type="dxa"/>
            <w:tcBorders>
              <w:bottom w:val="single" w:sz="8" w:space="0" w:color="000000"/>
            </w:tcBorders>
            <w:tcMar>
              <w:bottom w:w="28" w:type="dxa"/>
            </w:tcMar>
            <w:vAlign w:val="center"/>
          </w:tcPr>
          <w:p>
            <w:pPr>
              <w:pStyle w:val="TableContents"/>
              <w:bidi w:val="0"/>
              <w:spacing w:before="0" w:after="283"/>
              <w:jc w:val="left"/>
              <w:rPr/>
            </w:pPr>
            <w:r>
              <w:rPr/>
              <w:t> </w:t>
            </w:r>
          </w:p>
        </w:tc>
        <w:tc>
          <w:tcPr>
            <w:tcW w:w="1060" w:type="dxa"/>
            <w:tcBorders>
              <w:bottom w:val="single" w:sz="8" w:space="0" w:color="000000"/>
            </w:tcBorders>
            <w:tcMar>
              <w:bottom w:w="28" w:type="dxa"/>
            </w:tcMar>
            <w:vAlign w:val="center"/>
          </w:tcPr>
          <w:p>
            <w:pPr>
              <w:pStyle w:val="TableContents"/>
              <w:bidi w:val="0"/>
              <w:spacing w:before="0" w:after="283"/>
              <w:jc w:val="right"/>
              <w:rPr>
                <w:b/>
              </w:rPr>
            </w:pPr>
            <w:r>
              <w:rPr>
                <w:b/>
              </w:rPr>
              <w:t>1,833</w:t>
            </w:r>
          </w:p>
        </w:tc>
        <w:tc>
          <w:tcPr>
            <w:tcW w:w="64"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51" w:type="dxa"/>
            <w:tcBorders>
              <w:bottom w:val="single" w:sz="8" w:space="0" w:color="000000"/>
            </w:tcBorders>
            <w:tcMar>
              <w:bottom w:w="28" w:type="dxa"/>
            </w:tcMar>
            <w:vAlign w:val="center"/>
          </w:tcPr>
          <w:p>
            <w:pPr>
              <w:pStyle w:val="TableContents"/>
              <w:bidi w:val="0"/>
              <w:spacing w:before="0" w:after="283"/>
              <w:jc w:val="left"/>
              <w:rPr/>
            </w:pPr>
            <w:r>
              <w:rPr/>
              <w:t> </w:t>
            </w:r>
          </w:p>
        </w:tc>
        <w:tc>
          <w:tcPr>
            <w:tcW w:w="1058" w:type="dxa"/>
            <w:tcBorders>
              <w:bottom w:val="single" w:sz="8" w:space="0" w:color="000000"/>
            </w:tcBorders>
            <w:tcMar>
              <w:bottom w:w="28" w:type="dxa"/>
            </w:tcMar>
            <w:vAlign w:val="center"/>
          </w:tcPr>
          <w:p>
            <w:pPr>
              <w:pStyle w:val="TableContents"/>
              <w:bidi w:val="0"/>
              <w:spacing w:before="0" w:after="283"/>
              <w:jc w:val="right"/>
              <w:rPr/>
            </w:pPr>
            <w:r>
              <w:rPr/>
              <w:t>2,624</w:t>
            </w:r>
          </w:p>
        </w:tc>
        <w:tc>
          <w:tcPr>
            <w:tcW w:w="84"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33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21" w:type="dxa"/>
            <w:tcBorders/>
            <w:shd w:fill="CCEEFF" w:val="clear"/>
            <w:vAlign w:val="center"/>
          </w:tcPr>
          <w:p>
            <w:pPr>
              <w:pStyle w:val="TableContents"/>
              <w:bidi w:val="0"/>
              <w:spacing w:before="0" w:after="283"/>
              <w:jc w:val="left"/>
              <w:rPr/>
            </w:pPr>
            <w:r>
              <w:rPr/>
              <w:t>TOTAL CURRENT ASSETS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b/>
              </w:rPr>
            </w:pPr>
            <w:r>
              <w:rPr>
                <w:b/>
              </w:rPr>
              <w:t>108,536</w:t>
            </w:r>
          </w:p>
        </w:tc>
        <w:tc>
          <w:tcPr>
            <w:tcW w:w="6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37,306</w:t>
            </w:r>
          </w:p>
        </w:tc>
        <w:tc>
          <w:tcPr>
            <w:tcW w:w="84" w:type="dxa"/>
            <w:tcBorders/>
            <w:shd w:fill="CCEEFF" w:val="clear"/>
            <w:vAlign w:val="center"/>
          </w:tcPr>
          <w:p>
            <w:pPr>
              <w:pStyle w:val="TableContents"/>
              <w:bidi w:val="0"/>
              <w:spacing w:before="0" w:after="283"/>
              <w:jc w:val="left"/>
              <w:rPr/>
            </w:pPr>
            <w:r>
              <w:rPr/>
              <w:t> </w:t>
            </w:r>
          </w:p>
        </w:tc>
      </w:tr>
      <w:tr>
        <w:trPr/>
        <w:tc>
          <w:tcPr>
            <w:tcW w:w="2336"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5121"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51" w:type="dxa"/>
            <w:tcBorders>
              <w:bottom w:val="single" w:sz="8" w:space="0" w:color="000000"/>
            </w:tcBorders>
            <w:tcMar>
              <w:bottom w:w="28" w:type="dxa"/>
            </w:tcMar>
            <w:vAlign w:val="center"/>
          </w:tcPr>
          <w:p>
            <w:pPr>
              <w:pStyle w:val="TableContents"/>
              <w:bidi w:val="0"/>
              <w:spacing w:before="0" w:after="283"/>
              <w:jc w:val="left"/>
              <w:rPr/>
            </w:pPr>
            <w:r>
              <w:rPr/>
              <w:t> </w:t>
            </w:r>
          </w:p>
        </w:tc>
        <w:tc>
          <w:tcPr>
            <w:tcW w:w="1060" w:type="dxa"/>
            <w:tcBorders>
              <w:bottom w:val="single" w:sz="8" w:space="0" w:color="000000"/>
            </w:tcBorders>
            <w:tcMar>
              <w:bottom w:w="28" w:type="dxa"/>
            </w:tcMar>
            <w:vAlign w:val="center"/>
          </w:tcPr>
          <w:p>
            <w:pPr>
              <w:pStyle w:val="TableContents"/>
              <w:bidi w:val="0"/>
              <w:spacing w:before="0" w:after="283"/>
              <w:jc w:val="right"/>
              <w:rPr/>
            </w:pPr>
            <w:r>
              <w:rPr/>
              <w:t> </w:t>
            </w:r>
          </w:p>
        </w:tc>
        <w:tc>
          <w:tcPr>
            <w:tcW w:w="64"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51" w:type="dxa"/>
            <w:tcBorders>
              <w:bottom w:val="single" w:sz="8" w:space="0" w:color="000000"/>
            </w:tcBorders>
            <w:tcMar>
              <w:bottom w:w="28" w:type="dxa"/>
            </w:tcMar>
            <w:vAlign w:val="center"/>
          </w:tcPr>
          <w:p>
            <w:pPr>
              <w:pStyle w:val="TableContents"/>
              <w:bidi w:val="0"/>
              <w:spacing w:before="0" w:after="283"/>
              <w:jc w:val="left"/>
              <w:rPr/>
            </w:pPr>
            <w:r>
              <w:rPr/>
              <w:t> </w:t>
            </w:r>
          </w:p>
        </w:tc>
        <w:tc>
          <w:tcPr>
            <w:tcW w:w="1058" w:type="dxa"/>
            <w:tcBorders>
              <w:bottom w:val="single" w:sz="8" w:space="0" w:color="000000"/>
            </w:tcBorders>
            <w:tcMar>
              <w:bottom w:w="28" w:type="dxa"/>
            </w:tcMar>
            <w:vAlign w:val="center"/>
          </w:tcPr>
          <w:p>
            <w:pPr>
              <w:pStyle w:val="TableContents"/>
              <w:bidi w:val="0"/>
              <w:spacing w:before="0" w:after="283"/>
              <w:jc w:val="right"/>
              <w:rPr/>
            </w:pPr>
            <w:r>
              <w:rPr/>
              <w:t> </w:t>
            </w:r>
          </w:p>
        </w:tc>
        <w:tc>
          <w:tcPr>
            <w:tcW w:w="84"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336" w:type="dxa"/>
            <w:tcBorders/>
            <w:shd w:fill="CCEEFF" w:val="clear"/>
            <w:vAlign w:val="center"/>
          </w:tcPr>
          <w:p>
            <w:pPr>
              <w:pStyle w:val="TableContents"/>
              <w:bidi w:val="0"/>
              <w:spacing w:before="0" w:after="283"/>
              <w:jc w:val="left"/>
              <w:rPr>
                <w:b/>
              </w:rPr>
            </w:pPr>
            <w:r>
              <w:rPr>
                <w:b/>
              </w:rPr>
              <w:t>OTHER ASSETS:</w:t>
            </w:r>
          </w:p>
        </w:tc>
        <w:tc>
          <w:tcPr>
            <w:tcW w:w="60" w:type="dxa"/>
            <w:tcBorders/>
            <w:shd w:fill="CCEEFF" w:val="clear"/>
            <w:vAlign w:val="center"/>
          </w:tcPr>
          <w:p>
            <w:pPr>
              <w:pStyle w:val="TableContents"/>
              <w:bidi w:val="0"/>
              <w:spacing w:before="0" w:after="283"/>
              <w:jc w:val="left"/>
              <w:rPr/>
            </w:pPr>
            <w:r>
              <w:rPr/>
              <w:t> </w:t>
            </w:r>
          </w:p>
        </w:tc>
        <w:tc>
          <w:tcPr>
            <w:tcW w:w="5121" w:type="dxa"/>
            <w:tcBorders/>
            <w:shd w:fill="CCEEFF" w:val="clear"/>
            <w:vAlign w:val="center"/>
          </w:tcPr>
          <w:p>
            <w:pPr>
              <w:pStyle w:val="TableContents"/>
              <w:bidi w:val="0"/>
              <w:spacing w:before="0" w:after="283"/>
              <w:jc w:val="left"/>
              <w:rPr/>
            </w:pPr>
            <w:r>
              <w:rPr/>
              <w:t>Operating Lease Right of Use Asset</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b/>
              </w:rPr>
            </w:pPr>
            <w:r>
              <w:rPr>
                <w:b/>
              </w:rPr>
              <w:t>3,185</w:t>
            </w:r>
          </w:p>
        </w:tc>
        <w:tc>
          <w:tcPr>
            <w:tcW w:w="6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3,826</w:t>
            </w:r>
          </w:p>
        </w:tc>
        <w:tc>
          <w:tcPr>
            <w:tcW w:w="84" w:type="dxa"/>
            <w:tcBorders/>
            <w:shd w:fill="CCEEFF" w:val="clear"/>
            <w:vAlign w:val="center"/>
          </w:tcPr>
          <w:p>
            <w:pPr>
              <w:pStyle w:val="TableContents"/>
              <w:bidi w:val="0"/>
              <w:spacing w:before="0" w:after="283"/>
              <w:jc w:val="left"/>
              <w:rPr/>
            </w:pPr>
            <w:r>
              <w:rPr/>
              <w:t> </w:t>
            </w:r>
          </w:p>
        </w:tc>
      </w:tr>
      <w:tr>
        <w:trPr/>
        <w:tc>
          <w:tcPr>
            <w:tcW w:w="233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21" w:type="dxa"/>
            <w:tcBorders/>
            <w:vAlign w:val="center"/>
          </w:tcPr>
          <w:p>
            <w:pPr>
              <w:pStyle w:val="TableContents"/>
              <w:bidi w:val="0"/>
              <w:spacing w:before="0" w:after="283"/>
              <w:jc w:val="left"/>
              <w:rPr/>
            </w:pPr>
            <w:r>
              <w:rPr/>
              <w:t>Preliminary Survey and Investigation Charges</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060" w:type="dxa"/>
            <w:tcBorders/>
            <w:vAlign w:val="center"/>
          </w:tcPr>
          <w:p>
            <w:pPr>
              <w:pStyle w:val="TableContents"/>
              <w:bidi w:val="0"/>
              <w:spacing w:before="0" w:after="283"/>
              <w:jc w:val="right"/>
              <w:rPr>
                <w:b/>
              </w:rPr>
            </w:pPr>
            <w:r>
              <w:rPr>
                <w:b/>
              </w:rPr>
              <w:t>1,932</w:t>
            </w:r>
          </w:p>
        </w:tc>
        <w:tc>
          <w:tcPr>
            <w:tcW w:w="6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283"/>
              <w:jc w:val="right"/>
              <w:rPr/>
            </w:pPr>
            <w:r>
              <w:rPr/>
              <w:t>2,806</w:t>
            </w:r>
          </w:p>
        </w:tc>
        <w:tc>
          <w:tcPr>
            <w:tcW w:w="84" w:type="dxa"/>
            <w:tcBorders/>
            <w:vAlign w:val="center"/>
          </w:tcPr>
          <w:p>
            <w:pPr>
              <w:pStyle w:val="TableContents"/>
              <w:bidi w:val="0"/>
              <w:spacing w:before="0" w:after="283"/>
              <w:jc w:val="left"/>
              <w:rPr/>
            </w:pPr>
            <w:r>
              <w:rPr/>
              <w:t> </w:t>
            </w:r>
          </w:p>
        </w:tc>
      </w:tr>
      <w:tr>
        <w:trPr/>
        <w:tc>
          <w:tcPr>
            <w:tcW w:w="233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21" w:type="dxa"/>
            <w:tcBorders/>
            <w:shd w:fill="CCEEFF" w:val="clear"/>
            <w:vAlign w:val="center"/>
          </w:tcPr>
          <w:p>
            <w:pPr>
              <w:pStyle w:val="TableContents"/>
              <w:bidi w:val="0"/>
              <w:spacing w:before="0" w:after="283"/>
              <w:jc w:val="left"/>
              <w:rPr/>
            </w:pPr>
            <w:r>
              <w:rPr/>
              <w:t>Regulatory Assets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b/>
              </w:rPr>
            </w:pPr>
            <w:r>
              <w:rPr>
                <w:b/>
              </w:rPr>
              <w:t>90,694</w:t>
            </w:r>
          </w:p>
        </w:tc>
        <w:tc>
          <w:tcPr>
            <w:tcW w:w="6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90,046</w:t>
            </w:r>
          </w:p>
        </w:tc>
        <w:tc>
          <w:tcPr>
            <w:tcW w:w="84" w:type="dxa"/>
            <w:tcBorders/>
            <w:shd w:fill="CCEEFF" w:val="clear"/>
            <w:vAlign w:val="center"/>
          </w:tcPr>
          <w:p>
            <w:pPr>
              <w:pStyle w:val="TableContents"/>
              <w:bidi w:val="0"/>
              <w:spacing w:before="0" w:after="283"/>
              <w:jc w:val="left"/>
              <w:rPr/>
            </w:pPr>
            <w:r>
              <w:rPr/>
              <w:t> </w:t>
            </w:r>
          </w:p>
        </w:tc>
      </w:tr>
      <w:tr>
        <w:trPr/>
        <w:tc>
          <w:tcPr>
            <w:tcW w:w="233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21" w:type="dxa"/>
            <w:tcBorders/>
            <w:vAlign w:val="center"/>
          </w:tcPr>
          <w:p>
            <w:pPr>
              <w:pStyle w:val="TableContents"/>
              <w:bidi w:val="0"/>
              <w:spacing w:before="0" w:after="283"/>
              <w:jc w:val="left"/>
              <w:rPr/>
            </w:pPr>
            <w:r>
              <w:rPr/>
              <w:t>Non-utility Assets - Net</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060" w:type="dxa"/>
            <w:tcBorders/>
            <w:vAlign w:val="center"/>
          </w:tcPr>
          <w:p>
            <w:pPr>
              <w:pStyle w:val="TableContents"/>
              <w:bidi w:val="0"/>
              <w:spacing w:before="0" w:after="283"/>
              <w:jc w:val="right"/>
              <w:rPr>
                <w:b/>
              </w:rPr>
            </w:pPr>
            <w:r>
              <w:rPr>
                <w:b/>
              </w:rPr>
              <w:t>11,522</w:t>
            </w:r>
          </w:p>
        </w:tc>
        <w:tc>
          <w:tcPr>
            <w:tcW w:w="6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283"/>
              <w:jc w:val="right"/>
              <w:rPr/>
            </w:pPr>
            <w:r>
              <w:rPr/>
              <w:t>11,207</w:t>
            </w:r>
          </w:p>
        </w:tc>
        <w:tc>
          <w:tcPr>
            <w:tcW w:w="84" w:type="dxa"/>
            <w:tcBorders/>
            <w:vAlign w:val="center"/>
          </w:tcPr>
          <w:p>
            <w:pPr>
              <w:pStyle w:val="TableContents"/>
              <w:bidi w:val="0"/>
              <w:spacing w:before="0" w:after="283"/>
              <w:jc w:val="left"/>
              <w:rPr/>
            </w:pPr>
            <w:r>
              <w:rPr/>
              <w:t> </w:t>
            </w:r>
          </w:p>
        </w:tc>
      </w:tr>
      <w:tr>
        <w:trPr/>
        <w:tc>
          <w:tcPr>
            <w:tcW w:w="233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21" w:type="dxa"/>
            <w:tcBorders/>
            <w:shd w:fill="CCEEFF" w:val="clear"/>
            <w:vAlign w:val="center"/>
          </w:tcPr>
          <w:p>
            <w:pPr>
              <w:pStyle w:val="TableContents"/>
              <w:bidi w:val="0"/>
              <w:spacing w:before="0" w:after="283"/>
              <w:jc w:val="left"/>
              <w:rPr/>
            </w:pPr>
            <w:r>
              <w:rPr/>
              <w:t>Employee Benefit Plans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b/>
              </w:rPr>
            </w:pPr>
            <w:r>
              <w:rPr>
                <w:b/>
              </w:rPr>
              <w:t>21,779</w:t>
            </w:r>
          </w:p>
        </w:tc>
        <w:tc>
          <w:tcPr>
            <w:tcW w:w="6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8,689</w:t>
            </w:r>
          </w:p>
        </w:tc>
        <w:tc>
          <w:tcPr>
            <w:tcW w:w="84" w:type="dxa"/>
            <w:tcBorders/>
            <w:shd w:fill="CCEEFF" w:val="clear"/>
            <w:vAlign w:val="center"/>
          </w:tcPr>
          <w:p>
            <w:pPr>
              <w:pStyle w:val="TableContents"/>
              <w:bidi w:val="0"/>
              <w:spacing w:before="0" w:after="283"/>
              <w:jc w:val="left"/>
              <w:rPr/>
            </w:pPr>
            <w:r>
              <w:rPr/>
              <w:t> </w:t>
            </w:r>
          </w:p>
        </w:tc>
      </w:tr>
      <w:tr>
        <w:trPr/>
        <w:tc>
          <w:tcPr>
            <w:tcW w:w="2336"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5121" w:type="dxa"/>
            <w:tcBorders>
              <w:bottom w:val="single" w:sz="8" w:space="0" w:color="000000"/>
            </w:tcBorders>
            <w:tcMar>
              <w:bottom w:w="28" w:type="dxa"/>
            </w:tcMar>
            <w:vAlign w:val="center"/>
          </w:tcPr>
          <w:p>
            <w:pPr>
              <w:pStyle w:val="TableContents"/>
              <w:bidi w:val="0"/>
              <w:spacing w:before="0" w:after="283"/>
              <w:jc w:val="left"/>
              <w:rPr/>
            </w:pPr>
            <w:r>
              <w:rPr/>
              <w:t>Other</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51" w:type="dxa"/>
            <w:tcBorders>
              <w:bottom w:val="single" w:sz="8" w:space="0" w:color="000000"/>
            </w:tcBorders>
            <w:tcMar>
              <w:bottom w:w="28" w:type="dxa"/>
            </w:tcMar>
            <w:vAlign w:val="center"/>
          </w:tcPr>
          <w:p>
            <w:pPr>
              <w:pStyle w:val="TableContents"/>
              <w:bidi w:val="0"/>
              <w:spacing w:before="0" w:after="283"/>
              <w:jc w:val="left"/>
              <w:rPr/>
            </w:pPr>
            <w:r>
              <w:rPr/>
              <w:t> </w:t>
            </w:r>
          </w:p>
        </w:tc>
        <w:tc>
          <w:tcPr>
            <w:tcW w:w="1060" w:type="dxa"/>
            <w:tcBorders>
              <w:bottom w:val="single" w:sz="8" w:space="0" w:color="000000"/>
            </w:tcBorders>
            <w:tcMar>
              <w:bottom w:w="28" w:type="dxa"/>
            </w:tcMar>
            <w:vAlign w:val="center"/>
          </w:tcPr>
          <w:p>
            <w:pPr>
              <w:pStyle w:val="TableContents"/>
              <w:bidi w:val="0"/>
              <w:spacing w:before="0" w:after="283"/>
              <w:jc w:val="right"/>
              <w:rPr>
                <w:b/>
              </w:rPr>
            </w:pPr>
            <w:r>
              <w:rPr>
                <w:b/>
              </w:rPr>
              <w:t>62</w:t>
            </w:r>
          </w:p>
        </w:tc>
        <w:tc>
          <w:tcPr>
            <w:tcW w:w="64"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51" w:type="dxa"/>
            <w:tcBorders>
              <w:bottom w:val="single" w:sz="8" w:space="0" w:color="000000"/>
            </w:tcBorders>
            <w:tcMar>
              <w:bottom w:w="28" w:type="dxa"/>
            </w:tcMar>
            <w:vAlign w:val="center"/>
          </w:tcPr>
          <w:p>
            <w:pPr>
              <w:pStyle w:val="TableContents"/>
              <w:bidi w:val="0"/>
              <w:spacing w:before="0" w:after="283"/>
              <w:jc w:val="left"/>
              <w:rPr/>
            </w:pPr>
            <w:r>
              <w:rPr/>
              <w:t> </w:t>
            </w:r>
          </w:p>
        </w:tc>
        <w:tc>
          <w:tcPr>
            <w:tcW w:w="1058" w:type="dxa"/>
            <w:tcBorders>
              <w:bottom w:val="single" w:sz="8" w:space="0" w:color="000000"/>
            </w:tcBorders>
            <w:tcMar>
              <w:bottom w:w="28" w:type="dxa"/>
            </w:tcMar>
            <w:vAlign w:val="center"/>
          </w:tcPr>
          <w:p>
            <w:pPr>
              <w:pStyle w:val="TableContents"/>
              <w:bidi w:val="0"/>
              <w:spacing w:before="0" w:after="283"/>
              <w:jc w:val="right"/>
              <w:rPr/>
            </w:pPr>
            <w:r>
              <w:rPr/>
              <w:t>19</w:t>
            </w:r>
          </w:p>
        </w:tc>
        <w:tc>
          <w:tcPr>
            <w:tcW w:w="84"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336"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121" w:type="dxa"/>
            <w:tcBorders>
              <w:bottom w:val="single" w:sz="8" w:space="0" w:color="000000"/>
            </w:tcBorders>
            <w:shd w:fill="CCEEFF" w:val="clear"/>
            <w:tcMar>
              <w:bottom w:w="28" w:type="dxa"/>
            </w:tcMar>
            <w:vAlign w:val="center"/>
          </w:tcPr>
          <w:p>
            <w:pPr>
              <w:pStyle w:val="TableContents"/>
              <w:bidi w:val="0"/>
              <w:spacing w:before="0" w:after="283"/>
              <w:jc w:val="left"/>
              <w:rPr/>
            </w:pPr>
            <w:r>
              <w:rPr/>
              <w:t>TOTAL OTHER ASSETS</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129,174</w:t>
            </w:r>
          </w:p>
        </w:tc>
        <w:tc>
          <w:tcPr>
            <w:tcW w:w="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8" w:type="dxa"/>
            <w:tcBorders>
              <w:bottom w:val="single" w:sz="8" w:space="0" w:color="000000"/>
            </w:tcBorders>
            <w:shd w:fill="CCEEFF" w:val="clear"/>
            <w:tcMar>
              <w:bottom w:w="28" w:type="dxa"/>
            </w:tcMar>
            <w:vAlign w:val="center"/>
          </w:tcPr>
          <w:p>
            <w:pPr>
              <w:pStyle w:val="TableContents"/>
              <w:bidi w:val="0"/>
              <w:spacing w:before="0" w:after="283"/>
              <w:jc w:val="right"/>
              <w:rPr/>
            </w:pPr>
            <w:r>
              <w:rPr/>
              <w:t>116,593</w:t>
            </w:r>
          </w:p>
        </w:tc>
        <w:tc>
          <w:tcPr>
            <w:tcW w:w="8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2336"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5121" w:type="dxa"/>
            <w:tcBorders>
              <w:bottom w:val="single" w:sz="8" w:space="0" w:color="000000"/>
            </w:tcBorders>
            <w:tcMar>
              <w:bottom w:w="28" w:type="dxa"/>
            </w:tcMar>
            <w:vAlign w:val="center"/>
          </w:tcPr>
          <w:p>
            <w:pPr>
              <w:pStyle w:val="TableContents"/>
              <w:bidi w:val="0"/>
              <w:spacing w:before="0" w:after="283"/>
              <w:jc w:val="left"/>
              <w:rPr/>
            </w:pPr>
            <w:r>
              <w:rPr/>
              <w:t>TOTAL ASSETS</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51" w:type="dxa"/>
            <w:tcBorders>
              <w:bottom w:val="single" w:sz="8" w:space="0" w:color="000000"/>
            </w:tcBorders>
            <w:tcMar>
              <w:bottom w:w="28" w:type="dxa"/>
            </w:tcMar>
            <w:vAlign w:val="center"/>
          </w:tcPr>
          <w:p>
            <w:pPr>
              <w:pStyle w:val="TableContents"/>
              <w:bidi w:val="0"/>
              <w:spacing w:before="0" w:after="283"/>
              <w:jc w:val="left"/>
              <w:rPr>
                <w:b/>
              </w:rPr>
            </w:pPr>
            <w:r>
              <w:rPr>
                <w:b/>
              </w:rPr>
              <w:t>$</w:t>
            </w:r>
          </w:p>
        </w:tc>
        <w:tc>
          <w:tcPr>
            <w:tcW w:w="1060" w:type="dxa"/>
            <w:tcBorders>
              <w:bottom w:val="single" w:sz="8" w:space="0" w:color="000000"/>
            </w:tcBorders>
            <w:tcMar>
              <w:bottom w:w="28" w:type="dxa"/>
            </w:tcMar>
            <w:vAlign w:val="center"/>
          </w:tcPr>
          <w:p>
            <w:pPr>
              <w:pStyle w:val="TableContents"/>
              <w:bidi w:val="0"/>
              <w:spacing w:before="0" w:after="283"/>
              <w:jc w:val="right"/>
              <w:rPr>
                <w:b/>
              </w:rPr>
            </w:pPr>
            <w:r>
              <w:rPr>
                <w:b/>
              </w:rPr>
              <w:t>1,236,052</w:t>
            </w:r>
          </w:p>
        </w:tc>
        <w:tc>
          <w:tcPr>
            <w:tcW w:w="64"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51" w:type="dxa"/>
            <w:tcBorders>
              <w:bottom w:val="single" w:sz="8" w:space="0" w:color="000000"/>
            </w:tcBorders>
            <w:tcMar>
              <w:bottom w:w="28" w:type="dxa"/>
            </w:tcMar>
            <w:vAlign w:val="center"/>
          </w:tcPr>
          <w:p>
            <w:pPr>
              <w:pStyle w:val="TableContents"/>
              <w:bidi w:val="0"/>
              <w:spacing w:before="0" w:after="283"/>
              <w:jc w:val="left"/>
              <w:rPr/>
            </w:pPr>
            <w:r>
              <w:rPr/>
              <w:t>$</w:t>
            </w:r>
          </w:p>
        </w:tc>
        <w:tc>
          <w:tcPr>
            <w:tcW w:w="1058" w:type="dxa"/>
            <w:tcBorders>
              <w:bottom w:val="single" w:sz="8" w:space="0" w:color="000000"/>
            </w:tcBorders>
            <w:tcMar>
              <w:bottom w:w="28" w:type="dxa"/>
            </w:tcMar>
            <w:vAlign w:val="center"/>
          </w:tcPr>
          <w:p>
            <w:pPr>
              <w:pStyle w:val="TableContents"/>
              <w:bidi w:val="0"/>
              <w:spacing w:before="0" w:after="283"/>
              <w:jc w:val="right"/>
              <w:rPr/>
            </w:pPr>
            <w:r>
              <w:rPr/>
              <w:t>1,074,450</w:t>
            </w:r>
          </w:p>
        </w:tc>
        <w:tc>
          <w:tcPr>
            <w:tcW w:w="84"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33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2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 </w:t>
            </w:r>
          </w:p>
        </w:tc>
        <w:tc>
          <w:tcPr>
            <w:tcW w:w="6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 </w:t>
            </w:r>
          </w:p>
        </w:tc>
        <w:tc>
          <w:tcPr>
            <w:tcW w:w="84" w:type="dxa"/>
            <w:tcBorders/>
            <w:shd w:fill="CCEEFF" w:val="clear"/>
            <w:vAlign w:val="center"/>
          </w:tcPr>
          <w:p>
            <w:pPr>
              <w:pStyle w:val="TableContents"/>
              <w:bidi w:val="0"/>
              <w:spacing w:before="0" w:after="283"/>
              <w:jc w:val="left"/>
              <w:rPr/>
            </w:pPr>
            <w:r>
              <w:rPr/>
              <w:t> </w:t>
            </w:r>
          </w:p>
        </w:tc>
      </w:tr>
      <w:tr>
        <w:trPr/>
        <w:tc>
          <w:tcPr>
            <w:tcW w:w="7517" w:type="dxa"/>
            <w:gridSpan w:val="3"/>
            <w:tcBorders>
              <w:bottom w:val="single" w:sz="8" w:space="0" w:color="000000"/>
            </w:tcBorders>
            <w:tcMar>
              <w:bottom w:w="28" w:type="dxa"/>
            </w:tcMar>
            <w:vAlign w:val="center"/>
          </w:tcPr>
          <w:p>
            <w:pPr>
              <w:pStyle w:val="TableContents"/>
              <w:bidi w:val="0"/>
              <w:spacing w:before="0" w:after="283"/>
              <w:jc w:val="left"/>
              <w:rPr>
                <w:b/>
                <w:sz w:val="20"/>
              </w:rPr>
            </w:pPr>
            <w:r>
              <w:rPr>
                <w:b/>
                <w:sz w:val="20"/>
              </w:rPr>
              <w:t>CAPITALIZATION AND LIABILITIES</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51" w:type="dxa"/>
            <w:tcBorders>
              <w:bottom w:val="single" w:sz="8" w:space="0" w:color="000000"/>
            </w:tcBorders>
            <w:tcMar>
              <w:bottom w:w="28" w:type="dxa"/>
            </w:tcMar>
            <w:vAlign w:val="center"/>
          </w:tcPr>
          <w:p>
            <w:pPr>
              <w:pStyle w:val="TableContents"/>
              <w:bidi w:val="0"/>
              <w:spacing w:before="0" w:after="283"/>
              <w:jc w:val="left"/>
              <w:rPr/>
            </w:pPr>
            <w:r>
              <w:rPr/>
              <w:t> </w:t>
            </w:r>
          </w:p>
        </w:tc>
        <w:tc>
          <w:tcPr>
            <w:tcW w:w="1060" w:type="dxa"/>
            <w:tcBorders>
              <w:bottom w:val="single" w:sz="8" w:space="0" w:color="000000"/>
            </w:tcBorders>
            <w:tcMar>
              <w:bottom w:w="28" w:type="dxa"/>
            </w:tcMar>
            <w:vAlign w:val="center"/>
          </w:tcPr>
          <w:p>
            <w:pPr>
              <w:pStyle w:val="TableContents"/>
              <w:bidi w:val="0"/>
              <w:spacing w:before="0" w:after="283"/>
              <w:jc w:val="right"/>
              <w:rPr/>
            </w:pPr>
            <w:r>
              <w:rPr/>
              <w:t> </w:t>
            </w:r>
          </w:p>
        </w:tc>
        <w:tc>
          <w:tcPr>
            <w:tcW w:w="64"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51" w:type="dxa"/>
            <w:tcBorders>
              <w:bottom w:val="single" w:sz="8" w:space="0" w:color="000000"/>
            </w:tcBorders>
            <w:tcMar>
              <w:bottom w:w="28" w:type="dxa"/>
            </w:tcMar>
            <w:vAlign w:val="center"/>
          </w:tcPr>
          <w:p>
            <w:pPr>
              <w:pStyle w:val="TableContents"/>
              <w:bidi w:val="0"/>
              <w:spacing w:before="0" w:after="283"/>
              <w:jc w:val="left"/>
              <w:rPr/>
            </w:pPr>
            <w:r>
              <w:rPr/>
              <w:t> </w:t>
            </w:r>
          </w:p>
        </w:tc>
        <w:tc>
          <w:tcPr>
            <w:tcW w:w="1058" w:type="dxa"/>
            <w:tcBorders>
              <w:bottom w:val="single" w:sz="8" w:space="0" w:color="000000"/>
            </w:tcBorders>
            <w:tcMar>
              <w:bottom w:w="28" w:type="dxa"/>
            </w:tcMar>
            <w:vAlign w:val="center"/>
          </w:tcPr>
          <w:p>
            <w:pPr>
              <w:pStyle w:val="TableContents"/>
              <w:bidi w:val="0"/>
              <w:spacing w:before="0" w:after="283"/>
              <w:jc w:val="right"/>
              <w:rPr/>
            </w:pPr>
            <w:r>
              <w:rPr/>
              <w:t> </w:t>
            </w:r>
          </w:p>
        </w:tc>
        <w:tc>
          <w:tcPr>
            <w:tcW w:w="84"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336" w:type="dxa"/>
            <w:tcBorders/>
            <w:shd w:fill="CCEEFF" w:val="clear"/>
            <w:vAlign w:val="center"/>
          </w:tcPr>
          <w:p>
            <w:pPr>
              <w:pStyle w:val="TableContents"/>
              <w:bidi w:val="0"/>
              <w:spacing w:before="0" w:after="283"/>
              <w:jc w:val="left"/>
              <w:rPr>
                <w:b/>
              </w:rPr>
            </w:pPr>
            <w:r>
              <w:rPr>
                <w:b/>
              </w:rPr>
              <w:t>CAPITALIZATION:</w:t>
            </w:r>
          </w:p>
        </w:tc>
        <w:tc>
          <w:tcPr>
            <w:tcW w:w="60" w:type="dxa"/>
            <w:tcBorders/>
            <w:shd w:fill="CCEEFF" w:val="clear"/>
            <w:vAlign w:val="center"/>
          </w:tcPr>
          <w:p>
            <w:pPr>
              <w:pStyle w:val="TableContents"/>
              <w:bidi w:val="0"/>
              <w:spacing w:before="0" w:after="283"/>
              <w:jc w:val="left"/>
              <w:rPr/>
            </w:pPr>
            <w:r>
              <w:rPr/>
              <w:t> </w:t>
            </w:r>
          </w:p>
        </w:tc>
        <w:tc>
          <w:tcPr>
            <w:tcW w:w="5121" w:type="dxa"/>
            <w:tcBorders/>
            <w:shd w:fill="CCEEFF" w:val="clear"/>
            <w:vAlign w:val="center"/>
          </w:tcPr>
          <w:p>
            <w:pPr>
              <w:pStyle w:val="TableContents"/>
              <w:bidi w:val="0"/>
              <w:spacing w:before="0" w:after="283"/>
              <w:jc w:val="left"/>
              <w:rPr/>
            </w:pPr>
            <w:r>
              <w:rPr/>
              <w:t>Common Stock, No Par Value</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b/>
              </w:rPr>
            </w:pPr>
            <w:r>
              <w:rPr>
                <w:b/>
              </w:rPr>
              <w:t>$</w:t>
            </w:r>
          </w:p>
        </w:tc>
        <w:tc>
          <w:tcPr>
            <w:tcW w:w="1060" w:type="dxa"/>
            <w:tcBorders/>
            <w:shd w:fill="CCEEFF" w:val="clear"/>
            <w:vAlign w:val="center"/>
          </w:tcPr>
          <w:p>
            <w:pPr>
              <w:pStyle w:val="TableContents"/>
              <w:bidi w:val="0"/>
              <w:spacing w:before="0" w:after="283"/>
              <w:jc w:val="right"/>
              <w:rPr>
                <w:b/>
              </w:rPr>
            </w:pPr>
            <w:r>
              <w:rPr>
                <w:b/>
              </w:rPr>
              <w:t>246,764</w:t>
            </w:r>
          </w:p>
        </w:tc>
        <w:tc>
          <w:tcPr>
            <w:tcW w:w="6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1058" w:type="dxa"/>
            <w:tcBorders/>
            <w:shd w:fill="CCEEFF" w:val="clear"/>
            <w:vAlign w:val="center"/>
          </w:tcPr>
          <w:p>
            <w:pPr>
              <w:pStyle w:val="TableContents"/>
              <w:bidi w:val="0"/>
              <w:spacing w:before="0" w:after="283"/>
              <w:jc w:val="right"/>
              <w:rPr/>
            </w:pPr>
            <w:r>
              <w:rPr/>
              <w:t>233,054</w:t>
            </w:r>
          </w:p>
        </w:tc>
        <w:tc>
          <w:tcPr>
            <w:tcW w:w="84" w:type="dxa"/>
            <w:tcBorders/>
            <w:shd w:fill="CCEEFF" w:val="clear"/>
            <w:vAlign w:val="center"/>
          </w:tcPr>
          <w:p>
            <w:pPr>
              <w:pStyle w:val="TableContents"/>
              <w:bidi w:val="0"/>
              <w:spacing w:before="0" w:after="283"/>
              <w:jc w:val="left"/>
              <w:rPr/>
            </w:pPr>
            <w:r>
              <w:rPr/>
              <w:t> </w:t>
            </w:r>
          </w:p>
        </w:tc>
      </w:tr>
      <w:tr>
        <w:trPr/>
        <w:tc>
          <w:tcPr>
            <w:tcW w:w="2336"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5121" w:type="dxa"/>
            <w:tcBorders>
              <w:bottom w:val="single" w:sz="8" w:space="0" w:color="000000"/>
            </w:tcBorders>
            <w:tcMar>
              <w:bottom w:w="28" w:type="dxa"/>
            </w:tcMar>
            <w:vAlign w:val="center"/>
          </w:tcPr>
          <w:p>
            <w:pPr>
              <w:pStyle w:val="TableContents"/>
              <w:bidi w:val="0"/>
              <w:spacing w:before="0" w:after="283"/>
              <w:jc w:val="left"/>
              <w:rPr/>
            </w:pPr>
            <w:r>
              <w:rPr/>
              <w:t>Retained Earnings</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51" w:type="dxa"/>
            <w:tcBorders>
              <w:bottom w:val="single" w:sz="8" w:space="0" w:color="000000"/>
            </w:tcBorders>
            <w:tcMar>
              <w:bottom w:w="28" w:type="dxa"/>
            </w:tcMar>
            <w:vAlign w:val="center"/>
          </w:tcPr>
          <w:p>
            <w:pPr>
              <w:pStyle w:val="TableContents"/>
              <w:bidi w:val="0"/>
              <w:spacing w:before="0" w:after="283"/>
              <w:jc w:val="left"/>
              <w:rPr/>
            </w:pPr>
            <w:r>
              <w:rPr/>
              <w:t> </w:t>
            </w:r>
          </w:p>
        </w:tc>
        <w:tc>
          <w:tcPr>
            <w:tcW w:w="1060" w:type="dxa"/>
            <w:tcBorders>
              <w:bottom w:val="single" w:sz="8" w:space="0" w:color="000000"/>
            </w:tcBorders>
            <w:tcMar>
              <w:bottom w:w="28" w:type="dxa"/>
            </w:tcMar>
            <w:vAlign w:val="center"/>
          </w:tcPr>
          <w:p>
            <w:pPr>
              <w:pStyle w:val="TableContents"/>
              <w:bidi w:val="0"/>
              <w:spacing w:before="0" w:after="283"/>
              <w:jc w:val="right"/>
              <w:rPr>
                <w:b/>
              </w:rPr>
            </w:pPr>
            <w:r>
              <w:rPr>
                <w:b/>
              </w:rPr>
              <w:t>176,227</w:t>
            </w:r>
          </w:p>
        </w:tc>
        <w:tc>
          <w:tcPr>
            <w:tcW w:w="64"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51" w:type="dxa"/>
            <w:tcBorders>
              <w:bottom w:val="single" w:sz="8" w:space="0" w:color="000000"/>
            </w:tcBorders>
            <w:tcMar>
              <w:bottom w:w="28" w:type="dxa"/>
            </w:tcMar>
            <w:vAlign w:val="center"/>
          </w:tcPr>
          <w:p>
            <w:pPr>
              <w:pStyle w:val="TableContents"/>
              <w:bidi w:val="0"/>
              <w:spacing w:before="0" w:after="283"/>
              <w:jc w:val="left"/>
              <w:rPr/>
            </w:pPr>
            <w:r>
              <w:rPr/>
              <w:t> </w:t>
            </w:r>
          </w:p>
        </w:tc>
        <w:tc>
          <w:tcPr>
            <w:tcW w:w="1058" w:type="dxa"/>
            <w:tcBorders>
              <w:bottom w:val="single" w:sz="8" w:space="0" w:color="000000"/>
            </w:tcBorders>
            <w:tcMar>
              <w:bottom w:w="28" w:type="dxa"/>
            </w:tcMar>
            <w:vAlign w:val="center"/>
          </w:tcPr>
          <w:p>
            <w:pPr>
              <w:pStyle w:val="TableContents"/>
              <w:bidi w:val="0"/>
              <w:spacing w:before="0" w:after="283"/>
              <w:jc w:val="right"/>
              <w:rPr/>
            </w:pPr>
            <w:r>
              <w:rPr/>
              <w:t>167,274</w:t>
            </w:r>
          </w:p>
        </w:tc>
        <w:tc>
          <w:tcPr>
            <w:tcW w:w="84"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336"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121" w:type="dxa"/>
            <w:tcBorders>
              <w:bottom w:val="single" w:sz="8" w:space="0" w:color="000000"/>
            </w:tcBorders>
            <w:shd w:fill="CCEEFF" w:val="clear"/>
            <w:tcMar>
              <w:bottom w:w="28" w:type="dxa"/>
            </w:tcMar>
            <w:vAlign w:val="center"/>
          </w:tcPr>
          <w:p>
            <w:pPr>
              <w:pStyle w:val="TableContents"/>
              <w:bidi w:val="0"/>
              <w:spacing w:before="0" w:after="283"/>
              <w:jc w:val="left"/>
              <w:rPr/>
            </w:pPr>
            <w:r>
              <w:rPr/>
              <w:t>TOTAL COMMON EQUITY</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422,991</w:t>
            </w:r>
          </w:p>
        </w:tc>
        <w:tc>
          <w:tcPr>
            <w:tcW w:w="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8" w:type="dxa"/>
            <w:tcBorders>
              <w:bottom w:val="single" w:sz="8" w:space="0" w:color="000000"/>
            </w:tcBorders>
            <w:shd w:fill="CCEEFF" w:val="clear"/>
            <w:tcMar>
              <w:bottom w:w="28" w:type="dxa"/>
            </w:tcMar>
            <w:vAlign w:val="center"/>
          </w:tcPr>
          <w:p>
            <w:pPr>
              <w:pStyle w:val="TableContents"/>
              <w:bidi w:val="0"/>
              <w:spacing w:before="0" w:after="283"/>
              <w:jc w:val="right"/>
              <w:rPr/>
            </w:pPr>
            <w:r>
              <w:rPr/>
              <w:t>400,328</w:t>
            </w:r>
          </w:p>
        </w:tc>
        <w:tc>
          <w:tcPr>
            <w:tcW w:w="8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233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21" w:type="dxa"/>
            <w:tcBorders/>
            <w:vAlign w:val="center"/>
          </w:tcPr>
          <w:p>
            <w:pPr>
              <w:pStyle w:val="TableContents"/>
              <w:bidi w:val="0"/>
              <w:spacing w:before="0" w:after="283"/>
              <w:jc w:val="left"/>
              <w:rPr/>
            </w:pPr>
            <w:r>
              <w:rPr/>
              <w:t>Preferred Stock</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060" w:type="dxa"/>
            <w:tcBorders/>
            <w:vAlign w:val="center"/>
          </w:tcPr>
          <w:p>
            <w:pPr>
              <w:pStyle w:val="TableContents"/>
              <w:bidi w:val="0"/>
              <w:spacing w:before="0" w:after="283"/>
              <w:jc w:val="right"/>
              <w:rPr>
                <w:b/>
              </w:rPr>
            </w:pPr>
            <w:r>
              <w:rPr>
                <w:b/>
              </w:rPr>
              <w:t>2,084</w:t>
            </w:r>
          </w:p>
        </w:tc>
        <w:tc>
          <w:tcPr>
            <w:tcW w:w="6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283"/>
              <w:jc w:val="right"/>
              <w:rPr/>
            </w:pPr>
            <w:r>
              <w:rPr/>
              <w:t>2,084</w:t>
            </w:r>
          </w:p>
        </w:tc>
        <w:tc>
          <w:tcPr>
            <w:tcW w:w="84" w:type="dxa"/>
            <w:tcBorders/>
            <w:vAlign w:val="center"/>
          </w:tcPr>
          <w:p>
            <w:pPr>
              <w:pStyle w:val="TableContents"/>
              <w:bidi w:val="0"/>
              <w:spacing w:before="0" w:after="283"/>
              <w:jc w:val="left"/>
              <w:rPr/>
            </w:pPr>
            <w:r>
              <w:rPr/>
              <w:t> </w:t>
            </w:r>
          </w:p>
        </w:tc>
      </w:tr>
      <w:tr>
        <w:trPr/>
        <w:tc>
          <w:tcPr>
            <w:tcW w:w="2336"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121" w:type="dxa"/>
            <w:tcBorders>
              <w:bottom w:val="single" w:sz="8" w:space="0" w:color="000000"/>
            </w:tcBorders>
            <w:shd w:fill="CCEEFF" w:val="clear"/>
            <w:tcMar>
              <w:bottom w:w="28" w:type="dxa"/>
            </w:tcMar>
            <w:vAlign w:val="center"/>
          </w:tcPr>
          <w:p>
            <w:pPr>
              <w:pStyle w:val="TableContents"/>
              <w:bidi w:val="0"/>
              <w:spacing w:before="0" w:after="283"/>
              <w:jc w:val="left"/>
              <w:rPr/>
            </w:pPr>
            <w:r>
              <w:rPr/>
              <w:t>Long-term Debt</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358,153</w:t>
            </w:r>
          </w:p>
        </w:tc>
        <w:tc>
          <w:tcPr>
            <w:tcW w:w="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8" w:type="dxa"/>
            <w:tcBorders>
              <w:bottom w:val="single" w:sz="8" w:space="0" w:color="000000"/>
            </w:tcBorders>
            <w:shd w:fill="CCEEFF" w:val="clear"/>
            <w:tcMar>
              <w:bottom w:w="28" w:type="dxa"/>
            </w:tcMar>
            <w:vAlign w:val="center"/>
          </w:tcPr>
          <w:p>
            <w:pPr>
              <w:pStyle w:val="TableContents"/>
              <w:bidi w:val="0"/>
              <w:spacing w:before="0" w:after="283"/>
              <w:jc w:val="right"/>
              <w:rPr/>
            </w:pPr>
            <w:r>
              <w:rPr/>
              <w:t>290,280</w:t>
            </w:r>
          </w:p>
        </w:tc>
        <w:tc>
          <w:tcPr>
            <w:tcW w:w="8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233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21" w:type="dxa"/>
            <w:tcBorders/>
            <w:vAlign w:val="center"/>
          </w:tcPr>
          <w:p>
            <w:pPr>
              <w:pStyle w:val="TableContents"/>
              <w:bidi w:val="0"/>
              <w:spacing w:before="0" w:after="283"/>
              <w:jc w:val="left"/>
              <w:rPr/>
            </w:pPr>
            <w:r>
              <w:rPr/>
              <w:t>TOTAL CAPITALIZATION</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060" w:type="dxa"/>
            <w:tcBorders/>
            <w:vAlign w:val="center"/>
          </w:tcPr>
          <w:p>
            <w:pPr>
              <w:pStyle w:val="TableContents"/>
              <w:bidi w:val="0"/>
              <w:spacing w:before="0" w:after="283"/>
              <w:jc w:val="right"/>
              <w:rPr>
                <w:b/>
              </w:rPr>
            </w:pPr>
            <w:r>
              <w:rPr>
                <w:b/>
              </w:rPr>
              <w:t>783,228</w:t>
            </w:r>
          </w:p>
        </w:tc>
        <w:tc>
          <w:tcPr>
            <w:tcW w:w="6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283"/>
              <w:jc w:val="right"/>
              <w:rPr/>
            </w:pPr>
            <w:r>
              <w:rPr/>
              <w:t>692,692</w:t>
            </w:r>
          </w:p>
        </w:tc>
        <w:tc>
          <w:tcPr>
            <w:tcW w:w="84" w:type="dxa"/>
            <w:tcBorders/>
            <w:vAlign w:val="center"/>
          </w:tcPr>
          <w:p>
            <w:pPr>
              <w:pStyle w:val="TableContents"/>
              <w:bidi w:val="0"/>
              <w:spacing w:before="0" w:after="283"/>
              <w:jc w:val="left"/>
              <w:rPr/>
            </w:pPr>
            <w:r>
              <w:rPr/>
              <w:t> </w:t>
            </w:r>
          </w:p>
        </w:tc>
      </w:tr>
      <w:tr>
        <w:trPr/>
        <w:tc>
          <w:tcPr>
            <w:tcW w:w="233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12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8"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2336" w:type="dxa"/>
            <w:tcBorders/>
            <w:vAlign w:val="center"/>
          </w:tcPr>
          <w:p>
            <w:pPr>
              <w:pStyle w:val="TableContents"/>
              <w:bidi w:val="0"/>
              <w:spacing w:before="0" w:after="283"/>
              <w:jc w:val="left"/>
              <w:rPr>
                <w:b/>
              </w:rPr>
            </w:pPr>
            <w:r>
              <w:rPr>
                <w:b/>
              </w:rPr>
              <w:t>CURRENT</w:t>
            </w:r>
          </w:p>
        </w:tc>
        <w:tc>
          <w:tcPr>
            <w:tcW w:w="60" w:type="dxa"/>
            <w:tcBorders/>
            <w:vAlign w:val="center"/>
          </w:tcPr>
          <w:p>
            <w:pPr>
              <w:pStyle w:val="TableContents"/>
              <w:bidi w:val="0"/>
              <w:spacing w:before="0" w:after="283"/>
              <w:jc w:val="left"/>
              <w:rPr/>
            </w:pPr>
            <w:r>
              <w:rPr/>
              <w:t> </w:t>
            </w:r>
          </w:p>
        </w:tc>
        <w:tc>
          <w:tcPr>
            <w:tcW w:w="5121" w:type="dxa"/>
            <w:tcBorders/>
            <w:vAlign w:val="center"/>
          </w:tcPr>
          <w:p>
            <w:pPr>
              <w:pStyle w:val="TableContents"/>
              <w:bidi w:val="0"/>
              <w:spacing w:before="0" w:after="283"/>
              <w:jc w:val="left"/>
              <w:rPr/>
            </w:pPr>
            <w:r>
              <w:rPr/>
              <w:t>Current Portion of Long-term Debt</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060" w:type="dxa"/>
            <w:tcBorders/>
            <w:vAlign w:val="center"/>
          </w:tcPr>
          <w:p>
            <w:pPr>
              <w:pStyle w:val="TableContents"/>
              <w:bidi w:val="0"/>
              <w:spacing w:before="0" w:after="283"/>
              <w:jc w:val="right"/>
              <w:rPr>
                <w:b/>
              </w:rPr>
            </w:pPr>
            <w:r>
              <w:rPr>
                <w:b/>
              </w:rPr>
              <w:t>7,740</w:t>
            </w:r>
          </w:p>
        </w:tc>
        <w:tc>
          <w:tcPr>
            <w:tcW w:w="6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283"/>
              <w:jc w:val="right"/>
              <w:rPr/>
            </w:pPr>
            <w:r>
              <w:rPr/>
              <w:t>17,462</w:t>
            </w:r>
          </w:p>
        </w:tc>
        <w:tc>
          <w:tcPr>
            <w:tcW w:w="84" w:type="dxa"/>
            <w:tcBorders/>
            <w:vAlign w:val="center"/>
          </w:tcPr>
          <w:p>
            <w:pPr>
              <w:pStyle w:val="TableContents"/>
              <w:bidi w:val="0"/>
              <w:spacing w:before="0" w:after="283"/>
              <w:jc w:val="left"/>
              <w:rPr/>
            </w:pPr>
            <w:r>
              <w:rPr/>
              <w:t> </w:t>
            </w:r>
          </w:p>
        </w:tc>
      </w:tr>
      <w:tr>
        <w:trPr/>
        <w:tc>
          <w:tcPr>
            <w:tcW w:w="2336" w:type="dxa"/>
            <w:tcBorders/>
            <w:shd w:fill="CCEEFF" w:val="clear"/>
            <w:vAlign w:val="center"/>
          </w:tcPr>
          <w:p>
            <w:pPr>
              <w:pStyle w:val="TableContents"/>
              <w:bidi w:val="0"/>
              <w:spacing w:before="0" w:after="283"/>
              <w:jc w:val="left"/>
              <w:rPr>
                <w:b/>
              </w:rPr>
            </w:pPr>
            <w:r>
              <w:rPr>
                <w:b/>
              </w:rPr>
              <w:t>LIABILITIES:</w:t>
            </w:r>
          </w:p>
        </w:tc>
        <w:tc>
          <w:tcPr>
            <w:tcW w:w="60" w:type="dxa"/>
            <w:tcBorders/>
            <w:shd w:fill="CCEEFF" w:val="clear"/>
            <w:vAlign w:val="center"/>
          </w:tcPr>
          <w:p>
            <w:pPr>
              <w:pStyle w:val="TableContents"/>
              <w:bidi w:val="0"/>
              <w:spacing w:before="0" w:after="283"/>
              <w:jc w:val="left"/>
              <w:rPr/>
            </w:pPr>
            <w:r>
              <w:rPr/>
              <w:t> </w:t>
            </w:r>
          </w:p>
        </w:tc>
        <w:tc>
          <w:tcPr>
            <w:tcW w:w="5121" w:type="dxa"/>
            <w:tcBorders/>
            <w:shd w:fill="CCEEFF" w:val="clear"/>
            <w:vAlign w:val="center"/>
          </w:tcPr>
          <w:p>
            <w:pPr>
              <w:pStyle w:val="TableContents"/>
              <w:bidi w:val="0"/>
              <w:spacing w:before="0" w:after="283"/>
              <w:jc w:val="left"/>
              <w:rPr/>
            </w:pPr>
            <w:r>
              <w:rPr/>
              <w:t>Notes Payable</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b/>
              </w:rPr>
            </w:pPr>
            <w:r>
              <w:rPr>
                <w:b/>
              </w:rPr>
              <w:t>42,750</w:t>
            </w:r>
          </w:p>
        </w:tc>
        <w:tc>
          <w:tcPr>
            <w:tcW w:w="6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55,500</w:t>
            </w:r>
          </w:p>
        </w:tc>
        <w:tc>
          <w:tcPr>
            <w:tcW w:w="84" w:type="dxa"/>
            <w:tcBorders/>
            <w:shd w:fill="CCEEFF" w:val="clear"/>
            <w:vAlign w:val="center"/>
          </w:tcPr>
          <w:p>
            <w:pPr>
              <w:pStyle w:val="TableContents"/>
              <w:bidi w:val="0"/>
              <w:spacing w:before="0" w:after="283"/>
              <w:jc w:val="left"/>
              <w:rPr/>
            </w:pPr>
            <w:r>
              <w:rPr/>
              <w:t> </w:t>
            </w:r>
          </w:p>
        </w:tc>
      </w:tr>
      <w:tr>
        <w:trPr/>
        <w:tc>
          <w:tcPr>
            <w:tcW w:w="233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21" w:type="dxa"/>
            <w:tcBorders/>
            <w:vAlign w:val="center"/>
          </w:tcPr>
          <w:p>
            <w:pPr>
              <w:pStyle w:val="TableContents"/>
              <w:bidi w:val="0"/>
              <w:spacing w:before="0" w:after="283"/>
              <w:jc w:val="left"/>
              <w:rPr/>
            </w:pPr>
            <w:r>
              <w:rPr/>
              <w:t>Accounts Payable</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060" w:type="dxa"/>
            <w:tcBorders/>
            <w:vAlign w:val="center"/>
          </w:tcPr>
          <w:p>
            <w:pPr>
              <w:pStyle w:val="TableContents"/>
              <w:bidi w:val="0"/>
              <w:spacing w:before="0" w:after="283"/>
              <w:jc w:val="right"/>
              <w:rPr>
                <w:b/>
              </w:rPr>
            </w:pPr>
            <w:r>
              <w:rPr>
                <w:b/>
              </w:rPr>
              <w:t>27,618</w:t>
            </w:r>
          </w:p>
        </w:tc>
        <w:tc>
          <w:tcPr>
            <w:tcW w:w="6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283"/>
              <w:jc w:val="right"/>
              <w:rPr/>
            </w:pPr>
            <w:r>
              <w:rPr/>
              <w:t>24,847</w:t>
            </w:r>
          </w:p>
        </w:tc>
        <w:tc>
          <w:tcPr>
            <w:tcW w:w="84" w:type="dxa"/>
            <w:tcBorders/>
            <w:vAlign w:val="center"/>
          </w:tcPr>
          <w:p>
            <w:pPr>
              <w:pStyle w:val="TableContents"/>
              <w:bidi w:val="0"/>
              <w:spacing w:before="0" w:after="283"/>
              <w:jc w:val="left"/>
              <w:rPr/>
            </w:pPr>
            <w:r>
              <w:rPr/>
              <w:t> </w:t>
            </w:r>
          </w:p>
        </w:tc>
      </w:tr>
      <w:tr>
        <w:trPr/>
        <w:tc>
          <w:tcPr>
            <w:tcW w:w="233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21" w:type="dxa"/>
            <w:tcBorders/>
            <w:shd w:fill="CCEEFF" w:val="clear"/>
            <w:vAlign w:val="center"/>
          </w:tcPr>
          <w:p>
            <w:pPr>
              <w:pStyle w:val="TableContents"/>
              <w:bidi w:val="0"/>
              <w:spacing w:before="0" w:after="283"/>
              <w:jc w:val="left"/>
              <w:rPr/>
            </w:pPr>
            <w:r>
              <w:rPr/>
              <w:t>Litigation Settlement Payable</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b/>
              </w:rPr>
            </w:pPr>
            <w:r>
              <w:rPr>
                <w:b/>
              </w:rPr>
              <w:t>6,237</w:t>
            </w:r>
          </w:p>
        </w:tc>
        <w:tc>
          <w:tcPr>
            <w:tcW w:w="6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0"/>
              <w:jc w:val="right"/>
              <w:rPr/>
            </w:pPr>
            <w:r>
              <w:rPr/>
              <w:t>—</w:t>
            </w:r>
          </w:p>
        </w:tc>
        <w:tc>
          <w:tcPr>
            <w:tcW w:w="84" w:type="dxa"/>
            <w:tcBorders/>
            <w:shd w:fill="CCEEFF" w:val="clear"/>
            <w:vAlign w:val="center"/>
          </w:tcPr>
          <w:p>
            <w:pPr>
              <w:pStyle w:val="TableContents"/>
              <w:bidi w:val="0"/>
              <w:spacing w:before="0" w:after="283"/>
              <w:jc w:val="left"/>
              <w:rPr/>
            </w:pPr>
            <w:r>
              <w:rPr/>
              <w:t> </w:t>
            </w:r>
          </w:p>
        </w:tc>
      </w:tr>
      <w:tr>
        <w:trPr/>
        <w:tc>
          <w:tcPr>
            <w:tcW w:w="233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21" w:type="dxa"/>
            <w:tcBorders/>
            <w:vAlign w:val="center"/>
          </w:tcPr>
          <w:p>
            <w:pPr>
              <w:pStyle w:val="TableContents"/>
              <w:bidi w:val="0"/>
              <w:spacing w:before="0" w:after="283"/>
              <w:jc w:val="left"/>
              <w:rPr/>
            </w:pPr>
            <w:r>
              <w:rPr/>
              <w:t>Accrued Taxes</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060" w:type="dxa"/>
            <w:tcBorders/>
            <w:vAlign w:val="center"/>
          </w:tcPr>
          <w:p>
            <w:pPr>
              <w:pStyle w:val="TableContents"/>
              <w:bidi w:val="0"/>
              <w:spacing w:before="0" w:after="283"/>
              <w:jc w:val="right"/>
              <w:rPr>
                <w:b/>
              </w:rPr>
            </w:pPr>
            <w:r>
              <w:rPr>
                <w:b/>
              </w:rPr>
              <w:t>10,535</w:t>
            </w:r>
          </w:p>
        </w:tc>
        <w:tc>
          <w:tcPr>
            <w:tcW w:w="6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283"/>
              <w:jc w:val="right"/>
              <w:rPr/>
            </w:pPr>
            <w:r>
              <w:rPr/>
              <w:t>12,162</w:t>
            </w:r>
          </w:p>
        </w:tc>
        <w:tc>
          <w:tcPr>
            <w:tcW w:w="84" w:type="dxa"/>
            <w:tcBorders/>
            <w:vAlign w:val="center"/>
          </w:tcPr>
          <w:p>
            <w:pPr>
              <w:pStyle w:val="TableContents"/>
              <w:bidi w:val="0"/>
              <w:spacing w:before="0" w:after="283"/>
              <w:jc w:val="left"/>
              <w:rPr/>
            </w:pPr>
            <w:r>
              <w:rPr/>
              <w:t> </w:t>
            </w:r>
          </w:p>
        </w:tc>
      </w:tr>
      <w:tr>
        <w:trPr/>
        <w:tc>
          <w:tcPr>
            <w:tcW w:w="233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21" w:type="dxa"/>
            <w:tcBorders/>
            <w:shd w:fill="CCEEFF" w:val="clear"/>
            <w:vAlign w:val="center"/>
          </w:tcPr>
          <w:p>
            <w:pPr>
              <w:pStyle w:val="TableContents"/>
              <w:bidi w:val="0"/>
              <w:spacing w:before="0" w:after="283"/>
              <w:jc w:val="left"/>
              <w:rPr/>
            </w:pPr>
            <w:r>
              <w:rPr/>
              <w:t>Accrued Interest</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b/>
              </w:rPr>
            </w:pPr>
            <w:r>
              <w:rPr>
                <w:b/>
              </w:rPr>
              <w:t>3,138</w:t>
            </w:r>
          </w:p>
        </w:tc>
        <w:tc>
          <w:tcPr>
            <w:tcW w:w="6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2,535</w:t>
            </w:r>
          </w:p>
        </w:tc>
        <w:tc>
          <w:tcPr>
            <w:tcW w:w="84" w:type="dxa"/>
            <w:tcBorders/>
            <w:shd w:fill="CCEEFF" w:val="clear"/>
            <w:vAlign w:val="center"/>
          </w:tcPr>
          <w:p>
            <w:pPr>
              <w:pStyle w:val="TableContents"/>
              <w:bidi w:val="0"/>
              <w:spacing w:before="0" w:after="283"/>
              <w:jc w:val="left"/>
              <w:rPr/>
            </w:pPr>
            <w:r>
              <w:rPr/>
              <w:t> </w:t>
            </w:r>
          </w:p>
        </w:tc>
      </w:tr>
      <w:tr>
        <w:trPr/>
        <w:tc>
          <w:tcPr>
            <w:tcW w:w="233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21" w:type="dxa"/>
            <w:tcBorders/>
            <w:vAlign w:val="center"/>
          </w:tcPr>
          <w:p>
            <w:pPr>
              <w:pStyle w:val="TableContents"/>
              <w:bidi w:val="0"/>
              <w:spacing w:before="0" w:after="283"/>
              <w:jc w:val="left"/>
              <w:rPr/>
            </w:pPr>
            <w:r>
              <w:rPr/>
              <w:t>Unearned Revenues and Advanced Service Fees</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060" w:type="dxa"/>
            <w:tcBorders/>
            <w:vAlign w:val="center"/>
          </w:tcPr>
          <w:p>
            <w:pPr>
              <w:pStyle w:val="TableContents"/>
              <w:bidi w:val="0"/>
              <w:spacing w:before="0" w:after="283"/>
              <w:jc w:val="right"/>
              <w:rPr>
                <w:b/>
              </w:rPr>
            </w:pPr>
            <w:r>
              <w:rPr>
                <w:b/>
              </w:rPr>
              <w:t>1,390</w:t>
            </w:r>
          </w:p>
        </w:tc>
        <w:tc>
          <w:tcPr>
            <w:tcW w:w="6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283"/>
              <w:jc w:val="right"/>
              <w:rPr/>
            </w:pPr>
            <w:r>
              <w:rPr/>
              <w:t>1,365</w:t>
            </w:r>
          </w:p>
        </w:tc>
        <w:tc>
          <w:tcPr>
            <w:tcW w:w="84" w:type="dxa"/>
            <w:tcBorders/>
            <w:vAlign w:val="center"/>
          </w:tcPr>
          <w:p>
            <w:pPr>
              <w:pStyle w:val="TableContents"/>
              <w:bidi w:val="0"/>
              <w:spacing w:before="0" w:after="283"/>
              <w:jc w:val="left"/>
              <w:rPr/>
            </w:pPr>
            <w:r>
              <w:rPr/>
              <w:t> </w:t>
            </w:r>
          </w:p>
        </w:tc>
      </w:tr>
      <w:tr>
        <w:trPr/>
        <w:tc>
          <w:tcPr>
            <w:tcW w:w="2336"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121" w:type="dxa"/>
            <w:tcBorders>
              <w:bottom w:val="single" w:sz="8" w:space="0" w:color="000000"/>
            </w:tcBorders>
            <w:shd w:fill="CCEEFF" w:val="clear"/>
            <w:tcMar>
              <w:bottom w:w="28" w:type="dxa"/>
            </w:tcMar>
            <w:vAlign w:val="center"/>
          </w:tcPr>
          <w:p>
            <w:pPr>
              <w:pStyle w:val="TableContents"/>
              <w:bidi w:val="0"/>
              <w:spacing w:before="0" w:after="283"/>
              <w:jc w:val="left"/>
              <w:rPr/>
            </w:pPr>
            <w:r>
              <w:rPr/>
              <w:t>Other</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4,421</w:t>
            </w:r>
          </w:p>
        </w:tc>
        <w:tc>
          <w:tcPr>
            <w:tcW w:w="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8" w:type="dxa"/>
            <w:tcBorders>
              <w:bottom w:val="single" w:sz="8" w:space="0" w:color="000000"/>
            </w:tcBorders>
            <w:shd w:fill="CCEEFF" w:val="clear"/>
            <w:tcMar>
              <w:bottom w:w="28" w:type="dxa"/>
            </w:tcMar>
            <w:vAlign w:val="center"/>
          </w:tcPr>
          <w:p>
            <w:pPr>
              <w:pStyle w:val="TableContents"/>
              <w:bidi w:val="0"/>
              <w:spacing w:before="0" w:after="283"/>
              <w:jc w:val="right"/>
              <w:rPr/>
            </w:pPr>
            <w:r>
              <w:rPr/>
              <w:t>3,988</w:t>
            </w:r>
          </w:p>
        </w:tc>
        <w:tc>
          <w:tcPr>
            <w:tcW w:w="8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233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21" w:type="dxa"/>
            <w:tcBorders/>
            <w:vAlign w:val="center"/>
          </w:tcPr>
          <w:p>
            <w:pPr>
              <w:pStyle w:val="TableContents"/>
              <w:bidi w:val="0"/>
              <w:spacing w:before="0" w:after="283"/>
              <w:jc w:val="left"/>
              <w:rPr/>
            </w:pPr>
            <w:r>
              <w:rPr/>
              <w:t>TOTAL CURRENT LIABILITIES</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060" w:type="dxa"/>
            <w:tcBorders/>
            <w:vAlign w:val="center"/>
          </w:tcPr>
          <w:p>
            <w:pPr>
              <w:pStyle w:val="TableContents"/>
              <w:bidi w:val="0"/>
              <w:spacing w:before="0" w:after="283"/>
              <w:jc w:val="right"/>
              <w:rPr>
                <w:b/>
              </w:rPr>
            </w:pPr>
            <w:r>
              <w:rPr>
                <w:b/>
              </w:rPr>
              <w:t>103,829</w:t>
            </w:r>
          </w:p>
        </w:tc>
        <w:tc>
          <w:tcPr>
            <w:tcW w:w="6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283"/>
              <w:jc w:val="right"/>
              <w:rPr/>
            </w:pPr>
            <w:r>
              <w:rPr/>
              <w:t>117,859</w:t>
            </w:r>
          </w:p>
        </w:tc>
        <w:tc>
          <w:tcPr>
            <w:tcW w:w="84" w:type="dxa"/>
            <w:tcBorders/>
            <w:vAlign w:val="center"/>
          </w:tcPr>
          <w:p>
            <w:pPr>
              <w:pStyle w:val="TableContents"/>
              <w:bidi w:val="0"/>
              <w:spacing w:before="0" w:after="283"/>
              <w:jc w:val="left"/>
              <w:rPr/>
            </w:pPr>
            <w:r>
              <w:rPr/>
              <w:t> </w:t>
            </w:r>
          </w:p>
        </w:tc>
      </w:tr>
      <w:tr>
        <w:trPr/>
        <w:tc>
          <w:tcPr>
            <w:tcW w:w="233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12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8"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7517" w:type="dxa"/>
            <w:gridSpan w:val="3"/>
            <w:tcBorders/>
            <w:vAlign w:val="center"/>
          </w:tcPr>
          <w:p>
            <w:pPr>
              <w:pStyle w:val="TableContents"/>
              <w:bidi w:val="0"/>
              <w:spacing w:before="0" w:after="283"/>
              <w:jc w:val="left"/>
              <w:rPr>
                <w:b/>
              </w:rPr>
            </w:pPr>
            <w:r>
              <w:rPr>
                <w:b/>
              </w:rPr>
              <w:t>COMMITMENTS AND CONTINGENT LIABILITIES (Note 4)</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060" w:type="dxa"/>
            <w:tcBorders/>
            <w:vAlign w:val="center"/>
          </w:tcPr>
          <w:p>
            <w:pPr>
              <w:pStyle w:val="TableContents"/>
              <w:bidi w:val="0"/>
              <w:spacing w:before="0" w:after="0"/>
              <w:jc w:val="right"/>
              <w:rPr/>
            </w:pPr>
            <w:r>
              <w:rPr/>
              <w:t> </w:t>
            </w:r>
          </w:p>
        </w:tc>
        <w:tc>
          <w:tcPr>
            <w:tcW w:w="6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0"/>
              <w:jc w:val="right"/>
              <w:rPr/>
            </w:pPr>
            <w:r>
              <w:rPr/>
              <w:t> </w:t>
            </w:r>
          </w:p>
        </w:tc>
        <w:tc>
          <w:tcPr>
            <w:tcW w:w="84" w:type="dxa"/>
            <w:tcBorders/>
            <w:vAlign w:val="center"/>
          </w:tcPr>
          <w:p>
            <w:pPr>
              <w:pStyle w:val="TableContents"/>
              <w:bidi w:val="0"/>
              <w:spacing w:before="0" w:after="283"/>
              <w:jc w:val="left"/>
              <w:rPr/>
            </w:pPr>
            <w:r>
              <w:rPr/>
              <w:t> </w:t>
            </w:r>
          </w:p>
        </w:tc>
      </w:tr>
      <w:tr>
        <w:trPr/>
        <w:tc>
          <w:tcPr>
            <w:tcW w:w="233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12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8"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2336" w:type="dxa"/>
            <w:tcBorders/>
            <w:vAlign w:val="center"/>
          </w:tcPr>
          <w:p>
            <w:pPr>
              <w:pStyle w:val="TableContents"/>
              <w:bidi w:val="0"/>
              <w:spacing w:before="0" w:after="283"/>
              <w:jc w:val="left"/>
              <w:rPr>
                <w:b/>
              </w:rPr>
            </w:pPr>
            <w:r>
              <w:rPr>
                <w:b/>
              </w:rPr>
              <w:t>OTHER LIABILITIES:</w:t>
            </w:r>
          </w:p>
        </w:tc>
        <w:tc>
          <w:tcPr>
            <w:tcW w:w="60" w:type="dxa"/>
            <w:tcBorders/>
            <w:vAlign w:val="center"/>
          </w:tcPr>
          <w:p>
            <w:pPr>
              <w:pStyle w:val="TableContents"/>
              <w:bidi w:val="0"/>
              <w:spacing w:before="0" w:after="283"/>
              <w:jc w:val="left"/>
              <w:rPr/>
            </w:pPr>
            <w:r>
              <w:rPr/>
              <w:t> </w:t>
            </w:r>
          </w:p>
        </w:tc>
        <w:tc>
          <w:tcPr>
            <w:tcW w:w="5121" w:type="dxa"/>
            <w:tcBorders/>
            <w:vAlign w:val="center"/>
          </w:tcPr>
          <w:p>
            <w:pPr>
              <w:pStyle w:val="TableContents"/>
              <w:bidi w:val="0"/>
              <w:spacing w:before="0" w:after="283"/>
              <w:jc w:val="left"/>
              <w:rPr/>
            </w:pPr>
            <w:r>
              <w:rPr/>
              <w:t>Customer Advances for Construction</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060" w:type="dxa"/>
            <w:tcBorders/>
            <w:vAlign w:val="center"/>
          </w:tcPr>
          <w:p>
            <w:pPr>
              <w:pStyle w:val="TableContents"/>
              <w:bidi w:val="0"/>
              <w:spacing w:before="0" w:after="283"/>
              <w:jc w:val="right"/>
              <w:rPr>
                <w:b/>
              </w:rPr>
            </w:pPr>
            <w:r>
              <w:rPr>
                <w:b/>
              </w:rPr>
              <w:t>21,313</w:t>
            </w:r>
          </w:p>
        </w:tc>
        <w:tc>
          <w:tcPr>
            <w:tcW w:w="6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283"/>
              <w:jc w:val="right"/>
              <w:rPr/>
            </w:pPr>
            <w:r>
              <w:rPr/>
              <w:t>21,382</w:t>
            </w:r>
          </w:p>
        </w:tc>
        <w:tc>
          <w:tcPr>
            <w:tcW w:w="84" w:type="dxa"/>
            <w:tcBorders/>
            <w:vAlign w:val="center"/>
          </w:tcPr>
          <w:p>
            <w:pPr>
              <w:pStyle w:val="TableContents"/>
              <w:bidi w:val="0"/>
              <w:spacing w:before="0" w:after="283"/>
              <w:jc w:val="left"/>
              <w:rPr/>
            </w:pPr>
            <w:r>
              <w:rPr/>
              <w:t> </w:t>
            </w:r>
          </w:p>
        </w:tc>
      </w:tr>
      <w:tr>
        <w:trPr/>
        <w:tc>
          <w:tcPr>
            <w:tcW w:w="233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21" w:type="dxa"/>
            <w:tcBorders/>
            <w:shd w:fill="CCEEFF" w:val="clear"/>
            <w:vAlign w:val="center"/>
          </w:tcPr>
          <w:p>
            <w:pPr>
              <w:pStyle w:val="TableContents"/>
              <w:bidi w:val="0"/>
              <w:spacing w:before="0" w:after="283"/>
              <w:jc w:val="left"/>
              <w:rPr/>
            </w:pPr>
            <w:r>
              <w:rPr/>
              <w:t>Lease Obligations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b/>
              </w:rPr>
            </w:pPr>
            <w:r>
              <w:rPr>
                <w:b/>
              </w:rPr>
              <w:t>3,063</w:t>
            </w:r>
          </w:p>
        </w:tc>
        <w:tc>
          <w:tcPr>
            <w:tcW w:w="6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3,706</w:t>
            </w:r>
          </w:p>
        </w:tc>
        <w:tc>
          <w:tcPr>
            <w:tcW w:w="84" w:type="dxa"/>
            <w:tcBorders/>
            <w:shd w:fill="CCEEFF" w:val="clear"/>
            <w:vAlign w:val="center"/>
          </w:tcPr>
          <w:p>
            <w:pPr>
              <w:pStyle w:val="TableContents"/>
              <w:bidi w:val="0"/>
              <w:spacing w:before="0" w:after="283"/>
              <w:jc w:val="left"/>
              <w:rPr/>
            </w:pPr>
            <w:r>
              <w:rPr/>
              <w:t> </w:t>
            </w:r>
          </w:p>
        </w:tc>
      </w:tr>
      <w:tr>
        <w:trPr/>
        <w:tc>
          <w:tcPr>
            <w:tcW w:w="233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21" w:type="dxa"/>
            <w:tcBorders/>
            <w:vAlign w:val="center"/>
          </w:tcPr>
          <w:p>
            <w:pPr>
              <w:pStyle w:val="TableContents"/>
              <w:bidi w:val="0"/>
              <w:spacing w:before="0" w:after="283"/>
              <w:jc w:val="left"/>
              <w:rPr/>
            </w:pPr>
            <w:r>
              <w:rPr/>
              <w:t>Accumulated Deferred Income Taxes</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060" w:type="dxa"/>
            <w:tcBorders/>
            <w:vAlign w:val="center"/>
          </w:tcPr>
          <w:p>
            <w:pPr>
              <w:pStyle w:val="TableContents"/>
              <w:bidi w:val="0"/>
              <w:spacing w:before="0" w:after="283"/>
              <w:jc w:val="right"/>
              <w:rPr>
                <w:b/>
              </w:rPr>
            </w:pPr>
            <w:r>
              <w:rPr>
                <w:b/>
              </w:rPr>
              <w:t>88,736</w:t>
            </w:r>
          </w:p>
        </w:tc>
        <w:tc>
          <w:tcPr>
            <w:tcW w:w="6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283"/>
              <w:jc w:val="right"/>
              <w:rPr/>
            </w:pPr>
            <w:r>
              <w:rPr/>
              <w:t>77,783</w:t>
            </w:r>
          </w:p>
        </w:tc>
        <w:tc>
          <w:tcPr>
            <w:tcW w:w="84" w:type="dxa"/>
            <w:tcBorders/>
            <w:vAlign w:val="center"/>
          </w:tcPr>
          <w:p>
            <w:pPr>
              <w:pStyle w:val="TableContents"/>
              <w:bidi w:val="0"/>
              <w:spacing w:before="0" w:after="283"/>
              <w:jc w:val="left"/>
              <w:rPr/>
            </w:pPr>
            <w:r>
              <w:rPr/>
              <w:t> </w:t>
            </w:r>
          </w:p>
        </w:tc>
      </w:tr>
      <w:tr>
        <w:trPr/>
        <w:tc>
          <w:tcPr>
            <w:tcW w:w="233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21" w:type="dxa"/>
            <w:tcBorders/>
            <w:shd w:fill="CCEEFF" w:val="clear"/>
            <w:vAlign w:val="center"/>
          </w:tcPr>
          <w:p>
            <w:pPr>
              <w:pStyle w:val="TableContents"/>
              <w:bidi w:val="0"/>
              <w:spacing w:before="0" w:after="283"/>
              <w:jc w:val="left"/>
              <w:rPr/>
            </w:pPr>
            <w:r>
              <w:rPr/>
              <w:t>Regulatory Liabilities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b/>
              </w:rPr>
            </w:pPr>
            <w:r>
              <w:rPr>
                <w:b/>
              </w:rPr>
              <w:t>113,021</w:t>
            </w:r>
          </w:p>
        </w:tc>
        <w:tc>
          <w:tcPr>
            <w:tcW w:w="6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46,734</w:t>
            </w:r>
          </w:p>
        </w:tc>
        <w:tc>
          <w:tcPr>
            <w:tcW w:w="84" w:type="dxa"/>
            <w:tcBorders/>
            <w:shd w:fill="CCEEFF" w:val="clear"/>
            <w:vAlign w:val="center"/>
          </w:tcPr>
          <w:p>
            <w:pPr>
              <w:pStyle w:val="TableContents"/>
              <w:bidi w:val="0"/>
              <w:spacing w:before="0" w:after="283"/>
              <w:jc w:val="left"/>
              <w:rPr/>
            </w:pPr>
            <w:r>
              <w:rPr/>
              <w:t> </w:t>
            </w:r>
          </w:p>
        </w:tc>
      </w:tr>
      <w:tr>
        <w:trPr/>
        <w:tc>
          <w:tcPr>
            <w:tcW w:w="2336"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5121" w:type="dxa"/>
            <w:tcBorders>
              <w:bottom w:val="single" w:sz="8" w:space="0" w:color="000000"/>
            </w:tcBorders>
            <w:tcMar>
              <w:bottom w:w="28" w:type="dxa"/>
            </w:tcMar>
            <w:vAlign w:val="center"/>
          </w:tcPr>
          <w:p>
            <w:pPr>
              <w:pStyle w:val="TableContents"/>
              <w:bidi w:val="0"/>
              <w:spacing w:before="0" w:after="283"/>
              <w:jc w:val="left"/>
              <w:rPr/>
            </w:pPr>
            <w:r>
              <w:rPr/>
              <w:t>Other</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51" w:type="dxa"/>
            <w:tcBorders>
              <w:bottom w:val="single" w:sz="8" w:space="0" w:color="000000"/>
            </w:tcBorders>
            <w:tcMar>
              <w:bottom w:w="28" w:type="dxa"/>
            </w:tcMar>
            <w:vAlign w:val="center"/>
          </w:tcPr>
          <w:p>
            <w:pPr>
              <w:pStyle w:val="TableContents"/>
              <w:bidi w:val="0"/>
              <w:spacing w:before="0" w:after="283"/>
              <w:jc w:val="left"/>
              <w:rPr/>
            </w:pPr>
            <w:r>
              <w:rPr/>
              <w:t> </w:t>
            </w:r>
          </w:p>
        </w:tc>
        <w:tc>
          <w:tcPr>
            <w:tcW w:w="1060" w:type="dxa"/>
            <w:tcBorders>
              <w:bottom w:val="single" w:sz="8" w:space="0" w:color="000000"/>
            </w:tcBorders>
            <w:tcMar>
              <w:bottom w:w="28" w:type="dxa"/>
            </w:tcMar>
            <w:vAlign w:val="center"/>
          </w:tcPr>
          <w:p>
            <w:pPr>
              <w:pStyle w:val="TableContents"/>
              <w:bidi w:val="0"/>
              <w:spacing w:before="0" w:after="283"/>
              <w:jc w:val="right"/>
              <w:rPr>
                <w:b/>
              </w:rPr>
            </w:pPr>
            <w:r>
              <w:rPr>
                <w:b/>
              </w:rPr>
              <w:t>592</w:t>
            </w:r>
          </w:p>
        </w:tc>
        <w:tc>
          <w:tcPr>
            <w:tcW w:w="64"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51" w:type="dxa"/>
            <w:tcBorders>
              <w:bottom w:val="single" w:sz="8" w:space="0" w:color="000000"/>
            </w:tcBorders>
            <w:tcMar>
              <w:bottom w:w="28" w:type="dxa"/>
            </w:tcMar>
            <w:vAlign w:val="center"/>
          </w:tcPr>
          <w:p>
            <w:pPr>
              <w:pStyle w:val="TableContents"/>
              <w:bidi w:val="0"/>
              <w:spacing w:before="0" w:after="283"/>
              <w:jc w:val="left"/>
              <w:rPr/>
            </w:pPr>
            <w:r>
              <w:rPr/>
              <w:t> </w:t>
            </w:r>
          </w:p>
        </w:tc>
        <w:tc>
          <w:tcPr>
            <w:tcW w:w="1058" w:type="dxa"/>
            <w:tcBorders>
              <w:bottom w:val="single" w:sz="8" w:space="0" w:color="000000"/>
            </w:tcBorders>
            <w:tcMar>
              <w:bottom w:w="28" w:type="dxa"/>
            </w:tcMar>
            <w:vAlign w:val="center"/>
          </w:tcPr>
          <w:p>
            <w:pPr>
              <w:pStyle w:val="TableContents"/>
              <w:bidi w:val="0"/>
              <w:spacing w:before="0" w:after="283"/>
              <w:jc w:val="right"/>
              <w:rPr/>
            </w:pPr>
            <w:r>
              <w:rPr/>
              <w:t>919</w:t>
            </w:r>
          </w:p>
        </w:tc>
        <w:tc>
          <w:tcPr>
            <w:tcW w:w="84"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33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21" w:type="dxa"/>
            <w:tcBorders/>
            <w:shd w:fill="CCEEFF" w:val="clear"/>
            <w:vAlign w:val="center"/>
          </w:tcPr>
          <w:p>
            <w:pPr>
              <w:pStyle w:val="TableContents"/>
              <w:bidi w:val="0"/>
              <w:spacing w:before="0" w:after="283"/>
              <w:jc w:val="left"/>
              <w:rPr/>
            </w:pPr>
            <w:r>
              <w:rPr/>
              <w:t>TOTAL OTHER LIABILITIES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b/>
              </w:rPr>
            </w:pPr>
            <w:r>
              <w:rPr>
                <w:b/>
              </w:rPr>
              <w:t>226,725</w:t>
            </w:r>
          </w:p>
        </w:tc>
        <w:tc>
          <w:tcPr>
            <w:tcW w:w="6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150,524</w:t>
            </w:r>
          </w:p>
        </w:tc>
        <w:tc>
          <w:tcPr>
            <w:tcW w:w="84" w:type="dxa"/>
            <w:tcBorders/>
            <w:shd w:fill="CCEEFF" w:val="clear"/>
            <w:vAlign w:val="center"/>
          </w:tcPr>
          <w:p>
            <w:pPr>
              <w:pStyle w:val="TableContents"/>
              <w:bidi w:val="0"/>
              <w:spacing w:before="0" w:after="283"/>
              <w:jc w:val="left"/>
              <w:rPr/>
            </w:pPr>
            <w:r>
              <w:rPr/>
              <w:t> </w:t>
            </w:r>
          </w:p>
        </w:tc>
      </w:tr>
      <w:tr>
        <w:trPr/>
        <w:tc>
          <w:tcPr>
            <w:tcW w:w="2336"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5121"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51" w:type="dxa"/>
            <w:tcBorders>
              <w:bottom w:val="single" w:sz="8" w:space="0" w:color="000000"/>
            </w:tcBorders>
            <w:tcMar>
              <w:bottom w:w="28" w:type="dxa"/>
            </w:tcMar>
            <w:vAlign w:val="center"/>
          </w:tcPr>
          <w:p>
            <w:pPr>
              <w:pStyle w:val="TableContents"/>
              <w:bidi w:val="0"/>
              <w:spacing w:before="0" w:after="283"/>
              <w:jc w:val="left"/>
              <w:rPr/>
            </w:pPr>
            <w:r>
              <w:rPr/>
              <w:t> </w:t>
            </w:r>
          </w:p>
        </w:tc>
        <w:tc>
          <w:tcPr>
            <w:tcW w:w="1060" w:type="dxa"/>
            <w:tcBorders>
              <w:bottom w:val="single" w:sz="8" w:space="0" w:color="000000"/>
            </w:tcBorders>
            <w:tcMar>
              <w:bottom w:w="28" w:type="dxa"/>
            </w:tcMar>
            <w:vAlign w:val="center"/>
          </w:tcPr>
          <w:p>
            <w:pPr>
              <w:pStyle w:val="TableContents"/>
              <w:bidi w:val="0"/>
              <w:spacing w:before="0" w:after="283"/>
              <w:jc w:val="right"/>
              <w:rPr/>
            </w:pPr>
            <w:r>
              <w:rPr/>
              <w:t> </w:t>
            </w:r>
          </w:p>
        </w:tc>
        <w:tc>
          <w:tcPr>
            <w:tcW w:w="64"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51" w:type="dxa"/>
            <w:tcBorders>
              <w:bottom w:val="single" w:sz="8" w:space="0" w:color="000000"/>
            </w:tcBorders>
            <w:tcMar>
              <w:bottom w:w="28" w:type="dxa"/>
            </w:tcMar>
            <w:vAlign w:val="center"/>
          </w:tcPr>
          <w:p>
            <w:pPr>
              <w:pStyle w:val="TableContents"/>
              <w:bidi w:val="0"/>
              <w:spacing w:before="0" w:after="283"/>
              <w:jc w:val="left"/>
              <w:rPr/>
            </w:pPr>
            <w:r>
              <w:rPr/>
              <w:t> </w:t>
            </w:r>
          </w:p>
        </w:tc>
        <w:tc>
          <w:tcPr>
            <w:tcW w:w="1058" w:type="dxa"/>
            <w:tcBorders>
              <w:bottom w:val="single" w:sz="8" w:space="0" w:color="000000"/>
            </w:tcBorders>
            <w:tcMar>
              <w:bottom w:w="28" w:type="dxa"/>
            </w:tcMar>
            <w:vAlign w:val="center"/>
          </w:tcPr>
          <w:p>
            <w:pPr>
              <w:pStyle w:val="TableContents"/>
              <w:bidi w:val="0"/>
              <w:spacing w:before="0" w:after="283"/>
              <w:jc w:val="right"/>
              <w:rPr/>
            </w:pPr>
            <w:r>
              <w:rPr/>
              <w:t> </w:t>
            </w:r>
          </w:p>
        </w:tc>
        <w:tc>
          <w:tcPr>
            <w:tcW w:w="84"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17" w:type="dxa"/>
            <w:gridSpan w:val="3"/>
            <w:tcBorders/>
            <w:shd w:fill="CCEEFF" w:val="clear"/>
            <w:vAlign w:val="center"/>
          </w:tcPr>
          <w:p>
            <w:pPr>
              <w:pStyle w:val="TableContents"/>
              <w:bidi w:val="0"/>
              <w:spacing w:before="0" w:after="283"/>
              <w:jc w:val="left"/>
              <w:rPr>
                <w:b/>
              </w:rPr>
            </w:pPr>
            <w:r>
              <w:rPr>
                <w:b/>
              </w:rPr>
              <w:t>CONTRIBUTIONS IN AID OF CONSTRUCTION</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b/>
              </w:rPr>
            </w:pPr>
            <w:r>
              <w:rPr>
                <w:b/>
              </w:rPr>
              <w:t>122,270</w:t>
            </w:r>
          </w:p>
        </w:tc>
        <w:tc>
          <w:tcPr>
            <w:tcW w:w="6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113,375</w:t>
            </w:r>
          </w:p>
        </w:tc>
        <w:tc>
          <w:tcPr>
            <w:tcW w:w="84" w:type="dxa"/>
            <w:tcBorders/>
            <w:shd w:fill="CCEEFF" w:val="clear"/>
            <w:vAlign w:val="center"/>
          </w:tcPr>
          <w:p>
            <w:pPr>
              <w:pStyle w:val="TableContents"/>
              <w:bidi w:val="0"/>
              <w:spacing w:before="0" w:after="283"/>
              <w:jc w:val="left"/>
              <w:rPr/>
            </w:pPr>
            <w:r>
              <w:rPr/>
              <w:t> </w:t>
            </w:r>
          </w:p>
        </w:tc>
      </w:tr>
      <w:tr>
        <w:trPr/>
        <w:tc>
          <w:tcPr>
            <w:tcW w:w="2336"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pPr>
            <w:r>
              <w:rPr/>
              <w:t> </w:t>
            </w:r>
          </w:p>
        </w:tc>
        <w:tc>
          <w:tcPr>
            <w:tcW w:w="512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pPr>
            <w:r>
              <w:rPr/>
              <w:t>TOTAL CAPITALIZATION AND LIABILITIES</w:t>
            </w:r>
          </w:p>
        </w:tc>
        <w:tc>
          <w:tcPr>
            <w:tcW w:w="6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pPr>
            <w:r>
              <w:rPr/>
              <w:t> </w:t>
            </w:r>
          </w:p>
        </w:tc>
        <w:tc>
          <w:tcPr>
            <w:tcW w:w="15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b/>
              </w:rPr>
            </w:pPr>
            <w:r>
              <w:rPr>
                <w:b/>
              </w:rPr>
              <w:t>$</w:t>
            </w:r>
          </w:p>
        </w:tc>
        <w:tc>
          <w:tcPr>
            <w:tcW w:w="106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right"/>
              <w:rPr>
                <w:b/>
              </w:rPr>
            </w:pPr>
            <w:r>
              <w:rPr>
                <w:b/>
              </w:rPr>
              <w:t>1,236,052</w:t>
            </w:r>
          </w:p>
        </w:tc>
        <w:tc>
          <w:tcPr>
            <w:tcW w:w="64"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pPr>
            <w:r>
              <w:rPr/>
              <w:t> </w:t>
            </w:r>
          </w:p>
        </w:tc>
        <w:tc>
          <w:tcPr>
            <w:tcW w:w="15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pPr>
            <w:r>
              <w:rPr/>
              <w:t>$</w:t>
            </w:r>
          </w:p>
        </w:tc>
        <w:tc>
          <w:tcPr>
            <w:tcW w:w="1058"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right"/>
              <w:rPr/>
            </w:pPr>
            <w:r>
              <w:rPr/>
              <w:t>1,074,450</w:t>
            </w:r>
          </w:p>
        </w:tc>
        <w:tc>
          <w:tcPr>
            <w:tcW w:w="84"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See Notes to Consolidated Financial Statements.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MIDDLESEX WATER COMPANY</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040"/>
        <w:gridCol w:w="60"/>
        <w:gridCol w:w="140"/>
        <w:gridCol w:w="755"/>
        <w:gridCol w:w="95"/>
        <w:gridCol w:w="60"/>
        <w:gridCol w:w="140"/>
        <w:gridCol w:w="755"/>
        <w:gridCol w:w="95"/>
        <w:gridCol w:w="60"/>
        <w:gridCol w:w="140"/>
        <w:gridCol w:w="755"/>
        <w:gridCol w:w="110"/>
      </w:tblGrid>
      <w:tr>
        <w:trPr/>
        <w:tc>
          <w:tcPr>
            <w:tcW w:w="70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105" w:type="dxa"/>
            <w:gridSpan w:val="11"/>
            <w:tcBorders/>
            <w:vAlign w:val="center"/>
          </w:tcPr>
          <w:p>
            <w:pPr>
              <w:pStyle w:val="TableContents"/>
              <w:bidi w:val="0"/>
              <w:spacing w:before="0" w:after="283"/>
              <w:jc w:val="center"/>
              <w:rPr>
                <w:b/>
              </w:rPr>
            </w:pPr>
            <w:r>
              <w:rPr>
                <w:b/>
              </w:rPr>
              <w:t>Years Ended December 31,</w:t>
            </w:r>
          </w:p>
        </w:tc>
      </w:tr>
      <w:tr>
        <w:trPr/>
        <w:tc>
          <w:tcPr>
            <w:tcW w:w="7040" w:type="dxa"/>
            <w:tcBorders/>
            <w:vAlign w:val="center"/>
          </w:tcPr>
          <w:p>
            <w:pPr>
              <w:pStyle w:val="TableContents"/>
              <w:bidi w:val="0"/>
              <w:spacing w:before="0" w:after="283"/>
              <w:jc w:val="center"/>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99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99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005"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2021</w:t>
            </w:r>
          </w:p>
        </w:tc>
      </w:tr>
      <w:tr>
        <w:trPr/>
        <w:tc>
          <w:tcPr>
            <w:tcW w:w="7040" w:type="dxa"/>
            <w:tcBorders/>
            <w:shd w:fill="CCEEFF" w:val="clear"/>
            <w:vAlign w:val="center"/>
          </w:tcPr>
          <w:p>
            <w:pPr>
              <w:pStyle w:val="TableContents"/>
              <w:bidi w:val="0"/>
              <w:spacing w:before="0" w:after="283"/>
              <w:jc w:val="left"/>
              <w:rPr/>
            </w:pPr>
            <w:r>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040" w:type="dxa"/>
            <w:tcBorders/>
            <w:vAlign w:val="center"/>
          </w:tcPr>
          <w:p>
            <w:pPr>
              <w:pStyle w:val="TableContents"/>
              <w:bidi w:val="0"/>
              <w:spacing w:before="0" w:after="283"/>
              <w:jc w:val="left"/>
              <w:rPr/>
            </w:pPr>
            <w:r>
              <w:rPr/>
              <w:t>Net Income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b/>
              </w:rPr>
            </w:pPr>
            <w:r>
              <w:rPr>
                <w:b/>
              </w:rPr>
              <w:t>$</w:t>
            </w:r>
          </w:p>
        </w:tc>
        <w:tc>
          <w:tcPr>
            <w:tcW w:w="755" w:type="dxa"/>
            <w:tcBorders/>
            <w:vAlign w:val="center"/>
          </w:tcPr>
          <w:p>
            <w:pPr>
              <w:pStyle w:val="TableContents"/>
              <w:bidi w:val="0"/>
              <w:spacing w:before="0" w:after="283"/>
              <w:jc w:val="right"/>
              <w:rPr>
                <w:b/>
              </w:rPr>
            </w:pPr>
            <w:r>
              <w:rPr>
                <w:b/>
              </w:rPr>
              <w:t>31,524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42,429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36,543</w:t>
            </w:r>
          </w:p>
        </w:tc>
        <w:tc>
          <w:tcPr>
            <w:tcW w:w="110" w:type="dxa"/>
            <w:tcBorders/>
            <w:vAlign w:val="center"/>
          </w:tcPr>
          <w:p>
            <w:pPr>
              <w:pStyle w:val="TableContents"/>
              <w:bidi w:val="0"/>
              <w:spacing w:before="0" w:after="283"/>
              <w:jc w:val="left"/>
              <w:rPr/>
            </w:pPr>
            <w:r>
              <w:rPr/>
              <w:t> </w:t>
            </w:r>
          </w:p>
        </w:tc>
      </w:tr>
      <w:tr>
        <w:trPr/>
        <w:tc>
          <w:tcPr>
            <w:tcW w:w="7040" w:type="dxa"/>
            <w:tcBorders/>
            <w:shd w:fill="CCEEFF" w:val="clear"/>
            <w:vAlign w:val="center"/>
          </w:tcPr>
          <w:p>
            <w:pPr>
              <w:pStyle w:val="TableContents"/>
              <w:bidi w:val="0"/>
              <w:spacing w:before="0" w:after="283"/>
              <w:jc w:val="left"/>
              <w:rPr/>
            </w:pPr>
            <w:r>
              <w:rPr/>
              <w:t>Adjustments to Reconcile Net Income to</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040" w:type="dxa"/>
            <w:tcBorders/>
            <w:vAlign w:val="center"/>
          </w:tcPr>
          <w:p>
            <w:pPr>
              <w:pStyle w:val="TableContents"/>
              <w:bidi w:val="0"/>
              <w:spacing w:before="0" w:after="283"/>
              <w:jc w:val="left"/>
              <w:rPr/>
            </w:pPr>
            <w:r>
              <w:rPr/>
              <w:t>Net Cash Provided by Operating Activities: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7040"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b/>
              </w:rPr>
            </w:pPr>
            <w:r>
              <w:rPr>
                <w:b/>
              </w:rPr>
              <w:t>29,442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27,475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26,799</w:t>
            </w:r>
          </w:p>
        </w:tc>
        <w:tc>
          <w:tcPr>
            <w:tcW w:w="110" w:type="dxa"/>
            <w:tcBorders/>
            <w:shd w:fill="CCEEFF" w:val="clear"/>
            <w:vAlign w:val="center"/>
          </w:tcPr>
          <w:p>
            <w:pPr>
              <w:pStyle w:val="TableContents"/>
              <w:bidi w:val="0"/>
              <w:spacing w:before="0" w:after="283"/>
              <w:jc w:val="left"/>
              <w:rPr/>
            </w:pPr>
            <w:r>
              <w:rPr/>
              <w:t> </w:t>
            </w:r>
          </w:p>
        </w:tc>
      </w:tr>
      <w:tr>
        <w:trPr/>
        <w:tc>
          <w:tcPr>
            <w:tcW w:w="7040" w:type="dxa"/>
            <w:tcBorders/>
            <w:vAlign w:val="center"/>
          </w:tcPr>
          <w:p>
            <w:pPr>
              <w:pStyle w:val="TableContents"/>
              <w:bidi w:val="0"/>
              <w:spacing w:before="0" w:after="283"/>
              <w:jc w:val="left"/>
              <w:rPr/>
            </w:pPr>
            <w:r>
              <w:rPr/>
              <w:t>Provision for Deferred Income Taxes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b/>
              </w:rPr>
            </w:pPr>
            <w:r>
              <w:rPr>
                <w:b/>
              </w:rPr>
              <w:t>(5,599</w:t>
            </w:r>
          </w:p>
        </w:tc>
        <w:tc>
          <w:tcPr>
            <w:tcW w:w="95" w:type="dxa"/>
            <w:tcBorders/>
            <w:vAlign w:val="center"/>
          </w:tcPr>
          <w:p>
            <w:pPr>
              <w:pStyle w:val="TableContents"/>
              <w:bidi w:val="0"/>
              <w:spacing w:before="0" w:after="283"/>
              <w:jc w:val="left"/>
              <w:rPr>
                <w:b/>
              </w:rPr>
            </w:pPr>
            <w:r>
              <w:rPr>
                <w:b/>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(5,334</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(10,989</w:t>
            </w:r>
          </w:p>
        </w:tc>
        <w:tc>
          <w:tcPr>
            <w:tcW w:w="110" w:type="dxa"/>
            <w:tcBorders/>
            <w:vAlign w:val="center"/>
          </w:tcPr>
          <w:p>
            <w:pPr>
              <w:pStyle w:val="TableContents"/>
              <w:bidi w:val="0"/>
              <w:spacing w:before="0" w:after="283"/>
              <w:jc w:val="left"/>
              <w:rPr/>
            </w:pPr>
            <w:r>
              <w:rPr/>
              <w:t>)</w:t>
            </w:r>
          </w:p>
        </w:tc>
      </w:tr>
      <w:tr>
        <w:trPr/>
        <w:tc>
          <w:tcPr>
            <w:tcW w:w="7040" w:type="dxa"/>
            <w:tcBorders/>
            <w:shd w:fill="CCEEFF" w:val="clear"/>
            <w:vAlign w:val="center"/>
          </w:tcPr>
          <w:p>
            <w:pPr>
              <w:pStyle w:val="TableContents"/>
              <w:bidi w:val="0"/>
              <w:spacing w:before="0" w:after="283"/>
              <w:jc w:val="left"/>
              <w:rPr/>
            </w:pPr>
            <w:r>
              <w:rPr/>
              <w:t>Equity Portion of Allowance for Funds Used During Construction (AFUDC)</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b/>
              </w:rPr>
            </w:pPr>
            <w:r>
              <w:rPr>
                <w:b/>
              </w:rPr>
              <w:t>(1,458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(1,387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(1,505</w:t>
            </w:r>
          </w:p>
        </w:tc>
        <w:tc>
          <w:tcPr>
            <w:tcW w:w="110" w:type="dxa"/>
            <w:tcBorders/>
            <w:shd w:fill="CCEEFF" w:val="clear"/>
            <w:vAlign w:val="center"/>
          </w:tcPr>
          <w:p>
            <w:pPr>
              <w:pStyle w:val="TableContents"/>
              <w:bidi w:val="0"/>
              <w:spacing w:before="0" w:after="283"/>
              <w:jc w:val="left"/>
              <w:rPr/>
            </w:pPr>
            <w:r>
              <w:rPr/>
              <w:t>)</w:t>
            </w:r>
          </w:p>
        </w:tc>
      </w:tr>
      <w:tr>
        <w:trPr/>
        <w:tc>
          <w:tcPr>
            <w:tcW w:w="7040" w:type="dxa"/>
            <w:tcBorders/>
            <w:vAlign w:val="center"/>
          </w:tcPr>
          <w:p>
            <w:pPr>
              <w:pStyle w:val="TableContents"/>
              <w:bidi w:val="0"/>
              <w:spacing w:before="0" w:after="283"/>
              <w:jc w:val="left"/>
              <w:rPr/>
            </w:pPr>
            <w:r>
              <w:rPr/>
              <w:t>Cash Surrender Value of Life Insurance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b/>
              </w:rPr>
            </w:pPr>
            <w:r>
              <w:rPr>
                <w:b/>
              </w:rPr>
              <w:t>(300</w:t>
            </w:r>
          </w:p>
        </w:tc>
        <w:tc>
          <w:tcPr>
            <w:tcW w:w="95" w:type="dxa"/>
            <w:tcBorders/>
            <w:vAlign w:val="center"/>
          </w:tcPr>
          <w:p>
            <w:pPr>
              <w:pStyle w:val="TableContents"/>
              <w:bidi w:val="0"/>
              <w:spacing w:before="0" w:after="283"/>
              <w:jc w:val="left"/>
              <w:rPr>
                <w:b/>
              </w:rPr>
            </w:pPr>
            <w:r>
              <w:rPr>
                <w:b/>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401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(136</w:t>
            </w:r>
          </w:p>
        </w:tc>
        <w:tc>
          <w:tcPr>
            <w:tcW w:w="110" w:type="dxa"/>
            <w:tcBorders/>
            <w:vAlign w:val="center"/>
          </w:tcPr>
          <w:p>
            <w:pPr>
              <w:pStyle w:val="TableContents"/>
              <w:bidi w:val="0"/>
              <w:spacing w:before="0" w:after="283"/>
              <w:jc w:val="left"/>
              <w:rPr/>
            </w:pPr>
            <w:r>
              <w:rPr/>
              <w:t>)</w:t>
            </w:r>
          </w:p>
        </w:tc>
      </w:tr>
      <w:tr>
        <w:trPr/>
        <w:tc>
          <w:tcPr>
            <w:tcW w:w="7040" w:type="dxa"/>
            <w:tcBorders/>
            <w:shd w:fill="CCEEFF" w:val="clear"/>
            <w:vAlign w:val="center"/>
          </w:tcPr>
          <w:p>
            <w:pPr>
              <w:pStyle w:val="TableContents"/>
              <w:bidi w:val="0"/>
              <w:spacing w:before="0" w:after="283"/>
              <w:jc w:val="left"/>
              <w:rPr/>
            </w:pPr>
            <w:r>
              <w:rPr/>
              <w:t>Stock Compensation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b/>
              </w:rPr>
            </w:pPr>
            <w:r>
              <w:rPr>
                <w:b/>
              </w:rPr>
              <w:t>2,214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1,630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1,338</w:t>
            </w:r>
          </w:p>
        </w:tc>
        <w:tc>
          <w:tcPr>
            <w:tcW w:w="110" w:type="dxa"/>
            <w:tcBorders/>
            <w:shd w:fill="CCEEFF" w:val="clear"/>
            <w:vAlign w:val="center"/>
          </w:tcPr>
          <w:p>
            <w:pPr>
              <w:pStyle w:val="TableContents"/>
              <w:bidi w:val="0"/>
              <w:spacing w:before="0" w:after="283"/>
              <w:jc w:val="left"/>
              <w:rPr/>
            </w:pPr>
            <w:r>
              <w:rPr/>
              <w:t> </w:t>
            </w:r>
          </w:p>
        </w:tc>
      </w:tr>
      <w:tr>
        <w:trPr/>
        <w:tc>
          <w:tcPr>
            <w:tcW w:w="7040" w:type="dxa"/>
            <w:tcBorders/>
            <w:vAlign w:val="center"/>
          </w:tcPr>
          <w:p>
            <w:pPr>
              <w:pStyle w:val="TableContents"/>
              <w:bidi w:val="0"/>
              <w:spacing w:before="0" w:after="283"/>
              <w:jc w:val="left"/>
              <w:rPr/>
            </w:pPr>
            <w:r>
              <w:rPr/>
              <w:t>Gain on Sale of Subsidiary</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(5,232</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0"/>
              <w:jc w:val="right"/>
              <w:rPr/>
            </w:pPr>
            <w:r>
              <w:rPr/>
              <w:t>—</w:t>
            </w:r>
          </w:p>
        </w:tc>
        <w:tc>
          <w:tcPr>
            <w:tcW w:w="110" w:type="dxa"/>
            <w:tcBorders/>
            <w:vAlign w:val="center"/>
          </w:tcPr>
          <w:p>
            <w:pPr>
              <w:pStyle w:val="TableContents"/>
              <w:bidi w:val="0"/>
              <w:spacing w:before="0" w:after="283"/>
              <w:jc w:val="left"/>
              <w:rPr/>
            </w:pPr>
            <w:r>
              <w:rPr/>
              <w:t> </w:t>
            </w:r>
          </w:p>
        </w:tc>
      </w:tr>
      <w:tr>
        <w:trPr/>
        <w:tc>
          <w:tcPr>
            <w:tcW w:w="7040" w:type="dxa"/>
            <w:tcBorders/>
            <w:shd w:fill="CCEEFF" w:val="clear"/>
            <w:vAlign w:val="center"/>
          </w:tcPr>
          <w:p>
            <w:pPr>
              <w:pStyle w:val="TableContents"/>
              <w:bidi w:val="0"/>
              <w:spacing w:before="0" w:after="283"/>
              <w:jc w:val="left"/>
              <w:rPr/>
            </w:pPr>
            <w:r>
              <w:rPr/>
              <w:t>Changes in Assets and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040" w:type="dxa"/>
            <w:tcBorders/>
            <w:vAlign w:val="center"/>
          </w:tcPr>
          <w:p>
            <w:pPr>
              <w:pStyle w:val="TableContents"/>
              <w:bidi w:val="0"/>
              <w:spacing w:before="0" w:after="283"/>
              <w:jc w:val="left"/>
              <w:rPr/>
            </w:pPr>
            <w:r>
              <w:rPr/>
              <w:t>Accounts Receivable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b/>
              </w:rPr>
            </w:pPr>
            <w:r>
              <w:rPr>
                <w:b/>
              </w:rPr>
              <w:t>(2,154</w:t>
            </w:r>
          </w:p>
        </w:tc>
        <w:tc>
          <w:tcPr>
            <w:tcW w:w="95" w:type="dxa"/>
            <w:tcBorders/>
            <w:vAlign w:val="center"/>
          </w:tcPr>
          <w:p>
            <w:pPr>
              <w:pStyle w:val="TableContents"/>
              <w:bidi w:val="0"/>
              <w:spacing w:before="0" w:after="283"/>
              <w:jc w:val="left"/>
              <w:rPr>
                <w:b/>
              </w:rPr>
            </w:pPr>
            <w:r>
              <w:rPr>
                <w:b/>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(707</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(742</w:t>
            </w:r>
          </w:p>
        </w:tc>
        <w:tc>
          <w:tcPr>
            <w:tcW w:w="110" w:type="dxa"/>
            <w:tcBorders/>
            <w:vAlign w:val="center"/>
          </w:tcPr>
          <w:p>
            <w:pPr>
              <w:pStyle w:val="TableContents"/>
              <w:bidi w:val="0"/>
              <w:spacing w:before="0" w:after="283"/>
              <w:jc w:val="left"/>
              <w:rPr/>
            </w:pPr>
            <w:r>
              <w:rPr/>
              <w:t>)</w:t>
            </w:r>
          </w:p>
        </w:tc>
      </w:tr>
      <w:tr>
        <w:trPr/>
        <w:tc>
          <w:tcPr>
            <w:tcW w:w="7040" w:type="dxa"/>
            <w:tcBorders/>
            <w:shd w:fill="CCEEFF" w:val="clear"/>
            <w:vAlign w:val="center"/>
          </w:tcPr>
          <w:p>
            <w:pPr>
              <w:pStyle w:val="TableContents"/>
              <w:bidi w:val="0"/>
              <w:spacing w:before="0" w:after="283"/>
              <w:jc w:val="left"/>
              <w:rPr/>
            </w:pPr>
            <w:r>
              <w:rPr/>
              <w:t>Unbilled Revenues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b/>
              </w:rPr>
            </w:pPr>
            <w:r>
              <w:rPr>
                <w:b/>
              </w:rPr>
              <w:t>(638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(1,386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(208</w:t>
            </w:r>
          </w:p>
        </w:tc>
        <w:tc>
          <w:tcPr>
            <w:tcW w:w="110" w:type="dxa"/>
            <w:tcBorders/>
            <w:shd w:fill="CCEEFF" w:val="clear"/>
            <w:vAlign w:val="center"/>
          </w:tcPr>
          <w:p>
            <w:pPr>
              <w:pStyle w:val="TableContents"/>
              <w:bidi w:val="0"/>
              <w:spacing w:before="0" w:after="283"/>
              <w:jc w:val="left"/>
              <w:rPr/>
            </w:pPr>
            <w:r>
              <w:rPr/>
              <w:t>)</w:t>
            </w:r>
          </w:p>
        </w:tc>
      </w:tr>
      <w:tr>
        <w:trPr/>
        <w:tc>
          <w:tcPr>
            <w:tcW w:w="7040" w:type="dxa"/>
            <w:tcBorders/>
            <w:vAlign w:val="center"/>
          </w:tcPr>
          <w:p>
            <w:pPr>
              <w:pStyle w:val="TableContents"/>
              <w:bidi w:val="0"/>
              <w:spacing w:before="0" w:after="283"/>
              <w:jc w:val="left"/>
              <w:rPr/>
            </w:pPr>
            <w:r>
              <w:rPr/>
              <w:t>Materials &amp; Supplies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b/>
              </w:rPr>
            </w:pPr>
            <w:r>
              <w:rPr>
                <w:b/>
              </w:rPr>
              <w:t>(795</w:t>
            </w:r>
          </w:p>
        </w:tc>
        <w:tc>
          <w:tcPr>
            <w:tcW w:w="95" w:type="dxa"/>
            <w:tcBorders/>
            <w:vAlign w:val="center"/>
          </w:tcPr>
          <w:p>
            <w:pPr>
              <w:pStyle w:val="TableContents"/>
              <w:bidi w:val="0"/>
              <w:spacing w:before="0" w:after="283"/>
              <w:jc w:val="left"/>
              <w:rPr>
                <w:b/>
              </w:rPr>
            </w:pPr>
            <w:r>
              <w:rPr>
                <w:b/>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(819</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(246</w:t>
            </w:r>
          </w:p>
        </w:tc>
        <w:tc>
          <w:tcPr>
            <w:tcW w:w="110" w:type="dxa"/>
            <w:tcBorders/>
            <w:vAlign w:val="center"/>
          </w:tcPr>
          <w:p>
            <w:pPr>
              <w:pStyle w:val="TableContents"/>
              <w:bidi w:val="0"/>
              <w:spacing w:before="0" w:after="283"/>
              <w:jc w:val="left"/>
              <w:rPr/>
            </w:pPr>
            <w:r>
              <w:rPr/>
              <w:t>)</w:t>
            </w:r>
          </w:p>
        </w:tc>
      </w:tr>
      <w:tr>
        <w:trPr/>
        <w:tc>
          <w:tcPr>
            <w:tcW w:w="7040" w:type="dxa"/>
            <w:tcBorders/>
            <w:shd w:fill="CCEEFF" w:val="clear"/>
            <w:vAlign w:val="center"/>
          </w:tcPr>
          <w:p>
            <w:pPr>
              <w:pStyle w:val="TableContents"/>
              <w:bidi w:val="0"/>
              <w:spacing w:before="0" w:after="283"/>
              <w:jc w:val="left"/>
              <w:rPr/>
            </w:pPr>
            <w:r>
              <w:rPr/>
              <w:t>Prepayments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b/>
              </w:rPr>
            </w:pPr>
            <w:r>
              <w:rPr>
                <w:b/>
              </w:rPr>
              <w:t>791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w:t>
            </w:r>
          </w:p>
        </w:tc>
        <w:tc>
          <w:tcPr>
            <w:tcW w:w="110" w:type="dxa"/>
            <w:tcBorders/>
            <w:shd w:fill="CCEEFF" w:val="clear"/>
            <w:vAlign w:val="center"/>
          </w:tcPr>
          <w:p>
            <w:pPr>
              <w:pStyle w:val="TableContents"/>
              <w:bidi w:val="0"/>
              <w:spacing w:before="0" w:after="283"/>
              <w:jc w:val="left"/>
              <w:rPr/>
            </w:pPr>
            <w:r>
              <w:rPr/>
              <w:t> </w:t>
            </w:r>
          </w:p>
        </w:tc>
      </w:tr>
      <w:tr>
        <w:trPr/>
        <w:tc>
          <w:tcPr>
            <w:tcW w:w="7040" w:type="dxa"/>
            <w:tcBorders/>
            <w:vAlign w:val="center"/>
          </w:tcPr>
          <w:p>
            <w:pPr>
              <w:pStyle w:val="TableContents"/>
              <w:bidi w:val="0"/>
              <w:spacing w:before="0" w:after="283"/>
              <w:jc w:val="left"/>
              <w:rPr/>
            </w:pPr>
            <w:r>
              <w:rPr/>
              <w:t>Accounts Payable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b/>
              </w:rPr>
            </w:pPr>
            <w:r>
              <w:rPr>
                <w:b/>
              </w:rPr>
              <w:t>2,771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3,722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(9,318</w:t>
            </w:r>
          </w:p>
        </w:tc>
        <w:tc>
          <w:tcPr>
            <w:tcW w:w="110" w:type="dxa"/>
            <w:tcBorders/>
            <w:vAlign w:val="center"/>
          </w:tcPr>
          <w:p>
            <w:pPr>
              <w:pStyle w:val="TableContents"/>
              <w:bidi w:val="0"/>
              <w:spacing w:before="0" w:after="283"/>
              <w:jc w:val="left"/>
              <w:rPr/>
            </w:pPr>
            <w:r>
              <w:rPr/>
              <w:t>)</w:t>
            </w:r>
          </w:p>
        </w:tc>
      </w:tr>
      <w:tr>
        <w:trPr/>
        <w:tc>
          <w:tcPr>
            <w:tcW w:w="7040" w:type="dxa"/>
            <w:tcBorders/>
            <w:shd w:fill="CCEEFF" w:val="clear"/>
            <w:vAlign w:val="center"/>
          </w:tcPr>
          <w:p>
            <w:pPr>
              <w:pStyle w:val="TableContents"/>
              <w:bidi w:val="0"/>
              <w:spacing w:before="0" w:after="283"/>
              <w:jc w:val="left"/>
              <w:rPr/>
            </w:pPr>
            <w:r>
              <w:rPr/>
              <w:t>Accrued Taxes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b/>
              </w:rPr>
            </w:pPr>
            <w:r>
              <w:rPr>
                <w:b/>
              </w:rPr>
              <w:t>(1,627</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3,541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(1,517</w:t>
            </w:r>
          </w:p>
        </w:tc>
        <w:tc>
          <w:tcPr>
            <w:tcW w:w="110" w:type="dxa"/>
            <w:tcBorders/>
            <w:shd w:fill="CCEEFF" w:val="clear"/>
            <w:vAlign w:val="center"/>
          </w:tcPr>
          <w:p>
            <w:pPr>
              <w:pStyle w:val="TableContents"/>
              <w:bidi w:val="0"/>
              <w:spacing w:before="0" w:after="283"/>
              <w:jc w:val="left"/>
              <w:rPr/>
            </w:pPr>
            <w:r>
              <w:rPr/>
              <w:t>)</w:t>
            </w:r>
          </w:p>
        </w:tc>
      </w:tr>
      <w:tr>
        <w:trPr/>
        <w:tc>
          <w:tcPr>
            <w:tcW w:w="7040" w:type="dxa"/>
            <w:tcBorders/>
            <w:vAlign w:val="center"/>
          </w:tcPr>
          <w:p>
            <w:pPr>
              <w:pStyle w:val="TableContents"/>
              <w:bidi w:val="0"/>
              <w:spacing w:before="0" w:after="283"/>
              <w:jc w:val="left"/>
              <w:rPr/>
            </w:pPr>
            <w:r>
              <w:rPr/>
              <w:t>Accrued Interest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b/>
              </w:rPr>
            </w:pPr>
            <w:r>
              <w:rPr>
                <w:b/>
              </w:rPr>
              <w:t>603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549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(151</w:t>
            </w:r>
          </w:p>
        </w:tc>
        <w:tc>
          <w:tcPr>
            <w:tcW w:w="110" w:type="dxa"/>
            <w:tcBorders/>
            <w:vAlign w:val="center"/>
          </w:tcPr>
          <w:p>
            <w:pPr>
              <w:pStyle w:val="TableContents"/>
              <w:bidi w:val="0"/>
              <w:spacing w:before="0" w:after="283"/>
              <w:jc w:val="left"/>
              <w:rPr/>
            </w:pPr>
            <w:r>
              <w:rPr/>
              <w:t>)</w:t>
            </w:r>
          </w:p>
        </w:tc>
      </w:tr>
      <w:tr>
        <w:trPr/>
        <w:tc>
          <w:tcPr>
            <w:tcW w:w="7040" w:type="dxa"/>
            <w:tcBorders/>
            <w:shd w:fill="CCEEFF" w:val="clear"/>
            <w:vAlign w:val="center"/>
          </w:tcPr>
          <w:p>
            <w:pPr>
              <w:pStyle w:val="TableContents"/>
              <w:bidi w:val="0"/>
              <w:spacing w:before="0" w:after="283"/>
              <w:jc w:val="left"/>
              <w:rPr/>
            </w:pPr>
            <w:r>
              <w:rPr/>
              <w:t>Employee Benefit Plans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b/>
              </w:rPr>
            </w:pPr>
            <w:r>
              <w:rPr>
                <w:b/>
              </w:rPr>
              <w:t>(1,340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(4,266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(2,645</w:t>
            </w:r>
          </w:p>
        </w:tc>
        <w:tc>
          <w:tcPr>
            <w:tcW w:w="110" w:type="dxa"/>
            <w:tcBorders/>
            <w:shd w:fill="CCEEFF" w:val="clear"/>
            <w:vAlign w:val="center"/>
          </w:tcPr>
          <w:p>
            <w:pPr>
              <w:pStyle w:val="TableContents"/>
              <w:bidi w:val="0"/>
              <w:spacing w:before="0" w:after="283"/>
              <w:jc w:val="left"/>
              <w:rPr/>
            </w:pPr>
            <w:r>
              <w:rPr/>
              <w:t>)</w:t>
            </w:r>
          </w:p>
        </w:tc>
      </w:tr>
      <w:tr>
        <w:trPr/>
        <w:tc>
          <w:tcPr>
            <w:tcW w:w="7040" w:type="dxa"/>
            <w:tcBorders/>
            <w:vAlign w:val="center"/>
          </w:tcPr>
          <w:p>
            <w:pPr>
              <w:pStyle w:val="TableContents"/>
              <w:bidi w:val="0"/>
              <w:spacing w:before="0" w:after="283"/>
              <w:jc w:val="left"/>
              <w:rPr/>
            </w:pPr>
            <w:r>
              <w:rPr/>
              <w:t>Unearned Revenue &amp; Advanced Service Fees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b/>
              </w:rPr>
            </w:pPr>
            <w:r>
              <w:rPr>
                <w:b/>
              </w:rPr>
              <w:t>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35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75</w:t>
            </w:r>
          </w:p>
        </w:tc>
        <w:tc>
          <w:tcPr>
            <w:tcW w:w="110" w:type="dxa"/>
            <w:tcBorders/>
            <w:vAlign w:val="center"/>
          </w:tcPr>
          <w:p>
            <w:pPr>
              <w:pStyle w:val="TableContents"/>
              <w:bidi w:val="0"/>
              <w:spacing w:before="0" w:after="283"/>
              <w:jc w:val="left"/>
              <w:rPr/>
            </w:pPr>
            <w:r>
              <w:rPr/>
              <w:t> </w:t>
            </w:r>
          </w:p>
        </w:tc>
      </w:tr>
      <w:tr>
        <w:trPr/>
        <w:tc>
          <w:tcPr>
            <w:tcW w:w="7040" w:type="dxa"/>
            <w:tcBorders/>
            <w:shd w:fill="CCEEFF" w:val="clear"/>
            <w:vAlign w:val="center"/>
          </w:tcPr>
          <w:p>
            <w:pPr>
              <w:pStyle w:val="TableContents"/>
              <w:bidi w:val="0"/>
              <w:spacing w:before="0" w:after="283"/>
              <w:jc w:val="left"/>
              <w:rPr/>
            </w:pPr>
            <w:r>
              <w:rPr/>
              <w:t>Other Assets and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b/>
              </w:rPr>
            </w:pPr>
            <w:r>
              <w:rPr>
                <w:b/>
              </w:rPr>
              <w:t>(677</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(4,276</w:t>
            </w:r>
          </w:p>
        </w:tc>
        <w:tc>
          <w:tcPr>
            <w:tcW w:w="110" w:type="dxa"/>
            <w:tcBorders/>
            <w:shd w:fill="CCEEFF" w:val="clear"/>
            <w:vAlign w:val="center"/>
          </w:tcPr>
          <w:p>
            <w:pPr>
              <w:pStyle w:val="TableContents"/>
              <w:bidi w:val="0"/>
              <w:spacing w:before="0" w:after="283"/>
              <w:jc w:val="left"/>
              <w:rPr/>
            </w:pPr>
            <w:r>
              <w:rPr/>
              <w:t>)</w:t>
            </w:r>
          </w:p>
        </w:tc>
      </w:tr>
      <w:tr>
        <w:trPr/>
        <w:tc>
          <w:tcPr>
            <w:tcW w:w="704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tcMar>
              <w:bottom w:w="28" w:type="dxa"/>
            </w:tcMar>
            <w:vAlign w:val="center"/>
          </w:tcPr>
          <w:p>
            <w:pPr>
              <w:pStyle w:val="TableContents"/>
              <w:bidi w:val="0"/>
              <w:spacing w:before="0" w:after="283"/>
              <w:jc w:val="right"/>
              <w:rPr/>
            </w:pPr>
            <w:r>
              <w:rPr/>
              <w:t> </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tcMar>
              <w:bottom w:w="28" w:type="dxa"/>
            </w:tcMar>
            <w:vAlign w:val="center"/>
          </w:tcPr>
          <w:p>
            <w:pPr>
              <w:pStyle w:val="TableContents"/>
              <w:bidi w:val="0"/>
              <w:spacing w:before="0" w:after="283"/>
              <w:jc w:val="right"/>
              <w:rPr/>
            </w:pPr>
            <w:r>
              <w:rPr/>
              <w:t> </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tcMar>
              <w:bottom w:w="28" w:type="dxa"/>
            </w:tcMar>
            <w:vAlign w:val="center"/>
          </w:tcPr>
          <w:p>
            <w:pPr>
              <w:pStyle w:val="TableContents"/>
              <w:bidi w:val="0"/>
              <w:spacing w:before="0" w:after="283"/>
              <w:jc w:val="right"/>
              <w:rPr/>
            </w:pPr>
            <w:r>
              <w:rPr/>
              <w:t> </w:t>
            </w:r>
          </w:p>
        </w:tc>
        <w:tc>
          <w:tcPr>
            <w:tcW w:w="11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040" w:type="dxa"/>
            <w:tcBorders>
              <w:bottom w:val="single" w:sz="8" w:space="0" w:color="000000"/>
            </w:tcBorders>
            <w:shd w:fill="CCEEFF" w:val="clear"/>
            <w:tcMar>
              <w:bottom w:w="28" w:type="dxa"/>
            </w:tcMar>
            <w:vAlign w:val="center"/>
          </w:tcPr>
          <w:p>
            <w:pPr>
              <w:pStyle w:val="TableContents"/>
              <w:bidi w:val="0"/>
              <w:spacing w:before="0" w:after="283"/>
              <w:jc w:val="left"/>
              <w:rPr/>
            </w:pPr>
            <w:r>
              <w:rPr/>
              <w:t>NET CASH PROVIDED BY OPERATING ACTIVITIES</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52,782</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61,361</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33,028</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7040" w:type="dxa"/>
            <w:tcBorders/>
            <w:vAlign w:val="center"/>
          </w:tcPr>
          <w:p>
            <w:pPr>
              <w:pStyle w:val="TableContents"/>
              <w:bidi w:val="0"/>
              <w:spacing w:before="0" w:after="283"/>
              <w:jc w:val="left"/>
              <w:rPr/>
            </w:pPr>
            <w:r>
              <w:rPr/>
              <w:t>CASH FLOWS FROM INVESTING ACTIVITIES: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7040" w:type="dxa"/>
            <w:tcBorders/>
            <w:shd w:fill="CCEEFF" w:val="clear"/>
            <w:vAlign w:val="center"/>
          </w:tcPr>
          <w:p>
            <w:pPr>
              <w:pStyle w:val="TableContents"/>
              <w:bidi w:val="0"/>
              <w:spacing w:before="0" w:after="283"/>
              <w:jc w:val="left"/>
              <w:rPr/>
            </w:pPr>
            <w:r>
              <w:rPr/>
              <w:t>Utility Plant Expenditures, Including AFUDC of $975 in 2023, $927 in 2022 and $1,148 in 2021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b/>
              </w:rPr>
            </w:pPr>
            <w:r>
              <w:rPr>
                <w:b/>
              </w:rPr>
              <w:t>(90,179</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(91,335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(79,378</w:t>
            </w:r>
          </w:p>
        </w:tc>
        <w:tc>
          <w:tcPr>
            <w:tcW w:w="110" w:type="dxa"/>
            <w:tcBorders/>
            <w:shd w:fill="CCEEFF" w:val="clear"/>
            <w:vAlign w:val="center"/>
          </w:tcPr>
          <w:p>
            <w:pPr>
              <w:pStyle w:val="TableContents"/>
              <w:bidi w:val="0"/>
              <w:spacing w:before="0" w:after="283"/>
              <w:jc w:val="left"/>
              <w:rPr/>
            </w:pPr>
            <w:r>
              <w:rPr/>
              <w:t>)</w:t>
            </w:r>
          </w:p>
        </w:tc>
      </w:tr>
      <w:tr>
        <w:trPr/>
        <w:tc>
          <w:tcPr>
            <w:tcW w:w="7040" w:type="dxa"/>
            <w:tcBorders/>
            <w:vAlign w:val="center"/>
          </w:tcPr>
          <w:p>
            <w:pPr>
              <w:pStyle w:val="TableContents"/>
              <w:bidi w:val="0"/>
              <w:spacing w:before="0" w:after="283"/>
              <w:jc w:val="left"/>
              <w:rPr/>
            </w:pPr>
            <w:r>
              <w:rPr/>
              <w:t>Proceeds from Sale of Subsidiary</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3,122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0"/>
              <w:jc w:val="right"/>
              <w:rPr/>
            </w:pPr>
            <w:r>
              <w:rPr/>
              <w:t>—</w:t>
            </w:r>
          </w:p>
        </w:tc>
        <w:tc>
          <w:tcPr>
            <w:tcW w:w="110" w:type="dxa"/>
            <w:tcBorders/>
            <w:vAlign w:val="center"/>
          </w:tcPr>
          <w:p>
            <w:pPr>
              <w:pStyle w:val="TableContents"/>
              <w:bidi w:val="0"/>
              <w:spacing w:before="0" w:after="283"/>
              <w:jc w:val="left"/>
              <w:rPr/>
            </w:pPr>
            <w:r>
              <w:rPr/>
              <w:t> </w:t>
            </w:r>
          </w:p>
        </w:tc>
      </w:tr>
      <w:tr>
        <w:trPr/>
        <w:tc>
          <w:tcPr>
            <w:tcW w:w="70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7040" w:type="dxa"/>
            <w:tcBorders>
              <w:bottom w:val="single" w:sz="8" w:space="0" w:color="000000"/>
            </w:tcBorders>
            <w:tcMar>
              <w:bottom w:w="28" w:type="dxa"/>
            </w:tcMar>
            <w:vAlign w:val="center"/>
          </w:tcPr>
          <w:p>
            <w:pPr>
              <w:pStyle w:val="TableContents"/>
              <w:bidi w:val="0"/>
              <w:spacing w:before="0" w:after="283"/>
              <w:jc w:val="left"/>
              <w:rPr/>
            </w:pPr>
            <w:r>
              <w:rPr/>
              <w:t>NET CASH USED IN INVESTING ACTIVITIES</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tcMar>
              <w:bottom w:w="28" w:type="dxa"/>
            </w:tcMar>
            <w:vAlign w:val="center"/>
          </w:tcPr>
          <w:p>
            <w:pPr>
              <w:pStyle w:val="TableContents"/>
              <w:bidi w:val="0"/>
              <w:spacing w:before="0" w:after="283"/>
              <w:jc w:val="right"/>
              <w:rPr>
                <w:b/>
              </w:rPr>
            </w:pPr>
            <w:r>
              <w:rPr>
                <w:b/>
              </w:rPr>
              <w:t>(90,179</w:t>
            </w:r>
          </w:p>
        </w:tc>
        <w:tc>
          <w:tcPr>
            <w:tcW w:w="95" w:type="dxa"/>
            <w:tcBorders>
              <w:bottom w:val="single" w:sz="8" w:space="0" w:color="000000"/>
            </w:tcBorders>
            <w:tcMar>
              <w:bottom w:w="28" w:type="dxa"/>
            </w:tcMar>
            <w:vAlign w:val="center"/>
          </w:tcPr>
          <w:p>
            <w:pPr>
              <w:pStyle w:val="TableContents"/>
              <w:bidi w:val="0"/>
              <w:spacing w:before="0" w:after="283"/>
              <w:jc w:val="left"/>
              <w:rPr>
                <w:b/>
              </w:rPr>
            </w:pPr>
            <w:r>
              <w:rPr>
                <w:b/>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tcMar>
              <w:bottom w:w="28" w:type="dxa"/>
            </w:tcMar>
            <w:vAlign w:val="center"/>
          </w:tcPr>
          <w:p>
            <w:pPr>
              <w:pStyle w:val="TableContents"/>
              <w:bidi w:val="0"/>
              <w:spacing w:before="0" w:after="283"/>
              <w:jc w:val="right"/>
              <w:rPr/>
            </w:pPr>
            <w:r>
              <w:rPr/>
              <w:t>(88,213</w:t>
            </w:r>
          </w:p>
        </w:tc>
        <w:tc>
          <w:tcPr>
            <w:tcW w:w="95" w:type="dxa"/>
            <w:tcBorders>
              <w:bottom w:val="single" w:sz="8" w:space="0" w:color="000000"/>
            </w:tcBorders>
            <w:tcMar>
              <w:bottom w:w="28" w:type="dxa"/>
            </w:tcMar>
            <w:vAlign w:val="center"/>
          </w:tcPr>
          <w:p>
            <w:pPr>
              <w:pStyle w:val="TableContents"/>
              <w:bidi w:val="0"/>
              <w:spacing w:before="0" w:after="283"/>
              <w:jc w:val="left"/>
              <w:rPr/>
            </w:pPr>
            <w:r>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tcMar>
              <w:bottom w:w="28" w:type="dxa"/>
            </w:tcMar>
            <w:vAlign w:val="center"/>
          </w:tcPr>
          <w:p>
            <w:pPr>
              <w:pStyle w:val="TableContents"/>
              <w:bidi w:val="0"/>
              <w:spacing w:before="0" w:after="283"/>
              <w:jc w:val="right"/>
              <w:rPr/>
            </w:pPr>
            <w:r>
              <w:rPr/>
              <w:t>(79,378</w:t>
            </w:r>
          </w:p>
        </w:tc>
        <w:tc>
          <w:tcPr>
            <w:tcW w:w="110" w:type="dxa"/>
            <w:tcBorders>
              <w:bottom w:val="single" w:sz="8" w:space="0" w:color="000000"/>
            </w:tcBorders>
            <w:tcMar>
              <w:bottom w:w="28" w:type="dxa"/>
            </w:tcMar>
            <w:vAlign w:val="center"/>
          </w:tcPr>
          <w:p>
            <w:pPr>
              <w:pStyle w:val="TableContents"/>
              <w:bidi w:val="0"/>
              <w:spacing w:before="0" w:after="283"/>
              <w:jc w:val="left"/>
              <w:rPr/>
            </w:pPr>
            <w:r>
              <w:rPr/>
              <w:t>)</w:t>
            </w:r>
          </w:p>
        </w:tc>
      </w:tr>
      <w:tr>
        <w:trPr/>
        <w:tc>
          <w:tcPr>
            <w:tcW w:w="7040" w:type="dxa"/>
            <w:tcBorders/>
            <w:shd w:fill="CCEEFF" w:val="clear"/>
            <w:vAlign w:val="center"/>
          </w:tcPr>
          <w:p>
            <w:pPr>
              <w:pStyle w:val="TableContents"/>
              <w:bidi w:val="0"/>
              <w:spacing w:before="0" w:after="283"/>
              <w:jc w:val="left"/>
              <w:rPr/>
            </w:pPr>
            <w:r>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040" w:type="dxa"/>
            <w:tcBorders/>
            <w:vAlign w:val="center"/>
          </w:tcPr>
          <w:p>
            <w:pPr>
              <w:pStyle w:val="TableContents"/>
              <w:bidi w:val="0"/>
              <w:spacing w:before="0" w:after="283"/>
              <w:jc w:val="left"/>
              <w:rPr/>
            </w:pPr>
            <w:r>
              <w:rPr/>
              <w:t>Redemption of Long-term Debt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b/>
              </w:rPr>
            </w:pPr>
            <w:r>
              <w:rPr>
                <w:b/>
              </w:rPr>
              <w:t>(17,463</w:t>
            </w:r>
          </w:p>
        </w:tc>
        <w:tc>
          <w:tcPr>
            <w:tcW w:w="95" w:type="dxa"/>
            <w:tcBorders/>
            <w:vAlign w:val="center"/>
          </w:tcPr>
          <w:p>
            <w:pPr>
              <w:pStyle w:val="TableContents"/>
              <w:bidi w:val="0"/>
              <w:spacing w:before="0" w:after="283"/>
              <w:jc w:val="left"/>
              <w:rPr>
                <w:b/>
              </w:rPr>
            </w:pPr>
            <w:r>
              <w:rPr>
                <w:b/>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(7,423</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(52,691</w:t>
            </w:r>
          </w:p>
        </w:tc>
        <w:tc>
          <w:tcPr>
            <w:tcW w:w="110" w:type="dxa"/>
            <w:tcBorders/>
            <w:vAlign w:val="center"/>
          </w:tcPr>
          <w:p>
            <w:pPr>
              <w:pStyle w:val="TableContents"/>
              <w:bidi w:val="0"/>
              <w:spacing w:before="0" w:after="283"/>
              <w:jc w:val="left"/>
              <w:rPr/>
            </w:pPr>
            <w:r>
              <w:rPr/>
              <w:t>)</w:t>
            </w:r>
          </w:p>
        </w:tc>
      </w:tr>
      <w:tr>
        <w:trPr/>
        <w:tc>
          <w:tcPr>
            <w:tcW w:w="7040" w:type="dxa"/>
            <w:tcBorders/>
            <w:shd w:fill="CCEEFF" w:val="clear"/>
            <w:vAlign w:val="center"/>
          </w:tcPr>
          <w:p>
            <w:pPr>
              <w:pStyle w:val="TableContents"/>
              <w:bidi w:val="0"/>
              <w:spacing w:before="0" w:after="283"/>
              <w:jc w:val="left"/>
              <w:rPr/>
            </w:pPr>
            <w:r>
              <w:rPr/>
              <w:t>Proceeds from Issuance of Long-term Debt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b/>
              </w:rPr>
            </w:pPr>
            <w:r>
              <w:rPr>
                <w:b/>
              </w:rPr>
              <w:t>75,812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2,662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86,595</w:t>
            </w:r>
          </w:p>
        </w:tc>
        <w:tc>
          <w:tcPr>
            <w:tcW w:w="110" w:type="dxa"/>
            <w:tcBorders/>
            <w:shd w:fill="CCEEFF" w:val="clear"/>
            <w:vAlign w:val="center"/>
          </w:tcPr>
          <w:p>
            <w:pPr>
              <w:pStyle w:val="TableContents"/>
              <w:bidi w:val="0"/>
              <w:spacing w:before="0" w:after="283"/>
              <w:jc w:val="left"/>
              <w:rPr/>
            </w:pPr>
            <w:r>
              <w:rPr/>
              <w:t> </w:t>
            </w:r>
          </w:p>
        </w:tc>
      </w:tr>
      <w:tr>
        <w:trPr/>
        <w:tc>
          <w:tcPr>
            <w:tcW w:w="7040" w:type="dxa"/>
            <w:tcBorders/>
            <w:vAlign w:val="center"/>
          </w:tcPr>
          <w:p>
            <w:pPr>
              <w:pStyle w:val="TableContents"/>
              <w:bidi w:val="0"/>
              <w:spacing w:before="0" w:after="283"/>
              <w:jc w:val="left"/>
              <w:rPr/>
            </w:pPr>
            <w:r>
              <w:rPr/>
              <w:t>Net Short-term Bank Borrowings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b/>
              </w:rPr>
            </w:pPr>
            <w:r>
              <w:rPr>
                <w:b/>
              </w:rPr>
              <w:t>(12,750</w:t>
            </w:r>
          </w:p>
        </w:tc>
        <w:tc>
          <w:tcPr>
            <w:tcW w:w="95" w:type="dxa"/>
            <w:tcBorders/>
            <w:vAlign w:val="center"/>
          </w:tcPr>
          <w:p>
            <w:pPr>
              <w:pStyle w:val="TableContents"/>
              <w:bidi w:val="0"/>
              <w:spacing w:before="0" w:after="283"/>
              <w:jc w:val="left"/>
              <w:rPr>
                <w:b/>
              </w:rPr>
            </w:pPr>
            <w:r>
              <w:rPr>
                <w:b/>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42,500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11,000</w:t>
            </w:r>
          </w:p>
        </w:tc>
        <w:tc>
          <w:tcPr>
            <w:tcW w:w="110" w:type="dxa"/>
            <w:tcBorders/>
            <w:vAlign w:val="center"/>
          </w:tcPr>
          <w:p>
            <w:pPr>
              <w:pStyle w:val="TableContents"/>
              <w:bidi w:val="0"/>
              <w:spacing w:before="0" w:after="283"/>
              <w:jc w:val="left"/>
              <w:rPr/>
            </w:pPr>
            <w:r>
              <w:rPr/>
              <w:t> </w:t>
            </w:r>
          </w:p>
        </w:tc>
      </w:tr>
      <w:tr>
        <w:trPr/>
        <w:tc>
          <w:tcPr>
            <w:tcW w:w="7040" w:type="dxa"/>
            <w:tcBorders/>
            <w:shd w:fill="CCEEFF" w:val="clear"/>
            <w:vAlign w:val="center"/>
          </w:tcPr>
          <w:p>
            <w:pPr>
              <w:pStyle w:val="TableContents"/>
              <w:bidi w:val="0"/>
              <w:spacing w:before="0" w:after="283"/>
              <w:jc w:val="left"/>
              <w:rPr/>
            </w:pPr>
            <w:r>
              <w:rPr/>
              <w:t>Deferred Debt Issuance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b/>
              </w:rPr>
            </w:pPr>
            <w:r>
              <w:rPr>
                <w:b/>
              </w:rPr>
              <w:t>(131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(624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(994</w:t>
            </w:r>
          </w:p>
        </w:tc>
        <w:tc>
          <w:tcPr>
            <w:tcW w:w="110" w:type="dxa"/>
            <w:tcBorders/>
            <w:shd w:fill="CCEEFF" w:val="clear"/>
            <w:vAlign w:val="center"/>
          </w:tcPr>
          <w:p>
            <w:pPr>
              <w:pStyle w:val="TableContents"/>
              <w:bidi w:val="0"/>
              <w:spacing w:before="0" w:after="283"/>
              <w:jc w:val="left"/>
              <w:rPr/>
            </w:pPr>
            <w:r>
              <w:rPr/>
              <w:t>)</w:t>
            </w:r>
          </w:p>
        </w:tc>
      </w:tr>
      <w:tr>
        <w:trPr/>
        <w:tc>
          <w:tcPr>
            <w:tcW w:w="7040" w:type="dxa"/>
            <w:tcBorders/>
            <w:vAlign w:val="center"/>
          </w:tcPr>
          <w:p>
            <w:pPr>
              <w:pStyle w:val="TableContents"/>
              <w:bidi w:val="0"/>
              <w:spacing w:before="0" w:after="283"/>
              <w:jc w:val="left"/>
              <w:rPr/>
            </w:pPr>
            <w:r>
              <w:rPr/>
              <w:t>Common Stock Issuance Expense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b/>
              </w:rPr>
            </w:pPr>
            <w:r>
              <w:rPr>
                <w:b/>
              </w:rPr>
              <w:t>(10</w:t>
            </w:r>
          </w:p>
        </w:tc>
        <w:tc>
          <w:tcPr>
            <w:tcW w:w="95" w:type="dxa"/>
            <w:tcBorders/>
            <w:vAlign w:val="center"/>
          </w:tcPr>
          <w:p>
            <w:pPr>
              <w:pStyle w:val="TableContents"/>
              <w:bidi w:val="0"/>
              <w:spacing w:before="0" w:after="283"/>
              <w:jc w:val="left"/>
              <w:rPr>
                <w:b/>
              </w:rPr>
            </w:pPr>
            <w:r>
              <w:rPr>
                <w:b/>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(32</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0"/>
              <w:jc w:val="right"/>
              <w:rPr/>
            </w:pPr>
            <w:r>
              <w:rPr/>
              <w:t>—</w:t>
            </w:r>
          </w:p>
        </w:tc>
        <w:tc>
          <w:tcPr>
            <w:tcW w:w="110" w:type="dxa"/>
            <w:tcBorders/>
            <w:vAlign w:val="center"/>
          </w:tcPr>
          <w:p>
            <w:pPr>
              <w:pStyle w:val="TableContents"/>
              <w:bidi w:val="0"/>
              <w:spacing w:before="0" w:after="283"/>
              <w:jc w:val="left"/>
              <w:rPr/>
            </w:pPr>
            <w:r>
              <w:rPr/>
              <w:t> </w:t>
            </w:r>
          </w:p>
        </w:tc>
      </w:tr>
      <w:tr>
        <w:trPr/>
        <w:tc>
          <w:tcPr>
            <w:tcW w:w="7040" w:type="dxa"/>
            <w:tcBorders/>
            <w:shd w:fill="CCEEFF" w:val="clear"/>
            <w:vAlign w:val="center"/>
          </w:tcPr>
          <w:p>
            <w:pPr>
              <w:pStyle w:val="TableContents"/>
              <w:bidi w:val="0"/>
              <w:spacing w:before="0" w:after="283"/>
              <w:jc w:val="left"/>
              <w:rPr/>
            </w:pPr>
            <w:r>
              <w:rPr/>
              <w:t>Payment of Grantee Withholding Taxes in Exchange for Restricted Stock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b/>
              </w:rPr>
            </w:pPr>
            <w:r>
              <w:rPr>
                <w:b/>
              </w:rPr>
              <w:t>(619</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0"/>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7040" w:type="dxa"/>
            <w:tcBorders/>
            <w:vAlign w:val="center"/>
          </w:tcPr>
          <w:p>
            <w:pPr>
              <w:pStyle w:val="TableContents"/>
              <w:bidi w:val="0"/>
              <w:spacing w:before="0" w:after="283"/>
              <w:jc w:val="left"/>
              <w:rPr/>
            </w:pPr>
            <w:r>
              <w:rPr/>
              <w:t>Proceeds from Issuance of Common Stock</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b/>
              </w:rPr>
            </w:pPr>
            <w:r>
              <w:rPr>
                <w:b/>
              </w:rPr>
              <w:t>12,115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10,335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3,837</w:t>
            </w:r>
          </w:p>
        </w:tc>
        <w:tc>
          <w:tcPr>
            <w:tcW w:w="110" w:type="dxa"/>
            <w:tcBorders/>
            <w:vAlign w:val="center"/>
          </w:tcPr>
          <w:p>
            <w:pPr>
              <w:pStyle w:val="TableContents"/>
              <w:bidi w:val="0"/>
              <w:spacing w:before="0" w:after="283"/>
              <w:jc w:val="left"/>
              <w:rPr/>
            </w:pPr>
            <w:r>
              <w:rPr/>
              <w:t> </w:t>
            </w:r>
          </w:p>
        </w:tc>
      </w:tr>
      <w:tr>
        <w:trPr/>
        <w:tc>
          <w:tcPr>
            <w:tcW w:w="7040" w:type="dxa"/>
            <w:tcBorders/>
            <w:shd w:fill="CCEEFF" w:val="clear"/>
            <w:vAlign w:val="center"/>
          </w:tcPr>
          <w:p>
            <w:pPr>
              <w:pStyle w:val="TableContents"/>
              <w:bidi w:val="0"/>
              <w:spacing w:before="0" w:after="283"/>
              <w:jc w:val="left"/>
              <w:rPr/>
            </w:pPr>
            <w:r>
              <w:rPr/>
              <w:t>Payment of Common Dividends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b/>
              </w:rPr>
            </w:pPr>
            <w:r>
              <w:rPr>
                <w:b/>
              </w:rPr>
              <w:t>(22,441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(20,810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(19,373</w:t>
            </w:r>
          </w:p>
        </w:tc>
        <w:tc>
          <w:tcPr>
            <w:tcW w:w="110" w:type="dxa"/>
            <w:tcBorders/>
            <w:shd w:fill="CCEEFF" w:val="clear"/>
            <w:vAlign w:val="center"/>
          </w:tcPr>
          <w:p>
            <w:pPr>
              <w:pStyle w:val="TableContents"/>
              <w:bidi w:val="0"/>
              <w:spacing w:before="0" w:after="283"/>
              <w:jc w:val="left"/>
              <w:rPr/>
            </w:pPr>
            <w:r>
              <w:rPr/>
              <w:t>)</w:t>
            </w:r>
          </w:p>
        </w:tc>
      </w:tr>
      <w:tr>
        <w:trPr/>
        <w:tc>
          <w:tcPr>
            <w:tcW w:w="7040" w:type="dxa"/>
            <w:tcBorders/>
            <w:vAlign w:val="center"/>
          </w:tcPr>
          <w:p>
            <w:pPr>
              <w:pStyle w:val="TableContents"/>
              <w:bidi w:val="0"/>
              <w:spacing w:before="0" w:after="283"/>
              <w:jc w:val="left"/>
              <w:rPr/>
            </w:pPr>
            <w:r>
              <w:rPr/>
              <w:t>Payment of Preferred Dividends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b/>
              </w:rPr>
            </w:pPr>
            <w:r>
              <w:rPr>
                <w:b/>
              </w:rPr>
              <w:t>(120</w:t>
            </w:r>
          </w:p>
        </w:tc>
        <w:tc>
          <w:tcPr>
            <w:tcW w:w="95" w:type="dxa"/>
            <w:tcBorders/>
            <w:vAlign w:val="center"/>
          </w:tcPr>
          <w:p>
            <w:pPr>
              <w:pStyle w:val="TableContents"/>
              <w:bidi w:val="0"/>
              <w:spacing w:before="0" w:after="283"/>
              <w:jc w:val="left"/>
              <w:rPr>
                <w:b/>
              </w:rPr>
            </w:pPr>
            <w:r>
              <w:rPr>
                <w:b/>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(120</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(120</w:t>
            </w:r>
          </w:p>
        </w:tc>
        <w:tc>
          <w:tcPr>
            <w:tcW w:w="110" w:type="dxa"/>
            <w:tcBorders/>
            <w:vAlign w:val="center"/>
          </w:tcPr>
          <w:p>
            <w:pPr>
              <w:pStyle w:val="TableContents"/>
              <w:bidi w:val="0"/>
              <w:spacing w:before="0" w:after="283"/>
              <w:jc w:val="left"/>
              <w:rPr/>
            </w:pPr>
            <w:r>
              <w:rPr/>
              <w:t>)</w:t>
            </w:r>
          </w:p>
        </w:tc>
      </w:tr>
      <w:tr>
        <w:trPr/>
        <w:tc>
          <w:tcPr>
            <w:tcW w:w="7040" w:type="dxa"/>
            <w:tcBorders/>
            <w:shd w:fill="CCEEFF" w:val="clear"/>
            <w:vAlign w:val="center"/>
          </w:tcPr>
          <w:p>
            <w:pPr>
              <w:pStyle w:val="TableContents"/>
              <w:bidi w:val="0"/>
              <w:spacing w:before="0" w:after="283"/>
              <w:jc w:val="left"/>
              <w:rPr/>
            </w:pPr>
            <w:r>
              <w:rPr/>
              <w:t>Construction Advances and Contributions-Net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b/>
              </w:rPr>
            </w:pPr>
            <w:r>
              <w:rPr>
                <w:b/>
              </w:rPr>
              <w:t>1,566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11,225</w:t>
            </w:r>
          </w:p>
        </w:tc>
        <w:tc>
          <w:tcPr>
            <w:tcW w:w="110" w:type="dxa"/>
            <w:tcBorders/>
            <w:shd w:fill="CCEEFF" w:val="clear"/>
            <w:vAlign w:val="center"/>
          </w:tcPr>
          <w:p>
            <w:pPr>
              <w:pStyle w:val="TableContents"/>
              <w:bidi w:val="0"/>
              <w:spacing w:before="0" w:after="283"/>
              <w:jc w:val="left"/>
              <w:rPr/>
            </w:pPr>
            <w:r>
              <w:rPr/>
              <w:t> </w:t>
            </w:r>
          </w:p>
        </w:tc>
      </w:tr>
      <w:tr>
        <w:trPr/>
        <w:tc>
          <w:tcPr>
            <w:tcW w:w="704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tcMar>
              <w:bottom w:w="28" w:type="dxa"/>
            </w:tcMar>
            <w:vAlign w:val="center"/>
          </w:tcPr>
          <w:p>
            <w:pPr>
              <w:pStyle w:val="TableContents"/>
              <w:bidi w:val="0"/>
              <w:spacing w:before="0" w:after="283"/>
              <w:jc w:val="right"/>
              <w:rPr/>
            </w:pPr>
            <w:r>
              <w:rPr/>
              <w:t> </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tcMar>
              <w:bottom w:w="28" w:type="dxa"/>
            </w:tcMar>
            <w:vAlign w:val="center"/>
          </w:tcPr>
          <w:p>
            <w:pPr>
              <w:pStyle w:val="TableContents"/>
              <w:bidi w:val="0"/>
              <w:spacing w:before="0" w:after="283"/>
              <w:jc w:val="right"/>
              <w:rPr/>
            </w:pPr>
            <w:r>
              <w:rPr/>
              <w:t> </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tcMar>
              <w:bottom w:w="28" w:type="dxa"/>
            </w:tcMar>
            <w:vAlign w:val="center"/>
          </w:tcPr>
          <w:p>
            <w:pPr>
              <w:pStyle w:val="TableContents"/>
              <w:bidi w:val="0"/>
              <w:spacing w:before="0" w:after="283"/>
              <w:jc w:val="right"/>
              <w:rPr/>
            </w:pPr>
            <w:r>
              <w:rPr/>
              <w:t> </w:t>
            </w:r>
          </w:p>
        </w:tc>
        <w:tc>
          <w:tcPr>
            <w:tcW w:w="11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040" w:type="dxa"/>
            <w:tcBorders>
              <w:bottom w:val="single" w:sz="8" w:space="0" w:color="000000"/>
            </w:tcBorders>
            <w:shd w:fill="CCEEFF" w:val="clear"/>
            <w:tcMar>
              <w:bottom w:w="28" w:type="dxa"/>
            </w:tcMar>
            <w:vAlign w:val="center"/>
          </w:tcPr>
          <w:p>
            <w:pPr>
              <w:pStyle w:val="TableContents"/>
              <w:bidi w:val="0"/>
              <w:spacing w:before="0" w:after="283"/>
              <w:jc w:val="left"/>
              <w:rPr/>
            </w:pPr>
            <w:r>
              <w:rPr/>
              <w:t>NET CASH PROVIDED BY FINANCING ACTIVITIES</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35,959</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27,147</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39,479</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7040" w:type="dxa"/>
            <w:tcBorders>
              <w:bottom w:val="single" w:sz="8" w:space="0" w:color="000000"/>
            </w:tcBorders>
            <w:tcMar>
              <w:bottom w:w="28" w:type="dxa"/>
            </w:tcMar>
            <w:vAlign w:val="center"/>
          </w:tcPr>
          <w:p>
            <w:pPr>
              <w:pStyle w:val="TableContents"/>
              <w:bidi w:val="0"/>
              <w:spacing w:before="0" w:after="283"/>
              <w:jc w:val="left"/>
              <w:rPr/>
            </w:pPr>
            <w:r>
              <w:rPr/>
              <w:t>NET CHANGES IN CASH, CASH EQUIVALENTS AND RESTRICTED CASH</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tcMar>
              <w:bottom w:w="28" w:type="dxa"/>
            </w:tcMar>
            <w:vAlign w:val="center"/>
          </w:tcPr>
          <w:p>
            <w:pPr>
              <w:pStyle w:val="TableContents"/>
              <w:bidi w:val="0"/>
              <w:spacing w:before="0" w:after="283"/>
              <w:jc w:val="right"/>
              <w:rPr>
                <w:b/>
              </w:rPr>
            </w:pPr>
            <w:r>
              <w:rPr>
                <w:b/>
              </w:rPr>
              <w:t>(1,438</w:t>
            </w:r>
          </w:p>
        </w:tc>
        <w:tc>
          <w:tcPr>
            <w:tcW w:w="95" w:type="dxa"/>
            <w:tcBorders>
              <w:bottom w:val="single" w:sz="8" w:space="0" w:color="000000"/>
            </w:tcBorders>
            <w:tcMar>
              <w:bottom w:w="28" w:type="dxa"/>
            </w:tcMar>
            <w:vAlign w:val="center"/>
          </w:tcPr>
          <w:p>
            <w:pPr>
              <w:pStyle w:val="TableContents"/>
              <w:bidi w:val="0"/>
              <w:spacing w:before="0" w:after="283"/>
              <w:jc w:val="left"/>
              <w:rPr>
                <w:b/>
              </w:rPr>
            </w:pPr>
            <w:r>
              <w:rPr>
                <w:b/>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tcMar>
              <w:bottom w:w="28" w:type="dxa"/>
            </w:tcMar>
            <w:vAlign w:val="center"/>
          </w:tcPr>
          <w:p>
            <w:pPr>
              <w:pStyle w:val="TableContents"/>
              <w:bidi w:val="0"/>
              <w:spacing w:before="0" w:after="283"/>
              <w:jc w:val="right"/>
              <w:rPr/>
            </w:pPr>
            <w:r>
              <w:rPr/>
              <w:t>295</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tcMar>
              <w:bottom w:w="28" w:type="dxa"/>
            </w:tcMar>
            <w:vAlign w:val="center"/>
          </w:tcPr>
          <w:p>
            <w:pPr>
              <w:pStyle w:val="TableContents"/>
              <w:bidi w:val="0"/>
              <w:spacing w:before="0" w:after="283"/>
              <w:jc w:val="right"/>
              <w:rPr/>
            </w:pPr>
            <w:r>
              <w:rPr/>
              <w:t>(6,871</w:t>
            </w:r>
          </w:p>
        </w:tc>
        <w:tc>
          <w:tcPr>
            <w:tcW w:w="110" w:type="dxa"/>
            <w:tcBorders>
              <w:bottom w:val="single" w:sz="8" w:space="0" w:color="000000"/>
            </w:tcBorders>
            <w:tcMar>
              <w:bottom w:w="28" w:type="dxa"/>
            </w:tcMar>
            <w:vAlign w:val="center"/>
          </w:tcPr>
          <w:p>
            <w:pPr>
              <w:pStyle w:val="TableContents"/>
              <w:bidi w:val="0"/>
              <w:spacing w:before="0" w:after="283"/>
              <w:jc w:val="left"/>
              <w:rPr/>
            </w:pPr>
            <w:r>
              <w:rPr/>
              <w:t>)</w:t>
            </w:r>
          </w:p>
        </w:tc>
      </w:tr>
      <w:tr>
        <w:trPr/>
        <w:tc>
          <w:tcPr>
            <w:tcW w:w="7040" w:type="dxa"/>
            <w:tcBorders>
              <w:bottom w:val="single" w:sz="8" w:space="0" w:color="000000"/>
            </w:tcBorders>
            <w:shd w:fill="CCEEFF" w:val="clear"/>
            <w:tcMar>
              <w:bottom w:w="28" w:type="dxa"/>
            </w:tcMar>
            <w:vAlign w:val="center"/>
          </w:tcPr>
          <w:p>
            <w:pPr>
              <w:pStyle w:val="TableContents"/>
              <w:bidi w:val="0"/>
              <w:spacing w:before="0" w:after="283"/>
              <w:jc w:val="left"/>
              <w:rPr/>
            </w:pPr>
            <w:r>
              <w:rPr/>
              <w:t>CASH, CASH EQUIVALENTS AND RESTRICTED CASH AT BEGINNING OF PERIOD</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3,828</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3,533</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10,404</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7040" w:type="dxa"/>
            <w:tcBorders>
              <w:bottom w:val="single" w:sz="8" w:space="0" w:color="000000"/>
            </w:tcBorders>
            <w:tcMar>
              <w:bottom w:w="28" w:type="dxa"/>
            </w:tcMar>
            <w:vAlign w:val="center"/>
          </w:tcPr>
          <w:p>
            <w:pPr>
              <w:pStyle w:val="TableContents"/>
              <w:bidi w:val="0"/>
              <w:spacing w:before="0" w:after="283"/>
              <w:jc w:val="left"/>
              <w:rPr/>
            </w:pPr>
            <w:r>
              <w:rPr/>
              <w:t>CASH, CASH EQUIVALENTS AND RESTRICTED CASH AT END OF PERIOD</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b/>
              </w:rPr>
            </w:pPr>
            <w:r>
              <w:rPr>
                <w:b/>
              </w:rPr>
              <w:t>$</w:t>
            </w:r>
          </w:p>
        </w:tc>
        <w:tc>
          <w:tcPr>
            <w:tcW w:w="755" w:type="dxa"/>
            <w:tcBorders>
              <w:bottom w:val="single" w:sz="8" w:space="0" w:color="000000"/>
            </w:tcBorders>
            <w:tcMar>
              <w:bottom w:w="28" w:type="dxa"/>
            </w:tcMar>
            <w:vAlign w:val="center"/>
          </w:tcPr>
          <w:p>
            <w:pPr>
              <w:pStyle w:val="TableContents"/>
              <w:bidi w:val="0"/>
              <w:spacing w:before="0" w:after="283"/>
              <w:jc w:val="right"/>
              <w:rPr>
                <w:b/>
              </w:rPr>
            </w:pPr>
            <w:r>
              <w:rPr>
                <w:b/>
              </w:rPr>
              <w:t>2,390</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w:t>
            </w:r>
          </w:p>
        </w:tc>
        <w:tc>
          <w:tcPr>
            <w:tcW w:w="755" w:type="dxa"/>
            <w:tcBorders>
              <w:bottom w:val="single" w:sz="8" w:space="0" w:color="000000"/>
            </w:tcBorders>
            <w:tcMar>
              <w:bottom w:w="28" w:type="dxa"/>
            </w:tcMar>
            <w:vAlign w:val="center"/>
          </w:tcPr>
          <w:p>
            <w:pPr>
              <w:pStyle w:val="TableContents"/>
              <w:bidi w:val="0"/>
              <w:spacing w:before="0" w:after="283"/>
              <w:jc w:val="right"/>
              <w:rPr/>
            </w:pPr>
            <w:r>
              <w:rPr/>
              <w:t>3,828</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w:t>
            </w:r>
          </w:p>
        </w:tc>
        <w:tc>
          <w:tcPr>
            <w:tcW w:w="755" w:type="dxa"/>
            <w:tcBorders>
              <w:bottom w:val="single" w:sz="8" w:space="0" w:color="000000"/>
            </w:tcBorders>
            <w:tcMar>
              <w:bottom w:w="28" w:type="dxa"/>
            </w:tcMar>
            <w:vAlign w:val="center"/>
          </w:tcPr>
          <w:p>
            <w:pPr>
              <w:pStyle w:val="TableContents"/>
              <w:bidi w:val="0"/>
              <w:spacing w:before="0" w:after="283"/>
              <w:jc w:val="right"/>
              <w:rPr/>
            </w:pPr>
            <w:r>
              <w:rPr/>
              <w:t>3,533</w:t>
            </w:r>
          </w:p>
        </w:tc>
        <w:tc>
          <w:tcPr>
            <w:tcW w:w="11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0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7040" w:type="dxa"/>
            <w:tcBorders/>
            <w:shd w:fill="CCEEFF" w:val="clear"/>
            <w:vAlign w:val="center"/>
          </w:tcPr>
          <w:p>
            <w:pPr>
              <w:pStyle w:val="TableContents"/>
              <w:bidi w:val="0"/>
              <w:spacing w:before="0" w:after="283"/>
              <w:jc w:val="left"/>
              <w:rPr/>
            </w:pPr>
            <w:r>
              <w:rPr/>
              <w:t>SUPPLEMENTAL DISCLOSURE OF NON-CASH ACTIVITY: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040" w:type="dxa"/>
            <w:tcBorders/>
            <w:vAlign w:val="center"/>
          </w:tcPr>
          <w:p>
            <w:pPr>
              <w:pStyle w:val="TableContents"/>
              <w:bidi w:val="0"/>
              <w:spacing w:before="0" w:after="283"/>
              <w:jc w:val="left"/>
              <w:rPr/>
            </w:pPr>
            <w:r>
              <w:rPr/>
              <w:t>Utility Plant received as Construction Advances and Contributions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b/>
              </w:rPr>
            </w:pPr>
            <w:r>
              <w:rPr>
                <w:b/>
              </w:rPr>
              <w:t>$</w:t>
            </w:r>
          </w:p>
        </w:tc>
        <w:tc>
          <w:tcPr>
            <w:tcW w:w="755" w:type="dxa"/>
            <w:tcBorders/>
            <w:vAlign w:val="center"/>
          </w:tcPr>
          <w:p>
            <w:pPr>
              <w:pStyle w:val="TableContents"/>
              <w:bidi w:val="0"/>
              <w:spacing w:before="0" w:after="283"/>
              <w:jc w:val="right"/>
              <w:rPr>
                <w:b/>
              </w:rPr>
            </w:pPr>
            <w:r>
              <w:rPr>
                <w:b/>
              </w:rPr>
              <w:t>7,259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6,252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4,750</w:t>
            </w:r>
          </w:p>
        </w:tc>
        <w:tc>
          <w:tcPr>
            <w:tcW w:w="110" w:type="dxa"/>
            <w:tcBorders/>
            <w:vAlign w:val="center"/>
          </w:tcPr>
          <w:p>
            <w:pPr>
              <w:pStyle w:val="TableContents"/>
              <w:bidi w:val="0"/>
              <w:spacing w:before="0" w:after="283"/>
              <w:jc w:val="left"/>
              <w:rPr/>
            </w:pPr>
            <w:r>
              <w:rPr/>
              <w:t> </w:t>
            </w:r>
          </w:p>
        </w:tc>
      </w:tr>
      <w:tr>
        <w:trPr/>
        <w:tc>
          <w:tcPr>
            <w:tcW w:w="7040" w:type="dxa"/>
            <w:tcBorders/>
            <w:shd w:fill="CCEEFF" w:val="clear"/>
            <w:vAlign w:val="center"/>
          </w:tcPr>
          <w:p>
            <w:pPr>
              <w:pStyle w:val="TableContents"/>
              <w:bidi w:val="0"/>
              <w:spacing w:before="0" w:after="283"/>
              <w:jc w:val="left"/>
              <w:rPr/>
            </w:pPr>
            <w:r>
              <w:rPr/>
              <w:t>Long-term Debt Deobligation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755"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64</w:t>
            </w:r>
          </w:p>
        </w:tc>
        <w:tc>
          <w:tcPr>
            <w:tcW w:w="110" w:type="dxa"/>
            <w:tcBorders/>
            <w:shd w:fill="CCEEFF" w:val="clear"/>
            <w:vAlign w:val="center"/>
          </w:tcPr>
          <w:p>
            <w:pPr>
              <w:pStyle w:val="TableContents"/>
              <w:bidi w:val="0"/>
              <w:spacing w:before="0" w:after="283"/>
              <w:jc w:val="left"/>
              <w:rPr/>
            </w:pPr>
            <w:r>
              <w:rPr/>
              <w:t> </w:t>
            </w:r>
          </w:p>
        </w:tc>
      </w:tr>
      <w:tr>
        <w:trPr/>
        <w:tc>
          <w:tcPr>
            <w:tcW w:w="7040" w:type="dxa"/>
            <w:tcBorders/>
            <w:vAlign w:val="center"/>
          </w:tcPr>
          <w:p>
            <w:pPr>
              <w:pStyle w:val="TableContents"/>
              <w:bidi w:val="0"/>
              <w:spacing w:before="0" w:after="283"/>
              <w:jc w:val="left"/>
              <w:rPr/>
            </w:pPr>
            <w:r>
              <w:rPr/>
              <w:t>Non-Cash Consideration for Sale of Subsidiary</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b/>
              </w:rPr>
            </w:pPr>
            <w:r>
              <w:rPr>
                <w:b/>
              </w:rPr>
              <w:t>$</w:t>
            </w:r>
          </w:p>
        </w:tc>
        <w:tc>
          <w:tcPr>
            <w:tcW w:w="755"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2,100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0"/>
              <w:jc w:val="right"/>
              <w:rPr/>
            </w:pPr>
            <w:r>
              <w:rPr/>
              <w:t>—</w:t>
            </w:r>
          </w:p>
        </w:tc>
        <w:tc>
          <w:tcPr>
            <w:tcW w:w="110" w:type="dxa"/>
            <w:tcBorders/>
            <w:vAlign w:val="center"/>
          </w:tcPr>
          <w:p>
            <w:pPr>
              <w:pStyle w:val="TableContents"/>
              <w:bidi w:val="0"/>
              <w:spacing w:before="0" w:after="283"/>
              <w:jc w:val="left"/>
              <w:rPr/>
            </w:pPr>
            <w:r>
              <w:rPr/>
              <w:t> </w:t>
            </w:r>
          </w:p>
        </w:tc>
      </w:tr>
      <w:tr>
        <w:trPr/>
        <w:tc>
          <w:tcPr>
            <w:tcW w:w="7040" w:type="dxa"/>
            <w:tcBorders/>
            <w:shd w:fill="CCEEFF" w:val="clear"/>
            <w:vAlign w:val="center"/>
          </w:tcPr>
          <w:p>
            <w:pPr>
              <w:pStyle w:val="TableContents"/>
              <w:bidi w:val="0"/>
              <w:spacing w:before="0" w:after="283"/>
              <w:jc w:val="left"/>
              <w:rPr/>
            </w:pPr>
            <w:r>
              <w:rPr/>
              <w:t>Litigation Settlement Receivable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755" w:type="dxa"/>
            <w:tcBorders/>
            <w:shd w:fill="CCEEFF" w:val="clear"/>
            <w:vAlign w:val="center"/>
          </w:tcPr>
          <w:p>
            <w:pPr>
              <w:pStyle w:val="TableContents"/>
              <w:bidi w:val="0"/>
              <w:spacing w:before="0" w:after="283"/>
              <w:jc w:val="right"/>
              <w:rPr>
                <w:b/>
              </w:rPr>
            </w:pPr>
            <w:r>
              <w:rPr>
                <w:b/>
              </w:rPr>
              <w:t>69,872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0"/>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7040" w:type="dxa"/>
            <w:tcBorders/>
            <w:vAlign w:val="center"/>
          </w:tcPr>
          <w:p>
            <w:pPr>
              <w:pStyle w:val="TableContents"/>
              <w:bidi w:val="0"/>
              <w:spacing w:before="0" w:after="283"/>
              <w:jc w:val="left"/>
              <w:rPr/>
            </w:pPr>
            <w:r>
              <w:rPr/>
              <w:t>Litigation Settlement Payable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b/>
              </w:rPr>
            </w:pPr>
            <w:r>
              <w:rPr>
                <w:b/>
              </w:rPr>
              <w:t>$</w:t>
            </w:r>
          </w:p>
        </w:tc>
        <w:tc>
          <w:tcPr>
            <w:tcW w:w="755" w:type="dxa"/>
            <w:tcBorders/>
            <w:vAlign w:val="center"/>
          </w:tcPr>
          <w:p>
            <w:pPr>
              <w:pStyle w:val="TableContents"/>
              <w:bidi w:val="0"/>
              <w:spacing w:before="0" w:after="283"/>
              <w:jc w:val="right"/>
              <w:rPr>
                <w:b/>
              </w:rPr>
            </w:pPr>
            <w:r>
              <w:rPr>
                <w:b/>
              </w:rPr>
              <w:t>6,237</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0"/>
              <w:jc w:val="right"/>
              <w:rPr/>
            </w:pPr>
            <w:r>
              <w:rPr/>
              <w:t>—</w:t>
            </w:r>
          </w:p>
        </w:tc>
        <w:tc>
          <w:tcPr>
            <w:tcW w:w="110" w:type="dxa"/>
            <w:tcBorders/>
            <w:vAlign w:val="center"/>
          </w:tcPr>
          <w:p>
            <w:pPr>
              <w:pStyle w:val="TableContents"/>
              <w:bidi w:val="0"/>
              <w:spacing w:before="0" w:after="283"/>
              <w:jc w:val="left"/>
              <w:rPr/>
            </w:pPr>
            <w:r>
              <w:rPr/>
              <w:t> </w:t>
            </w:r>
          </w:p>
        </w:tc>
      </w:tr>
      <w:tr>
        <w:trPr/>
        <w:tc>
          <w:tcPr>
            <w:tcW w:w="70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040" w:type="dxa"/>
            <w:tcBorders/>
            <w:vAlign w:val="center"/>
          </w:tcPr>
          <w:p>
            <w:pPr>
              <w:pStyle w:val="TableContents"/>
              <w:bidi w:val="0"/>
              <w:spacing w:before="0" w:after="283"/>
              <w:jc w:val="left"/>
              <w:rPr/>
            </w:pPr>
            <w:r>
              <w:rPr/>
              <w:t>SUPPLEMENTAL DISCLOSURE OF CASH FLOWS INFORMATION:</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7040" w:type="dxa"/>
            <w:tcBorders/>
            <w:shd w:fill="CCEEFF" w:val="clear"/>
            <w:vAlign w:val="center"/>
          </w:tcPr>
          <w:p>
            <w:pPr>
              <w:pStyle w:val="TableContents"/>
              <w:bidi w:val="0"/>
              <w:spacing w:before="0" w:after="283"/>
              <w:jc w:val="left"/>
              <w:rPr/>
            </w:pPr>
            <w:r>
              <w:rPr/>
              <w:t>Cash Paid During the Year for: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040" w:type="dxa"/>
            <w:tcBorders/>
            <w:vAlign w:val="center"/>
          </w:tcPr>
          <w:p>
            <w:pPr>
              <w:pStyle w:val="TableContents"/>
              <w:bidi w:val="0"/>
              <w:spacing w:before="0" w:after="283"/>
              <w:jc w:val="left"/>
              <w:rPr/>
            </w:pPr>
            <w:r>
              <w:rPr/>
              <w:t>Interest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b/>
              </w:rPr>
            </w:pPr>
            <w:r>
              <w:rPr>
                <w:b/>
              </w:rPr>
              <w:t>$</w:t>
            </w:r>
          </w:p>
        </w:tc>
        <w:tc>
          <w:tcPr>
            <w:tcW w:w="755" w:type="dxa"/>
            <w:tcBorders/>
            <w:vAlign w:val="center"/>
          </w:tcPr>
          <w:p>
            <w:pPr>
              <w:pStyle w:val="TableContents"/>
              <w:bidi w:val="0"/>
              <w:spacing w:before="0" w:after="283"/>
              <w:jc w:val="right"/>
              <w:rPr>
                <w:b/>
              </w:rPr>
            </w:pPr>
            <w:r>
              <w:rPr>
                <w:b/>
              </w:rPr>
              <w:t>12,762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9,251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8,546</w:t>
            </w:r>
          </w:p>
        </w:tc>
        <w:tc>
          <w:tcPr>
            <w:tcW w:w="110" w:type="dxa"/>
            <w:tcBorders/>
            <w:vAlign w:val="center"/>
          </w:tcPr>
          <w:p>
            <w:pPr>
              <w:pStyle w:val="TableContents"/>
              <w:bidi w:val="0"/>
              <w:spacing w:before="0" w:after="283"/>
              <w:jc w:val="left"/>
              <w:rPr/>
            </w:pPr>
            <w:r>
              <w:rPr/>
              <w:t> </w:t>
            </w:r>
          </w:p>
        </w:tc>
      </w:tr>
      <w:tr>
        <w:trPr/>
        <w:tc>
          <w:tcPr>
            <w:tcW w:w="7040" w:type="dxa"/>
            <w:tcBorders/>
            <w:shd w:fill="CCEEFF" w:val="clear"/>
            <w:vAlign w:val="center"/>
          </w:tcPr>
          <w:p>
            <w:pPr>
              <w:pStyle w:val="TableContents"/>
              <w:bidi w:val="0"/>
              <w:spacing w:before="0" w:after="283"/>
              <w:jc w:val="left"/>
              <w:rPr/>
            </w:pPr>
            <w:r>
              <w:rPr/>
              <w:t>Interest Capitalized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755" w:type="dxa"/>
            <w:tcBorders/>
            <w:shd w:fill="CCEEFF" w:val="clear"/>
            <w:vAlign w:val="center"/>
          </w:tcPr>
          <w:p>
            <w:pPr>
              <w:pStyle w:val="TableContents"/>
              <w:bidi w:val="0"/>
              <w:spacing w:before="0" w:after="283"/>
              <w:jc w:val="right"/>
              <w:rPr>
                <w:b/>
              </w:rPr>
            </w:pPr>
            <w:r>
              <w:rPr>
                <w:b/>
              </w:rPr>
              <w:t>975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927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1,148</w:t>
            </w:r>
          </w:p>
        </w:tc>
        <w:tc>
          <w:tcPr>
            <w:tcW w:w="110" w:type="dxa"/>
            <w:tcBorders/>
            <w:shd w:fill="CCEEFF" w:val="clear"/>
            <w:vAlign w:val="center"/>
          </w:tcPr>
          <w:p>
            <w:pPr>
              <w:pStyle w:val="TableContents"/>
              <w:bidi w:val="0"/>
              <w:spacing w:before="0" w:after="283"/>
              <w:jc w:val="left"/>
              <w:rPr/>
            </w:pPr>
            <w:r>
              <w:rPr/>
              <w:t> </w:t>
            </w:r>
          </w:p>
        </w:tc>
      </w:tr>
      <w:tr>
        <w:trPr/>
        <w:tc>
          <w:tcPr>
            <w:tcW w:w="7040" w:type="dxa"/>
            <w:tcBorders>
              <w:bottom w:val="single" w:sz="8" w:space="0" w:color="000000"/>
            </w:tcBorders>
            <w:tcMar>
              <w:bottom w:w="28" w:type="dxa"/>
            </w:tcMar>
            <w:vAlign w:val="center"/>
          </w:tcPr>
          <w:p>
            <w:pPr>
              <w:pStyle w:val="TableContents"/>
              <w:bidi w:val="0"/>
              <w:spacing w:before="0" w:after="283"/>
              <w:jc w:val="left"/>
              <w:rPr/>
            </w:pPr>
            <w:r>
              <w:rPr/>
              <w:t>Income Taxes</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b/>
              </w:rPr>
            </w:pPr>
            <w:r>
              <w:rPr>
                <w:b/>
              </w:rPr>
              <w:t>$</w:t>
            </w:r>
          </w:p>
        </w:tc>
        <w:tc>
          <w:tcPr>
            <w:tcW w:w="755" w:type="dxa"/>
            <w:tcBorders>
              <w:bottom w:val="single" w:sz="8" w:space="0" w:color="000000"/>
            </w:tcBorders>
            <w:tcMar>
              <w:bottom w:w="28" w:type="dxa"/>
            </w:tcMar>
            <w:vAlign w:val="center"/>
          </w:tcPr>
          <w:p>
            <w:pPr>
              <w:pStyle w:val="TableContents"/>
              <w:bidi w:val="0"/>
              <w:spacing w:before="0" w:after="283"/>
              <w:jc w:val="right"/>
              <w:rPr>
                <w:b/>
              </w:rPr>
            </w:pPr>
            <w:r>
              <w:rPr>
                <w:b/>
              </w:rPr>
              <w:t>2,962</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w:t>
            </w:r>
          </w:p>
        </w:tc>
        <w:tc>
          <w:tcPr>
            <w:tcW w:w="755" w:type="dxa"/>
            <w:tcBorders>
              <w:bottom w:val="single" w:sz="8" w:space="0" w:color="000000"/>
            </w:tcBorders>
            <w:tcMar>
              <w:bottom w:w="28" w:type="dxa"/>
            </w:tcMar>
            <w:vAlign w:val="center"/>
          </w:tcPr>
          <w:p>
            <w:pPr>
              <w:pStyle w:val="TableContents"/>
              <w:bidi w:val="0"/>
              <w:spacing w:before="0" w:after="283"/>
              <w:jc w:val="right"/>
              <w:rPr/>
            </w:pPr>
            <w:r>
              <w:rPr/>
              <w:t>3,230</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w:t>
            </w:r>
          </w:p>
        </w:tc>
        <w:tc>
          <w:tcPr>
            <w:tcW w:w="755" w:type="dxa"/>
            <w:tcBorders>
              <w:bottom w:val="single" w:sz="8" w:space="0" w:color="000000"/>
            </w:tcBorders>
            <w:tcMar>
              <w:bottom w:w="28" w:type="dxa"/>
            </w:tcMar>
            <w:vAlign w:val="center"/>
          </w:tcPr>
          <w:p>
            <w:pPr>
              <w:pStyle w:val="TableContents"/>
              <w:bidi w:val="0"/>
              <w:spacing w:before="0" w:after="283"/>
              <w:jc w:val="right"/>
              <w:rPr/>
            </w:pPr>
            <w:r>
              <w:rPr/>
              <w:t>3,335</w:t>
            </w:r>
          </w:p>
        </w:tc>
        <w:tc>
          <w:tcPr>
            <w:tcW w:w="110"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See Notes to Consolidated Financial Statements.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MIDDLESEX WATER COMPANY</w:t>
      </w:r>
    </w:p>
    <w:p>
      <w:pPr>
        <w:pStyle w:val="TextBody"/>
        <w:bidi w:val="0"/>
        <w:spacing w:before="0" w:after="0"/>
        <w:jc w:val="center"/>
        <w:rPr>
          <w:caps w:val="false"/>
          <w:smallCaps w:val="false"/>
        </w:rPr>
      </w:pPr>
      <w:r>
        <w:rPr>
          <w:caps w:val="false"/>
          <w:smallCaps w:val="false"/>
        </w:rPr>
        <w:t> </w:t>
      </w:r>
      <w:r>
        <w:rPr>
          <w:rFonts w:ascii="Times New Roman;Times;Serif" w:hAnsi="Times New Roman;Times;Serif"/>
          <w:b/>
          <w:i w:val="false"/>
          <w:caps w:val="false"/>
          <w:smallCaps w:val="false"/>
          <w:sz w:val="20"/>
        </w:rPr>
        <w:t>CONSOLIDATED STATEMENTS OF CAPITAL STOCK AND LONG-TERM DEBT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jc w:val="left"/>
        <w:rPr>
          <w:caps w:val="false"/>
          <w:smallCaps w:val="false"/>
        </w:rPr>
      </w:pPr>
      <w:r>
        <w:rPr>
          <w:caps w:val="false"/>
          <w:smallCaps w:val="false"/>
        </w:rPr>
        <w:t> </w:t>
      </w:r>
    </w:p>
    <w:tbl>
      <w:tblPr>
        <w:tblW w:w="8668" w:type="dxa"/>
        <w:jc w:val="left"/>
        <w:tblInd w:w="0" w:type="dxa"/>
        <w:tblLayout w:type="fixed"/>
        <w:tblCellMar>
          <w:top w:w="0" w:type="dxa"/>
          <w:left w:w="0" w:type="dxa"/>
          <w:bottom w:w="0" w:type="dxa"/>
          <w:right w:w="0" w:type="dxa"/>
        </w:tblCellMar>
      </w:tblPr>
      <w:tblGrid>
        <w:gridCol w:w="5705"/>
        <w:gridCol w:w="60"/>
        <w:gridCol w:w="190"/>
        <w:gridCol w:w="1093"/>
        <w:gridCol w:w="131"/>
        <w:gridCol w:w="60"/>
        <w:gridCol w:w="189"/>
        <w:gridCol w:w="1089"/>
        <w:gridCol w:w="151"/>
      </w:tblGrid>
      <w:tr>
        <w:trPr/>
        <w:tc>
          <w:tcPr>
            <w:tcW w:w="57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4" w:type="dxa"/>
            <w:gridSpan w:val="3"/>
            <w:tcBorders/>
            <w:vAlign w:val="center"/>
          </w:tcPr>
          <w:p>
            <w:pPr>
              <w:pStyle w:val="TableContents"/>
              <w:bidi w:val="0"/>
              <w:spacing w:before="0" w:after="283"/>
              <w:jc w:val="center"/>
              <w:rPr>
                <w:b/>
              </w:rPr>
            </w:pPr>
            <w:r>
              <w:rPr>
                <w:b/>
              </w:rPr>
              <w:t>December 31,</w:t>
            </w:r>
          </w:p>
        </w:tc>
        <w:tc>
          <w:tcPr>
            <w:tcW w:w="60" w:type="dxa"/>
            <w:tcBorders/>
            <w:vAlign w:val="center"/>
          </w:tcPr>
          <w:p>
            <w:pPr>
              <w:pStyle w:val="TableContents"/>
              <w:bidi w:val="0"/>
              <w:spacing w:before="0" w:after="283"/>
              <w:jc w:val="left"/>
              <w:rPr/>
            </w:pPr>
            <w:r>
              <w:rPr/>
              <w:t> </w:t>
            </w:r>
          </w:p>
        </w:tc>
        <w:tc>
          <w:tcPr>
            <w:tcW w:w="1429" w:type="dxa"/>
            <w:gridSpan w:val="3"/>
            <w:tcBorders/>
            <w:vAlign w:val="center"/>
          </w:tcPr>
          <w:p>
            <w:pPr>
              <w:pStyle w:val="TableContents"/>
              <w:bidi w:val="0"/>
              <w:spacing w:before="0" w:after="283"/>
              <w:jc w:val="center"/>
              <w:rPr>
                <w:b/>
              </w:rPr>
            </w:pPr>
            <w:r>
              <w:rPr>
                <w:b/>
              </w:rPr>
              <w:t>December 31,</w:t>
            </w:r>
          </w:p>
        </w:tc>
      </w:tr>
      <w:tr>
        <w:trPr/>
        <w:tc>
          <w:tcPr>
            <w:tcW w:w="5705" w:type="dxa"/>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14"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29"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2022</w:t>
            </w:r>
          </w:p>
        </w:tc>
      </w:tr>
      <w:tr>
        <w:trPr/>
        <w:tc>
          <w:tcPr>
            <w:tcW w:w="5705" w:type="dxa"/>
            <w:tcBorders/>
            <w:shd w:fill="CCEEFF" w:val="clear"/>
            <w:vAlign w:val="center"/>
          </w:tcPr>
          <w:p>
            <w:pPr>
              <w:pStyle w:val="TableContents"/>
              <w:bidi w:val="0"/>
              <w:spacing w:before="0" w:after="283"/>
              <w:jc w:val="left"/>
              <w:rPr/>
            </w:pPr>
            <w:r>
              <w:rPr/>
              <w:t>Common Stock, No Par Value</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093" w:type="dxa"/>
            <w:tcBorders/>
            <w:shd w:fill="CCEEFF" w:val="clear"/>
            <w:vAlign w:val="center"/>
          </w:tcPr>
          <w:p>
            <w:pPr>
              <w:pStyle w:val="TableContents"/>
              <w:bidi w:val="0"/>
              <w:spacing w:before="0" w:after="283"/>
              <w:jc w:val="right"/>
              <w:rPr/>
            </w:pPr>
            <w:r>
              <w:rPr/>
              <w:t> </w:t>
            </w:r>
          </w:p>
        </w:tc>
        <w:tc>
          <w:tcPr>
            <w:tcW w:w="13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right"/>
              <w:rPr/>
            </w:pPr>
            <w:r>
              <w:rPr/>
              <w:t> </w:t>
            </w:r>
          </w:p>
        </w:tc>
        <w:tc>
          <w:tcPr>
            <w:tcW w:w="151" w:type="dxa"/>
            <w:tcBorders/>
            <w:shd w:fill="CCEEFF" w:val="clear"/>
            <w:vAlign w:val="center"/>
          </w:tcPr>
          <w:p>
            <w:pPr>
              <w:pStyle w:val="TableContents"/>
              <w:bidi w:val="0"/>
              <w:spacing w:before="0" w:after="283"/>
              <w:jc w:val="left"/>
              <w:rPr/>
            </w:pPr>
            <w:r>
              <w:rPr/>
              <w:t> </w:t>
            </w:r>
          </w:p>
        </w:tc>
      </w:tr>
      <w:tr>
        <w:trPr/>
        <w:tc>
          <w:tcPr>
            <w:tcW w:w="5705" w:type="dxa"/>
            <w:tcBorders/>
            <w:vAlign w:val="center"/>
          </w:tcPr>
          <w:p>
            <w:pPr>
              <w:pStyle w:val="TableContents"/>
              <w:bidi w:val="0"/>
              <w:spacing w:before="0" w:after="283"/>
              <w:jc w:val="left"/>
              <w:rPr/>
            </w:pPr>
            <w:r>
              <w:rPr/>
              <w:t>Shares Authorized - 40,000</w:t>
            </w:r>
          </w:p>
        </w:tc>
        <w:tc>
          <w:tcPr>
            <w:tcW w:w="6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1093" w:type="dxa"/>
            <w:tcBorders/>
            <w:vAlign w:val="center"/>
          </w:tcPr>
          <w:p>
            <w:pPr>
              <w:pStyle w:val="TableContents"/>
              <w:bidi w:val="0"/>
              <w:spacing w:before="0" w:after="0"/>
              <w:jc w:val="right"/>
              <w:rPr/>
            </w:pPr>
            <w:r>
              <w:rPr/>
              <w:t> </w:t>
            </w:r>
          </w:p>
        </w:tc>
        <w:tc>
          <w:tcPr>
            <w:tcW w:w="1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1089" w:type="dxa"/>
            <w:tcBorders/>
            <w:vAlign w:val="center"/>
          </w:tcPr>
          <w:p>
            <w:pPr>
              <w:pStyle w:val="TableContents"/>
              <w:bidi w:val="0"/>
              <w:spacing w:before="0" w:after="0"/>
              <w:jc w:val="right"/>
              <w:rPr/>
            </w:pPr>
            <w:r>
              <w:rPr/>
              <w:t> </w:t>
            </w:r>
          </w:p>
        </w:tc>
        <w:tc>
          <w:tcPr>
            <w:tcW w:w="151" w:type="dxa"/>
            <w:tcBorders/>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283"/>
              <w:jc w:val="left"/>
              <w:rPr/>
            </w:pPr>
            <w:r>
              <w:rPr/>
              <w:t>Shares Outstanding - 2023 - 17,821; 2022 - 17,642</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b/>
              </w:rPr>
            </w:pPr>
            <w:r>
              <w:rPr>
                <w:b/>
              </w:rPr>
              <w:t>$</w:t>
            </w:r>
          </w:p>
        </w:tc>
        <w:tc>
          <w:tcPr>
            <w:tcW w:w="1093" w:type="dxa"/>
            <w:tcBorders/>
            <w:shd w:fill="CCEEFF" w:val="clear"/>
            <w:vAlign w:val="center"/>
          </w:tcPr>
          <w:p>
            <w:pPr>
              <w:pStyle w:val="TableContents"/>
              <w:bidi w:val="0"/>
              <w:spacing w:before="0" w:after="283"/>
              <w:jc w:val="right"/>
              <w:rPr>
                <w:b/>
              </w:rPr>
            </w:pPr>
            <w:r>
              <w:rPr>
                <w:b/>
              </w:rPr>
              <w:t>246,764</w:t>
            </w:r>
          </w:p>
        </w:tc>
        <w:tc>
          <w:tcPr>
            <w:tcW w:w="13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w:t>
            </w:r>
          </w:p>
        </w:tc>
        <w:tc>
          <w:tcPr>
            <w:tcW w:w="1089" w:type="dxa"/>
            <w:tcBorders/>
            <w:shd w:fill="CCEEFF" w:val="clear"/>
            <w:vAlign w:val="center"/>
          </w:tcPr>
          <w:p>
            <w:pPr>
              <w:pStyle w:val="TableContents"/>
              <w:bidi w:val="0"/>
              <w:spacing w:before="0" w:after="283"/>
              <w:jc w:val="right"/>
              <w:rPr/>
            </w:pPr>
            <w:r>
              <w:rPr/>
              <w:t>233,054</w:t>
            </w:r>
          </w:p>
        </w:tc>
        <w:tc>
          <w:tcPr>
            <w:tcW w:w="151" w:type="dxa"/>
            <w:tcBorders/>
            <w:shd w:fill="CCEEFF" w:val="clear"/>
            <w:vAlign w:val="center"/>
          </w:tcPr>
          <w:p>
            <w:pPr>
              <w:pStyle w:val="TableContents"/>
              <w:bidi w:val="0"/>
              <w:spacing w:before="0" w:after="283"/>
              <w:jc w:val="left"/>
              <w:rPr/>
            </w:pPr>
            <w:r>
              <w:rPr/>
              <w:t> </w:t>
            </w:r>
          </w:p>
        </w:tc>
      </w:tr>
      <w:tr>
        <w:trPr/>
        <w:tc>
          <w:tcPr>
            <w:tcW w:w="57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1093" w:type="dxa"/>
            <w:tcBorders/>
            <w:vAlign w:val="center"/>
          </w:tcPr>
          <w:p>
            <w:pPr>
              <w:pStyle w:val="TableContents"/>
              <w:bidi w:val="0"/>
              <w:spacing w:before="0" w:after="283"/>
              <w:jc w:val="right"/>
              <w:rPr/>
            </w:pPr>
            <w:r>
              <w:rPr/>
              <w:t> </w:t>
            </w:r>
          </w:p>
        </w:tc>
        <w:tc>
          <w:tcPr>
            <w:tcW w:w="1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1089" w:type="dxa"/>
            <w:tcBorders/>
            <w:vAlign w:val="center"/>
          </w:tcPr>
          <w:p>
            <w:pPr>
              <w:pStyle w:val="TableContents"/>
              <w:bidi w:val="0"/>
              <w:spacing w:before="0" w:after="283"/>
              <w:jc w:val="right"/>
              <w:rPr/>
            </w:pPr>
            <w:r>
              <w:rPr/>
              <w:t> </w:t>
            </w:r>
          </w:p>
        </w:tc>
        <w:tc>
          <w:tcPr>
            <w:tcW w:w="151" w:type="dxa"/>
            <w:tcBorders/>
            <w:vAlign w:val="center"/>
          </w:tcPr>
          <w:p>
            <w:pPr>
              <w:pStyle w:val="TableContents"/>
              <w:bidi w:val="0"/>
              <w:spacing w:before="0" w:after="283"/>
              <w:jc w:val="left"/>
              <w:rPr/>
            </w:pPr>
            <w:r>
              <w:rPr/>
              <w:t> </w:t>
            </w:r>
          </w:p>
        </w:tc>
      </w:tr>
      <w:tr>
        <w:trPr/>
        <w:tc>
          <w:tcPr>
            <w:tcW w:w="5705" w:type="dxa"/>
            <w:tcBorders>
              <w:bottom w:val="single" w:sz="8" w:space="0" w:color="000000"/>
            </w:tcBorders>
            <w:shd w:fill="CCEEFF" w:val="clear"/>
            <w:tcMar>
              <w:bottom w:w="28" w:type="dxa"/>
            </w:tcMar>
            <w:vAlign w:val="center"/>
          </w:tcPr>
          <w:p>
            <w:pPr>
              <w:pStyle w:val="TableContents"/>
              <w:bidi w:val="0"/>
              <w:spacing w:before="0" w:after="283"/>
              <w:jc w:val="left"/>
              <w:rPr/>
            </w:pPr>
            <w:r>
              <w:rPr/>
              <w:t>Retained Earnings</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3"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176,227</w:t>
            </w:r>
          </w:p>
        </w:tc>
        <w:tc>
          <w:tcPr>
            <w:tcW w:w="13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89" w:type="dxa"/>
            <w:tcBorders>
              <w:bottom w:val="single" w:sz="8" w:space="0" w:color="000000"/>
            </w:tcBorders>
            <w:shd w:fill="CCEEFF" w:val="clear"/>
            <w:tcMar>
              <w:bottom w:w="28" w:type="dxa"/>
            </w:tcMar>
            <w:vAlign w:val="center"/>
          </w:tcPr>
          <w:p>
            <w:pPr>
              <w:pStyle w:val="TableContents"/>
              <w:bidi w:val="0"/>
              <w:spacing w:before="0" w:after="283"/>
              <w:jc w:val="right"/>
              <w:rPr/>
            </w:pPr>
            <w:r>
              <w:rPr/>
              <w:t>167,274</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5705" w:type="dxa"/>
            <w:tcBorders>
              <w:bottom w:val="single" w:sz="8" w:space="0" w:color="000000"/>
            </w:tcBorders>
            <w:tcMar>
              <w:bottom w:w="28" w:type="dxa"/>
            </w:tcMar>
            <w:vAlign w:val="center"/>
          </w:tcPr>
          <w:p>
            <w:pPr>
              <w:pStyle w:val="TableContents"/>
              <w:bidi w:val="0"/>
              <w:spacing w:before="0" w:after="283"/>
              <w:jc w:val="left"/>
              <w:rPr/>
            </w:pPr>
            <w:r>
              <w:rPr/>
              <w:t>TOTAL COMMON EQUITY</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90" w:type="dxa"/>
            <w:tcBorders>
              <w:bottom w:val="single" w:sz="8" w:space="0" w:color="000000"/>
            </w:tcBorders>
            <w:tcMar>
              <w:bottom w:w="28" w:type="dxa"/>
            </w:tcMar>
            <w:vAlign w:val="center"/>
          </w:tcPr>
          <w:p>
            <w:pPr>
              <w:pStyle w:val="TableContents"/>
              <w:bidi w:val="0"/>
              <w:spacing w:before="0" w:after="283"/>
              <w:jc w:val="left"/>
              <w:rPr>
                <w:b/>
              </w:rPr>
            </w:pPr>
            <w:r>
              <w:rPr>
                <w:b/>
              </w:rPr>
              <w:t>$</w:t>
            </w:r>
          </w:p>
        </w:tc>
        <w:tc>
          <w:tcPr>
            <w:tcW w:w="1093" w:type="dxa"/>
            <w:tcBorders>
              <w:bottom w:val="single" w:sz="8" w:space="0" w:color="000000"/>
            </w:tcBorders>
            <w:tcMar>
              <w:bottom w:w="28" w:type="dxa"/>
            </w:tcMar>
            <w:vAlign w:val="center"/>
          </w:tcPr>
          <w:p>
            <w:pPr>
              <w:pStyle w:val="TableContents"/>
              <w:bidi w:val="0"/>
              <w:spacing w:before="0" w:after="283"/>
              <w:jc w:val="right"/>
              <w:rPr>
                <w:b/>
              </w:rPr>
            </w:pPr>
            <w:r>
              <w:rPr>
                <w:b/>
              </w:rPr>
              <w:t>422,991</w:t>
            </w:r>
          </w:p>
        </w:tc>
        <w:tc>
          <w:tcPr>
            <w:tcW w:w="131"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89" w:type="dxa"/>
            <w:tcBorders>
              <w:bottom w:val="single" w:sz="8" w:space="0" w:color="000000"/>
            </w:tcBorders>
            <w:tcMar>
              <w:bottom w:w="28" w:type="dxa"/>
            </w:tcMar>
            <w:vAlign w:val="center"/>
          </w:tcPr>
          <w:p>
            <w:pPr>
              <w:pStyle w:val="TableContents"/>
              <w:bidi w:val="0"/>
              <w:spacing w:before="0" w:after="283"/>
              <w:jc w:val="left"/>
              <w:rPr/>
            </w:pPr>
            <w:r>
              <w:rPr/>
              <w:t>$</w:t>
            </w:r>
          </w:p>
        </w:tc>
        <w:tc>
          <w:tcPr>
            <w:tcW w:w="1089" w:type="dxa"/>
            <w:tcBorders>
              <w:bottom w:val="single" w:sz="8" w:space="0" w:color="000000"/>
            </w:tcBorders>
            <w:tcMar>
              <w:bottom w:w="28" w:type="dxa"/>
            </w:tcMar>
            <w:vAlign w:val="center"/>
          </w:tcPr>
          <w:p>
            <w:pPr>
              <w:pStyle w:val="TableContents"/>
              <w:bidi w:val="0"/>
              <w:spacing w:before="0" w:after="283"/>
              <w:jc w:val="right"/>
              <w:rPr/>
            </w:pPr>
            <w:r>
              <w:rPr/>
              <w:t>400,328</w:t>
            </w:r>
          </w:p>
        </w:tc>
        <w:tc>
          <w:tcPr>
            <w:tcW w:w="151"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093" w:type="dxa"/>
            <w:tcBorders/>
            <w:shd w:fill="CCEEFF" w:val="clear"/>
            <w:vAlign w:val="center"/>
          </w:tcPr>
          <w:p>
            <w:pPr>
              <w:pStyle w:val="TableContents"/>
              <w:bidi w:val="0"/>
              <w:spacing w:before="0" w:after="283"/>
              <w:jc w:val="right"/>
              <w:rPr/>
            </w:pPr>
            <w:r>
              <w:rPr/>
              <w:t> </w:t>
            </w:r>
          </w:p>
        </w:tc>
        <w:tc>
          <w:tcPr>
            <w:tcW w:w="13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right"/>
              <w:rPr/>
            </w:pPr>
            <w:r>
              <w:rPr/>
              <w:t> </w:t>
            </w:r>
          </w:p>
        </w:tc>
        <w:tc>
          <w:tcPr>
            <w:tcW w:w="151" w:type="dxa"/>
            <w:tcBorders/>
            <w:shd w:fill="CCEEFF" w:val="clear"/>
            <w:vAlign w:val="center"/>
          </w:tcPr>
          <w:p>
            <w:pPr>
              <w:pStyle w:val="TableContents"/>
              <w:bidi w:val="0"/>
              <w:spacing w:before="0" w:after="283"/>
              <w:jc w:val="left"/>
              <w:rPr/>
            </w:pPr>
            <w:r>
              <w:rPr/>
              <w:t> </w:t>
            </w:r>
          </w:p>
        </w:tc>
      </w:tr>
      <w:tr>
        <w:trPr/>
        <w:tc>
          <w:tcPr>
            <w:tcW w:w="5705" w:type="dxa"/>
            <w:tcBorders/>
            <w:vAlign w:val="center"/>
          </w:tcPr>
          <w:p>
            <w:pPr>
              <w:pStyle w:val="TableContents"/>
              <w:bidi w:val="0"/>
              <w:spacing w:before="0" w:after="283"/>
              <w:jc w:val="left"/>
              <w:rPr/>
            </w:pPr>
            <w:r>
              <w:rPr/>
              <w:t>Cumulative Preferred Stock, No Par Value:</w:t>
            </w:r>
          </w:p>
        </w:tc>
        <w:tc>
          <w:tcPr>
            <w:tcW w:w="6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1093" w:type="dxa"/>
            <w:tcBorders/>
            <w:vAlign w:val="center"/>
          </w:tcPr>
          <w:p>
            <w:pPr>
              <w:pStyle w:val="TableContents"/>
              <w:bidi w:val="0"/>
              <w:spacing w:before="0" w:after="283"/>
              <w:jc w:val="right"/>
              <w:rPr/>
            </w:pPr>
            <w:r>
              <w:rPr/>
              <w:t> </w:t>
            </w:r>
          </w:p>
        </w:tc>
        <w:tc>
          <w:tcPr>
            <w:tcW w:w="1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1089" w:type="dxa"/>
            <w:tcBorders/>
            <w:vAlign w:val="center"/>
          </w:tcPr>
          <w:p>
            <w:pPr>
              <w:pStyle w:val="TableContents"/>
              <w:bidi w:val="0"/>
              <w:spacing w:before="0" w:after="283"/>
              <w:jc w:val="right"/>
              <w:rPr/>
            </w:pPr>
            <w:r>
              <w:rPr/>
              <w:t> </w:t>
            </w:r>
          </w:p>
        </w:tc>
        <w:tc>
          <w:tcPr>
            <w:tcW w:w="151" w:type="dxa"/>
            <w:tcBorders/>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283"/>
              <w:jc w:val="left"/>
              <w:rPr/>
            </w:pPr>
            <w:r>
              <w:rPr/>
              <w:t>Shares Authorized - 120</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093" w:type="dxa"/>
            <w:tcBorders/>
            <w:shd w:fill="CCEEFF" w:val="clear"/>
            <w:vAlign w:val="center"/>
          </w:tcPr>
          <w:p>
            <w:pPr>
              <w:pStyle w:val="TableContents"/>
              <w:bidi w:val="0"/>
              <w:spacing w:before="0" w:after="0"/>
              <w:jc w:val="right"/>
              <w:rPr/>
            </w:pPr>
            <w:r>
              <w:rPr/>
              <w:t> </w:t>
            </w:r>
          </w:p>
        </w:tc>
        <w:tc>
          <w:tcPr>
            <w:tcW w:w="13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0"/>
              <w:jc w:val="right"/>
              <w:rPr/>
            </w:pPr>
            <w:r>
              <w:rPr/>
              <w:t> </w:t>
            </w:r>
          </w:p>
        </w:tc>
        <w:tc>
          <w:tcPr>
            <w:tcW w:w="151" w:type="dxa"/>
            <w:tcBorders/>
            <w:shd w:fill="CCEEFF" w:val="clear"/>
            <w:vAlign w:val="center"/>
          </w:tcPr>
          <w:p>
            <w:pPr>
              <w:pStyle w:val="TableContents"/>
              <w:bidi w:val="0"/>
              <w:spacing w:before="0" w:after="283"/>
              <w:jc w:val="left"/>
              <w:rPr/>
            </w:pPr>
            <w:r>
              <w:rPr/>
              <w:t> </w:t>
            </w:r>
          </w:p>
        </w:tc>
      </w:tr>
      <w:tr>
        <w:trPr/>
        <w:tc>
          <w:tcPr>
            <w:tcW w:w="5705" w:type="dxa"/>
            <w:tcBorders/>
            <w:vAlign w:val="center"/>
          </w:tcPr>
          <w:p>
            <w:pPr>
              <w:pStyle w:val="TableContents"/>
              <w:bidi w:val="0"/>
              <w:spacing w:before="0" w:after="283"/>
              <w:jc w:val="left"/>
              <w:rPr/>
            </w:pPr>
            <w:r>
              <w:rPr/>
              <w:t>Shares Outstanding - 20</w:t>
            </w:r>
          </w:p>
        </w:tc>
        <w:tc>
          <w:tcPr>
            <w:tcW w:w="6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1093" w:type="dxa"/>
            <w:tcBorders/>
            <w:vAlign w:val="center"/>
          </w:tcPr>
          <w:p>
            <w:pPr>
              <w:pStyle w:val="TableContents"/>
              <w:bidi w:val="0"/>
              <w:spacing w:before="0" w:after="0"/>
              <w:jc w:val="right"/>
              <w:rPr/>
            </w:pPr>
            <w:r>
              <w:rPr/>
              <w:t> </w:t>
            </w:r>
          </w:p>
        </w:tc>
        <w:tc>
          <w:tcPr>
            <w:tcW w:w="1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1089" w:type="dxa"/>
            <w:tcBorders/>
            <w:vAlign w:val="center"/>
          </w:tcPr>
          <w:p>
            <w:pPr>
              <w:pStyle w:val="TableContents"/>
              <w:bidi w:val="0"/>
              <w:spacing w:before="0" w:after="0"/>
              <w:jc w:val="right"/>
              <w:rPr/>
            </w:pPr>
            <w:r>
              <w:rPr/>
              <w:t> </w:t>
            </w:r>
          </w:p>
        </w:tc>
        <w:tc>
          <w:tcPr>
            <w:tcW w:w="151" w:type="dxa"/>
            <w:tcBorders/>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283"/>
              <w:jc w:val="left"/>
              <w:rPr/>
            </w:pPr>
            <w:r>
              <w:rPr/>
              <w:t>Convertible:</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093" w:type="dxa"/>
            <w:tcBorders/>
            <w:shd w:fill="CCEEFF" w:val="clear"/>
            <w:vAlign w:val="center"/>
          </w:tcPr>
          <w:p>
            <w:pPr>
              <w:pStyle w:val="TableContents"/>
              <w:bidi w:val="0"/>
              <w:spacing w:before="0" w:after="283"/>
              <w:jc w:val="right"/>
              <w:rPr/>
            </w:pPr>
            <w:r>
              <w:rPr/>
              <w:t> </w:t>
            </w:r>
          </w:p>
        </w:tc>
        <w:tc>
          <w:tcPr>
            <w:tcW w:w="13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right"/>
              <w:rPr/>
            </w:pPr>
            <w:r>
              <w:rPr/>
              <w:t> </w:t>
            </w:r>
          </w:p>
        </w:tc>
        <w:tc>
          <w:tcPr>
            <w:tcW w:w="151" w:type="dxa"/>
            <w:tcBorders/>
            <w:shd w:fill="CCEEFF" w:val="clear"/>
            <w:vAlign w:val="center"/>
          </w:tcPr>
          <w:p>
            <w:pPr>
              <w:pStyle w:val="TableContents"/>
              <w:bidi w:val="0"/>
              <w:spacing w:before="0" w:after="283"/>
              <w:jc w:val="left"/>
              <w:rPr/>
            </w:pPr>
            <w:r>
              <w:rPr/>
              <w:t> </w:t>
            </w:r>
          </w:p>
        </w:tc>
      </w:tr>
      <w:tr>
        <w:trPr/>
        <w:tc>
          <w:tcPr>
            <w:tcW w:w="5705" w:type="dxa"/>
            <w:tcBorders/>
            <w:vAlign w:val="center"/>
          </w:tcPr>
          <w:p>
            <w:pPr>
              <w:pStyle w:val="TableContents"/>
              <w:bidi w:val="0"/>
              <w:spacing w:before="0" w:after="283"/>
              <w:jc w:val="left"/>
              <w:rPr/>
            </w:pPr>
            <w:r>
              <w:rPr/>
              <w:t>Shares Outstanding, $7.00 Series - 10</w:t>
            </w:r>
          </w:p>
        </w:tc>
        <w:tc>
          <w:tcPr>
            <w:tcW w:w="6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b/>
              </w:rPr>
            </w:pPr>
            <w:r>
              <w:rPr>
                <w:b/>
              </w:rPr>
              <w:t>$</w:t>
            </w:r>
          </w:p>
        </w:tc>
        <w:tc>
          <w:tcPr>
            <w:tcW w:w="1093" w:type="dxa"/>
            <w:tcBorders/>
            <w:vAlign w:val="center"/>
          </w:tcPr>
          <w:p>
            <w:pPr>
              <w:pStyle w:val="TableContents"/>
              <w:bidi w:val="0"/>
              <w:spacing w:before="0" w:after="283"/>
              <w:jc w:val="right"/>
              <w:rPr>
                <w:b/>
              </w:rPr>
            </w:pPr>
            <w:r>
              <w:rPr>
                <w:b/>
              </w:rPr>
              <w:t>1,005</w:t>
            </w:r>
          </w:p>
        </w:tc>
        <w:tc>
          <w:tcPr>
            <w:tcW w:w="1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w:t>
            </w:r>
          </w:p>
        </w:tc>
        <w:tc>
          <w:tcPr>
            <w:tcW w:w="1089" w:type="dxa"/>
            <w:tcBorders/>
            <w:vAlign w:val="center"/>
          </w:tcPr>
          <w:p>
            <w:pPr>
              <w:pStyle w:val="TableContents"/>
              <w:bidi w:val="0"/>
              <w:spacing w:before="0" w:after="283"/>
              <w:jc w:val="right"/>
              <w:rPr/>
            </w:pPr>
            <w:r>
              <w:rPr/>
              <w:t>1,005</w:t>
            </w:r>
          </w:p>
        </w:tc>
        <w:tc>
          <w:tcPr>
            <w:tcW w:w="151" w:type="dxa"/>
            <w:tcBorders/>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283"/>
              <w:jc w:val="left"/>
              <w:rPr/>
            </w:pPr>
            <w:r>
              <w:rPr/>
              <w:t>Nonredeemable:</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093" w:type="dxa"/>
            <w:tcBorders/>
            <w:shd w:fill="CCEEFF" w:val="clear"/>
            <w:vAlign w:val="center"/>
          </w:tcPr>
          <w:p>
            <w:pPr>
              <w:pStyle w:val="TableContents"/>
              <w:bidi w:val="0"/>
              <w:spacing w:before="0" w:after="283"/>
              <w:jc w:val="right"/>
              <w:rPr/>
            </w:pPr>
            <w:r>
              <w:rPr/>
              <w:t> </w:t>
            </w:r>
          </w:p>
        </w:tc>
        <w:tc>
          <w:tcPr>
            <w:tcW w:w="13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right"/>
              <w:rPr/>
            </w:pPr>
            <w:r>
              <w:rPr/>
              <w:t> </w:t>
            </w:r>
          </w:p>
        </w:tc>
        <w:tc>
          <w:tcPr>
            <w:tcW w:w="151" w:type="dxa"/>
            <w:tcBorders/>
            <w:shd w:fill="CCEEFF" w:val="clear"/>
            <w:vAlign w:val="center"/>
          </w:tcPr>
          <w:p>
            <w:pPr>
              <w:pStyle w:val="TableContents"/>
              <w:bidi w:val="0"/>
              <w:spacing w:before="0" w:after="283"/>
              <w:jc w:val="left"/>
              <w:rPr/>
            </w:pPr>
            <w:r>
              <w:rPr/>
              <w:t> </w:t>
            </w:r>
          </w:p>
        </w:tc>
      </w:tr>
      <w:tr>
        <w:trPr/>
        <w:tc>
          <w:tcPr>
            <w:tcW w:w="5705" w:type="dxa"/>
            <w:tcBorders/>
            <w:vAlign w:val="center"/>
          </w:tcPr>
          <w:p>
            <w:pPr>
              <w:pStyle w:val="TableContents"/>
              <w:bidi w:val="0"/>
              <w:spacing w:before="0" w:after="283"/>
              <w:jc w:val="left"/>
              <w:rPr/>
            </w:pPr>
            <w:r>
              <w:rPr/>
              <w:t>Shares Outstanding, $7.00 Series -   1</w:t>
            </w:r>
          </w:p>
        </w:tc>
        <w:tc>
          <w:tcPr>
            <w:tcW w:w="6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1093" w:type="dxa"/>
            <w:tcBorders/>
            <w:vAlign w:val="center"/>
          </w:tcPr>
          <w:p>
            <w:pPr>
              <w:pStyle w:val="TableContents"/>
              <w:bidi w:val="0"/>
              <w:spacing w:before="0" w:after="283"/>
              <w:jc w:val="right"/>
              <w:rPr>
                <w:b/>
              </w:rPr>
            </w:pPr>
            <w:r>
              <w:rPr>
                <w:b/>
              </w:rPr>
              <w:t>79</w:t>
            </w:r>
          </w:p>
        </w:tc>
        <w:tc>
          <w:tcPr>
            <w:tcW w:w="1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1089" w:type="dxa"/>
            <w:tcBorders/>
            <w:vAlign w:val="center"/>
          </w:tcPr>
          <w:p>
            <w:pPr>
              <w:pStyle w:val="TableContents"/>
              <w:bidi w:val="0"/>
              <w:spacing w:before="0" w:after="283"/>
              <w:jc w:val="right"/>
              <w:rPr/>
            </w:pPr>
            <w:r>
              <w:rPr/>
              <w:t>79</w:t>
            </w:r>
          </w:p>
        </w:tc>
        <w:tc>
          <w:tcPr>
            <w:tcW w:w="151" w:type="dxa"/>
            <w:tcBorders/>
            <w:vAlign w:val="center"/>
          </w:tcPr>
          <w:p>
            <w:pPr>
              <w:pStyle w:val="TableContents"/>
              <w:bidi w:val="0"/>
              <w:spacing w:before="0" w:after="283"/>
              <w:jc w:val="left"/>
              <w:rPr/>
            </w:pPr>
            <w:r>
              <w:rPr/>
              <w:t> </w:t>
            </w:r>
          </w:p>
        </w:tc>
      </w:tr>
      <w:tr>
        <w:trPr/>
        <w:tc>
          <w:tcPr>
            <w:tcW w:w="5705" w:type="dxa"/>
            <w:tcBorders>
              <w:bottom w:val="single" w:sz="8" w:space="0" w:color="000000"/>
            </w:tcBorders>
            <w:shd w:fill="CCEEFF" w:val="clear"/>
            <w:tcMar>
              <w:bottom w:w="28" w:type="dxa"/>
            </w:tcMar>
            <w:vAlign w:val="center"/>
          </w:tcPr>
          <w:p>
            <w:pPr>
              <w:pStyle w:val="TableContents"/>
              <w:bidi w:val="0"/>
              <w:spacing w:before="0" w:after="283"/>
              <w:jc w:val="left"/>
              <w:rPr/>
            </w:pPr>
            <w:r>
              <w:rPr/>
              <w:t>Shares Outstanding, $4.75 Series - 10</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3"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1,000</w:t>
            </w:r>
          </w:p>
        </w:tc>
        <w:tc>
          <w:tcPr>
            <w:tcW w:w="13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89" w:type="dxa"/>
            <w:tcBorders>
              <w:bottom w:val="single" w:sz="8" w:space="0" w:color="000000"/>
            </w:tcBorders>
            <w:shd w:fill="CCEEFF" w:val="clear"/>
            <w:tcMar>
              <w:bottom w:w="28" w:type="dxa"/>
            </w:tcMar>
            <w:vAlign w:val="center"/>
          </w:tcPr>
          <w:p>
            <w:pPr>
              <w:pStyle w:val="TableContents"/>
              <w:bidi w:val="0"/>
              <w:spacing w:before="0" w:after="283"/>
              <w:jc w:val="right"/>
              <w:rPr/>
            </w:pPr>
            <w:r>
              <w:rPr/>
              <w:t>1,000</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5705" w:type="dxa"/>
            <w:tcBorders>
              <w:bottom w:val="single" w:sz="8" w:space="0" w:color="000000"/>
            </w:tcBorders>
            <w:tcMar>
              <w:bottom w:w="28" w:type="dxa"/>
            </w:tcMar>
            <w:vAlign w:val="center"/>
          </w:tcPr>
          <w:p>
            <w:pPr>
              <w:pStyle w:val="TableContents"/>
              <w:bidi w:val="0"/>
              <w:spacing w:before="0" w:after="283"/>
              <w:jc w:val="left"/>
              <w:rPr/>
            </w:pPr>
            <w:r>
              <w:rPr/>
              <w:t>TOTAL PREFERRED STOCK</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90" w:type="dxa"/>
            <w:tcBorders>
              <w:bottom w:val="single" w:sz="8" w:space="0" w:color="000000"/>
            </w:tcBorders>
            <w:tcMar>
              <w:bottom w:w="28" w:type="dxa"/>
            </w:tcMar>
            <w:vAlign w:val="center"/>
          </w:tcPr>
          <w:p>
            <w:pPr>
              <w:pStyle w:val="TableContents"/>
              <w:bidi w:val="0"/>
              <w:spacing w:before="0" w:after="283"/>
              <w:jc w:val="left"/>
              <w:rPr>
                <w:b/>
              </w:rPr>
            </w:pPr>
            <w:r>
              <w:rPr>
                <w:b/>
              </w:rPr>
              <w:t>$</w:t>
            </w:r>
          </w:p>
        </w:tc>
        <w:tc>
          <w:tcPr>
            <w:tcW w:w="1093" w:type="dxa"/>
            <w:tcBorders>
              <w:bottom w:val="single" w:sz="8" w:space="0" w:color="000000"/>
            </w:tcBorders>
            <w:tcMar>
              <w:bottom w:w="28" w:type="dxa"/>
            </w:tcMar>
            <w:vAlign w:val="center"/>
          </w:tcPr>
          <w:p>
            <w:pPr>
              <w:pStyle w:val="TableContents"/>
              <w:bidi w:val="0"/>
              <w:spacing w:before="0" w:after="283"/>
              <w:jc w:val="right"/>
              <w:rPr>
                <w:b/>
              </w:rPr>
            </w:pPr>
            <w:r>
              <w:rPr>
                <w:b/>
              </w:rPr>
              <w:t>2,084</w:t>
            </w:r>
          </w:p>
        </w:tc>
        <w:tc>
          <w:tcPr>
            <w:tcW w:w="131"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89" w:type="dxa"/>
            <w:tcBorders>
              <w:bottom w:val="single" w:sz="8" w:space="0" w:color="000000"/>
            </w:tcBorders>
            <w:tcMar>
              <w:bottom w:w="28" w:type="dxa"/>
            </w:tcMar>
            <w:vAlign w:val="center"/>
          </w:tcPr>
          <w:p>
            <w:pPr>
              <w:pStyle w:val="TableContents"/>
              <w:bidi w:val="0"/>
              <w:spacing w:before="0" w:after="283"/>
              <w:jc w:val="left"/>
              <w:rPr/>
            </w:pPr>
            <w:r>
              <w:rPr/>
              <w:t>$</w:t>
            </w:r>
          </w:p>
        </w:tc>
        <w:tc>
          <w:tcPr>
            <w:tcW w:w="1089" w:type="dxa"/>
            <w:tcBorders>
              <w:bottom w:val="single" w:sz="8" w:space="0" w:color="000000"/>
            </w:tcBorders>
            <w:tcMar>
              <w:bottom w:w="28" w:type="dxa"/>
            </w:tcMar>
            <w:vAlign w:val="center"/>
          </w:tcPr>
          <w:p>
            <w:pPr>
              <w:pStyle w:val="TableContents"/>
              <w:bidi w:val="0"/>
              <w:spacing w:before="0" w:after="283"/>
              <w:jc w:val="right"/>
              <w:rPr/>
            </w:pPr>
            <w:r>
              <w:rPr/>
              <w:t>2,084</w:t>
            </w:r>
          </w:p>
        </w:tc>
        <w:tc>
          <w:tcPr>
            <w:tcW w:w="151"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093" w:type="dxa"/>
            <w:tcBorders/>
            <w:shd w:fill="CCEEFF" w:val="clear"/>
            <w:vAlign w:val="center"/>
          </w:tcPr>
          <w:p>
            <w:pPr>
              <w:pStyle w:val="TableContents"/>
              <w:bidi w:val="0"/>
              <w:spacing w:before="0" w:after="283"/>
              <w:jc w:val="right"/>
              <w:rPr/>
            </w:pPr>
            <w:r>
              <w:rPr/>
              <w:t> </w:t>
            </w:r>
          </w:p>
        </w:tc>
        <w:tc>
          <w:tcPr>
            <w:tcW w:w="13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right"/>
              <w:rPr/>
            </w:pPr>
            <w:r>
              <w:rPr/>
              <w:t> </w:t>
            </w:r>
          </w:p>
        </w:tc>
        <w:tc>
          <w:tcPr>
            <w:tcW w:w="151" w:type="dxa"/>
            <w:tcBorders/>
            <w:shd w:fill="CCEEFF" w:val="clear"/>
            <w:vAlign w:val="center"/>
          </w:tcPr>
          <w:p>
            <w:pPr>
              <w:pStyle w:val="TableContents"/>
              <w:bidi w:val="0"/>
              <w:spacing w:before="0" w:after="283"/>
              <w:jc w:val="left"/>
              <w:rPr/>
            </w:pPr>
            <w:r>
              <w:rPr/>
              <w:t> </w:t>
            </w:r>
          </w:p>
        </w:tc>
      </w:tr>
      <w:tr>
        <w:trPr/>
        <w:tc>
          <w:tcPr>
            <w:tcW w:w="5705" w:type="dxa"/>
            <w:tcBorders/>
            <w:vAlign w:val="center"/>
          </w:tcPr>
          <w:p>
            <w:pPr>
              <w:pStyle w:val="TableContents"/>
              <w:bidi w:val="0"/>
              <w:spacing w:before="0" w:after="283"/>
              <w:jc w:val="left"/>
              <w:rPr/>
            </w:pPr>
            <w:r>
              <w:rPr/>
              <w:t>Long-term Debt:</w:t>
            </w:r>
          </w:p>
        </w:tc>
        <w:tc>
          <w:tcPr>
            <w:tcW w:w="6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1093" w:type="dxa"/>
            <w:tcBorders/>
            <w:vAlign w:val="center"/>
          </w:tcPr>
          <w:p>
            <w:pPr>
              <w:pStyle w:val="TableContents"/>
              <w:bidi w:val="0"/>
              <w:spacing w:before="0" w:after="283"/>
              <w:jc w:val="right"/>
              <w:rPr/>
            </w:pPr>
            <w:r>
              <w:rPr/>
              <w:t> </w:t>
            </w:r>
          </w:p>
        </w:tc>
        <w:tc>
          <w:tcPr>
            <w:tcW w:w="1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1089" w:type="dxa"/>
            <w:tcBorders/>
            <w:vAlign w:val="center"/>
          </w:tcPr>
          <w:p>
            <w:pPr>
              <w:pStyle w:val="TableContents"/>
              <w:bidi w:val="0"/>
              <w:spacing w:before="0" w:after="283"/>
              <w:jc w:val="right"/>
              <w:rPr/>
            </w:pPr>
            <w:r>
              <w:rPr/>
              <w:t> </w:t>
            </w:r>
          </w:p>
        </w:tc>
        <w:tc>
          <w:tcPr>
            <w:tcW w:w="151" w:type="dxa"/>
            <w:tcBorders/>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283"/>
              <w:jc w:val="left"/>
              <w:rPr/>
            </w:pPr>
            <w:r>
              <w:rPr/>
              <w:t>First Mortgage Bonds, 0.00%-5.50%, due 2024-2059</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b/>
              </w:rPr>
            </w:pPr>
            <w:r>
              <w:rPr>
                <w:b/>
              </w:rPr>
              <w:t>$</w:t>
            </w:r>
          </w:p>
        </w:tc>
        <w:tc>
          <w:tcPr>
            <w:tcW w:w="1093" w:type="dxa"/>
            <w:tcBorders/>
            <w:shd w:fill="CCEEFF" w:val="clear"/>
            <w:vAlign w:val="center"/>
          </w:tcPr>
          <w:p>
            <w:pPr>
              <w:pStyle w:val="TableContents"/>
              <w:bidi w:val="0"/>
              <w:spacing w:before="0" w:after="283"/>
              <w:jc w:val="right"/>
              <w:rPr>
                <w:b/>
              </w:rPr>
            </w:pPr>
            <w:r>
              <w:rPr>
                <w:b/>
              </w:rPr>
              <w:t>278,374</w:t>
            </w:r>
          </w:p>
        </w:tc>
        <w:tc>
          <w:tcPr>
            <w:tcW w:w="13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w:t>
            </w:r>
          </w:p>
        </w:tc>
        <w:tc>
          <w:tcPr>
            <w:tcW w:w="1089" w:type="dxa"/>
            <w:tcBorders/>
            <w:shd w:fill="CCEEFF" w:val="clear"/>
            <w:vAlign w:val="center"/>
          </w:tcPr>
          <w:p>
            <w:pPr>
              <w:pStyle w:val="TableContents"/>
              <w:bidi w:val="0"/>
              <w:spacing w:before="0" w:after="283"/>
              <w:jc w:val="right"/>
              <w:rPr/>
            </w:pPr>
            <w:r>
              <w:rPr/>
              <w:t>252,269</w:t>
            </w:r>
          </w:p>
        </w:tc>
        <w:tc>
          <w:tcPr>
            <w:tcW w:w="151" w:type="dxa"/>
            <w:tcBorders/>
            <w:shd w:fill="CCEEFF" w:val="clear"/>
            <w:vAlign w:val="center"/>
          </w:tcPr>
          <w:p>
            <w:pPr>
              <w:pStyle w:val="TableContents"/>
              <w:bidi w:val="0"/>
              <w:spacing w:before="0" w:after="283"/>
              <w:jc w:val="left"/>
              <w:rPr/>
            </w:pPr>
            <w:r>
              <w:rPr/>
              <w:t> </w:t>
            </w:r>
          </w:p>
        </w:tc>
      </w:tr>
      <w:tr>
        <w:trPr/>
        <w:tc>
          <w:tcPr>
            <w:tcW w:w="5705" w:type="dxa"/>
            <w:tcBorders/>
            <w:vAlign w:val="center"/>
          </w:tcPr>
          <w:p>
            <w:pPr>
              <w:pStyle w:val="TableContents"/>
              <w:bidi w:val="0"/>
              <w:spacing w:before="0" w:after="283"/>
              <w:jc w:val="left"/>
              <w:rPr/>
            </w:pPr>
            <w:r>
              <w:rPr/>
              <w:t>Amortizing Secured Notes, 3.94%-7.05%, due 2028-2046</w:t>
            </w:r>
          </w:p>
        </w:tc>
        <w:tc>
          <w:tcPr>
            <w:tcW w:w="6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1093" w:type="dxa"/>
            <w:tcBorders/>
            <w:vAlign w:val="center"/>
          </w:tcPr>
          <w:p>
            <w:pPr>
              <w:pStyle w:val="TableContents"/>
              <w:bidi w:val="0"/>
              <w:spacing w:before="0" w:after="283"/>
              <w:jc w:val="right"/>
              <w:rPr>
                <w:b/>
              </w:rPr>
            </w:pPr>
            <w:r>
              <w:rPr>
                <w:b/>
              </w:rPr>
              <w:t>69,724</w:t>
            </w:r>
          </w:p>
        </w:tc>
        <w:tc>
          <w:tcPr>
            <w:tcW w:w="1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1089" w:type="dxa"/>
            <w:tcBorders/>
            <w:vAlign w:val="center"/>
          </w:tcPr>
          <w:p>
            <w:pPr>
              <w:pStyle w:val="TableContents"/>
              <w:bidi w:val="0"/>
              <w:spacing w:before="0" w:after="283"/>
              <w:jc w:val="right"/>
              <w:rPr/>
            </w:pPr>
            <w:r>
              <w:rPr/>
              <w:t>44,918</w:t>
            </w:r>
          </w:p>
        </w:tc>
        <w:tc>
          <w:tcPr>
            <w:tcW w:w="151" w:type="dxa"/>
            <w:tcBorders/>
            <w:vAlign w:val="center"/>
          </w:tcPr>
          <w:p>
            <w:pPr>
              <w:pStyle w:val="TableContents"/>
              <w:bidi w:val="0"/>
              <w:spacing w:before="0" w:after="283"/>
              <w:jc w:val="left"/>
              <w:rPr/>
            </w:pPr>
            <w:r>
              <w:rPr/>
              <w:t> </w:t>
            </w:r>
          </w:p>
        </w:tc>
      </w:tr>
      <w:tr>
        <w:trPr/>
        <w:tc>
          <w:tcPr>
            <w:tcW w:w="5705" w:type="dxa"/>
            <w:tcBorders>
              <w:bottom w:val="single" w:sz="8" w:space="0" w:color="000000"/>
            </w:tcBorders>
            <w:shd w:fill="CCEEFF" w:val="clear"/>
            <w:tcMar>
              <w:bottom w:w="28" w:type="dxa"/>
            </w:tcMar>
            <w:vAlign w:val="center"/>
          </w:tcPr>
          <w:p>
            <w:pPr>
              <w:pStyle w:val="TableContents"/>
              <w:bidi w:val="0"/>
              <w:spacing w:before="0" w:after="283"/>
              <w:jc w:val="left"/>
              <w:rPr/>
            </w:pPr>
            <w:r>
              <w:rPr/>
              <w:t>State Revolving Trust Notes, 2.00%-4.03%, due 2025-2044</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3"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16,638</w:t>
            </w:r>
          </w:p>
        </w:tc>
        <w:tc>
          <w:tcPr>
            <w:tcW w:w="13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89" w:type="dxa"/>
            <w:tcBorders>
              <w:bottom w:val="single" w:sz="8" w:space="0" w:color="000000"/>
            </w:tcBorders>
            <w:shd w:fill="CCEEFF" w:val="clear"/>
            <w:tcMar>
              <w:bottom w:w="28" w:type="dxa"/>
            </w:tcMar>
            <w:vAlign w:val="center"/>
          </w:tcPr>
          <w:p>
            <w:pPr>
              <w:pStyle w:val="TableContents"/>
              <w:bidi w:val="0"/>
              <w:spacing w:before="0" w:after="283"/>
              <w:jc w:val="right"/>
              <w:rPr/>
            </w:pPr>
            <w:r>
              <w:rPr/>
              <w:t>9,200</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5705" w:type="dxa"/>
            <w:tcBorders/>
            <w:vAlign w:val="center"/>
          </w:tcPr>
          <w:p>
            <w:pPr>
              <w:pStyle w:val="TableContents"/>
              <w:bidi w:val="0"/>
              <w:spacing w:before="0" w:after="283"/>
              <w:jc w:val="left"/>
              <w:rPr/>
            </w:pPr>
            <w:r>
              <w:rPr/>
              <w:t>SUBTOTAL LONG-TERM DEBT</w:t>
            </w:r>
          </w:p>
        </w:tc>
        <w:tc>
          <w:tcPr>
            <w:tcW w:w="6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1093" w:type="dxa"/>
            <w:tcBorders/>
            <w:vAlign w:val="center"/>
          </w:tcPr>
          <w:p>
            <w:pPr>
              <w:pStyle w:val="TableContents"/>
              <w:bidi w:val="0"/>
              <w:spacing w:before="0" w:after="283"/>
              <w:jc w:val="right"/>
              <w:rPr>
                <w:b/>
              </w:rPr>
            </w:pPr>
            <w:r>
              <w:rPr>
                <w:b/>
              </w:rPr>
              <w:t>364,736</w:t>
            </w:r>
          </w:p>
        </w:tc>
        <w:tc>
          <w:tcPr>
            <w:tcW w:w="1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1089" w:type="dxa"/>
            <w:tcBorders/>
            <w:vAlign w:val="center"/>
          </w:tcPr>
          <w:p>
            <w:pPr>
              <w:pStyle w:val="TableContents"/>
              <w:bidi w:val="0"/>
              <w:spacing w:before="0" w:after="283"/>
              <w:jc w:val="right"/>
              <w:rPr/>
            </w:pPr>
            <w:r>
              <w:rPr/>
              <w:t>306,387</w:t>
            </w:r>
          </w:p>
        </w:tc>
        <w:tc>
          <w:tcPr>
            <w:tcW w:w="151" w:type="dxa"/>
            <w:tcBorders/>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283"/>
              <w:jc w:val="left"/>
              <w:rPr/>
            </w:pPr>
            <w:r>
              <w:rPr/>
              <w:t>Add: Premium on Issuance of Long-term Debt</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093" w:type="dxa"/>
            <w:tcBorders/>
            <w:shd w:fill="CCEEFF" w:val="clear"/>
            <w:vAlign w:val="center"/>
          </w:tcPr>
          <w:p>
            <w:pPr>
              <w:pStyle w:val="TableContents"/>
              <w:bidi w:val="0"/>
              <w:spacing w:before="0" w:after="283"/>
              <w:jc w:val="right"/>
              <w:rPr>
                <w:b/>
              </w:rPr>
            </w:pPr>
            <w:r>
              <w:rPr>
                <w:b/>
              </w:rPr>
              <w:t>6,529</w:t>
            </w:r>
          </w:p>
        </w:tc>
        <w:tc>
          <w:tcPr>
            <w:tcW w:w="13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right"/>
              <w:rPr/>
            </w:pPr>
            <w:r>
              <w:rPr/>
              <w:t>6,873</w:t>
            </w:r>
          </w:p>
        </w:tc>
        <w:tc>
          <w:tcPr>
            <w:tcW w:w="151" w:type="dxa"/>
            <w:tcBorders/>
            <w:shd w:fill="CCEEFF" w:val="clear"/>
            <w:vAlign w:val="center"/>
          </w:tcPr>
          <w:p>
            <w:pPr>
              <w:pStyle w:val="TableContents"/>
              <w:bidi w:val="0"/>
              <w:spacing w:before="0" w:after="283"/>
              <w:jc w:val="left"/>
              <w:rPr/>
            </w:pPr>
            <w:r>
              <w:rPr/>
              <w:t> </w:t>
            </w:r>
          </w:p>
        </w:tc>
      </w:tr>
      <w:tr>
        <w:trPr/>
        <w:tc>
          <w:tcPr>
            <w:tcW w:w="5705" w:type="dxa"/>
            <w:tcBorders/>
            <w:vAlign w:val="center"/>
          </w:tcPr>
          <w:p>
            <w:pPr>
              <w:pStyle w:val="TableContents"/>
              <w:bidi w:val="0"/>
              <w:spacing w:before="0" w:after="283"/>
              <w:jc w:val="left"/>
              <w:rPr/>
            </w:pPr>
            <w:r>
              <w:rPr/>
              <w:t>Less: Unamortized Debt Expense</w:t>
            </w:r>
          </w:p>
        </w:tc>
        <w:tc>
          <w:tcPr>
            <w:tcW w:w="6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1093" w:type="dxa"/>
            <w:tcBorders/>
            <w:vAlign w:val="center"/>
          </w:tcPr>
          <w:p>
            <w:pPr>
              <w:pStyle w:val="TableContents"/>
              <w:bidi w:val="0"/>
              <w:spacing w:before="0" w:after="283"/>
              <w:jc w:val="right"/>
              <w:rPr>
                <w:b/>
              </w:rPr>
            </w:pPr>
            <w:r>
              <w:rPr>
                <w:b/>
              </w:rPr>
              <w:t>(5,372</w:t>
            </w:r>
          </w:p>
        </w:tc>
        <w:tc>
          <w:tcPr>
            <w:tcW w:w="131" w:type="dxa"/>
            <w:tcBorders/>
            <w:vAlign w:val="center"/>
          </w:tcPr>
          <w:p>
            <w:pPr>
              <w:pStyle w:val="TableContents"/>
              <w:bidi w:val="0"/>
              <w:spacing w:before="0" w:after="283"/>
              <w:jc w:val="left"/>
              <w:rPr>
                <w:b/>
              </w:rPr>
            </w:pPr>
            <w:r>
              <w:rPr>
                <w:b/>
              </w:rPr>
              <w:t>)</w:t>
            </w:r>
          </w:p>
        </w:tc>
        <w:tc>
          <w:tcPr>
            <w:tcW w:w="6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1089" w:type="dxa"/>
            <w:tcBorders/>
            <w:vAlign w:val="center"/>
          </w:tcPr>
          <w:p>
            <w:pPr>
              <w:pStyle w:val="TableContents"/>
              <w:bidi w:val="0"/>
              <w:spacing w:before="0" w:after="283"/>
              <w:jc w:val="right"/>
              <w:rPr/>
            </w:pPr>
            <w:r>
              <w:rPr/>
              <w:t>(5,518</w:t>
            </w:r>
          </w:p>
        </w:tc>
        <w:tc>
          <w:tcPr>
            <w:tcW w:w="151" w:type="dxa"/>
            <w:tcBorders/>
            <w:vAlign w:val="center"/>
          </w:tcPr>
          <w:p>
            <w:pPr>
              <w:pStyle w:val="TableContents"/>
              <w:bidi w:val="0"/>
              <w:spacing w:before="0" w:after="283"/>
              <w:jc w:val="left"/>
              <w:rPr/>
            </w:pPr>
            <w:r>
              <w:rPr/>
              <w:t>)</w:t>
            </w:r>
          </w:p>
        </w:tc>
      </w:tr>
      <w:tr>
        <w:trPr/>
        <w:tc>
          <w:tcPr>
            <w:tcW w:w="5705" w:type="dxa"/>
            <w:tcBorders>
              <w:bottom w:val="single" w:sz="8" w:space="0" w:color="000000"/>
            </w:tcBorders>
            <w:shd w:fill="CCEEFF" w:val="clear"/>
            <w:tcMar>
              <w:bottom w:w="28" w:type="dxa"/>
            </w:tcMar>
            <w:vAlign w:val="center"/>
          </w:tcPr>
          <w:p>
            <w:pPr>
              <w:pStyle w:val="TableContents"/>
              <w:bidi w:val="0"/>
              <w:spacing w:before="0" w:after="283"/>
              <w:jc w:val="left"/>
              <w:rPr/>
            </w:pPr>
            <w:r>
              <w:rPr/>
              <w:t>Less: Current Portion of Long-term Debt</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3"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(7,740</w:t>
            </w:r>
          </w:p>
        </w:tc>
        <w:tc>
          <w:tcPr>
            <w:tcW w:w="131"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89" w:type="dxa"/>
            <w:tcBorders>
              <w:bottom w:val="single" w:sz="8" w:space="0" w:color="000000"/>
            </w:tcBorders>
            <w:shd w:fill="CCEEFF" w:val="clear"/>
            <w:tcMar>
              <w:bottom w:w="28" w:type="dxa"/>
            </w:tcMar>
            <w:vAlign w:val="center"/>
          </w:tcPr>
          <w:p>
            <w:pPr>
              <w:pStyle w:val="TableContents"/>
              <w:bidi w:val="0"/>
              <w:spacing w:before="0" w:after="283"/>
              <w:jc w:val="right"/>
              <w:rPr/>
            </w:pPr>
            <w:r>
              <w:rPr/>
              <w:t>(17,462</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r>
      <w:tr>
        <w:trPr/>
        <w:tc>
          <w:tcPr>
            <w:tcW w:w="5705" w:type="dxa"/>
            <w:tcBorders>
              <w:bottom w:val="single" w:sz="8" w:space="0" w:color="000000"/>
            </w:tcBorders>
            <w:tcMar>
              <w:bottom w:w="28" w:type="dxa"/>
            </w:tcMar>
            <w:vAlign w:val="center"/>
          </w:tcPr>
          <w:p>
            <w:pPr>
              <w:pStyle w:val="TableContents"/>
              <w:bidi w:val="0"/>
              <w:spacing w:before="0" w:after="283"/>
              <w:jc w:val="left"/>
              <w:rPr/>
            </w:pPr>
            <w:r>
              <w:rPr/>
              <w:t>TOTAL LONG-TERM DEBT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90" w:type="dxa"/>
            <w:tcBorders>
              <w:bottom w:val="single" w:sz="8" w:space="0" w:color="000000"/>
            </w:tcBorders>
            <w:tcMar>
              <w:bottom w:w="28" w:type="dxa"/>
            </w:tcMar>
            <w:vAlign w:val="center"/>
          </w:tcPr>
          <w:p>
            <w:pPr>
              <w:pStyle w:val="TableContents"/>
              <w:bidi w:val="0"/>
              <w:spacing w:before="0" w:after="283"/>
              <w:jc w:val="left"/>
              <w:rPr>
                <w:b/>
              </w:rPr>
            </w:pPr>
            <w:r>
              <w:rPr>
                <w:b/>
              </w:rPr>
              <w:t>$</w:t>
            </w:r>
          </w:p>
        </w:tc>
        <w:tc>
          <w:tcPr>
            <w:tcW w:w="1093" w:type="dxa"/>
            <w:tcBorders>
              <w:bottom w:val="single" w:sz="8" w:space="0" w:color="000000"/>
            </w:tcBorders>
            <w:tcMar>
              <w:bottom w:w="28" w:type="dxa"/>
            </w:tcMar>
            <w:vAlign w:val="center"/>
          </w:tcPr>
          <w:p>
            <w:pPr>
              <w:pStyle w:val="TableContents"/>
              <w:bidi w:val="0"/>
              <w:spacing w:before="0" w:after="283"/>
              <w:jc w:val="right"/>
              <w:rPr>
                <w:b/>
              </w:rPr>
            </w:pPr>
            <w:r>
              <w:rPr>
                <w:b/>
              </w:rPr>
              <w:t>358,153</w:t>
            </w:r>
          </w:p>
        </w:tc>
        <w:tc>
          <w:tcPr>
            <w:tcW w:w="131"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89" w:type="dxa"/>
            <w:tcBorders>
              <w:bottom w:val="single" w:sz="8" w:space="0" w:color="000000"/>
            </w:tcBorders>
            <w:tcMar>
              <w:bottom w:w="28" w:type="dxa"/>
            </w:tcMar>
            <w:vAlign w:val="center"/>
          </w:tcPr>
          <w:p>
            <w:pPr>
              <w:pStyle w:val="TableContents"/>
              <w:bidi w:val="0"/>
              <w:spacing w:before="0" w:after="283"/>
              <w:jc w:val="left"/>
              <w:rPr/>
            </w:pPr>
            <w:r>
              <w:rPr/>
              <w:t>$</w:t>
            </w:r>
          </w:p>
        </w:tc>
        <w:tc>
          <w:tcPr>
            <w:tcW w:w="1089" w:type="dxa"/>
            <w:tcBorders>
              <w:bottom w:val="single" w:sz="8" w:space="0" w:color="000000"/>
            </w:tcBorders>
            <w:tcMar>
              <w:bottom w:w="28" w:type="dxa"/>
            </w:tcMar>
            <w:vAlign w:val="center"/>
          </w:tcPr>
          <w:p>
            <w:pPr>
              <w:pStyle w:val="TableContents"/>
              <w:bidi w:val="0"/>
              <w:spacing w:before="0" w:after="283"/>
              <w:jc w:val="right"/>
              <w:rPr/>
            </w:pPr>
            <w:r>
              <w:rPr/>
              <w:t>290,280</w:t>
            </w:r>
          </w:p>
        </w:tc>
        <w:tc>
          <w:tcPr>
            <w:tcW w:w="151"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47 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MIDDLESEX WATER COMPANY</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COMMON STOCKHOLDERS' EQUITY</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jc w:val="left"/>
        <w:rPr>
          <w:caps w:val="false"/>
          <w:smallCaps w:val="false"/>
        </w:rPr>
      </w:pPr>
      <w:r>
        <w:rPr>
          <w:caps w:val="false"/>
          <w:smallCaps w:val="false"/>
        </w:rPr>
        <w:t> </w:t>
      </w:r>
    </w:p>
    <w:tbl>
      <w:tblPr>
        <w:tblW w:w="9575" w:type="dxa"/>
        <w:jc w:val="left"/>
        <w:tblInd w:w="0" w:type="dxa"/>
        <w:tblLayout w:type="fixed"/>
        <w:tblCellMar>
          <w:top w:w="0" w:type="dxa"/>
          <w:left w:w="0" w:type="dxa"/>
          <w:bottom w:w="0" w:type="dxa"/>
          <w:right w:w="0" w:type="dxa"/>
        </w:tblCellMar>
      </w:tblPr>
      <w:tblGrid>
        <w:gridCol w:w="5450"/>
        <w:gridCol w:w="60"/>
        <w:gridCol w:w="60"/>
        <w:gridCol w:w="680"/>
        <w:gridCol w:w="60"/>
        <w:gridCol w:w="60"/>
        <w:gridCol w:w="140"/>
        <w:gridCol w:w="800"/>
        <w:gridCol w:w="60"/>
        <w:gridCol w:w="60"/>
        <w:gridCol w:w="140"/>
        <w:gridCol w:w="800"/>
        <w:gridCol w:w="95"/>
        <w:gridCol w:w="60"/>
        <w:gridCol w:w="140"/>
        <w:gridCol w:w="800"/>
        <w:gridCol w:w="110"/>
      </w:tblGrid>
      <w:tr>
        <w:trPr/>
        <w:tc>
          <w:tcPr>
            <w:tcW w:w="545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 w:type="dxa"/>
            <w:gridSpan w:val="3"/>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00" w:type="dxa"/>
            <w:gridSpan w:val="3"/>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35" w:type="dxa"/>
            <w:gridSpan w:val="3"/>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50" w:type="dxa"/>
            <w:gridSpan w:val="3"/>
            <w:tcBorders/>
            <w:vAlign w:val="center"/>
          </w:tcPr>
          <w:p>
            <w:pPr>
              <w:pStyle w:val="TableContents"/>
              <w:bidi w:val="0"/>
              <w:spacing w:before="0" w:after="283"/>
              <w:jc w:val="center"/>
              <w:rPr>
                <w:caps w:val="false"/>
                <w:smallCaps w:val="false"/>
              </w:rPr>
            </w:pPr>
            <w:r>
              <w:rPr>
                <w:caps w:val="false"/>
                <w:smallCaps w:val="false"/>
              </w:rPr>
              <w:t> </w:t>
            </w:r>
          </w:p>
        </w:tc>
      </w:tr>
      <w:tr>
        <w:trPr/>
        <w:tc>
          <w:tcPr>
            <w:tcW w:w="545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 w:type="dxa"/>
            <w:gridSpan w:val="3"/>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00" w:type="dxa"/>
            <w:gridSpan w:val="3"/>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35" w:type="dxa"/>
            <w:gridSpan w:val="3"/>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Retained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50" w:type="dxa"/>
            <w:gridSpan w:val="3"/>
            <w:tcBorders/>
            <w:vAlign w:val="center"/>
          </w:tcPr>
          <w:p>
            <w:pPr>
              <w:pStyle w:val="TableContents"/>
              <w:bidi w:val="0"/>
              <w:spacing w:before="0" w:after="283"/>
              <w:jc w:val="center"/>
              <w:rPr>
                <w:caps w:val="false"/>
                <w:smallCaps w:val="false"/>
              </w:rPr>
            </w:pPr>
            <w:r>
              <w:rPr>
                <w:caps w:val="false"/>
                <w:smallCaps w:val="false"/>
              </w:rPr>
              <w:t> </w:t>
            </w:r>
          </w:p>
        </w:tc>
      </w:tr>
      <w:tr>
        <w:trPr/>
        <w:tc>
          <w:tcPr>
            <w:tcW w:w="545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 w:type="dxa"/>
            <w:gridSpan w:val="3"/>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00" w:type="dxa"/>
            <w:gridSpan w:val="3"/>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35" w:type="dxa"/>
            <w:gridSpan w:val="3"/>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Earnings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50" w:type="dxa"/>
            <w:gridSpan w:val="3"/>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r>
      <w:tr>
        <w:trPr/>
        <w:tc>
          <w:tcPr>
            <w:tcW w:w="54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00"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00"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35"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50" w:type="dxa"/>
            <w:gridSpan w:val="3"/>
            <w:tcBorders/>
            <w:vAlign w:val="center"/>
          </w:tcPr>
          <w:p>
            <w:pPr>
              <w:pStyle w:val="TableContents"/>
              <w:bidi w:val="0"/>
              <w:spacing w:before="0" w:after="283"/>
              <w:jc w:val="center"/>
              <w:rPr/>
            </w:pPr>
            <w:r>
              <w:rPr/>
              <w:t> </w:t>
            </w:r>
          </w:p>
        </w:tc>
      </w:tr>
      <w:tr>
        <w:trPr/>
        <w:tc>
          <w:tcPr>
            <w:tcW w:w="5450" w:type="dxa"/>
            <w:tcBorders/>
            <w:shd w:fill="CCEEFF" w:val="clear"/>
            <w:vAlign w:val="center"/>
          </w:tcPr>
          <w:p>
            <w:pPr>
              <w:pStyle w:val="TableContents"/>
              <w:bidi w:val="0"/>
              <w:spacing w:before="0" w:after="283"/>
              <w:jc w:val="left"/>
              <w:rPr/>
            </w:pPr>
            <w:r>
              <w:rPr/>
              <w:t>Balance at January 1, 2021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17,473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217,451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128,757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346,208</w:t>
            </w:r>
          </w:p>
        </w:tc>
        <w:tc>
          <w:tcPr>
            <w:tcW w:w="110" w:type="dxa"/>
            <w:tcBorders/>
            <w:shd w:fill="CCEEFF" w:val="clear"/>
            <w:vAlign w:val="center"/>
          </w:tcPr>
          <w:p>
            <w:pPr>
              <w:pStyle w:val="TableContents"/>
              <w:bidi w:val="0"/>
              <w:spacing w:before="0" w:after="283"/>
              <w:jc w:val="left"/>
              <w:rPr/>
            </w:pPr>
            <w:r>
              <w:rPr/>
              <w:t> </w:t>
            </w:r>
          </w:p>
        </w:tc>
      </w:tr>
      <w:tr>
        <w:trPr/>
        <w:tc>
          <w:tcPr>
            <w:tcW w:w="5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283"/>
              <w:jc w:val="left"/>
              <w:rPr/>
            </w:pPr>
            <w:r>
              <w:rPr/>
              <w:t>Net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36,543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36,543</w:t>
            </w:r>
          </w:p>
        </w:tc>
        <w:tc>
          <w:tcPr>
            <w:tcW w:w="110" w:type="dxa"/>
            <w:tcBorders/>
            <w:shd w:fill="CCEEFF" w:val="clear"/>
            <w:vAlign w:val="center"/>
          </w:tcPr>
          <w:p>
            <w:pPr>
              <w:pStyle w:val="TableContents"/>
              <w:bidi w:val="0"/>
              <w:spacing w:before="0" w:after="283"/>
              <w:jc w:val="left"/>
              <w:rPr/>
            </w:pPr>
            <w:r>
              <w:rPr/>
              <w:t> </w:t>
            </w:r>
          </w:p>
        </w:tc>
      </w:tr>
      <w:tr>
        <w:trPr/>
        <w:tc>
          <w:tcPr>
            <w:tcW w:w="5450" w:type="dxa"/>
            <w:tcBorders/>
            <w:vAlign w:val="center"/>
          </w:tcPr>
          <w:p>
            <w:pPr>
              <w:pStyle w:val="TableContents"/>
              <w:bidi w:val="0"/>
              <w:spacing w:before="0" w:after="283"/>
              <w:jc w:val="left"/>
              <w:rPr/>
            </w:pPr>
            <w:r>
              <w:rPr/>
              <w:t>Dividend Reinvestment &amp; Common Stock Purchase Plan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40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3,837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3,837</w:t>
            </w:r>
          </w:p>
        </w:tc>
        <w:tc>
          <w:tcPr>
            <w:tcW w:w="110" w:type="dxa"/>
            <w:tcBorders/>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283"/>
              <w:jc w:val="left"/>
              <w:rPr/>
            </w:pPr>
            <w:r>
              <w:rPr/>
              <w:t>Restricted Stock Award - Net - Employees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350</w:t>
            </w:r>
          </w:p>
        </w:tc>
        <w:tc>
          <w:tcPr>
            <w:tcW w:w="110" w:type="dxa"/>
            <w:tcBorders/>
            <w:shd w:fill="CCEEFF" w:val="clear"/>
            <w:vAlign w:val="center"/>
          </w:tcPr>
          <w:p>
            <w:pPr>
              <w:pStyle w:val="TableContents"/>
              <w:bidi w:val="0"/>
              <w:spacing w:before="0" w:after="283"/>
              <w:jc w:val="left"/>
              <w:rPr/>
            </w:pPr>
            <w:r>
              <w:rPr/>
              <w:t> </w:t>
            </w:r>
          </w:p>
        </w:tc>
      </w:tr>
      <w:tr>
        <w:trPr/>
        <w:tc>
          <w:tcPr>
            <w:tcW w:w="5450" w:type="dxa"/>
            <w:tcBorders/>
            <w:vAlign w:val="center"/>
          </w:tcPr>
          <w:p>
            <w:pPr>
              <w:pStyle w:val="TableContents"/>
              <w:bidi w:val="0"/>
              <w:spacing w:before="0" w:after="283"/>
              <w:jc w:val="left"/>
              <w:rPr/>
            </w:pPr>
            <w:r>
              <w:rPr/>
              <w:t>Stock Award - Board Of Directors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281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281</w:t>
            </w:r>
          </w:p>
        </w:tc>
        <w:tc>
          <w:tcPr>
            <w:tcW w:w="110" w:type="dxa"/>
            <w:tcBorders/>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283"/>
              <w:jc w:val="left"/>
              <w:rPr/>
            </w:pPr>
            <w:r>
              <w:rPr/>
              <w:t>Cash Dividends on Common Stock ($1.108 per share)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(19,373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(19,373</w:t>
            </w:r>
          </w:p>
        </w:tc>
        <w:tc>
          <w:tcPr>
            <w:tcW w:w="110" w:type="dxa"/>
            <w:tcBorders/>
            <w:shd w:fill="CCEEFF" w:val="clear"/>
            <w:vAlign w:val="center"/>
          </w:tcPr>
          <w:p>
            <w:pPr>
              <w:pStyle w:val="TableContents"/>
              <w:bidi w:val="0"/>
              <w:spacing w:before="0" w:after="283"/>
              <w:jc w:val="left"/>
              <w:rPr/>
            </w:pPr>
            <w:r>
              <w:rPr/>
              <w:t>)</w:t>
            </w:r>
          </w:p>
        </w:tc>
      </w:tr>
      <w:tr>
        <w:trPr/>
        <w:tc>
          <w:tcPr>
            <w:tcW w:w="5450" w:type="dxa"/>
            <w:tcBorders/>
            <w:vAlign w:val="center"/>
          </w:tcPr>
          <w:p>
            <w:pPr>
              <w:pStyle w:val="TableContents"/>
              <w:bidi w:val="0"/>
              <w:spacing w:before="0" w:after="283"/>
              <w:jc w:val="left"/>
              <w:rPr/>
            </w:pPr>
            <w:r>
              <w:rPr/>
              <w:t>Cash Dividends on Preferred Stock</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tcMar>
              <w:bottom w:w="28" w:type="dxa"/>
            </w:tcMar>
            <w:vAlign w:val="center"/>
          </w:tcPr>
          <w:p>
            <w:pPr>
              <w:pStyle w:val="TableContents"/>
              <w:bidi w:val="0"/>
              <w:spacing w:before="0" w:after="283"/>
              <w:jc w:val="right"/>
              <w:rPr/>
            </w:pPr>
            <w:r>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0"/>
              <w:jc w:val="right"/>
              <w:rPr/>
            </w:pPr>
            <w:r>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right"/>
              <w:rPr/>
            </w:pPr>
            <w:r>
              <w:rPr/>
              <w:t>(120</w:t>
            </w:r>
          </w:p>
        </w:tc>
        <w:tc>
          <w:tcPr>
            <w:tcW w:w="95" w:type="dxa"/>
            <w:tcBorders>
              <w:bottom w:val="single" w:sz="8" w:space="0" w:color="000000"/>
            </w:tcBorders>
            <w:tcMar>
              <w:bottom w:w="28" w:type="dxa"/>
            </w:tcMar>
            <w:vAlign w:val="center"/>
          </w:tcPr>
          <w:p>
            <w:pPr>
              <w:pStyle w:val="TableContents"/>
              <w:bidi w:val="0"/>
              <w:spacing w:before="0" w:after="283"/>
              <w:jc w:val="left"/>
              <w:rPr/>
            </w:pPr>
            <w:r>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right"/>
              <w:rPr/>
            </w:pPr>
            <w:r>
              <w:rPr/>
              <w:t>(120</w:t>
            </w:r>
          </w:p>
        </w:tc>
        <w:tc>
          <w:tcPr>
            <w:tcW w:w="110" w:type="dxa"/>
            <w:tcBorders>
              <w:bottom w:val="single" w:sz="8" w:space="0" w:color="000000"/>
            </w:tcBorders>
            <w:tcMar>
              <w:bottom w:w="28" w:type="dxa"/>
            </w:tcMar>
            <w:vAlign w:val="center"/>
          </w:tcPr>
          <w:p>
            <w:pPr>
              <w:pStyle w:val="TableContents"/>
              <w:bidi w:val="0"/>
              <w:spacing w:before="0" w:after="283"/>
              <w:jc w:val="left"/>
              <w:rPr/>
            </w:pPr>
            <w:r>
              <w:rPr/>
              <w:t>)</w:t>
            </w:r>
          </w:p>
        </w:tc>
      </w:tr>
      <w:tr>
        <w:trPr/>
        <w:tc>
          <w:tcPr>
            <w:tcW w:w="5450" w:type="dxa"/>
            <w:tcBorders/>
            <w:shd w:fill="CCEEFF" w:val="clear"/>
            <w:vAlign w:val="center"/>
          </w:tcPr>
          <w:p>
            <w:pPr>
              <w:pStyle w:val="TableContents"/>
              <w:bidi w:val="0"/>
              <w:spacing w:before="0" w:after="283"/>
              <w:jc w:val="left"/>
              <w:rPr/>
            </w:pPr>
            <w:r>
              <w:rPr/>
              <w:t>Balance at December 31, 2021</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17,522</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221,919</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145,807</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367,726</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5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283"/>
              <w:jc w:val="left"/>
              <w:rPr/>
            </w:pPr>
            <w:r>
              <w:rPr/>
              <w:t>Net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42,429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42,429</w:t>
            </w:r>
          </w:p>
        </w:tc>
        <w:tc>
          <w:tcPr>
            <w:tcW w:w="110" w:type="dxa"/>
            <w:tcBorders/>
            <w:shd w:fill="CCEEFF" w:val="clear"/>
            <w:vAlign w:val="center"/>
          </w:tcPr>
          <w:p>
            <w:pPr>
              <w:pStyle w:val="TableContents"/>
              <w:bidi w:val="0"/>
              <w:spacing w:before="0" w:after="283"/>
              <w:jc w:val="left"/>
              <w:rPr/>
            </w:pPr>
            <w:r>
              <w:rPr/>
              <w:t> </w:t>
            </w:r>
          </w:p>
        </w:tc>
      </w:tr>
      <w:tr>
        <w:trPr/>
        <w:tc>
          <w:tcPr>
            <w:tcW w:w="5450" w:type="dxa"/>
            <w:tcBorders/>
            <w:vAlign w:val="center"/>
          </w:tcPr>
          <w:p>
            <w:pPr>
              <w:pStyle w:val="TableContents"/>
              <w:bidi w:val="0"/>
              <w:spacing w:before="0" w:after="283"/>
              <w:jc w:val="left"/>
              <w:rPr/>
            </w:pPr>
            <w:r>
              <w:rPr/>
              <w:t>Dividend Reinvestment &amp; Common Stock Purchase Plan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114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10,335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10,335</w:t>
            </w:r>
          </w:p>
        </w:tc>
        <w:tc>
          <w:tcPr>
            <w:tcW w:w="110" w:type="dxa"/>
            <w:tcBorders/>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283"/>
              <w:jc w:val="left"/>
              <w:rPr/>
            </w:pPr>
            <w:r>
              <w:rPr/>
              <w:t>Restricted Stock Award - Net - Employees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520</w:t>
            </w:r>
          </w:p>
        </w:tc>
        <w:tc>
          <w:tcPr>
            <w:tcW w:w="110" w:type="dxa"/>
            <w:tcBorders/>
            <w:shd w:fill="CCEEFF" w:val="clear"/>
            <w:vAlign w:val="center"/>
          </w:tcPr>
          <w:p>
            <w:pPr>
              <w:pStyle w:val="TableContents"/>
              <w:bidi w:val="0"/>
              <w:spacing w:before="0" w:after="283"/>
              <w:jc w:val="left"/>
              <w:rPr/>
            </w:pPr>
            <w:r>
              <w:rPr/>
              <w:t> </w:t>
            </w:r>
          </w:p>
        </w:tc>
      </w:tr>
      <w:tr>
        <w:trPr/>
        <w:tc>
          <w:tcPr>
            <w:tcW w:w="5450" w:type="dxa"/>
            <w:tcBorders/>
            <w:vAlign w:val="center"/>
          </w:tcPr>
          <w:p>
            <w:pPr>
              <w:pStyle w:val="TableContents"/>
              <w:bidi w:val="0"/>
              <w:spacing w:before="0" w:after="283"/>
              <w:jc w:val="left"/>
              <w:rPr/>
            </w:pPr>
            <w:r>
              <w:rPr/>
              <w:t>Stock Award - Board Of Directors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280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280</w:t>
            </w:r>
          </w:p>
        </w:tc>
        <w:tc>
          <w:tcPr>
            <w:tcW w:w="110" w:type="dxa"/>
            <w:tcBorders/>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283"/>
              <w:jc w:val="left"/>
              <w:rPr/>
            </w:pPr>
            <w:r>
              <w:rPr/>
              <w:t>Cash Dividends on Common Stock ($1.1825 per share)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(20,810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(20,810</w:t>
            </w:r>
          </w:p>
        </w:tc>
        <w:tc>
          <w:tcPr>
            <w:tcW w:w="110" w:type="dxa"/>
            <w:tcBorders/>
            <w:shd w:fill="CCEEFF" w:val="clear"/>
            <w:vAlign w:val="center"/>
          </w:tcPr>
          <w:p>
            <w:pPr>
              <w:pStyle w:val="TableContents"/>
              <w:bidi w:val="0"/>
              <w:spacing w:before="0" w:after="283"/>
              <w:jc w:val="left"/>
              <w:rPr/>
            </w:pPr>
            <w:r>
              <w:rPr/>
              <w:t>)</w:t>
            </w:r>
          </w:p>
        </w:tc>
      </w:tr>
      <w:tr>
        <w:trPr/>
        <w:tc>
          <w:tcPr>
            <w:tcW w:w="5450" w:type="dxa"/>
            <w:tcBorders/>
            <w:vAlign w:val="center"/>
          </w:tcPr>
          <w:p>
            <w:pPr>
              <w:pStyle w:val="TableContents"/>
              <w:bidi w:val="0"/>
              <w:spacing w:before="0" w:after="283"/>
              <w:jc w:val="left"/>
              <w:rPr/>
            </w:pPr>
            <w:r>
              <w:rPr/>
              <w:t>Cash Dividends on Preferred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(120</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(120</w:t>
            </w:r>
          </w:p>
        </w:tc>
        <w:tc>
          <w:tcPr>
            <w:tcW w:w="110" w:type="dxa"/>
            <w:tcBorders/>
            <w:vAlign w:val="center"/>
          </w:tcPr>
          <w:p>
            <w:pPr>
              <w:pStyle w:val="TableContents"/>
              <w:bidi w:val="0"/>
              <w:spacing w:before="0" w:after="283"/>
              <w:jc w:val="left"/>
              <w:rPr/>
            </w:pPr>
            <w:r>
              <w:rPr/>
              <w:t>)</w:t>
            </w:r>
          </w:p>
        </w:tc>
      </w:tr>
      <w:tr>
        <w:trPr/>
        <w:tc>
          <w:tcPr>
            <w:tcW w:w="5450" w:type="dxa"/>
            <w:tcBorders/>
            <w:shd w:fill="CCEEFF" w:val="clear"/>
            <w:vAlign w:val="center"/>
          </w:tcPr>
          <w:p>
            <w:pPr>
              <w:pStyle w:val="TableContents"/>
              <w:bidi w:val="0"/>
              <w:spacing w:before="0" w:after="283"/>
              <w:jc w:val="left"/>
              <w:rPr/>
            </w:pPr>
            <w:r>
              <w:rPr/>
              <w:t>Common Stock Issuance Expenses</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(32</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(32</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r>
      <w:tr>
        <w:trPr/>
        <w:tc>
          <w:tcPr>
            <w:tcW w:w="5450" w:type="dxa"/>
            <w:tcBorders/>
            <w:vAlign w:val="center"/>
          </w:tcPr>
          <w:p>
            <w:pPr>
              <w:pStyle w:val="TableContents"/>
              <w:bidi w:val="0"/>
              <w:spacing w:before="0" w:after="283"/>
              <w:jc w:val="left"/>
              <w:rPr/>
            </w:pPr>
            <w:r>
              <w:rPr/>
              <w:t>Balance at December 31, 2022</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tcMar>
              <w:bottom w:w="28" w:type="dxa"/>
            </w:tcMar>
            <w:vAlign w:val="center"/>
          </w:tcPr>
          <w:p>
            <w:pPr>
              <w:pStyle w:val="TableContents"/>
              <w:bidi w:val="0"/>
              <w:spacing w:before="0" w:after="283"/>
              <w:jc w:val="right"/>
              <w:rPr/>
            </w:pPr>
            <w:r>
              <w:rPr/>
              <w:t>17,642</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w:t>
            </w:r>
          </w:p>
        </w:tc>
        <w:tc>
          <w:tcPr>
            <w:tcW w:w="800" w:type="dxa"/>
            <w:tcBorders>
              <w:bottom w:val="single" w:sz="8" w:space="0" w:color="000000"/>
            </w:tcBorders>
            <w:tcMar>
              <w:bottom w:w="28" w:type="dxa"/>
            </w:tcMar>
            <w:vAlign w:val="center"/>
          </w:tcPr>
          <w:p>
            <w:pPr>
              <w:pStyle w:val="TableContents"/>
              <w:bidi w:val="0"/>
              <w:spacing w:before="0" w:after="283"/>
              <w:jc w:val="right"/>
              <w:rPr/>
            </w:pPr>
            <w:r>
              <w:rPr/>
              <w:t>233,054</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w:t>
            </w:r>
          </w:p>
        </w:tc>
        <w:tc>
          <w:tcPr>
            <w:tcW w:w="800" w:type="dxa"/>
            <w:tcBorders>
              <w:bottom w:val="single" w:sz="8" w:space="0" w:color="000000"/>
            </w:tcBorders>
            <w:tcMar>
              <w:bottom w:w="28" w:type="dxa"/>
            </w:tcMar>
            <w:vAlign w:val="center"/>
          </w:tcPr>
          <w:p>
            <w:pPr>
              <w:pStyle w:val="TableContents"/>
              <w:bidi w:val="0"/>
              <w:spacing w:before="0" w:after="283"/>
              <w:jc w:val="right"/>
              <w:rPr/>
            </w:pPr>
            <w:r>
              <w:rPr/>
              <w:t>167,274</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w:t>
            </w:r>
          </w:p>
        </w:tc>
        <w:tc>
          <w:tcPr>
            <w:tcW w:w="800" w:type="dxa"/>
            <w:tcBorders>
              <w:bottom w:val="single" w:sz="8" w:space="0" w:color="000000"/>
            </w:tcBorders>
            <w:tcMar>
              <w:bottom w:w="28" w:type="dxa"/>
            </w:tcMar>
            <w:vAlign w:val="center"/>
          </w:tcPr>
          <w:p>
            <w:pPr>
              <w:pStyle w:val="TableContents"/>
              <w:bidi w:val="0"/>
              <w:spacing w:before="0" w:after="283"/>
              <w:jc w:val="right"/>
              <w:rPr/>
            </w:pPr>
            <w:r>
              <w:rPr/>
              <w:t>400,328</w:t>
            </w:r>
          </w:p>
        </w:tc>
        <w:tc>
          <w:tcPr>
            <w:tcW w:w="11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450" w:type="dxa"/>
            <w:tcBorders/>
            <w:vAlign w:val="center"/>
          </w:tcPr>
          <w:p>
            <w:pPr>
              <w:pStyle w:val="TableContents"/>
              <w:bidi w:val="0"/>
              <w:spacing w:before="0" w:after="283"/>
              <w:jc w:val="left"/>
              <w:rPr/>
            </w:pPr>
            <w:r>
              <w:rPr/>
              <w:t>Net Income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31,524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31,524</w:t>
            </w:r>
          </w:p>
        </w:tc>
        <w:tc>
          <w:tcPr>
            <w:tcW w:w="110" w:type="dxa"/>
            <w:tcBorders/>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283"/>
              <w:jc w:val="left"/>
              <w:rPr/>
            </w:pPr>
            <w:r>
              <w:rPr/>
              <w:t>Dividend Reinvestment &amp; Common Stock Purchase Plan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12,115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12,115</w:t>
            </w:r>
          </w:p>
        </w:tc>
        <w:tc>
          <w:tcPr>
            <w:tcW w:w="110" w:type="dxa"/>
            <w:tcBorders/>
            <w:shd w:fill="CCEEFF" w:val="clear"/>
            <w:vAlign w:val="center"/>
          </w:tcPr>
          <w:p>
            <w:pPr>
              <w:pStyle w:val="TableContents"/>
              <w:bidi w:val="0"/>
              <w:spacing w:before="0" w:after="283"/>
              <w:jc w:val="left"/>
              <w:rPr/>
            </w:pPr>
            <w:r>
              <w:rPr/>
              <w:t> </w:t>
            </w:r>
          </w:p>
        </w:tc>
      </w:tr>
      <w:tr>
        <w:trPr/>
        <w:tc>
          <w:tcPr>
            <w:tcW w:w="5450" w:type="dxa"/>
            <w:tcBorders/>
            <w:vAlign w:val="center"/>
          </w:tcPr>
          <w:p>
            <w:pPr>
              <w:pStyle w:val="TableContents"/>
              <w:bidi w:val="0"/>
              <w:spacing w:before="0" w:after="283"/>
              <w:jc w:val="left"/>
              <w:rPr/>
            </w:pPr>
            <w:r>
              <w:rPr/>
              <w:t>Restricted Stock Award - Net - Employees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1,235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1,235</w:t>
            </w:r>
          </w:p>
        </w:tc>
        <w:tc>
          <w:tcPr>
            <w:tcW w:w="110" w:type="dxa"/>
            <w:tcBorders/>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283"/>
              <w:jc w:val="left"/>
              <w:rPr/>
            </w:pPr>
            <w:r>
              <w:rPr/>
              <w:t>Stock Award - Board Of Directors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360</w:t>
            </w:r>
          </w:p>
        </w:tc>
        <w:tc>
          <w:tcPr>
            <w:tcW w:w="110" w:type="dxa"/>
            <w:tcBorders/>
            <w:shd w:fill="CCEEFF" w:val="clear"/>
            <w:vAlign w:val="center"/>
          </w:tcPr>
          <w:p>
            <w:pPr>
              <w:pStyle w:val="TableContents"/>
              <w:bidi w:val="0"/>
              <w:spacing w:before="0" w:after="283"/>
              <w:jc w:val="left"/>
              <w:rPr/>
            </w:pPr>
            <w:r>
              <w:rPr/>
              <w:t> </w:t>
            </w:r>
          </w:p>
        </w:tc>
      </w:tr>
      <w:tr>
        <w:trPr/>
        <w:tc>
          <w:tcPr>
            <w:tcW w:w="5450" w:type="dxa"/>
            <w:tcBorders/>
            <w:vAlign w:val="center"/>
          </w:tcPr>
          <w:p>
            <w:pPr>
              <w:pStyle w:val="TableContents"/>
              <w:bidi w:val="0"/>
              <w:spacing w:before="0" w:after="283"/>
              <w:jc w:val="left"/>
              <w:rPr/>
            </w:pPr>
            <w:r>
              <w:rPr/>
              <w:t>Cash Dividends on Common Stock ($1.2625 per 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(22,441</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(22,441</w:t>
            </w:r>
          </w:p>
        </w:tc>
        <w:tc>
          <w:tcPr>
            <w:tcW w:w="110" w:type="dxa"/>
            <w:tcBorders/>
            <w:vAlign w:val="center"/>
          </w:tcPr>
          <w:p>
            <w:pPr>
              <w:pStyle w:val="TableContents"/>
              <w:bidi w:val="0"/>
              <w:spacing w:before="0" w:after="283"/>
              <w:jc w:val="left"/>
              <w:rPr/>
            </w:pPr>
            <w:r>
              <w:rPr/>
              <w:t>)</w:t>
            </w:r>
          </w:p>
        </w:tc>
      </w:tr>
      <w:tr>
        <w:trPr/>
        <w:tc>
          <w:tcPr>
            <w:tcW w:w="5450" w:type="dxa"/>
            <w:tcBorders/>
            <w:shd w:fill="CCEEFF" w:val="clear"/>
            <w:vAlign w:val="center"/>
          </w:tcPr>
          <w:p>
            <w:pPr>
              <w:pStyle w:val="TableContents"/>
              <w:bidi w:val="0"/>
              <w:spacing w:before="0" w:after="283"/>
              <w:jc w:val="left"/>
              <w:rPr/>
            </w:pPr>
            <w:r>
              <w:rPr/>
              <w:t>Cash Dividends on Preferred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(120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(120</w:t>
            </w:r>
          </w:p>
        </w:tc>
        <w:tc>
          <w:tcPr>
            <w:tcW w:w="110" w:type="dxa"/>
            <w:tcBorders/>
            <w:shd w:fill="CCEEFF" w:val="clear"/>
            <w:vAlign w:val="center"/>
          </w:tcPr>
          <w:p>
            <w:pPr>
              <w:pStyle w:val="TableContents"/>
              <w:bidi w:val="0"/>
              <w:spacing w:before="0" w:after="283"/>
              <w:jc w:val="left"/>
              <w:rPr/>
            </w:pPr>
            <w:r>
              <w:rPr/>
              <w:t>)</w:t>
            </w:r>
          </w:p>
        </w:tc>
      </w:tr>
      <w:tr>
        <w:trPr/>
        <w:tc>
          <w:tcPr>
            <w:tcW w:w="5450" w:type="dxa"/>
            <w:tcBorders/>
            <w:vAlign w:val="center"/>
          </w:tcPr>
          <w:p>
            <w:pPr>
              <w:pStyle w:val="TableContents"/>
              <w:bidi w:val="0"/>
              <w:spacing w:before="0" w:after="283"/>
              <w:jc w:val="left"/>
              <w:rPr/>
            </w:pPr>
            <w:r>
              <w:rPr/>
              <w:t>Common Stock Issuance Expenses</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tcMar>
              <w:bottom w:w="28" w:type="dxa"/>
            </w:tcMar>
            <w:vAlign w:val="center"/>
          </w:tcPr>
          <w:p>
            <w:pPr>
              <w:pStyle w:val="TableContents"/>
              <w:bidi w:val="0"/>
              <w:spacing w:before="0" w:after="283"/>
              <w:jc w:val="right"/>
              <w:rPr/>
            </w:pPr>
            <w:r>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0"/>
              <w:jc w:val="right"/>
              <w:rPr/>
            </w:pPr>
            <w:r>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right"/>
              <w:rPr/>
            </w:pPr>
            <w:r>
              <w:rPr/>
              <w:t>(10</w:t>
            </w:r>
          </w:p>
        </w:tc>
        <w:tc>
          <w:tcPr>
            <w:tcW w:w="95" w:type="dxa"/>
            <w:tcBorders>
              <w:bottom w:val="single" w:sz="8" w:space="0" w:color="000000"/>
            </w:tcBorders>
            <w:tcMar>
              <w:bottom w:w="28" w:type="dxa"/>
            </w:tcMar>
            <w:vAlign w:val="center"/>
          </w:tcPr>
          <w:p>
            <w:pPr>
              <w:pStyle w:val="TableContents"/>
              <w:bidi w:val="0"/>
              <w:spacing w:before="0" w:after="283"/>
              <w:jc w:val="left"/>
              <w:rPr/>
            </w:pPr>
            <w:r>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right"/>
              <w:rPr/>
            </w:pPr>
            <w:r>
              <w:rPr/>
              <w:t>(10</w:t>
            </w:r>
          </w:p>
        </w:tc>
        <w:tc>
          <w:tcPr>
            <w:tcW w:w="110" w:type="dxa"/>
            <w:tcBorders>
              <w:bottom w:val="single" w:sz="8" w:space="0" w:color="000000"/>
            </w:tcBorders>
            <w:tcMar>
              <w:bottom w:w="28" w:type="dxa"/>
            </w:tcMar>
            <w:vAlign w:val="center"/>
          </w:tcPr>
          <w:p>
            <w:pPr>
              <w:pStyle w:val="TableContents"/>
              <w:bidi w:val="0"/>
              <w:spacing w:before="0" w:after="283"/>
              <w:jc w:val="left"/>
              <w:rPr/>
            </w:pPr>
            <w:r>
              <w:rPr/>
              <w:t>)</w:t>
            </w:r>
          </w:p>
        </w:tc>
      </w:tr>
      <w:tr>
        <w:trPr/>
        <w:tc>
          <w:tcPr>
            <w:tcW w:w="5450" w:type="dxa"/>
            <w:tcBorders/>
            <w:shd w:fill="CCEEFF" w:val="clear"/>
            <w:vAlign w:val="center"/>
          </w:tcPr>
          <w:p>
            <w:pPr>
              <w:pStyle w:val="TableContents"/>
              <w:bidi w:val="0"/>
              <w:spacing w:before="0" w:after="283"/>
              <w:jc w:val="left"/>
              <w:rPr/>
            </w:pPr>
            <w:r>
              <w:rPr/>
              <w:t>Balance at December 31, 2023</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17,821</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246,764</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176,227</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422,991</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to Consolidated Financial Statements.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48 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MIDDLESEX WATER COMPANY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 Organization, Summary of Significant Accounting Policies and Recent Developments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Organization</w:t>
      </w:r>
      <w:r>
        <w:rPr>
          <w:rFonts w:ascii="Times New Roman;Times;Serif" w:hAnsi="Times New Roman;Times;Serif"/>
          <w:b w:val="false"/>
          <w:i w:val="false"/>
          <w:caps w:val="false"/>
          <w:smallCaps w:val="false"/>
          <w:sz w:val="20"/>
        </w:rPr>
        <w:t xml:space="preserve"> - Middlesex Water Company (Middlesex or the Company) is the parent company and sole shareholder of Tidewater Utilities, Inc. (Tidewater), Pinelands Water Company (Pinelands Water) and Pinelands Wastewater Company (Pinelands Wastewater) (collectively, Pinelands), Utility Service Affiliates, Inc. (USA), Utility Service Affiliates (Perth Amboy) Inc. (USA-PA) and Twin Lakes Utilities, Inc. (Twin Lakes). Southern Shores Water Company, LLC (Southern Shores) and White Marsh Environmental Systems, Inc. (White Marsh) are wholly-owned subsidiaries of Tidewater.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Middlesex has operated as a water utility in New Jersey since 1897 and in Delaware, through our wholly-owned subsidiary, Tidewater, since 1992. We are in the business of collecting, treating, distributing and selling water for domestic, commercial, municipal, industrial and fire protection purposes. We also operate New Jersey municipal water, wastewater and storm water systems under contract and provide unregulated water and wastewater services in New Jersey and Delaware through our subsidiaries. Our rates charged to customers for water and wastewater services, the quality of services we provide and certain other matters are regulated in New Jersey and Delaware by the New Jersey Board of Public Utilities (NJBPU) and the Delaware Public Service Commission (DEPSC), respectively. Our USA, USA-PA and White Marsh subsidiaries are not regulated utilities.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Principles of Consolidation</w:t>
      </w:r>
      <w:r>
        <w:rPr>
          <w:rFonts w:ascii="Times New Roman;Times;Serif" w:hAnsi="Times New Roman;Times;Serif"/>
          <w:b w:val="false"/>
          <w:i w:val="false"/>
          <w:caps w:val="false"/>
          <w:smallCaps w:val="false"/>
          <w:sz w:val="20"/>
        </w:rPr>
        <w:t xml:space="preserve"> – The financial statements for Middlesex and its wholly-owned subsidiaries (the Company) are reported on a consolidated basis. All significant intercompany accounts and transactions have been eliminated. Other financial investments in which the Company holds a 50% or less voting interest and cannot exercise control over the operation and policies of the investments are accounted for under the equity method of accounting. Under the equity method of accounting, the Company records its investment interests in Non-Utility Assets and its percentage share of the earnings or losses of the investees in Other Income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System of Accounts</w:t>
      </w:r>
      <w:r>
        <w:rPr>
          <w:rFonts w:ascii="Times New Roman;Times;Serif" w:hAnsi="Times New Roman;Times;Serif"/>
          <w:b w:val="false"/>
          <w:i w:val="false"/>
          <w:caps w:val="false"/>
          <w:smallCaps w:val="false"/>
          <w:sz w:val="20"/>
        </w:rPr>
        <w:t xml:space="preserve"> – The Company’s regulated utilities maintain their accounts in accordance with the Uniform System of Accounts prescribed by the NJBPU and DEPSC.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Regulatory Accounting</w:t>
      </w:r>
      <w:r>
        <w:rPr>
          <w:rFonts w:ascii="Times New Roman;Times;Serif" w:hAnsi="Times New Roman;Times;Serif"/>
          <w:b w:val="false"/>
          <w:i w:val="false"/>
          <w:caps w:val="false"/>
          <w:smallCaps w:val="false"/>
          <w:sz w:val="20"/>
        </w:rPr>
        <w:t xml:space="preserve"> - We maintain our books and records in accordance with accounting principles generally accepted in the United States of America. Middlesex and certain of its subsidiaries, which account for 93% of Operating Revenues and 99% of Total Assets, are subject to regulation in the state in which they operate. Those companies are required to maintain their accounts in accordance with regulatory authorities’ rules and guidelines, which may differ from other authoritative accounting pronouncements. In those instances, the Company follows the guidance provided in Accounting Standards Codification (ASC) 980, </w:t>
      </w:r>
      <w:r>
        <w:rPr>
          <w:rFonts w:ascii="Times New Roman;Times;Serif" w:hAnsi="Times New Roman;Times;Serif"/>
          <w:b w:val="false"/>
          <w:i/>
          <w:caps w:val="false"/>
          <w:smallCaps w:val="false"/>
          <w:sz w:val="20"/>
        </w:rPr>
        <w:t>Regulated Operations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accordance with ASC 980, </w:t>
      </w:r>
      <w:r>
        <w:rPr>
          <w:rFonts w:ascii="Times New Roman;Times;Serif" w:hAnsi="Times New Roman;Times;Serif"/>
          <w:b w:val="false"/>
          <w:i/>
          <w:caps w:val="false"/>
          <w:smallCaps w:val="false"/>
          <w:sz w:val="20"/>
        </w:rPr>
        <w:t>Regulated Operations</w:t>
      </w:r>
      <w:r>
        <w:rPr>
          <w:rFonts w:ascii="Times New Roman;Times;Serif" w:hAnsi="Times New Roman;Times;Serif"/>
          <w:b w:val="false"/>
          <w:i w:val="false"/>
          <w:caps w:val="false"/>
          <w:smallCaps w:val="false"/>
          <w:sz w:val="20"/>
        </w:rPr>
        <w:t xml:space="preserve">, costs and obligations are deferred if it is probable that these items will be recognized for rate-making purposes in future rates. Accordingly, we have recorded costs and obligations, which will be amortized over various future periods. Any change in the assessment of the probability of rate-making treatment will require us to change the accounting treatment of the deferred item. We have no reason to believe any of the deferred items that are recorded will be treated differently by the regulators in the future. For additional information, see Note 2 – </w:t>
      </w:r>
      <w:r>
        <w:rPr>
          <w:rFonts w:ascii="Times New Roman;Times;Serif" w:hAnsi="Times New Roman;Times;Serif"/>
          <w:b w:val="false"/>
          <w:i/>
          <w:caps w:val="false"/>
          <w:smallCaps w:val="false"/>
          <w:sz w:val="20"/>
        </w:rPr>
        <w:t>Rate and Regulatory Matters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Retirement Benefit Plans</w:t>
      </w:r>
      <w:r>
        <w:rPr>
          <w:rFonts w:ascii="Times New Roman;Times;Serif" w:hAnsi="Times New Roman;Times;Serif"/>
          <w:b w:val="false"/>
          <w:i w:val="false"/>
          <w:caps w:val="false"/>
          <w:smallCaps w:val="false"/>
          <w:sz w:val="20"/>
        </w:rPr>
        <w:t xml:space="preserve"> - We maintain a noncontributory defined benefit pension plan (Pension Plan), which covers all active employees who were hired prior to April 1, 2007, as well as a defined contribution plan in which all employees are eligible to participate. In addition, the Company maintains an unfunded supplemental plan for certain of its executive officers. The Company has a retirement benefit plan other than pensions (Other Benefits Plan) for substantially all of its retired employees. Employees hired after March 31, 2007 are not eligible to participate in this plan. Coverage includes healthcare and life insurance.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costs for providing retirement benefits are dependent upon numerous factors, including actual plan experience and assumptions of future experience. Retirement benefit plan obligations and expense are determined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49 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based on investment performance, discount rates and various other demographic factors related to the population participating in the Company’s retirement benefit plans, all of which can change significantly in future years. For more information on the Company’s Retirement Benefit Plans, see Note 7 – </w:t>
      </w:r>
      <w:r>
        <w:rPr>
          <w:rFonts w:ascii="Times New Roman;Times;Serif" w:hAnsi="Times New Roman;Times;Serif"/>
          <w:b w:val="false"/>
          <w:i/>
          <w:caps w:val="false"/>
          <w:smallCaps w:val="false"/>
          <w:sz w:val="20"/>
        </w:rPr>
        <w:t>Employee Benefit Plans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 Utility Plant</w:t>
      </w:r>
      <w:r>
        <w:rPr>
          <w:rFonts w:ascii="Times New Roman;Times;Serif" w:hAnsi="Times New Roman;Times;Serif"/>
          <w:b w:val="false"/>
          <w:i w:val="false"/>
          <w:caps w:val="false"/>
          <w:smallCaps w:val="false"/>
          <w:sz w:val="20"/>
        </w:rPr>
        <w:t xml:space="preserve"> – Utility Plant is stated at original cost as defined for regulatory purposes. Property accounts are charged with the cost of betterments and major replacements of property. Cost includes direct material, labor and indirect charges for pension benefits and payroll taxes. The cost of labor, materials, supervision and other expenses incurred in making repairs and minor replacements and in maintaining the properties is charged to the appropriate expense accounts. At December 31, 2023, there was no event or change in circumstance that would indicate that the carrying amount of any long-lived asset was not recoverable.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(g) Depreciation </w:t>
      </w:r>
      <w:r>
        <w:rPr>
          <w:rFonts w:ascii="Times New Roman;Times;Serif" w:hAnsi="Times New Roman;Times;Serif"/>
          <w:b w:val="false"/>
          <w:i w:val="false"/>
          <w:caps w:val="false"/>
          <w:smallCaps w:val="false"/>
          <w:sz w:val="20"/>
        </w:rPr>
        <w:t>– Depreciation is computed by each regulated member of the Company utilizing a rate approved by the applicable regulatory authority. The accumulated provision for depreciation is charged with the cost of property retired, less salvage. The following table sets forth the range of depreciation rates for the major utility plant categories used to calculate depreciation for the years ended December 31, 2023, 2022, and 2021. These rates have been approved by the NJBPU or DEPSC:</w:t>
      </w:r>
    </w:p>
    <w:p>
      <w:pPr>
        <w:pStyle w:val="TextBody"/>
        <w:bidi w:val="0"/>
        <w:spacing w:before="0" w:after="0"/>
        <w:ind w:left="720" w:right="0" w:hanging="0"/>
        <w:jc w:val="left"/>
        <w:rPr>
          <w:caps w:val="false"/>
          <w:smallCaps w:val="false"/>
        </w:rPr>
      </w:pPr>
      <w:r>
        <w:rPr>
          <w:caps w:val="false"/>
          <w:smallCaps w:val="false"/>
        </w:rPr>
        <w:t> </w:t>
      </w:r>
    </w:p>
    <w:tbl>
      <w:tblPr>
        <w:tblW w:w="7409" w:type="dxa"/>
        <w:jc w:val="left"/>
        <w:tblInd w:w="0" w:type="dxa"/>
        <w:tblLayout w:type="fixed"/>
        <w:tblCellMar>
          <w:top w:w="0" w:type="dxa"/>
          <w:left w:w="0" w:type="dxa"/>
          <w:bottom w:w="0" w:type="dxa"/>
          <w:right w:w="0" w:type="dxa"/>
        </w:tblCellMar>
      </w:tblPr>
      <w:tblGrid>
        <w:gridCol w:w="2180"/>
        <w:gridCol w:w="1565"/>
        <w:gridCol w:w="1789"/>
        <w:gridCol w:w="1875"/>
      </w:tblGrid>
      <w:tr>
        <w:trPr/>
        <w:tc>
          <w:tcPr>
            <w:tcW w:w="2180" w:type="dxa"/>
            <w:tcBorders/>
            <w:shd w:fill="CCEEFF" w:val="clear"/>
            <w:vAlign w:val="center"/>
          </w:tcPr>
          <w:p>
            <w:pPr>
              <w:pStyle w:val="TableContents"/>
              <w:bidi w:val="0"/>
              <w:spacing w:before="0" w:after="283"/>
              <w:jc w:val="left"/>
              <w:rPr/>
            </w:pPr>
            <w:r>
              <w:rPr/>
              <w:t>Source of Supply</w:t>
            </w:r>
          </w:p>
        </w:tc>
        <w:tc>
          <w:tcPr>
            <w:tcW w:w="1565" w:type="dxa"/>
            <w:tcBorders/>
            <w:shd w:fill="CCEEFF" w:val="clear"/>
            <w:vAlign w:val="center"/>
          </w:tcPr>
          <w:p>
            <w:pPr>
              <w:pStyle w:val="TableContents"/>
              <w:bidi w:val="0"/>
              <w:spacing w:before="0" w:after="283"/>
              <w:jc w:val="left"/>
              <w:rPr/>
            </w:pPr>
            <w:r>
              <w:rPr/>
              <w:t>1.15% -   3.44%</w:t>
            </w:r>
          </w:p>
        </w:tc>
        <w:tc>
          <w:tcPr>
            <w:tcW w:w="3664" w:type="dxa"/>
            <w:gridSpan w:val="2"/>
            <w:tcBorders/>
            <w:shd w:fill="CCEEFF" w:val="clear"/>
            <w:vAlign w:val="center"/>
          </w:tcPr>
          <w:p>
            <w:pPr>
              <w:pStyle w:val="TableContents"/>
              <w:bidi w:val="0"/>
              <w:spacing w:before="0" w:after="283"/>
              <w:jc w:val="left"/>
              <w:rPr/>
            </w:pPr>
            <w:r>
              <w:rPr/>
              <w:t>Transmission and Distribution (T&amp;D):</w:t>
            </w:r>
          </w:p>
        </w:tc>
      </w:tr>
      <w:tr>
        <w:trPr/>
        <w:tc>
          <w:tcPr>
            <w:tcW w:w="2180" w:type="dxa"/>
            <w:tcBorders/>
            <w:vAlign w:val="center"/>
          </w:tcPr>
          <w:p>
            <w:pPr>
              <w:pStyle w:val="TableContents"/>
              <w:bidi w:val="0"/>
              <w:spacing w:before="0" w:after="283"/>
              <w:jc w:val="left"/>
              <w:rPr/>
            </w:pPr>
            <w:r>
              <w:rPr/>
              <w:t>Pumping</w:t>
            </w:r>
          </w:p>
        </w:tc>
        <w:tc>
          <w:tcPr>
            <w:tcW w:w="1565" w:type="dxa"/>
            <w:tcBorders/>
            <w:vAlign w:val="center"/>
          </w:tcPr>
          <w:p>
            <w:pPr>
              <w:pStyle w:val="TableContents"/>
              <w:bidi w:val="0"/>
              <w:spacing w:before="0" w:after="283"/>
              <w:jc w:val="left"/>
              <w:rPr/>
            </w:pPr>
            <w:r>
              <w:rPr/>
              <w:t>2.00% -   5.39%</w:t>
            </w:r>
          </w:p>
        </w:tc>
        <w:tc>
          <w:tcPr>
            <w:tcW w:w="1789" w:type="dxa"/>
            <w:tcBorders/>
            <w:vAlign w:val="center"/>
          </w:tcPr>
          <w:p>
            <w:pPr>
              <w:pStyle w:val="TableContents"/>
              <w:bidi w:val="0"/>
              <w:spacing w:before="0" w:after="283"/>
              <w:jc w:val="left"/>
              <w:rPr/>
            </w:pPr>
            <w:r>
              <w:rPr/>
              <w:t>T&amp;D – Mains</w:t>
            </w:r>
          </w:p>
        </w:tc>
        <w:tc>
          <w:tcPr>
            <w:tcW w:w="1875" w:type="dxa"/>
            <w:tcBorders/>
            <w:vAlign w:val="center"/>
          </w:tcPr>
          <w:p>
            <w:pPr>
              <w:pStyle w:val="TableContents"/>
              <w:bidi w:val="0"/>
              <w:spacing w:before="0" w:after="283"/>
              <w:jc w:val="left"/>
              <w:rPr/>
            </w:pPr>
            <w:r>
              <w:rPr/>
              <w:t>1.10%  -   3.13%</w:t>
            </w:r>
          </w:p>
        </w:tc>
      </w:tr>
      <w:tr>
        <w:trPr/>
        <w:tc>
          <w:tcPr>
            <w:tcW w:w="2180" w:type="dxa"/>
            <w:tcBorders/>
            <w:shd w:fill="CCEEFF" w:val="clear"/>
            <w:vAlign w:val="center"/>
          </w:tcPr>
          <w:p>
            <w:pPr>
              <w:pStyle w:val="TableContents"/>
              <w:bidi w:val="0"/>
              <w:spacing w:before="0" w:after="283"/>
              <w:jc w:val="left"/>
              <w:rPr/>
            </w:pPr>
            <w:r>
              <w:rPr/>
              <w:t>Water Treatment</w:t>
            </w:r>
          </w:p>
        </w:tc>
        <w:tc>
          <w:tcPr>
            <w:tcW w:w="1565" w:type="dxa"/>
            <w:tcBorders/>
            <w:shd w:fill="CCEEFF" w:val="clear"/>
            <w:vAlign w:val="center"/>
          </w:tcPr>
          <w:p>
            <w:pPr>
              <w:pStyle w:val="TableContents"/>
              <w:bidi w:val="0"/>
              <w:spacing w:before="0" w:after="283"/>
              <w:jc w:val="left"/>
              <w:rPr/>
            </w:pPr>
            <w:r>
              <w:rPr/>
              <w:t>1.65% -   7.09%</w:t>
            </w:r>
          </w:p>
        </w:tc>
        <w:tc>
          <w:tcPr>
            <w:tcW w:w="1789" w:type="dxa"/>
            <w:tcBorders/>
            <w:shd w:fill="CCEEFF" w:val="clear"/>
            <w:vAlign w:val="center"/>
          </w:tcPr>
          <w:p>
            <w:pPr>
              <w:pStyle w:val="TableContents"/>
              <w:bidi w:val="0"/>
              <w:spacing w:before="0" w:after="283"/>
              <w:jc w:val="left"/>
              <w:rPr/>
            </w:pPr>
            <w:r>
              <w:rPr/>
              <w:t>T&amp;D – Services</w:t>
            </w:r>
          </w:p>
        </w:tc>
        <w:tc>
          <w:tcPr>
            <w:tcW w:w="1875" w:type="dxa"/>
            <w:tcBorders/>
            <w:shd w:fill="CCEEFF" w:val="clear"/>
            <w:vAlign w:val="center"/>
          </w:tcPr>
          <w:p>
            <w:pPr>
              <w:pStyle w:val="TableContents"/>
              <w:bidi w:val="0"/>
              <w:spacing w:before="0" w:after="283"/>
              <w:jc w:val="left"/>
              <w:rPr/>
            </w:pPr>
            <w:r>
              <w:rPr/>
              <w:t>2.12%  -   3.16%</w:t>
            </w:r>
          </w:p>
        </w:tc>
      </w:tr>
      <w:tr>
        <w:trPr/>
        <w:tc>
          <w:tcPr>
            <w:tcW w:w="2180" w:type="dxa"/>
            <w:tcBorders/>
            <w:vAlign w:val="center"/>
          </w:tcPr>
          <w:p>
            <w:pPr>
              <w:pStyle w:val="TableContents"/>
              <w:bidi w:val="0"/>
              <w:spacing w:before="0" w:after="283"/>
              <w:jc w:val="left"/>
              <w:rPr/>
            </w:pPr>
            <w:r>
              <w:rPr/>
              <w:t>General Plant</w:t>
            </w:r>
          </w:p>
        </w:tc>
        <w:tc>
          <w:tcPr>
            <w:tcW w:w="1565" w:type="dxa"/>
            <w:tcBorders/>
            <w:vAlign w:val="center"/>
          </w:tcPr>
          <w:p>
            <w:pPr>
              <w:pStyle w:val="TableContents"/>
              <w:bidi w:val="0"/>
              <w:spacing w:before="0" w:after="283"/>
              <w:jc w:val="left"/>
              <w:rPr/>
            </w:pPr>
            <w:r>
              <w:rPr/>
              <w:t>2.08% - 17.84%</w:t>
            </w:r>
          </w:p>
        </w:tc>
        <w:tc>
          <w:tcPr>
            <w:tcW w:w="1789" w:type="dxa"/>
            <w:tcBorders/>
            <w:vAlign w:val="center"/>
          </w:tcPr>
          <w:p>
            <w:pPr>
              <w:pStyle w:val="TableContents"/>
              <w:bidi w:val="0"/>
              <w:spacing w:before="0" w:after="283"/>
              <w:jc w:val="left"/>
              <w:rPr/>
            </w:pPr>
            <w:r>
              <w:rPr/>
              <w:t>T&amp;D – Other</w:t>
            </w:r>
          </w:p>
        </w:tc>
        <w:tc>
          <w:tcPr>
            <w:tcW w:w="1875" w:type="dxa"/>
            <w:tcBorders/>
            <w:vAlign w:val="center"/>
          </w:tcPr>
          <w:p>
            <w:pPr>
              <w:pStyle w:val="TableContents"/>
              <w:bidi w:val="0"/>
              <w:spacing w:before="0" w:after="283"/>
              <w:jc w:val="left"/>
              <w:rPr/>
            </w:pPr>
            <w:r>
              <w:rPr/>
              <w:t>1.61%  -   4.63%</w:t>
            </w:r>
          </w:p>
        </w:tc>
      </w:tr>
      <w:tr>
        <w:trPr/>
        <w:tc>
          <w:tcPr>
            <w:tcW w:w="2180" w:type="dxa"/>
            <w:tcBorders/>
            <w:shd w:fill="CCEEFF" w:val="clear"/>
            <w:vAlign w:val="center"/>
          </w:tcPr>
          <w:p>
            <w:pPr>
              <w:pStyle w:val="TableContents"/>
              <w:bidi w:val="0"/>
              <w:spacing w:before="0" w:after="283"/>
              <w:jc w:val="left"/>
              <w:rPr/>
            </w:pPr>
            <w:r>
              <w:rPr/>
              <w:t>Wastewater Collection</w:t>
            </w:r>
          </w:p>
        </w:tc>
        <w:tc>
          <w:tcPr>
            <w:tcW w:w="1565" w:type="dxa"/>
            <w:tcBorders/>
            <w:shd w:fill="CCEEFF" w:val="clear"/>
            <w:vAlign w:val="center"/>
          </w:tcPr>
          <w:p>
            <w:pPr>
              <w:pStyle w:val="TableContents"/>
              <w:bidi w:val="0"/>
              <w:spacing w:before="0" w:after="283"/>
              <w:jc w:val="left"/>
              <w:rPr/>
            </w:pPr>
            <w:r>
              <w:rPr/>
              <w:t>1.42% -   1.81%</w:t>
            </w:r>
          </w:p>
        </w:tc>
        <w:tc>
          <w:tcPr>
            <w:tcW w:w="1789" w:type="dxa"/>
            <w:tcBorders/>
            <w:shd w:fill="CCEEFF" w:val="clear"/>
            <w:vAlign w:val="center"/>
          </w:tcPr>
          <w:p>
            <w:pPr>
              <w:pStyle w:val="TableContents"/>
              <w:bidi w:val="0"/>
              <w:spacing w:before="0" w:after="283"/>
              <w:jc w:val="left"/>
              <w:rPr/>
            </w:pPr>
            <w:r>
              <w:rPr/>
              <w:t> </w:t>
            </w:r>
          </w:p>
        </w:tc>
        <w:tc>
          <w:tcPr>
            <w:tcW w:w="18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Non-regulated fixed assets consist primarily of office buildings, furniture and fixtures, and transportation equipment. These assets are recorded at original cost and depreciation is calculated based on the estimated useful lives, ranging from 3 to 42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(h) Preliminary Survey and Investigation (PS&amp;I) Costs </w:t>
      </w:r>
      <w:r>
        <w:rPr>
          <w:rFonts w:ascii="Times New Roman;Times;Serif" w:hAnsi="Times New Roman;Times;Serif"/>
          <w:b w:val="false"/>
          <w:i w:val="false"/>
          <w:caps w:val="false"/>
          <w:smallCaps w:val="false"/>
          <w:sz w:val="20"/>
        </w:rPr>
        <w:t>– In the design of water and wastewater systems that the Company ultimately intends to construct, own and operate, certain expenditures are incurred to advance those project activities. These PS&amp;I costs are recorded as deferred charges on the balance sheet as these costs are expected to be recovered through future rates charged to customers as the underlying project assets are placed into service as utility plant. If it is subsequently determined that costs for a project recorded as PS&amp;I are not recoverable through rates charged to our customers, the applicable PS&amp;I costs are recorded as Other Expense on the Statement of Income at that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 Customers’ Advances for Construction (CAC)</w:t>
      </w:r>
      <w:r>
        <w:rPr>
          <w:rFonts w:ascii="Times New Roman;Times;Serif" w:hAnsi="Times New Roman;Times;Serif"/>
          <w:b w:val="false"/>
          <w:i w:val="false"/>
          <w:caps w:val="false"/>
          <w:smallCaps w:val="false"/>
          <w:sz w:val="20"/>
        </w:rPr>
        <w:t xml:space="preserve"> – Utility plant and/or cash advances are provided to the Company by customers, real estate developers and builders in order to extend utility service to their properties. These transactions are recorded as CAC. Contractual Refunds of CACs in the form of cash are made by the Company and are based on either additional operating revenues generated from new customers or, as new customers are connected to the respective system. After all refunds are made and/or contract terms have expired, any remaining balance is transferred to Contributions in Aid of Construction.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Contributions in Aid of Construction (CIAC)</w:t>
      </w:r>
      <w:r>
        <w:rPr>
          <w:rFonts w:ascii="Times New Roman;Times;Serif" w:hAnsi="Times New Roman;Times;Serif"/>
          <w:b w:val="false"/>
          <w:i w:val="false"/>
          <w:caps w:val="false"/>
          <w:smallCaps w:val="false"/>
          <w:sz w:val="20"/>
        </w:rPr>
        <w:t xml:space="preserve"> – CIAC include direct non-refundable contributions of utility plant and/or cash and the portion of CAC that becomes non-refundable.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regulatory requirements, CAC and CIAC are not depreciated. In addition, these amounts reduce the investment base for purposes of setting rates.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 Allowance for Funds Used During Construction (AFUDC)</w:t>
      </w:r>
      <w:r>
        <w:rPr>
          <w:rFonts w:ascii="Times New Roman;Times;Serif" w:hAnsi="Times New Roman;Times;Serif"/>
          <w:b w:val="false"/>
          <w:i w:val="false"/>
          <w:caps w:val="false"/>
          <w:smallCaps w:val="false"/>
          <w:sz w:val="20"/>
        </w:rPr>
        <w:t xml:space="preserve"> - Middlesex and its regulated subsidiaries capitalize AFUDC, which represents the cost of financing projects during construction. AFUDC is added to the construction costs of individual projects exceeding specific cost and construction period thresholds established for each company and then depreciated with the utility plant direct costs over the underlying assets’ estimated useful life. AFUDC is calculated using each company’s weighted cost of debt and equity as approved in their most recent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50 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respective regulatory rate order. The AFUDC rates for the years ended December 31, 2022, 2021 and 2020 for Middlesex and Tidewater are as follows:</w:t>
      </w:r>
    </w:p>
    <w:p>
      <w:pPr>
        <w:pStyle w:val="TextBody"/>
        <w:bidi w:val="0"/>
        <w:spacing w:before="0" w:after="0"/>
        <w:ind w:left="0" w:right="0" w:hanging="0"/>
        <w:jc w:val="both"/>
        <w:rPr>
          <w:caps w:val="false"/>
          <w:smallCaps w:val="false"/>
        </w:rPr>
      </w:pPr>
      <w:r>
        <w:rPr>
          <w:caps w:val="false"/>
          <w:smallCaps w:val="false"/>
        </w:rPr>
        <w:t> </w:t>
      </w:r>
    </w:p>
    <w:tbl>
      <w:tblPr>
        <w:tblW w:w="3485" w:type="dxa"/>
        <w:jc w:val="left"/>
        <w:tblInd w:w="0" w:type="dxa"/>
        <w:tblLayout w:type="fixed"/>
        <w:tblCellMar>
          <w:top w:w="0" w:type="dxa"/>
          <w:left w:w="0" w:type="dxa"/>
          <w:bottom w:w="0" w:type="dxa"/>
          <w:right w:w="0" w:type="dxa"/>
        </w:tblCellMar>
      </w:tblPr>
      <w:tblGrid>
        <w:gridCol w:w="1025"/>
        <w:gridCol w:w="60"/>
        <w:gridCol w:w="60"/>
        <w:gridCol w:w="635"/>
        <w:gridCol w:w="60"/>
        <w:gridCol w:w="60"/>
        <w:gridCol w:w="60"/>
        <w:gridCol w:w="635"/>
        <w:gridCol w:w="60"/>
        <w:gridCol w:w="60"/>
        <w:gridCol w:w="60"/>
        <w:gridCol w:w="635"/>
        <w:gridCol w:w="75"/>
      </w:tblGrid>
      <w:tr>
        <w:trPr/>
        <w:tc>
          <w:tcPr>
            <w:tcW w:w="10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2021</w:t>
            </w:r>
          </w:p>
        </w:tc>
        <w:tc>
          <w:tcPr>
            <w:tcW w:w="75" w:type="dxa"/>
            <w:tcBorders/>
            <w:vAlign w:val="center"/>
          </w:tcPr>
          <w:p>
            <w:pPr>
              <w:pStyle w:val="TableContents"/>
              <w:bidi w:val="0"/>
              <w:spacing w:before="0" w:after="283"/>
              <w:jc w:val="left"/>
              <w:rPr/>
            </w:pPr>
            <w:r>
              <w:rPr/>
              <w:t> </w:t>
            </w:r>
          </w:p>
        </w:tc>
      </w:tr>
      <w:tr>
        <w:trPr/>
        <w:tc>
          <w:tcPr>
            <w:tcW w:w="1025" w:type="dxa"/>
            <w:tcBorders/>
            <w:shd w:fill="CCEEFF" w:val="clear"/>
            <w:vAlign w:val="center"/>
          </w:tcPr>
          <w:p>
            <w:pPr>
              <w:pStyle w:val="TableContents"/>
              <w:bidi w:val="0"/>
              <w:spacing w:before="0" w:after="283"/>
              <w:jc w:val="left"/>
              <w:rPr/>
            </w:pPr>
            <w:r>
              <w:rPr/>
              <w:t>Middlesex</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6.35%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6.35%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6.50%</w:t>
            </w:r>
          </w:p>
        </w:tc>
        <w:tc>
          <w:tcPr>
            <w:tcW w:w="75" w:type="dxa"/>
            <w:tcBorders/>
            <w:shd w:fill="CCEEFF" w:val="clear"/>
            <w:vAlign w:val="center"/>
          </w:tcPr>
          <w:p>
            <w:pPr>
              <w:pStyle w:val="TableContents"/>
              <w:bidi w:val="0"/>
              <w:spacing w:before="0" w:after="283"/>
              <w:jc w:val="left"/>
              <w:rPr/>
            </w:pPr>
            <w:r>
              <w:rPr/>
              <w:t> </w:t>
            </w:r>
          </w:p>
        </w:tc>
      </w:tr>
      <w:tr>
        <w:trPr/>
        <w:tc>
          <w:tcPr>
            <w:tcW w:w="1025" w:type="dxa"/>
            <w:tcBorders/>
            <w:vAlign w:val="center"/>
          </w:tcPr>
          <w:p>
            <w:pPr>
              <w:pStyle w:val="TableContents"/>
              <w:bidi w:val="0"/>
              <w:spacing w:before="0" w:after="283"/>
              <w:jc w:val="left"/>
              <w:rPr/>
            </w:pPr>
            <w:r>
              <w:rPr/>
              <w:t>Tidewater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7.92%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7.92%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7.92%</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288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(k) Accounts Receivable</w:t>
      </w:r>
      <w:r>
        <w:rPr>
          <w:rFonts w:ascii="Times New Roman;Times;Serif" w:hAnsi="Times New Roman;Times;Serif"/>
          <w:b w:val="false"/>
          <w:i w:val="false"/>
          <w:caps w:val="false"/>
          <w:smallCaps w:val="false"/>
          <w:sz w:val="20"/>
        </w:rPr>
        <w:t xml:space="preserve"> – We record bad debt expense based on a variety of factors such as our customers’ payment history, current economic conditions and trending reasonable and supportable forecasts on expected collectability of accounts receivable. The allowance for doubtful accounts was $2.1 million and $2.3 million as of December 31, 2023 and 2022, respectively. For the years ended December 31, 2023, 2022 and 2021, bad debt expense was $1.0 million, $0.5 million and $0.9 million, respectively. For the years ended December 31, 2023, 2022 and 2021, write-offs were $1.2 million, $0.7 million and $0.4 million,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 Revenues</w:t>
      </w:r>
      <w:r>
        <w:rPr>
          <w:rFonts w:ascii="Times New Roman;Times;Serif" w:hAnsi="Times New Roman;Times;Serif"/>
          <w:b w:val="false"/>
          <w:i w:val="false"/>
          <w:caps w:val="false"/>
          <w:smallCaps w:val="false"/>
          <w:sz w:val="20"/>
        </w:rPr>
        <w:t xml:space="preserve"> - The Company’s revenues are primarily generated from regulated tariff-based sales of water and wastewater services and non-regulated operation and maintenance contracts for services on water and wastewater systems owned by others. Revenue from contracts with customers is recognized when control of a promised good or service is transferred to customers at an amount that reflects the consideration to which the Company expects to be entitled in exchange for those goods and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regulated revenue results from tariff-based sales from the provision of water and wastewater services to residential, industrial, commercial, fire-protection and wholesale customers. Residential customers are billed quarterly while most industrial, commercial, fire-protection and wholesale customers are billed monthly. Payments by customers are due between 15 to 30 days after the invoice date. Revenue is recognized as the water and wastewater services are delivered to customers as well as from accrual of unbilled revenues estimated from the last meter reading date to the end of the accounting period utilizing factors such as historical customer data, regional weather indicators and general economic conditions in the relevant service territories. Unearned Revenues and Advance Service Fees include fixed service charge billings in advance to Tidewater customers recognized as service is provided to the customer.</w:t>
      </w:r>
    </w:p>
    <w:p>
      <w:pPr>
        <w:pStyle w:val="TextBody"/>
        <w:bidi w:val="0"/>
        <w:spacing w:before="0" w:after="0"/>
        <w:ind w:left="0" w:right="0" w:firstLine="2925"/>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Non-regulated service contract revenues consist of base service fees as well as fees for additional billable services provided to customers. Fees are billed monthly and are due within 30 days after the invoice date. The Company considers the amounts billed to represent the value of these services provided to customers. These contracts expire at various times through 2032 and contain remaining performance obligations for which the Company expects to recognize revenue in the future. These contracts also contain customary termination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Substantially all of the amounts included in operating revenues and accounts receivable are from contracts with customers. The Company records its allowance for doubtful accounts based on historical write-offs combined with an evaluation of current economic conditions within its service territories.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contracts do not contain any significant financing components.</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51 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operating revenues are comprised of the following:</w:t>
      </w:r>
    </w:p>
    <w:p>
      <w:pPr>
        <w:pStyle w:val="TextBody"/>
        <w:bidi w:val="0"/>
        <w:spacing w:before="0" w:after="0"/>
        <w:ind w:left="0" w:right="0" w:hanging="0"/>
        <w:jc w:val="both"/>
        <w:rPr>
          <w:caps w:val="false"/>
          <w:smallCaps w:val="false"/>
        </w:rPr>
      </w:pPr>
      <w:r>
        <w:rPr>
          <w:caps w:val="false"/>
          <w:smallCaps w:val="false"/>
        </w:rPr>
        <w:t> </w:t>
      </w:r>
    </w:p>
    <w:tbl>
      <w:tblPr>
        <w:tblW w:w="8105" w:type="dxa"/>
        <w:jc w:val="left"/>
        <w:tblInd w:w="0" w:type="dxa"/>
        <w:tblLayout w:type="fixed"/>
        <w:tblCellMar>
          <w:top w:w="0" w:type="dxa"/>
          <w:left w:w="0" w:type="dxa"/>
          <w:bottom w:w="0" w:type="dxa"/>
          <w:right w:w="0" w:type="dxa"/>
        </w:tblCellMar>
      </w:tblPr>
      <w:tblGrid>
        <w:gridCol w:w="4805"/>
        <w:gridCol w:w="60"/>
        <w:gridCol w:w="140"/>
        <w:gridCol w:w="800"/>
        <w:gridCol w:w="95"/>
        <w:gridCol w:w="60"/>
        <w:gridCol w:w="140"/>
        <w:gridCol w:w="800"/>
        <w:gridCol w:w="95"/>
        <w:gridCol w:w="60"/>
        <w:gridCol w:w="140"/>
        <w:gridCol w:w="800"/>
        <w:gridCol w:w="110"/>
      </w:tblGrid>
      <w:tr>
        <w:trPr/>
        <w:tc>
          <w:tcPr>
            <w:tcW w:w="48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240" w:type="dxa"/>
            <w:gridSpan w:val="11"/>
            <w:tcBorders/>
            <w:vAlign w:val="center"/>
          </w:tcPr>
          <w:p>
            <w:pPr>
              <w:pStyle w:val="TableContents"/>
              <w:bidi w:val="0"/>
              <w:spacing w:before="0" w:after="283"/>
              <w:jc w:val="center"/>
              <w:rPr>
                <w:b/>
              </w:rPr>
            </w:pPr>
            <w:r>
              <w:rPr>
                <w:b/>
              </w:rPr>
              <w:t>(In Thousands)</w:t>
            </w:r>
          </w:p>
        </w:tc>
      </w:tr>
      <w:tr>
        <w:trPr/>
        <w:tc>
          <w:tcPr>
            <w:tcW w:w="48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240" w:type="dxa"/>
            <w:gridSpan w:val="11"/>
            <w:tcBorders/>
            <w:vAlign w:val="center"/>
          </w:tcPr>
          <w:p>
            <w:pPr>
              <w:pStyle w:val="TableContents"/>
              <w:bidi w:val="0"/>
              <w:spacing w:before="0" w:after="283"/>
              <w:jc w:val="center"/>
              <w:rPr>
                <w:b/>
              </w:rPr>
            </w:pPr>
            <w:r>
              <w:rPr>
                <w:b/>
              </w:rPr>
              <w:t>Years Ended December 31,</w:t>
            </w:r>
          </w:p>
        </w:tc>
      </w:tr>
      <w:tr>
        <w:trPr/>
        <w:tc>
          <w:tcPr>
            <w:tcW w:w="4805" w:type="dxa"/>
            <w:tcBorders/>
            <w:vAlign w:val="center"/>
          </w:tcPr>
          <w:p>
            <w:pPr>
              <w:pStyle w:val="TableContents"/>
              <w:bidi w:val="0"/>
              <w:spacing w:before="0" w:after="283"/>
              <w:jc w:val="center"/>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035"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035"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05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2021</w:t>
            </w:r>
          </w:p>
        </w:tc>
      </w:tr>
      <w:tr>
        <w:trPr/>
        <w:tc>
          <w:tcPr>
            <w:tcW w:w="4805" w:type="dxa"/>
            <w:tcBorders/>
            <w:shd w:fill="CCEEFF" w:val="clear"/>
            <w:vAlign w:val="center"/>
          </w:tcPr>
          <w:p>
            <w:pPr>
              <w:pStyle w:val="TableContents"/>
              <w:bidi w:val="0"/>
              <w:spacing w:before="0" w:after="283"/>
              <w:jc w:val="left"/>
              <w:rPr>
                <w:b/>
              </w:rPr>
            </w:pPr>
            <w:r>
              <w:rPr>
                <w:b/>
              </w:rPr>
              <w:t>Regulated Tariff Sales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805" w:type="dxa"/>
            <w:tcBorders/>
            <w:vAlign w:val="center"/>
          </w:tcPr>
          <w:p>
            <w:pPr>
              <w:pStyle w:val="TableContents"/>
              <w:bidi w:val="0"/>
              <w:spacing w:before="0" w:after="283"/>
              <w:jc w:val="left"/>
              <w:rPr/>
            </w:pPr>
            <w:r>
              <w:rPr/>
              <w:t>Residential</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86,581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84,950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77,699</w:t>
            </w:r>
          </w:p>
        </w:tc>
        <w:tc>
          <w:tcPr>
            <w:tcW w:w="110" w:type="dxa"/>
            <w:tcBorders/>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left"/>
              <w:rPr/>
            </w:pPr>
            <w:r>
              <w:rPr/>
              <w:t>Commercial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23,945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22,689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16,715</w:t>
            </w:r>
          </w:p>
        </w:tc>
        <w:tc>
          <w:tcPr>
            <w:tcW w:w="110" w:type="dxa"/>
            <w:tcBorders/>
            <w:shd w:fill="CCEEFF" w:val="clear"/>
            <w:vAlign w:val="center"/>
          </w:tcPr>
          <w:p>
            <w:pPr>
              <w:pStyle w:val="TableContents"/>
              <w:bidi w:val="0"/>
              <w:spacing w:before="0" w:after="283"/>
              <w:jc w:val="left"/>
              <w:rPr/>
            </w:pPr>
            <w:r>
              <w:rPr/>
              <w:t> </w:t>
            </w:r>
          </w:p>
        </w:tc>
      </w:tr>
      <w:tr>
        <w:trPr/>
        <w:tc>
          <w:tcPr>
            <w:tcW w:w="4805" w:type="dxa"/>
            <w:tcBorders/>
            <w:vAlign w:val="center"/>
          </w:tcPr>
          <w:p>
            <w:pPr>
              <w:pStyle w:val="TableContents"/>
              <w:bidi w:val="0"/>
              <w:spacing w:before="0" w:after="283"/>
              <w:jc w:val="left"/>
              <w:rPr/>
            </w:pPr>
            <w:r>
              <w:rPr/>
              <w:t>Industrial</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11,586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11,152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8,990</w:t>
            </w:r>
          </w:p>
        </w:tc>
        <w:tc>
          <w:tcPr>
            <w:tcW w:w="110" w:type="dxa"/>
            <w:tcBorders/>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left"/>
              <w:rPr/>
            </w:pPr>
            <w:r>
              <w:rPr/>
              <w:t>Fire Protection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12,582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12,726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12,608</w:t>
            </w:r>
          </w:p>
        </w:tc>
        <w:tc>
          <w:tcPr>
            <w:tcW w:w="110" w:type="dxa"/>
            <w:tcBorders/>
            <w:shd w:fill="CCEEFF" w:val="clear"/>
            <w:vAlign w:val="center"/>
          </w:tcPr>
          <w:p>
            <w:pPr>
              <w:pStyle w:val="TableContents"/>
              <w:bidi w:val="0"/>
              <w:spacing w:before="0" w:after="283"/>
              <w:jc w:val="left"/>
              <w:rPr/>
            </w:pPr>
            <w:r>
              <w:rPr/>
              <w:t> </w:t>
            </w:r>
          </w:p>
        </w:tc>
      </w:tr>
      <w:tr>
        <w:trPr/>
        <w:tc>
          <w:tcPr>
            <w:tcW w:w="4805" w:type="dxa"/>
            <w:tcBorders/>
            <w:vAlign w:val="center"/>
          </w:tcPr>
          <w:p>
            <w:pPr>
              <w:pStyle w:val="TableContents"/>
              <w:bidi w:val="0"/>
              <w:spacing w:before="0" w:after="283"/>
              <w:jc w:val="left"/>
              <w:rPr/>
            </w:pPr>
            <w:r>
              <w:rPr/>
              <w:t>Wholesale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19,117</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18,769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14,590</w:t>
            </w:r>
          </w:p>
        </w:tc>
        <w:tc>
          <w:tcPr>
            <w:tcW w:w="110" w:type="dxa"/>
            <w:tcBorders/>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left"/>
              <w:rPr>
                <w:b/>
              </w:rPr>
            </w:pPr>
            <w:r>
              <w:rPr>
                <w:b/>
              </w:rPr>
              <w:t>Non-Regulated Contract Operations</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12,320</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12,006</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12,391</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4805" w:type="dxa"/>
            <w:tcBorders/>
            <w:vAlign w:val="center"/>
          </w:tcPr>
          <w:p>
            <w:pPr>
              <w:pStyle w:val="TableContents"/>
              <w:bidi w:val="0"/>
              <w:spacing w:before="0" w:after="283"/>
              <w:jc w:val="left"/>
              <w:rPr>
                <w:b/>
              </w:rPr>
            </w:pPr>
            <w:r>
              <w:rPr>
                <w:b/>
              </w:rPr>
              <w:t>Total Revenue from Contracts with Customers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166,131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162,292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142,993</w:t>
            </w:r>
          </w:p>
        </w:tc>
        <w:tc>
          <w:tcPr>
            <w:tcW w:w="110" w:type="dxa"/>
            <w:tcBorders/>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left"/>
              <w:rPr/>
            </w:pPr>
            <w:r>
              <w:rPr/>
              <w:t>Other Regulated Revenues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929</w:t>
            </w:r>
          </w:p>
        </w:tc>
        <w:tc>
          <w:tcPr>
            <w:tcW w:w="110" w:type="dxa"/>
            <w:tcBorders/>
            <w:shd w:fill="CCEEFF" w:val="clear"/>
            <w:vAlign w:val="center"/>
          </w:tcPr>
          <w:p>
            <w:pPr>
              <w:pStyle w:val="TableContents"/>
              <w:bidi w:val="0"/>
              <w:spacing w:before="0" w:after="283"/>
              <w:jc w:val="left"/>
              <w:rPr/>
            </w:pPr>
            <w:r>
              <w:rPr/>
              <w:t> </w:t>
            </w:r>
          </w:p>
        </w:tc>
      </w:tr>
      <w:tr>
        <w:trPr/>
        <w:tc>
          <w:tcPr>
            <w:tcW w:w="4805" w:type="dxa"/>
            <w:tcBorders/>
            <w:vAlign w:val="center"/>
          </w:tcPr>
          <w:p>
            <w:pPr>
              <w:pStyle w:val="TableContents"/>
              <w:bidi w:val="0"/>
              <w:spacing w:before="0" w:after="283"/>
              <w:jc w:val="left"/>
              <w:rPr/>
            </w:pPr>
            <w:r>
              <w:rPr/>
              <w:t>Other Non-Regulated Revenues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453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440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427</w:t>
            </w:r>
          </w:p>
        </w:tc>
        <w:tc>
          <w:tcPr>
            <w:tcW w:w="110" w:type="dxa"/>
            <w:tcBorders/>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left"/>
              <w:rPr/>
            </w:pPr>
            <w:r>
              <w:rPr/>
              <w:t>Inter-segment Elimination</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(1,116</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(1,129</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(1,208</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r>
      <w:tr>
        <w:trPr/>
        <w:tc>
          <w:tcPr>
            <w:tcW w:w="4805" w:type="dxa"/>
            <w:tcBorders/>
            <w:vAlign w:val="center"/>
          </w:tcPr>
          <w:p>
            <w:pPr>
              <w:pStyle w:val="TableContents"/>
              <w:bidi w:val="0"/>
              <w:spacing w:before="0" w:after="283"/>
              <w:jc w:val="left"/>
              <w:rPr>
                <w:b/>
              </w:rPr>
            </w:pPr>
            <w:r>
              <w:rPr>
                <w:b/>
              </w:rPr>
              <w:t>Total Revenue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b/>
              </w:rPr>
            </w:pPr>
            <w:r>
              <w:rPr>
                <w:b/>
              </w:rPr>
              <w:t>$</w:t>
            </w:r>
          </w:p>
        </w:tc>
        <w:tc>
          <w:tcPr>
            <w:tcW w:w="800" w:type="dxa"/>
            <w:tcBorders>
              <w:bottom w:val="single" w:sz="8" w:space="0" w:color="000000"/>
            </w:tcBorders>
            <w:tcMar>
              <w:bottom w:w="28" w:type="dxa"/>
            </w:tcMar>
            <w:vAlign w:val="center"/>
          </w:tcPr>
          <w:p>
            <w:pPr>
              <w:pStyle w:val="TableContents"/>
              <w:bidi w:val="0"/>
              <w:spacing w:before="0" w:after="283"/>
              <w:jc w:val="right"/>
              <w:rPr>
                <w:b/>
              </w:rPr>
            </w:pPr>
            <w:r>
              <w:rPr>
                <w:b/>
              </w:rPr>
              <w:t>166,274</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b/>
              </w:rPr>
            </w:pPr>
            <w:r>
              <w:rPr>
                <w:b/>
              </w:rPr>
              <w:t>$</w:t>
            </w:r>
          </w:p>
        </w:tc>
        <w:tc>
          <w:tcPr>
            <w:tcW w:w="800" w:type="dxa"/>
            <w:tcBorders>
              <w:bottom w:val="single" w:sz="8" w:space="0" w:color="000000"/>
            </w:tcBorders>
            <w:tcMar>
              <w:bottom w:w="28" w:type="dxa"/>
            </w:tcMar>
            <w:vAlign w:val="center"/>
          </w:tcPr>
          <w:p>
            <w:pPr>
              <w:pStyle w:val="TableContents"/>
              <w:bidi w:val="0"/>
              <w:spacing w:before="0" w:after="283"/>
              <w:jc w:val="right"/>
              <w:rPr>
                <w:b/>
              </w:rPr>
            </w:pPr>
            <w:r>
              <w:rPr>
                <w:b/>
              </w:rPr>
              <w:t>162,434</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b/>
              </w:rPr>
            </w:pPr>
            <w:r>
              <w:rPr>
                <w:b/>
              </w:rPr>
              <w:t>$</w:t>
            </w:r>
          </w:p>
        </w:tc>
        <w:tc>
          <w:tcPr>
            <w:tcW w:w="800" w:type="dxa"/>
            <w:tcBorders>
              <w:bottom w:val="single" w:sz="8" w:space="0" w:color="000000"/>
            </w:tcBorders>
            <w:tcMar>
              <w:bottom w:w="28" w:type="dxa"/>
            </w:tcMar>
            <w:vAlign w:val="center"/>
          </w:tcPr>
          <w:p>
            <w:pPr>
              <w:pStyle w:val="TableContents"/>
              <w:bidi w:val="0"/>
              <w:spacing w:before="0" w:after="283"/>
              <w:jc w:val="right"/>
              <w:rPr>
                <w:b/>
              </w:rPr>
            </w:pPr>
            <w:r>
              <w:rPr>
                <w:b/>
              </w:rPr>
              <w:t>143,141</w:t>
            </w:r>
          </w:p>
        </w:tc>
        <w:tc>
          <w:tcPr>
            <w:tcW w:w="110"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firstLine="2925"/>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 Unamortized Debt Expense and Premiums on Long-Term Debt</w:t>
      </w:r>
      <w:r>
        <w:rPr>
          <w:rFonts w:ascii="Times New Roman;Times;Serif" w:hAnsi="Times New Roman;Times;Serif"/>
          <w:b w:val="false"/>
          <w:i w:val="false"/>
          <w:caps w:val="false"/>
          <w:smallCaps w:val="false"/>
          <w:sz w:val="20"/>
        </w:rPr>
        <w:t xml:space="preserve"> - Unamortized Debt Expense and Premiums on Long-Term Debt, included on the consolidated balance sheet in long-term debt, are amortized over the lives of the related debt issues.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 Income Taxes</w:t>
      </w:r>
      <w:r>
        <w:rPr>
          <w:rFonts w:ascii="Times New Roman;Times;Serif" w:hAnsi="Times New Roman;Times;Serif"/>
          <w:b w:val="false"/>
          <w:i w:val="false"/>
          <w:caps w:val="false"/>
          <w:smallCaps w:val="false"/>
          <w:sz w:val="20"/>
        </w:rPr>
        <w:t xml:space="preserve"> - Middlesex files a consolidated federal income tax return for the Company and income taxes are allocated based on the separate return method. Certain income and expense items are accounted for in different time periods for financial reporting than for income tax reporting purposes. Deferred income taxes are provided on differences between the tax basis of assets and liabilities and the amounts at which they are carried in the consolidated financial statements. Investment tax credits have been deferred and are amortized over the estimated useful life of the related property. In the event that there are interest and penalties associated with income tax adjustments from income tax authority examinations, these amounts will be reported under interest expense and other expense, respectively. For more information on income taxes, see Note 3 – </w:t>
      </w:r>
      <w:r>
        <w:rPr>
          <w:rFonts w:ascii="Times New Roman;Times;Serif" w:hAnsi="Times New Roman;Times;Serif"/>
          <w:b w:val="false"/>
          <w:i/>
          <w:caps w:val="false"/>
          <w:smallCaps w:val="false"/>
          <w:sz w:val="20"/>
        </w:rPr>
        <w:t>Income Taxes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 Cash and Cash Equivalents</w:t>
      </w:r>
      <w:r>
        <w:rPr>
          <w:rFonts w:ascii="Times New Roman;Times;Serif" w:hAnsi="Times New Roman;Times;Serif"/>
          <w:b w:val="false"/>
          <w:i w:val="false"/>
          <w:caps w:val="false"/>
          <w:smallCaps w:val="false"/>
          <w:sz w:val="20"/>
        </w:rPr>
        <w:t xml:space="preserve"> - For purposes of reporting cash flows, the Company considers all highly liquid investments with original maturity dates of three months or less to be cash equivalents. Cash and cash equivalents represent bank balances and money market funds with investments maturing in less than 90 days.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 Restricted Cash </w:t>
      </w:r>
      <w:r>
        <w:rPr>
          <w:rFonts w:ascii="Times New Roman;Times;Serif" w:hAnsi="Times New Roman;Times;Serif"/>
          <w:b w:val="false"/>
          <w:i w:val="false"/>
          <w:caps w:val="false"/>
          <w:smallCaps w:val="false"/>
          <w:sz w:val="20"/>
        </w:rPr>
        <w:t>– Restricted cash includes cash proceeds from loan transactions entered into through government financing programs and are held in trusts for specific capital expenditures or debt 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(q) Use of Estimates</w:t>
      </w:r>
      <w:r>
        <w:rPr>
          <w:rFonts w:ascii="Times New Roman;Times;Serif" w:hAnsi="Times New Roman;Times;Serif"/>
          <w:b w:val="false"/>
          <w:i w:val="false"/>
          <w:caps w:val="false"/>
          <w:smallCaps w:val="false"/>
          <w:sz w:val="20"/>
        </w:rPr>
        <w:t xml:space="preserve"> - Conformity with accounting principles generally accepted in the United States of America requires management to make estimates and assumptions that affect the reported amounts in the financial statements. Actual results could differ from those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 Recent Accounting Pronouncements</w:t>
      </w:r>
      <w:r>
        <w:rPr>
          <w:rFonts w:ascii="Times New Roman;Times;Serif" w:hAnsi="Times New Roman;Times;Serif"/>
          <w:b w:val="false"/>
          <w:i w:val="false"/>
          <w:caps w:val="false"/>
          <w:smallCaps w:val="false"/>
          <w:sz w:val="20"/>
        </w:rPr>
        <w:t xml:space="preserve"> - There are no new adopted or proposed accounting guidance that the Company is aware of that could have a material impact on the Company’s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 Regulatory Notice of Non-Compliance – </w:t>
      </w:r>
      <w:r>
        <w:rPr>
          <w:rFonts w:ascii="Times New Roman;Times;Serif" w:hAnsi="Times New Roman;Times;Serif"/>
          <w:b w:val="false"/>
          <w:i w:val="false"/>
          <w:caps w:val="false"/>
          <w:smallCaps w:val="false"/>
          <w:sz w:val="20"/>
        </w:rPr>
        <w:t>In September 2021, the New Jersey Department of Environmental Protection (NJDEP) issued a Notice of Non-Compliance (Notice) to Middlesex based on self-reporting by Middlesex that the level of Perfluorooctanoic Acid (PFOA) in water treated at its Park Avenue Wellfield Treatment Plant (Park Avenue Plant) in South Plainfield, New Jersey exceeded a NJDEP standard that became effective in 2021.</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52 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2021, the Company began design for construction of an enhanced treatment process at the Park Avenue Plant to comply with the new standard prior to the regulation being enacted. Since completion was not expected until mid-2023, the Company implemented an interim solution to meet the Notice requirements.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2022, a portion of the enhanced treatment process was completed, placed into service and is effectively treating the ground water in compliance with all state and federal drinking water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2022, the Company entered into an Administrative Consent Order (ACO) with the NJDEP with respect to the Notice, which voided any further notice regarding the fact that the permanent treatment solution was not in service by September 7, 2022 as required by the Notice. As prescribed in the ACO, the Company was to issue periodic public notifications until the ACO was closed.</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2023, the Company completed the permanent construction of the entire Park Avenue Plant treatment upgrades and placed the upgrades into operation in full compliance with the NJDEP PFOA standards. In October 2023, the Company received confirmation from the NJDEP that it has complied with all requirements of the ACO and consequently, the ACO has been closed.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had previously initiated a lawsuit against 3M Company (3M), in connection with the Company’s claim that 3M introduced perfluoroalkyl substances (commonly known as “PFAS”), which include PFOA, into the Company’s water supply at its Park Avenue Plant.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29, 2023, Middlesex and 3M executed a settlement agreement (the Settlement Agreement) to resolve the lawsuit. The Settlement Agreement provides that:</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3M will pay $93.2 million in two installments, one payment of $23.3 million received in December 2023 and one payment of $69.9 million in July 2024. Middlesex is obligated to pay 30% of the proceeds received plus reimbursable out-of-pocket legal expenses to its lawyers as legal fees, or $29.5 million in total;</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 xml:space="preserve">Proceeds received from the Settlement Agreement are being used to mitigate the impact of the increase in Middlesex’s customer rates approved by the NJBPU, which is to be implemented March 1, 2024 (for further discussion of Middlesex’s base rate increase, see Note 2, </w:t>
            </w:r>
            <w:r>
              <w:rPr>
                <w:i/>
              </w:rPr>
              <w:t>Rate Matters, Middlesex</w:t>
            </w:r>
            <w:r>
              <w:rPr/>
              <w:t xml:space="preserve"> below);</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Middlesex, by nature of its status as a U.S. water purveyor impacted by PFAS, was automatically included in a Multi-District Litigation Settlement before the United States District Court for the District of South Carolina in which 3M and other companies (Non-3M Companies) are participants. Middlesex agreed as part of the Settlement Agreement to remain a member of the plaintiff class in order to be eligible to obtain future additional compensation from 3M and the Non-3M Companies for any future remediation which may be required of its water treatment facilities;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Middlesex and 3M agreed to enter into a joint mediation which occurred November 2023, to resolve two PFOA-related class action lawsuits against Middlesex seeking restitution for medical, water replacement and other claimed related costs. Both Middlesex and 3M are defendants in these lawsuits. These lawsuits remain in the legal process and their ultimate resolution is not known at this time.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Rate and Regulatory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Rate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Middlesex</w:t>
      </w:r>
      <w:r>
        <w:rPr>
          <w:rFonts w:ascii="Times New Roman;Times;Serif" w:hAnsi="Times New Roman;Times;Serif"/>
          <w:b w:val="false"/>
          <w:i w:val="false"/>
          <w:caps w:val="false"/>
          <w:smallCaps w:val="false"/>
          <w:sz w:val="20"/>
        </w:rPr>
        <w:t xml:space="preserve"> – In February 2024, Middlesex’s petition to the NJBPU, filed in May 2023, seeking permission to increase its base water rates was concluded, based on a negotiated settlement that is expected to increase annual operating revenues by $15.4 million effective March 1, 2024.  The approved tariff rates were designed to recover increased operating costs as well as a return on invested capital of $563.1 million, based on an authorized return on common equity of 9.6%.  Middlesex has made capital infrastructure investments to ensure prudent upgrade and replacement of its utility assets to support continued regulatory compliance, resilience and overall quality of service.  Net proceeds from the 3M Settlement Agreement were used to recover costs for the construction of the Park Avenue Plant PFAS treatment upgrades, including depreciation and carrying costs.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53 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rate case settlement will result in the reclassification of $48.3 million from Regulatory Liabilities to CIAC in the March 31, 2024 balance sheet.  The Company will also record in the first quarter of 2024 the recovery of $0.7 million and $2.4 million of prior year depreciation and carrying costs, respectively, as well as the recovery of $1.4 million of prior year costs which were associated with the interim solution to comply with the Notice, all of which were approved in the rate case settlement. For further information on the 3M Settlement Agreement, see </w:t>
      </w:r>
      <w:r>
        <w:rPr>
          <w:rFonts w:ascii="Times New Roman;Times;Serif" w:hAnsi="Times New Roman;Times;Serif"/>
          <w:b w:val="false"/>
          <w:i/>
          <w:caps w:val="false"/>
          <w:smallCaps w:val="false"/>
          <w:sz w:val="20"/>
        </w:rPr>
        <w:t>Note 1(s) - Regulatory Notice of Non-Compliance</w:t>
      </w:r>
      <w:r>
        <w:rPr>
          <w:rFonts w:ascii="Times New Roman;Times;Serif" w:hAnsi="Times New Roman;Times;Serif"/>
          <w:b w:val="false"/>
          <w:i w:val="false"/>
          <w:caps w:val="false"/>
          <w:smallCaps w:val="false"/>
          <w:sz w:val="20"/>
        </w:rPr>
        <w:t xml:space="preserve">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2024, the NJBPU approved Middlesex’s petition for the proposed cost recovery of its Lead Service Line Replacement (LSLR) Plan and cost recovery of project costs associated with replacing Middlesex customer-owned lead service lines. Replacement of Middlesex and Middlesex customer-owned lead service lines is required by the New Jersey LSLR Law. Under this legislation, the costs associated with replacing customer-owned lead service lines are recoverable through future customer surcharges. Cost recovery for replacing Company-owned lead service lines are recoverable through traditional base rate case filings. The current estimates for replacement of Middlesex and Middlesex customer-owned lead service lines are approximately $46 million to $77 million over a nine-year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2023, the NJBPU approved Middlesex’s petition for a Distribution System Improvement Charge (DSIC) Foundation Filing, which is a prerequisite to implementing a DSIC rate that allows water utilities to recover investments in, and generate a return on, qualifying capital improvements to their water distribution system made between base rate proceedings. Middlesex is authorized to recover DSIC revenues up to five percent (5%) of total revenues established in Middlesex’s 2021 base rate proceeding, or approximately $5.5 million. Semi-annually, beginning in April 2024, the Company must file for a change in its DSIC rate seeking recovery for DSIC-eligible investments made during the period. DSIC rates remain in effect until Middlesex’s next base rate case increase subsequent to the March 1, 2024 increase. Under the terms of the Foundational Filing, the Company is required to file a base rate petition before October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2022, the NJBPU approved Middlesex's Emergency Relief Motion to reset its Purchased Water Adjustment Clause (PWAC) tariff rate to recover additional costs of $2.7 million for the purchase of treated water from a non-affiliated water utility. A PWAC is a rate mechanism that allows for recovery of increased purchased water costs between base rate case filings. The increase, effective October 1, 2022, was on an interim basis and subject to refund with interest, pending final resolution of this matter, which the NJBPU provided in August 2023. In connection with the full recovery of the $2.7 million of additional costs, Middlesex reset its PWAC rate to zero in October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2021, Middlesex’s petition to the NJBPU seeking permission to increase its base water rates was concluded, based on a negotiated settlement, resulting in an expected increase in annual operating revenues of $27.7 million. The approved tariff rates were designed to recover increased operating costs, as well as a return on invested capital of $513.5 million, based on an authorized return on common equity of 9.6%. The increase was implemented in two phases with $20.7 million of the increase effective January 1, 2022 and the remaining $7.0 million effective January 1, 2023. As part of the negotiated settlement, the PWAC was reset to zero.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Tidewater – </w:t>
      </w:r>
      <w:r>
        <w:rPr>
          <w:rFonts w:ascii="Times New Roman;Times;Serif" w:hAnsi="Times New Roman;Times;Serif"/>
          <w:b w:val="false"/>
          <w:i w:val="false"/>
          <w:caps w:val="false"/>
          <w:smallCaps w:val="false"/>
          <w:sz w:val="20"/>
        </w:rPr>
        <w:t>In December 2023, the DEPSC approved Tidewater’s application to implement a new DSIC. Effective January 1, 2024, Tidewater implemented a DSIC rate of 3.71%, which is expected to generate revenue of approximately $1.3 million annually. A Delaware DISC is subject to a semi-annual reset with an overall maximum rate of 7.5%.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2023, the DEPSC issued an Order that made a temporary base rate reduction permanent. The initial DEPSC order required Tidewater to reduce its base rates charged to general metered and private fire customers by 6.0%, effective for service rendered on and after September 1, 2022. The rate reduction was ordered as a result of Tidewater earning in excess of its authorized return, and resulted in reduced annual revenues of approximately $2.1 million in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2021, Tidewater was notified by the DEPSC that it had determined Tidewater’s earned rate of return exceeded the rate of return authorized by the DEPSC. Consequently, Tidewater reset its DSIC rate to zero effective April 1, 2021 and refunded approximately $1.0 million to customers primarily in the form of an account credit for DSIC revenue previously billed between April 1, 2020 and March 31, 2021.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54 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Pinelands – </w:t>
      </w:r>
      <w:r>
        <w:rPr>
          <w:rFonts w:ascii="Times New Roman;Times;Serif" w:hAnsi="Times New Roman;Times;Serif"/>
          <w:b w:val="false"/>
          <w:i w:val="false"/>
          <w:caps w:val="false"/>
          <w:smallCaps w:val="false"/>
          <w:sz w:val="20"/>
        </w:rPr>
        <w:t>In April 2023, Pinelands Water and Pinelands Wastewater concluded their base rate case matters when the NJBPU approved a combined $1.0 million increase in annual base rates, effective April 15, 2023. The requests were necessitated by capital infrastructure investments the companies have made as well as increased operations and maintenance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Southern Shores </w:t>
      </w:r>
      <w:r>
        <w:rPr>
          <w:rFonts w:ascii="Times New Roman;Times;Serif" w:hAnsi="Times New Roman;Times;Serif"/>
          <w:b/>
          <w:i/>
          <w:caps w:val="false"/>
          <w:smallCaps w:val="false"/>
          <w:sz w:val="20"/>
        </w:rPr>
        <w:t xml:space="preserve">- </w:t>
      </w:r>
      <w:r>
        <w:rPr>
          <w:rFonts w:ascii="Times New Roman;Times;Serif" w:hAnsi="Times New Roman;Times;Serif"/>
          <w:b w:val="false"/>
          <w:i w:val="false"/>
          <w:caps w:val="false"/>
          <w:smallCaps w:val="false"/>
          <w:sz w:val="20"/>
        </w:rPr>
        <w:t>Effective January 1, 2020, the DEPSC approved the renewal of a multi-year agreement for water service to a 2,200 unit condominium community we serve in Sussex County, Delaware.  Under the agreement, current rates were to remain in effect until December 31, 2024, unless there are unanticipated capital expenditures or regulatory related changes in operating expenses exceeding certain thresholds during this time period. In 2022, capital expenditures did exceed the established threshold and rates were increased by 5.39%, effective January 1, 2023. Beginning in 2025 and thereafter, inflation-based rate increases cannot exceed the lesser of the regional Consumer Price Index or, 3%. Inflation based increases are in addition to the threshold rate increases. This agreement expires on December 31, 2029.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Twin Lakes Utilities, Inc. (Twin Lakes) - </w:t>
      </w:r>
      <w:r>
        <w:rPr>
          <w:rFonts w:ascii="Times New Roman;Times;Serif" w:hAnsi="Times New Roman;Times;Serif"/>
          <w:b w:val="false"/>
          <w:i w:val="false"/>
          <w:caps w:val="false"/>
          <w:smallCaps w:val="false"/>
          <w:sz w:val="20"/>
        </w:rPr>
        <w:t>Twin Lakes provides water services to approximately 115 residential customers in Shohola, Pennsylvania. Pursuant to the Pennsylvania Public Utility Code, Twin Lakes filed a petition requesting the Pennsylvania Public Utilities Commission (PAPUC) to order the acquisition of Twin Lakes by a capable public utility. The PAPUC assigned an Administrative Law Judge (ALJ) to adjudicate the matter and submit a recommended decision (Recommended Decision) to the PAPUC. As part of this legal proceeding the PAPUC also issued an Order in January 2021 appointing a large Pennsylvania based investor-owned water utility as the receiver (the Receiver Utility) of the Twin Lakes system until the petition is fully adjudicated by the PAPUC. In November 2021, the PAPUC issued an Order affirming the ALJ’s Recommended Decision, ordering the Receiver Utility to acquire the Twin Lakes water system and for Middlesex, the parent company of Twin Lakes, to submit $1.7 million into an escrow account within 30 days. Twin Lakes immediately filed a Petition For Review (PFR) with the Commonwealth Court of Pennsylvania (the Commonwealth Court) seeking reversal and vacation of the escrow requirement on the grounds that it violates the Pennsylvania Public Utility Code as well as the United States Constitution. In addition, Twin Lakes filed an emergency petition for stay of the PAPUC Order pending the Commonwealth Court’s review of the merits arguments contained in Twin Lakes’ PFR. In December 2021, the Commonwealth Court granted Twin Lakes’ emergency petition, pending its review. In August 2022, the Commonwealth Court issued an opinion upholding PAPUC’s November 2021 Order in its entirety. In September 2022, Twin Lakes filed a Petition For Allowance of Appeal (Appeal Petition) to the Supreme Court of Pennsylvania seeking reversal of the Commonwealth Court’s decision to uphold the escrow requirement on the grounds that the Commonwealth Court erred in failing to address Twin Lakes’ claims that because the $1.7 million escrow requirement placed on Middlesex violated Middlesex’s constitutional rights, Middlesex’s refusal to submit this escrow payment would jeopardize the relief Twin Lakes was otherwise entitled to in the appointment of the Receiver Utility. In March 2023, the Supreme Court of Pennsylvania issued a decision denying Twin Lakes’ Appeal Petition without addressing this claim on the merits. As a result of the Pennsylvania Courts’ failure to address Twin Lakes’ claim, Middlesex subsequently filed a Complaint with the United States District Court for the Middle District of Pennsylvania to address the issue of whether the PAPUC’s Order violated Middlesex’s rights under the United States Constitution. On January 18, 2024, the District Court issued an Order dismissing Middlesex’s Complaint without addressing the issue of whether the PAPUC’s Order violated Middlesex’s rights under the United States Constitution. On January 31, 2024, Middlesex filed a Notice of Appeal of the District Court’s decision with the United States Court of Appeals for the Third Circuit. We are currently awaiting the Court’s decision.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results, total assets and financial obligations of Twin Lakes are not material to Middlesex.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Regulatory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recorded certain costs as regulatory assets because we expect full recovery of, or are currently recovering, these costs in the rates we charge customers. These deferred costs have been excluded from rate base and, therefore, we are not earning a return on the unamortized balances. These items are detailed as follows:</w:t>
      </w:r>
    </w:p>
    <w:p>
      <w:pPr>
        <w:pStyle w:val="TextBody"/>
        <w:bidi w:val="0"/>
        <w:spacing w:before="0" w:after="0"/>
        <w:ind w:left="0" w:right="0" w:hanging="0"/>
        <w:jc w:val="both"/>
        <w:rPr>
          <w:caps w:val="false"/>
          <w:smallCaps w:val="false"/>
        </w:rPr>
      </w:pPr>
      <w:r>
        <w:rPr>
          <w:caps w:val="false"/>
          <w:smallCaps w:val="false"/>
        </w:rPr>
        <w:t> </w:t>
      </w:r>
    </w:p>
    <w:tbl>
      <w:tblPr>
        <w:tblW w:w="7888" w:type="dxa"/>
        <w:jc w:val="left"/>
        <w:tblInd w:w="0" w:type="dxa"/>
        <w:tblLayout w:type="fixed"/>
        <w:tblCellMar>
          <w:top w:w="0" w:type="dxa"/>
          <w:left w:w="0" w:type="dxa"/>
          <w:bottom w:w="0" w:type="dxa"/>
          <w:right w:w="0" w:type="dxa"/>
        </w:tblCellMar>
      </w:tblPr>
      <w:tblGrid>
        <w:gridCol w:w="3605"/>
        <w:gridCol w:w="60"/>
        <w:gridCol w:w="180"/>
        <w:gridCol w:w="876"/>
        <w:gridCol w:w="77"/>
        <w:gridCol w:w="77"/>
        <w:gridCol w:w="180"/>
        <w:gridCol w:w="876"/>
        <w:gridCol w:w="77"/>
        <w:gridCol w:w="60"/>
        <w:gridCol w:w="1820"/>
      </w:tblGrid>
      <w:tr>
        <w:trPr/>
        <w:tc>
          <w:tcPr>
            <w:tcW w:w="36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343" w:type="dxa"/>
            <w:gridSpan w:val="7"/>
            <w:tcBorders/>
            <w:vAlign w:val="center"/>
          </w:tcPr>
          <w:p>
            <w:pPr>
              <w:pStyle w:val="TableContents"/>
              <w:bidi w:val="0"/>
              <w:spacing w:before="0" w:after="283"/>
              <w:jc w:val="center"/>
              <w:rPr>
                <w:b/>
              </w:rPr>
            </w:pPr>
            <w:r>
              <w:rPr>
                <w:b/>
              </w:rPr>
              <w:t>(Thousands of Dollars)</w:t>
            </w:r>
          </w:p>
        </w:tc>
        <w:tc>
          <w:tcPr>
            <w:tcW w:w="60"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283"/>
              <w:jc w:val="center"/>
              <w:rPr/>
            </w:pPr>
            <w:r>
              <w:rPr/>
              <w:t> </w:t>
            </w:r>
          </w:p>
        </w:tc>
      </w:tr>
      <w:tr>
        <w:trPr/>
        <w:tc>
          <w:tcPr>
            <w:tcW w:w="36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343" w:type="dxa"/>
            <w:gridSpan w:val="7"/>
            <w:tcBorders/>
            <w:vAlign w:val="center"/>
          </w:tcPr>
          <w:p>
            <w:pPr>
              <w:pStyle w:val="TableContents"/>
              <w:bidi w:val="0"/>
              <w:spacing w:before="0" w:after="283"/>
              <w:jc w:val="center"/>
              <w:rPr>
                <w:b/>
              </w:rPr>
            </w:pPr>
            <w:r>
              <w:rPr>
                <w:b/>
              </w:rPr>
              <w:t>December 31,</w:t>
            </w:r>
          </w:p>
        </w:tc>
        <w:tc>
          <w:tcPr>
            <w:tcW w:w="60"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283"/>
              <w:jc w:val="center"/>
              <w:rPr>
                <w:b/>
              </w:rPr>
            </w:pPr>
            <w:r>
              <w:rPr>
                <w:b/>
              </w:rPr>
              <w:t>Remaining</w:t>
            </w:r>
          </w:p>
        </w:tc>
      </w:tr>
      <w:tr>
        <w:trPr/>
        <w:tc>
          <w:tcPr>
            <w:tcW w:w="3605" w:type="dxa"/>
            <w:tcBorders/>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i w:val="false"/>
                <w:caps w:val="false"/>
                <w:smallCaps w:val="false"/>
                <w:sz w:val="20"/>
                <w:u w:val="single"/>
              </w:rPr>
              <w:t>Regulatory Assets</w:t>
            </w:r>
          </w:p>
        </w:tc>
        <w:tc>
          <w:tcPr>
            <w:tcW w:w="60" w:type="dxa"/>
            <w:tcBorders/>
            <w:vAlign w:val="center"/>
          </w:tcPr>
          <w:p>
            <w:pPr>
              <w:pStyle w:val="TableContents"/>
              <w:bidi w:val="0"/>
              <w:spacing w:before="0" w:after="283"/>
              <w:jc w:val="left"/>
              <w:rPr/>
            </w:pPr>
            <w:r>
              <w:rPr/>
              <w:t> </w:t>
            </w:r>
          </w:p>
        </w:tc>
        <w:tc>
          <w:tcPr>
            <w:tcW w:w="1133"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77" w:type="dxa"/>
            <w:tcBorders>
              <w:bottom w:val="single" w:sz="8" w:space="0" w:color="000000"/>
            </w:tcBorders>
            <w:tcMar>
              <w:bottom w:w="28" w:type="dxa"/>
            </w:tcMar>
            <w:vAlign w:val="center"/>
          </w:tcPr>
          <w:p>
            <w:pPr>
              <w:pStyle w:val="TableContents"/>
              <w:bidi w:val="0"/>
              <w:spacing w:before="0" w:after="283"/>
              <w:jc w:val="left"/>
              <w:rPr/>
            </w:pPr>
            <w:r>
              <w:rPr/>
              <w:t> </w:t>
            </w:r>
          </w:p>
        </w:tc>
        <w:tc>
          <w:tcPr>
            <w:tcW w:w="1133"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60" w:type="dxa"/>
            <w:tcBorders/>
            <w:vAlign w:val="center"/>
          </w:tcPr>
          <w:p>
            <w:pPr>
              <w:pStyle w:val="TableContents"/>
              <w:bidi w:val="0"/>
              <w:spacing w:before="0" w:after="283"/>
              <w:jc w:val="left"/>
              <w:rPr/>
            </w:pPr>
            <w:r>
              <w:rPr/>
              <w:t> </w:t>
            </w:r>
          </w:p>
        </w:tc>
        <w:tc>
          <w:tcPr>
            <w:tcW w:w="1820" w:type="dxa"/>
            <w:tcBorders>
              <w:bottom w:val="single" w:sz="8" w:space="0" w:color="000000"/>
            </w:tcBorders>
            <w:tcMar>
              <w:bottom w:w="28" w:type="dxa"/>
            </w:tcMar>
            <w:vAlign w:val="center"/>
          </w:tcPr>
          <w:p>
            <w:pPr>
              <w:pStyle w:val="TableContents"/>
              <w:bidi w:val="0"/>
              <w:spacing w:before="0" w:after="283"/>
              <w:jc w:val="center"/>
              <w:rPr>
                <w:b/>
              </w:rPr>
            </w:pPr>
            <w:r>
              <w:rPr>
                <w:b/>
              </w:rPr>
              <w:t>Recovery Periods</w:t>
            </w:r>
          </w:p>
        </w:tc>
      </w:tr>
      <w:tr>
        <w:trPr/>
        <w:tc>
          <w:tcPr>
            <w:tcW w:w="3605" w:type="dxa"/>
            <w:tcBorders/>
            <w:shd w:fill="CCEEFF" w:val="clear"/>
            <w:vAlign w:val="center"/>
          </w:tcPr>
          <w:p>
            <w:pPr>
              <w:pStyle w:val="TableContents"/>
              <w:bidi w:val="0"/>
              <w:spacing w:before="0" w:after="283"/>
              <w:jc w:val="left"/>
              <w:rPr/>
            </w:pPr>
            <w:r>
              <w:rPr/>
              <w:t>Retirement Benefits</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876" w:type="dxa"/>
            <w:tcBorders/>
            <w:shd w:fill="CCEEFF" w:val="clear"/>
            <w:vAlign w:val="center"/>
          </w:tcPr>
          <w:p>
            <w:pPr>
              <w:pStyle w:val="TableContents"/>
              <w:bidi w:val="0"/>
              <w:spacing w:before="0" w:after="0"/>
              <w:jc w:val="right"/>
              <w:rPr/>
            </w:pPr>
            <w:r>
              <w:rPr/>
              <w:t>—</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876" w:type="dxa"/>
            <w:tcBorders/>
            <w:shd w:fill="CCEEFF" w:val="clear"/>
            <w:vAlign w:val="center"/>
          </w:tcPr>
          <w:p>
            <w:pPr>
              <w:pStyle w:val="TableContents"/>
              <w:bidi w:val="0"/>
              <w:spacing w:before="0" w:after="283"/>
              <w:jc w:val="right"/>
              <w:rPr/>
            </w:pPr>
            <w:r>
              <w:rPr/>
              <w:t>9,214</w:t>
            </w:r>
          </w:p>
        </w:tc>
        <w:tc>
          <w:tcPr>
            <w:tcW w:w="7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0" w:type="dxa"/>
            <w:tcBorders/>
            <w:shd w:fill="CCEEFF" w:val="clear"/>
            <w:vAlign w:val="center"/>
          </w:tcPr>
          <w:p>
            <w:pPr>
              <w:pStyle w:val="TableContents"/>
              <w:bidi w:val="0"/>
              <w:spacing w:before="0" w:after="283"/>
              <w:jc w:val="center"/>
              <w:rPr/>
            </w:pPr>
            <w:r>
              <w:rPr/>
              <w:t>Various</w:t>
            </w:r>
          </w:p>
        </w:tc>
      </w:tr>
      <w:tr>
        <w:trPr/>
        <w:tc>
          <w:tcPr>
            <w:tcW w:w="3605" w:type="dxa"/>
            <w:tcBorders/>
            <w:vAlign w:val="center"/>
          </w:tcPr>
          <w:p>
            <w:pPr>
              <w:pStyle w:val="TableContents"/>
              <w:bidi w:val="0"/>
              <w:spacing w:before="0" w:after="283"/>
              <w:jc w:val="left"/>
              <w:rPr/>
            </w:pPr>
            <w:r>
              <w:rPr/>
              <w:t>Income Taxes</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876" w:type="dxa"/>
            <w:tcBorders/>
            <w:vAlign w:val="center"/>
          </w:tcPr>
          <w:p>
            <w:pPr>
              <w:pStyle w:val="TableContents"/>
              <w:bidi w:val="0"/>
              <w:spacing w:before="0" w:after="283"/>
              <w:jc w:val="right"/>
              <w:rPr/>
            </w:pPr>
            <w:r>
              <w:rPr/>
              <w:t>84,419</w:t>
            </w:r>
          </w:p>
        </w:tc>
        <w:tc>
          <w:tcPr>
            <w:tcW w:w="77"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876" w:type="dxa"/>
            <w:tcBorders/>
            <w:vAlign w:val="center"/>
          </w:tcPr>
          <w:p>
            <w:pPr>
              <w:pStyle w:val="TableContents"/>
              <w:bidi w:val="0"/>
              <w:spacing w:before="0" w:after="283"/>
              <w:jc w:val="right"/>
              <w:rPr/>
            </w:pPr>
            <w:r>
              <w:rPr/>
              <w:t>74,422</w:t>
            </w:r>
          </w:p>
        </w:tc>
        <w:tc>
          <w:tcPr>
            <w:tcW w:w="7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283"/>
              <w:jc w:val="center"/>
              <w:rPr/>
            </w:pPr>
            <w:r>
              <w:rPr/>
              <w:t>Various</w:t>
            </w:r>
          </w:p>
        </w:tc>
      </w:tr>
      <w:tr>
        <w:trPr/>
        <w:tc>
          <w:tcPr>
            <w:tcW w:w="3605" w:type="dxa"/>
            <w:tcBorders/>
            <w:shd w:fill="CCEEFF" w:val="clear"/>
            <w:vAlign w:val="center"/>
          </w:tcPr>
          <w:p>
            <w:pPr>
              <w:pStyle w:val="TableContents"/>
              <w:bidi w:val="0"/>
              <w:spacing w:before="0" w:after="283"/>
              <w:jc w:val="left"/>
              <w:rPr/>
            </w:pPr>
            <w:r>
              <w:rPr/>
              <w:t>Rate Cases, Tank Painting, and Other</w:t>
            </w:r>
          </w:p>
        </w:tc>
        <w:tc>
          <w:tcPr>
            <w:tcW w:w="60" w:type="dxa"/>
            <w:tcBorders/>
            <w:shd w:fill="CCEEFF" w:val="cle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6" w:type="dxa"/>
            <w:tcBorders>
              <w:bottom w:val="single" w:sz="8" w:space="0" w:color="000000"/>
            </w:tcBorders>
            <w:shd w:fill="CCEEFF" w:val="clear"/>
            <w:tcMar>
              <w:bottom w:w="28" w:type="dxa"/>
            </w:tcMar>
            <w:vAlign w:val="center"/>
          </w:tcPr>
          <w:p>
            <w:pPr>
              <w:pStyle w:val="TableContents"/>
              <w:bidi w:val="0"/>
              <w:spacing w:before="0" w:after="283"/>
              <w:jc w:val="right"/>
              <w:rPr/>
            </w:pPr>
            <w:r>
              <w:rPr/>
              <w:t>6,275</w:t>
            </w:r>
          </w:p>
        </w:tc>
        <w:tc>
          <w:tcPr>
            <w:tcW w:w="7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6" w:type="dxa"/>
            <w:tcBorders>
              <w:bottom w:val="single" w:sz="8" w:space="0" w:color="000000"/>
            </w:tcBorders>
            <w:shd w:fill="CCEEFF" w:val="clear"/>
            <w:tcMar>
              <w:bottom w:w="28" w:type="dxa"/>
            </w:tcMar>
            <w:vAlign w:val="center"/>
          </w:tcPr>
          <w:p>
            <w:pPr>
              <w:pStyle w:val="TableContents"/>
              <w:bidi w:val="0"/>
              <w:spacing w:before="0" w:after="283"/>
              <w:jc w:val="right"/>
              <w:rPr/>
            </w:pPr>
            <w:r>
              <w:rPr/>
              <w:t>6,410</w:t>
            </w:r>
          </w:p>
        </w:tc>
        <w:tc>
          <w:tcPr>
            <w:tcW w:w="7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0" w:type="dxa"/>
            <w:tcBorders/>
            <w:shd w:fill="CCEEFF" w:val="clear"/>
            <w:vAlign w:val="center"/>
          </w:tcPr>
          <w:p>
            <w:pPr>
              <w:pStyle w:val="TableContents"/>
              <w:bidi w:val="0"/>
              <w:spacing w:before="0" w:after="283"/>
              <w:jc w:val="center"/>
              <w:rPr/>
            </w:pPr>
            <w:r>
              <w:rPr/>
              <w:t>2-10 years</w:t>
            </w:r>
          </w:p>
        </w:tc>
      </w:tr>
      <w:tr>
        <w:trPr/>
        <w:tc>
          <w:tcPr>
            <w:tcW w:w="3605" w:type="dxa"/>
            <w:tcBorders/>
            <w:vAlign w:val="center"/>
          </w:tcPr>
          <w:p>
            <w:pPr>
              <w:pStyle w:val="TableContents"/>
              <w:bidi w:val="0"/>
              <w:spacing w:before="0" w:after="283"/>
              <w:jc w:val="left"/>
              <w:rPr/>
            </w:pPr>
            <w:r>
              <w:rPr/>
              <w:t>Total</w:t>
            </w:r>
          </w:p>
        </w:tc>
        <w:tc>
          <w:tcPr>
            <w:tcW w:w="60" w:type="dxa"/>
            <w:tcBorders/>
            <w:vAlign w:val="center"/>
          </w:tcPr>
          <w:p>
            <w:pPr>
              <w:pStyle w:val="TableContents"/>
              <w:bidi w:val="0"/>
              <w:spacing w:before="0" w:after="283"/>
              <w:jc w:val="left"/>
              <w:rPr/>
            </w:pPr>
            <w:r>
              <w:rPr/>
              <w:t> </w:t>
            </w:r>
          </w:p>
        </w:tc>
        <w:tc>
          <w:tcPr>
            <w:tcW w:w="180" w:type="dxa"/>
            <w:tcBorders>
              <w:bottom w:val="double" w:sz="6" w:space="0" w:color="000000"/>
            </w:tcBorders>
            <w:tcMar>
              <w:bottom w:w="28" w:type="dxa"/>
            </w:tcMar>
            <w:vAlign w:val="center"/>
          </w:tcPr>
          <w:p>
            <w:pPr>
              <w:pStyle w:val="TableContents"/>
              <w:bidi w:val="0"/>
              <w:spacing w:before="0" w:after="283"/>
              <w:jc w:val="left"/>
              <w:rPr/>
            </w:pPr>
            <w:r>
              <w:rPr/>
              <w:t>$</w:t>
            </w:r>
          </w:p>
        </w:tc>
        <w:tc>
          <w:tcPr>
            <w:tcW w:w="876" w:type="dxa"/>
            <w:tcBorders>
              <w:bottom w:val="double" w:sz="6" w:space="0" w:color="000000"/>
            </w:tcBorders>
            <w:tcMar>
              <w:bottom w:w="28" w:type="dxa"/>
            </w:tcMar>
            <w:vAlign w:val="center"/>
          </w:tcPr>
          <w:p>
            <w:pPr>
              <w:pStyle w:val="TableContents"/>
              <w:bidi w:val="0"/>
              <w:spacing w:before="0" w:after="283"/>
              <w:jc w:val="right"/>
              <w:rPr/>
            </w:pPr>
            <w:r>
              <w:rPr/>
              <w:t>90,694</w:t>
            </w:r>
          </w:p>
        </w:tc>
        <w:tc>
          <w:tcPr>
            <w:tcW w:w="77" w:type="dxa"/>
            <w:tcBorders>
              <w:bottom w:val="double" w:sz="6" w:space="0" w:color="000000"/>
            </w:tcBorders>
            <w:tcMar>
              <w:bottom w:w="28" w:type="dxa"/>
            </w:tcMar>
            <w:vAlign w:val="center"/>
          </w:tcPr>
          <w:p>
            <w:pPr>
              <w:pStyle w:val="TableContents"/>
              <w:bidi w:val="0"/>
              <w:spacing w:before="0" w:after="283"/>
              <w:jc w:val="left"/>
              <w:rPr/>
            </w:pPr>
            <w:r>
              <w:rPr/>
              <w:t> </w:t>
            </w:r>
          </w:p>
        </w:tc>
        <w:tc>
          <w:tcPr>
            <w:tcW w:w="77" w:type="dxa"/>
            <w:tcBorders>
              <w:bottom w:val="double" w:sz="6" w:space="0" w:color="000000"/>
            </w:tcBorders>
            <w:tcMar>
              <w:bottom w:w="28" w:type="dxa"/>
            </w:tcMar>
            <w:vAlign w:val="center"/>
          </w:tcPr>
          <w:p>
            <w:pPr>
              <w:pStyle w:val="TableContents"/>
              <w:bidi w:val="0"/>
              <w:spacing w:before="0" w:after="283"/>
              <w:jc w:val="left"/>
              <w:rPr/>
            </w:pPr>
            <w:r>
              <w:rPr/>
              <w:t> </w:t>
            </w:r>
          </w:p>
        </w:tc>
        <w:tc>
          <w:tcPr>
            <w:tcW w:w="180" w:type="dxa"/>
            <w:tcBorders>
              <w:bottom w:val="double" w:sz="6" w:space="0" w:color="000000"/>
            </w:tcBorders>
            <w:tcMar>
              <w:bottom w:w="28" w:type="dxa"/>
            </w:tcMar>
            <w:vAlign w:val="center"/>
          </w:tcPr>
          <w:p>
            <w:pPr>
              <w:pStyle w:val="TableContents"/>
              <w:bidi w:val="0"/>
              <w:spacing w:before="0" w:after="283"/>
              <w:jc w:val="left"/>
              <w:rPr/>
            </w:pPr>
            <w:r>
              <w:rPr/>
              <w:t>$</w:t>
            </w:r>
          </w:p>
        </w:tc>
        <w:tc>
          <w:tcPr>
            <w:tcW w:w="876" w:type="dxa"/>
            <w:tcBorders>
              <w:bottom w:val="double" w:sz="6" w:space="0" w:color="000000"/>
            </w:tcBorders>
            <w:tcMar>
              <w:bottom w:w="28" w:type="dxa"/>
            </w:tcMar>
            <w:vAlign w:val="center"/>
          </w:tcPr>
          <w:p>
            <w:pPr>
              <w:pStyle w:val="TableContents"/>
              <w:bidi w:val="0"/>
              <w:spacing w:before="0" w:after="283"/>
              <w:jc w:val="right"/>
              <w:rPr/>
            </w:pPr>
            <w:r>
              <w:rPr/>
              <w:t>90,046</w:t>
            </w:r>
          </w:p>
        </w:tc>
        <w:tc>
          <w:tcPr>
            <w:tcW w:w="77" w:type="dxa"/>
            <w:tcBorders>
              <w:bottom w:val="double" w:sz="6"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Retirement benefits include pension and other retirement benefits that have been recorded on the Consolidated Balance Sheet in accordance with the guidance provided in ASC 715</w:t>
      </w:r>
      <w:r>
        <w:rPr>
          <w:rFonts w:ascii="Times New Roman;Times;Serif" w:hAnsi="Times New Roman;Times;Serif"/>
          <w:b w:val="false"/>
          <w:i/>
          <w:caps w:val="false"/>
          <w:smallCaps w:val="false"/>
          <w:sz w:val="20"/>
        </w:rPr>
        <w:t xml:space="preserve">, Compensation – Retirement Benefits. </w:t>
      </w:r>
      <w:r>
        <w:rPr>
          <w:rFonts w:ascii="Times New Roman;Times;Serif" w:hAnsi="Times New Roman;Times;Serif"/>
          <w:b w:val="false"/>
          <w:i w:val="false"/>
          <w:caps w:val="false"/>
          <w:smallCaps w:val="false"/>
          <w:sz w:val="20"/>
        </w:rPr>
        <w:t>These amounts represent obligations in excess of current funding (regulatory asset) or less than current funding (regulatory liability, which was $1.5 million as of December 31, 2023), which the Company believes will be fully recovered or refunded in rates set by the regulatory authorities.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recovery period for income taxes is dependent upon when the temporary differences between the tax and book treatment of various items reverse.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net proceeds available to Middlesex from the 3M Settlement Agreement, after excluding legal fees, $63.6 million, were recorded as a regulatory liability, as of December 31, 2023. For further information on the 3M Settlement Agreement, see </w:t>
      </w:r>
      <w:r>
        <w:rPr>
          <w:rFonts w:ascii="Times New Roman;Times;Serif" w:hAnsi="Times New Roman;Times;Serif"/>
          <w:b w:val="false"/>
          <w:i/>
          <w:caps w:val="false"/>
          <w:smallCaps w:val="false"/>
          <w:sz w:val="20"/>
        </w:rPr>
        <w:t>Rates, Note 1(s) - Regulatory Notice of Non-Compliance</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 xml:space="preserve">Rate Matters, Middlesex </w:t>
      </w:r>
      <w:r>
        <w:rPr>
          <w:rFonts w:ascii="Times New Roman;Times;Serif" w:hAnsi="Times New Roman;Times;Serif"/>
          <w:b w:val="false"/>
          <w:i w:val="false"/>
          <w:caps w:val="false"/>
          <w:smallCaps w:val="false"/>
          <w:sz w:val="20"/>
        </w:rPr>
        <w:t>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2017 Tax Act reduced the statutory corporate federal income tax rate from 35% to 21%. The tariff rates charged to customers effective prior to 2018 in the Company’s regulated companies include recovery of income taxes at the statutory rate in effect at the time those rates were approved by the respective state public utility commissions. As of December 31, 2023 and 2022, the Company has recorded regulatory liabilities of $28.2 million and $29.0 million, respectively for excess income taxes collected through rates due to the lower income tax rate under the 2017 Tax Act. These regulatory liabilities are overwhelmingly related to utility plant depreciation deduction timing differences, which are subject to Internal Revenue Service (IRS) normalization rules. The IRS rules limit how quickly the excess taxes attributable to accelerated taxes can be returned to customers. The current base rates for Middlesex and Pinelands customers became effective after 2017 and reflect the impact of the 2017 Tax Act on their revenue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composite depreciation rates for its regulated utility assets, which is currently an acceptable method under generally accepted accounting principles and is widely used in the utility industry. Historically, under the composite depreciation method, the anticipated costs of removing assets upon retirement are provided for over the life of those assets as a component of depreciation expense. The Company recovers certain asset retirement costs through rates charged to customers as an approved component of depreciation expense. As of December 31, 2023 and 2022, the Company has approximately $19.7 million and $17.7 million, respectively, of expected costs of removal recovered currently in rates in excess of actual costs incurred as regulatory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3 – Income Taxes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Income tax expense (benefit) differs from the amount computed by applying the statutory rate on book income subject to tax for the following reasons: </w:t>
      </w:r>
    </w:p>
    <w:p>
      <w:pPr>
        <w:pStyle w:val="TextBody"/>
        <w:bidi w:val="0"/>
        <w:spacing w:before="0" w:after="0"/>
        <w:ind w:left="0" w:right="0" w:hanging="0"/>
        <w:jc w:val="both"/>
        <w:rPr>
          <w:caps w:val="false"/>
          <w:smallCaps w:val="false"/>
        </w:rPr>
      </w:pPr>
      <w:r>
        <w:rPr>
          <w:caps w:val="false"/>
          <w:smallCaps w:val="false"/>
        </w:rPr>
        <w:t> </w:t>
      </w:r>
    </w:p>
    <w:tbl>
      <w:tblPr>
        <w:tblW w:w="6425" w:type="dxa"/>
        <w:jc w:val="left"/>
        <w:tblInd w:w="0" w:type="dxa"/>
        <w:tblLayout w:type="fixed"/>
        <w:tblCellMar>
          <w:top w:w="0" w:type="dxa"/>
          <w:left w:w="0" w:type="dxa"/>
          <w:bottom w:w="0" w:type="dxa"/>
          <w:right w:w="0" w:type="dxa"/>
        </w:tblCellMar>
      </w:tblPr>
      <w:tblGrid>
        <w:gridCol w:w="3500"/>
        <w:gridCol w:w="60"/>
        <w:gridCol w:w="140"/>
        <w:gridCol w:w="635"/>
        <w:gridCol w:w="95"/>
        <w:gridCol w:w="60"/>
        <w:gridCol w:w="140"/>
        <w:gridCol w:w="635"/>
        <w:gridCol w:w="95"/>
        <w:gridCol w:w="60"/>
        <w:gridCol w:w="140"/>
        <w:gridCol w:w="755"/>
        <w:gridCol w:w="110"/>
      </w:tblGrid>
      <w:tr>
        <w:trPr/>
        <w:tc>
          <w:tcPr>
            <w:tcW w:w="3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865" w:type="dxa"/>
            <w:gridSpan w:val="11"/>
            <w:tcBorders/>
            <w:vAlign w:val="center"/>
          </w:tcPr>
          <w:p>
            <w:pPr>
              <w:pStyle w:val="TableContents"/>
              <w:bidi w:val="0"/>
              <w:spacing w:before="0" w:after="283"/>
              <w:jc w:val="center"/>
              <w:rPr>
                <w:b/>
              </w:rPr>
            </w:pPr>
            <w:r>
              <w:rPr>
                <w:b/>
              </w:rPr>
              <w:t>(Thousands of Dollars)</w:t>
            </w:r>
          </w:p>
        </w:tc>
      </w:tr>
      <w:tr>
        <w:trPr/>
        <w:tc>
          <w:tcPr>
            <w:tcW w:w="3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865" w:type="dxa"/>
            <w:gridSpan w:val="11"/>
            <w:tcBorders/>
            <w:vAlign w:val="center"/>
          </w:tcPr>
          <w:p>
            <w:pPr>
              <w:pStyle w:val="TableContents"/>
              <w:bidi w:val="0"/>
              <w:spacing w:before="0" w:after="283"/>
              <w:jc w:val="center"/>
              <w:rPr>
                <w:b/>
              </w:rPr>
            </w:pPr>
            <w:r>
              <w:rPr>
                <w:b/>
              </w:rPr>
              <w:t>Years Ended December 31,</w:t>
            </w:r>
          </w:p>
        </w:tc>
      </w:tr>
      <w:tr>
        <w:trPr/>
        <w:tc>
          <w:tcPr>
            <w:tcW w:w="3500" w:type="dxa"/>
            <w:tcBorders/>
            <w:vAlign w:val="center"/>
          </w:tcPr>
          <w:p>
            <w:pPr>
              <w:pStyle w:val="TableContents"/>
              <w:bidi w:val="0"/>
              <w:spacing w:before="0" w:after="283"/>
              <w:jc w:val="center"/>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7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7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005"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2021</w:t>
            </w:r>
          </w:p>
        </w:tc>
      </w:tr>
      <w:tr>
        <w:trPr/>
        <w:tc>
          <w:tcPr>
            <w:tcW w:w="3500" w:type="dxa"/>
            <w:tcBorders/>
            <w:shd w:fill="CCEEFF" w:val="clear"/>
            <w:vAlign w:val="center"/>
          </w:tcPr>
          <w:p>
            <w:pPr>
              <w:pStyle w:val="TableContents"/>
              <w:bidi w:val="0"/>
              <w:spacing w:before="0" w:after="283"/>
              <w:jc w:val="left"/>
              <w:rPr/>
            </w:pPr>
            <w:r>
              <w:rPr/>
              <w:t>Income Tax at Statutory Rate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6,839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9,590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6,521</w:t>
            </w:r>
          </w:p>
        </w:tc>
        <w:tc>
          <w:tcPr>
            <w:tcW w:w="110" w:type="dxa"/>
            <w:tcBorders/>
            <w:shd w:fill="CCEEFF" w:val="clear"/>
            <w:vAlign w:val="center"/>
          </w:tcPr>
          <w:p>
            <w:pPr>
              <w:pStyle w:val="TableContents"/>
              <w:bidi w:val="0"/>
              <w:spacing w:before="0" w:after="283"/>
              <w:jc w:val="left"/>
              <w:rPr/>
            </w:pPr>
            <w:r>
              <w:rPr/>
              <w:t> </w:t>
            </w:r>
          </w:p>
        </w:tc>
      </w:tr>
      <w:tr>
        <w:trPr/>
        <w:tc>
          <w:tcPr>
            <w:tcW w:w="3500" w:type="dxa"/>
            <w:tcBorders/>
            <w:vAlign w:val="center"/>
          </w:tcPr>
          <w:p>
            <w:pPr>
              <w:pStyle w:val="TableContents"/>
              <w:bidi w:val="0"/>
              <w:spacing w:before="0" w:after="283"/>
              <w:jc w:val="left"/>
              <w:rPr/>
            </w:pPr>
            <w:r>
              <w:rPr/>
              <w:t>Tax Effect of:</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left"/>
              <w:rPr/>
            </w:pPr>
            <w:r>
              <w:rPr/>
              <w:t>Utility Plant Related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(1,495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(1,106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(1,290</w:t>
            </w:r>
          </w:p>
        </w:tc>
        <w:tc>
          <w:tcPr>
            <w:tcW w:w="110" w:type="dxa"/>
            <w:tcBorders/>
            <w:shd w:fill="CCEEFF" w:val="clear"/>
            <w:vAlign w:val="center"/>
          </w:tcPr>
          <w:p>
            <w:pPr>
              <w:pStyle w:val="TableContents"/>
              <w:bidi w:val="0"/>
              <w:spacing w:before="0" w:after="283"/>
              <w:jc w:val="left"/>
              <w:rPr/>
            </w:pPr>
            <w:r>
              <w:rPr/>
              <w:t>)</w:t>
            </w:r>
          </w:p>
        </w:tc>
      </w:tr>
      <w:tr>
        <w:trPr/>
        <w:tc>
          <w:tcPr>
            <w:tcW w:w="3500" w:type="dxa"/>
            <w:tcBorders/>
            <w:vAlign w:val="center"/>
          </w:tcPr>
          <w:p>
            <w:pPr>
              <w:pStyle w:val="TableContents"/>
              <w:bidi w:val="0"/>
              <w:spacing w:before="0" w:after="283"/>
              <w:jc w:val="left"/>
              <w:rPr/>
            </w:pPr>
            <w:r>
              <w:rPr/>
              <w:t>Tangible Property Repairs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(5,475</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(6,767</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(12,281</w:t>
            </w:r>
          </w:p>
        </w:tc>
        <w:tc>
          <w:tcPr>
            <w:tcW w:w="110" w:type="dxa"/>
            <w:tcBorders/>
            <w:vAlign w:val="center"/>
          </w:tcPr>
          <w:p>
            <w:pPr>
              <w:pStyle w:val="TableContents"/>
              <w:bidi w:val="0"/>
              <w:spacing w:before="0" w:after="283"/>
              <w:jc w:val="left"/>
              <w:rPr/>
            </w:pPr>
            <w:r>
              <w:rPr/>
              <w:t>)</w:t>
            </w:r>
          </w:p>
        </w:tc>
      </w:tr>
      <w:tr>
        <w:trPr/>
        <w:tc>
          <w:tcPr>
            <w:tcW w:w="3500" w:type="dxa"/>
            <w:tcBorders/>
            <w:shd w:fill="CCEEFF" w:val="clear"/>
            <w:vAlign w:val="center"/>
          </w:tcPr>
          <w:p>
            <w:pPr>
              <w:pStyle w:val="TableContents"/>
              <w:bidi w:val="0"/>
              <w:spacing w:before="0" w:after="283"/>
              <w:jc w:val="left"/>
              <w:rPr/>
            </w:pPr>
            <w:r>
              <w:rPr/>
              <w:t>State Income Taxes –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1,117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1,296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1,499</w:t>
            </w:r>
          </w:p>
        </w:tc>
        <w:tc>
          <w:tcPr>
            <w:tcW w:w="110" w:type="dxa"/>
            <w:tcBorders/>
            <w:shd w:fill="CCEEFF" w:val="clear"/>
            <w:vAlign w:val="center"/>
          </w:tcPr>
          <w:p>
            <w:pPr>
              <w:pStyle w:val="TableContents"/>
              <w:bidi w:val="0"/>
              <w:spacing w:before="0" w:after="283"/>
              <w:jc w:val="left"/>
              <w:rPr/>
            </w:pPr>
            <w:r>
              <w:rPr/>
              <w:t> </w:t>
            </w:r>
          </w:p>
        </w:tc>
      </w:tr>
      <w:tr>
        <w:trPr/>
        <w:tc>
          <w:tcPr>
            <w:tcW w:w="3500" w:type="dxa"/>
            <w:tcBorders/>
            <w:vAlign w:val="center"/>
          </w:tcPr>
          <w:p>
            <w:pPr>
              <w:pStyle w:val="TableContents"/>
              <w:bidi w:val="0"/>
              <w:spacing w:before="0" w:after="283"/>
              <w:jc w:val="left"/>
              <w:rPr/>
            </w:pPr>
            <w:r>
              <w:rPr/>
              <w:t>Other</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tcMar>
              <w:bottom w:w="28" w:type="dxa"/>
            </w:tcMar>
            <w:vAlign w:val="center"/>
          </w:tcPr>
          <w:p>
            <w:pPr>
              <w:pStyle w:val="TableContents"/>
              <w:bidi w:val="0"/>
              <w:spacing w:before="0" w:after="283"/>
              <w:jc w:val="right"/>
              <w:rPr/>
            </w:pPr>
            <w:r>
              <w:rPr/>
              <w:t>55</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tcMar>
              <w:bottom w:w="28" w:type="dxa"/>
            </w:tcMar>
            <w:vAlign w:val="center"/>
          </w:tcPr>
          <w:p>
            <w:pPr>
              <w:pStyle w:val="TableContents"/>
              <w:bidi w:val="0"/>
              <w:spacing w:before="0" w:after="283"/>
              <w:jc w:val="right"/>
              <w:rPr/>
            </w:pPr>
            <w:r>
              <w:rPr/>
              <w:t>227</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tcMar>
              <w:bottom w:w="28" w:type="dxa"/>
            </w:tcMar>
            <w:vAlign w:val="center"/>
          </w:tcPr>
          <w:p>
            <w:pPr>
              <w:pStyle w:val="TableContents"/>
              <w:bidi w:val="0"/>
              <w:spacing w:before="0" w:after="283"/>
              <w:jc w:val="right"/>
              <w:rPr/>
            </w:pPr>
            <w:r>
              <w:rPr/>
              <w:t>63</w:t>
            </w:r>
          </w:p>
        </w:tc>
        <w:tc>
          <w:tcPr>
            <w:tcW w:w="11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left"/>
              <w:rPr/>
            </w:pPr>
            <w:r>
              <w:rPr/>
              <w:t>Total Income Tax Expense (Benefit)</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1,041</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3,240</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(5,488</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 (benefit) is comprised of the following:</w:t>
      </w:r>
    </w:p>
    <w:p>
      <w:pPr>
        <w:pStyle w:val="TextBody"/>
        <w:bidi w:val="0"/>
        <w:spacing w:before="0" w:after="0"/>
        <w:ind w:left="0" w:right="0" w:hanging="0"/>
        <w:jc w:val="left"/>
        <w:rPr>
          <w:caps w:val="false"/>
          <w:smallCaps w:val="false"/>
        </w:rPr>
      </w:pPr>
      <w:r>
        <w:rPr>
          <w:caps w:val="false"/>
          <w:smallCaps w:val="false"/>
        </w:rPr>
        <w:t> </w:t>
      </w:r>
    </w:p>
    <w:tbl>
      <w:tblPr>
        <w:tblW w:w="6380" w:type="dxa"/>
        <w:jc w:val="left"/>
        <w:tblInd w:w="0" w:type="dxa"/>
        <w:tblLayout w:type="fixed"/>
        <w:tblCellMar>
          <w:top w:w="0" w:type="dxa"/>
          <w:left w:w="0" w:type="dxa"/>
          <w:bottom w:w="0" w:type="dxa"/>
          <w:right w:w="0" w:type="dxa"/>
        </w:tblCellMar>
      </w:tblPr>
      <w:tblGrid>
        <w:gridCol w:w="3500"/>
        <w:gridCol w:w="60"/>
        <w:gridCol w:w="148"/>
        <w:gridCol w:w="671"/>
        <w:gridCol w:w="100"/>
        <w:gridCol w:w="63"/>
        <w:gridCol w:w="148"/>
        <w:gridCol w:w="592"/>
        <w:gridCol w:w="100"/>
        <w:gridCol w:w="63"/>
        <w:gridCol w:w="148"/>
        <w:gridCol w:w="671"/>
        <w:gridCol w:w="116"/>
      </w:tblGrid>
      <w:tr>
        <w:trPr/>
        <w:tc>
          <w:tcPr>
            <w:tcW w:w="3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820" w:type="dxa"/>
            <w:gridSpan w:val="11"/>
            <w:tcBorders/>
            <w:vAlign w:val="center"/>
          </w:tcPr>
          <w:p>
            <w:pPr>
              <w:pStyle w:val="TableContents"/>
              <w:bidi w:val="0"/>
              <w:spacing w:before="0" w:after="283"/>
              <w:jc w:val="center"/>
              <w:rPr>
                <w:b/>
              </w:rPr>
            </w:pPr>
            <w:r>
              <w:rPr>
                <w:b/>
              </w:rPr>
              <w:t>(Thousands of Dollars)</w:t>
            </w:r>
          </w:p>
        </w:tc>
      </w:tr>
      <w:tr>
        <w:trPr/>
        <w:tc>
          <w:tcPr>
            <w:tcW w:w="3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820" w:type="dxa"/>
            <w:gridSpan w:val="11"/>
            <w:tcBorders/>
            <w:vAlign w:val="center"/>
          </w:tcPr>
          <w:p>
            <w:pPr>
              <w:pStyle w:val="TableContents"/>
              <w:bidi w:val="0"/>
              <w:spacing w:before="0" w:after="283"/>
              <w:jc w:val="center"/>
              <w:rPr>
                <w:b/>
              </w:rPr>
            </w:pPr>
            <w:r>
              <w:rPr>
                <w:b/>
              </w:rPr>
              <w:t>Years Ended December 31,</w:t>
            </w:r>
          </w:p>
        </w:tc>
      </w:tr>
      <w:tr>
        <w:trPr/>
        <w:tc>
          <w:tcPr>
            <w:tcW w:w="3500" w:type="dxa"/>
            <w:tcBorders/>
            <w:vAlign w:val="center"/>
          </w:tcPr>
          <w:p>
            <w:pPr>
              <w:pStyle w:val="TableContents"/>
              <w:bidi w:val="0"/>
              <w:spacing w:before="0" w:after="283"/>
              <w:jc w:val="center"/>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919"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3" w:type="dxa"/>
            <w:tcBorders>
              <w:bottom w:val="single" w:sz="8" w:space="0" w:color="000000"/>
            </w:tcBorders>
            <w:tcMar>
              <w:bottom w:w="28" w:type="dxa"/>
            </w:tcMar>
            <w:vAlign w:val="center"/>
          </w:tcPr>
          <w:p>
            <w:pPr>
              <w:pStyle w:val="TableContents"/>
              <w:bidi w:val="0"/>
              <w:spacing w:before="0" w:after="283"/>
              <w:jc w:val="left"/>
              <w:rPr/>
            </w:pPr>
            <w:r>
              <w:rPr/>
              <w:t> </w:t>
            </w:r>
          </w:p>
        </w:tc>
        <w:tc>
          <w:tcPr>
            <w:tcW w:w="84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63" w:type="dxa"/>
            <w:tcBorders>
              <w:bottom w:val="single" w:sz="8" w:space="0" w:color="000000"/>
            </w:tcBorders>
            <w:tcMar>
              <w:bottom w:w="28" w:type="dxa"/>
            </w:tcMar>
            <w:vAlign w:val="center"/>
          </w:tcPr>
          <w:p>
            <w:pPr>
              <w:pStyle w:val="TableContents"/>
              <w:bidi w:val="0"/>
              <w:spacing w:before="0" w:after="283"/>
              <w:jc w:val="left"/>
              <w:rPr/>
            </w:pPr>
            <w:r>
              <w:rPr/>
              <w:t> </w:t>
            </w:r>
          </w:p>
        </w:tc>
        <w:tc>
          <w:tcPr>
            <w:tcW w:w="935"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2021</w:t>
            </w:r>
          </w:p>
        </w:tc>
      </w:tr>
      <w:tr>
        <w:trPr/>
        <w:tc>
          <w:tcPr>
            <w:tcW w:w="3500" w:type="dxa"/>
            <w:tcBorders/>
            <w:shd w:fill="CCEEFF" w:val="clear"/>
            <w:vAlign w:val="center"/>
          </w:tcPr>
          <w:p>
            <w:pPr>
              <w:pStyle w:val="TableContents"/>
              <w:bidi w:val="0"/>
              <w:spacing w:before="0" w:after="283"/>
              <w:jc w:val="left"/>
              <w:rPr/>
            </w:pPr>
            <w:r>
              <w:rPr/>
              <w:t>Current:</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671"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671"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p>
        </w:tc>
      </w:tr>
      <w:tr>
        <w:trPr/>
        <w:tc>
          <w:tcPr>
            <w:tcW w:w="3500" w:type="dxa"/>
            <w:tcBorders/>
            <w:vAlign w:val="center"/>
          </w:tcPr>
          <w:p>
            <w:pPr>
              <w:pStyle w:val="TableContents"/>
              <w:bidi w:val="0"/>
              <w:spacing w:before="0" w:after="283"/>
              <w:jc w:val="left"/>
              <w:rPr/>
            </w:pPr>
            <w:r>
              <w:rPr/>
              <w:t>Federal</w:t>
            </w:r>
          </w:p>
        </w:tc>
        <w:tc>
          <w:tcPr>
            <w:tcW w:w="6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w:t>
            </w:r>
          </w:p>
        </w:tc>
        <w:tc>
          <w:tcPr>
            <w:tcW w:w="671" w:type="dxa"/>
            <w:tcBorders/>
            <w:vAlign w:val="center"/>
          </w:tcPr>
          <w:p>
            <w:pPr>
              <w:pStyle w:val="TableContents"/>
              <w:bidi w:val="0"/>
              <w:spacing w:before="0" w:after="283"/>
              <w:jc w:val="right"/>
              <w:rPr/>
            </w:pPr>
            <w:r>
              <w:rPr/>
              <w:t>2,952</w:t>
            </w:r>
          </w:p>
        </w:tc>
        <w:tc>
          <w:tcPr>
            <w:tcW w:w="10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w:t>
            </w:r>
          </w:p>
        </w:tc>
        <w:tc>
          <w:tcPr>
            <w:tcW w:w="592" w:type="dxa"/>
            <w:tcBorders/>
            <w:vAlign w:val="center"/>
          </w:tcPr>
          <w:p>
            <w:pPr>
              <w:pStyle w:val="TableContents"/>
              <w:bidi w:val="0"/>
              <w:spacing w:before="0" w:after="283"/>
              <w:jc w:val="right"/>
              <w:rPr/>
            </w:pPr>
            <w:r>
              <w:rPr/>
              <w:t>425</w:t>
            </w:r>
          </w:p>
        </w:tc>
        <w:tc>
          <w:tcPr>
            <w:tcW w:w="10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w:t>
            </w:r>
          </w:p>
        </w:tc>
        <w:tc>
          <w:tcPr>
            <w:tcW w:w="671" w:type="dxa"/>
            <w:tcBorders/>
            <w:vAlign w:val="center"/>
          </w:tcPr>
          <w:p>
            <w:pPr>
              <w:pStyle w:val="TableContents"/>
              <w:bidi w:val="0"/>
              <w:spacing w:before="0" w:after="283"/>
              <w:jc w:val="right"/>
              <w:rPr/>
            </w:pPr>
            <w:r>
              <w:rPr/>
              <w:t>(8,247</w:t>
            </w:r>
          </w:p>
        </w:tc>
        <w:tc>
          <w:tcPr>
            <w:tcW w:w="116" w:type="dxa"/>
            <w:tcBorders/>
            <w:vAlign w:val="center"/>
          </w:tcPr>
          <w:p>
            <w:pPr>
              <w:pStyle w:val="TableContents"/>
              <w:bidi w:val="0"/>
              <w:spacing w:before="0" w:after="283"/>
              <w:jc w:val="left"/>
              <w:rPr/>
            </w:pPr>
            <w:r>
              <w:rPr/>
              <w:t>)</w:t>
            </w:r>
          </w:p>
        </w:tc>
      </w:tr>
      <w:tr>
        <w:trPr/>
        <w:tc>
          <w:tcPr>
            <w:tcW w:w="3500" w:type="dxa"/>
            <w:tcBorders/>
            <w:shd w:fill="CCEEFF" w:val="clear"/>
            <w:vAlign w:val="center"/>
          </w:tcPr>
          <w:p>
            <w:pPr>
              <w:pStyle w:val="TableContents"/>
              <w:bidi w:val="0"/>
              <w:spacing w:before="0" w:after="283"/>
              <w:jc w:val="left"/>
              <w:rPr/>
            </w:pPr>
            <w:r>
              <w:rPr/>
              <w:t>State</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671" w:type="dxa"/>
            <w:tcBorders/>
            <w:shd w:fill="CCEEFF" w:val="clear"/>
            <w:vAlign w:val="center"/>
          </w:tcPr>
          <w:p>
            <w:pPr>
              <w:pStyle w:val="TableContents"/>
              <w:bidi w:val="0"/>
              <w:spacing w:before="0" w:after="283"/>
              <w:jc w:val="right"/>
              <w:rPr/>
            </w:pPr>
            <w:r>
              <w:rPr/>
              <w:t>1,066</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right"/>
              <w:rPr/>
            </w:pPr>
            <w:r>
              <w:rPr/>
              <w:t>1,381</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671" w:type="dxa"/>
            <w:tcBorders/>
            <w:shd w:fill="CCEEFF" w:val="clear"/>
            <w:vAlign w:val="center"/>
          </w:tcPr>
          <w:p>
            <w:pPr>
              <w:pStyle w:val="TableContents"/>
              <w:bidi w:val="0"/>
              <w:spacing w:before="0" w:after="283"/>
              <w:jc w:val="right"/>
              <w:rPr/>
            </w:pPr>
            <w:r>
              <w:rPr/>
              <w:t>1,467</w:t>
            </w:r>
          </w:p>
        </w:tc>
        <w:tc>
          <w:tcPr>
            <w:tcW w:w="116" w:type="dxa"/>
            <w:tcBorders/>
            <w:shd w:fill="CCEEFF" w:val="clear"/>
            <w:vAlign w:val="center"/>
          </w:tcPr>
          <w:p>
            <w:pPr>
              <w:pStyle w:val="TableContents"/>
              <w:bidi w:val="0"/>
              <w:spacing w:before="0" w:after="283"/>
              <w:jc w:val="left"/>
              <w:rPr/>
            </w:pPr>
            <w:r>
              <w:rPr/>
              <w:t> </w:t>
            </w:r>
          </w:p>
        </w:tc>
      </w:tr>
      <w:tr>
        <w:trPr/>
        <w:tc>
          <w:tcPr>
            <w:tcW w:w="3500" w:type="dxa"/>
            <w:tcBorders/>
            <w:vAlign w:val="center"/>
          </w:tcPr>
          <w:p>
            <w:pPr>
              <w:pStyle w:val="TableContents"/>
              <w:bidi w:val="0"/>
              <w:spacing w:before="0" w:after="283"/>
              <w:jc w:val="left"/>
              <w:rPr/>
            </w:pPr>
            <w:r>
              <w:rPr/>
              <w:t>Deferred:</w:t>
            </w:r>
          </w:p>
        </w:tc>
        <w:tc>
          <w:tcPr>
            <w:tcW w:w="6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671" w:type="dxa"/>
            <w:tcBorders/>
            <w:vAlign w:val="center"/>
          </w:tcPr>
          <w:p>
            <w:pPr>
              <w:pStyle w:val="TableContents"/>
              <w:bidi w:val="0"/>
              <w:spacing w:before="0" w:after="283"/>
              <w:jc w:val="right"/>
              <w:rPr/>
            </w:pPr>
            <w:r>
              <w:rPr/>
              <w:t> </w:t>
            </w:r>
          </w:p>
        </w:tc>
        <w:tc>
          <w:tcPr>
            <w:tcW w:w="10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592" w:type="dxa"/>
            <w:tcBorders/>
            <w:vAlign w:val="center"/>
          </w:tcPr>
          <w:p>
            <w:pPr>
              <w:pStyle w:val="TableContents"/>
              <w:bidi w:val="0"/>
              <w:spacing w:before="0" w:after="283"/>
              <w:jc w:val="right"/>
              <w:rPr/>
            </w:pPr>
            <w:r>
              <w:rPr/>
              <w:t> </w:t>
            </w:r>
          </w:p>
        </w:tc>
        <w:tc>
          <w:tcPr>
            <w:tcW w:w="10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671" w:type="dxa"/>
            <w:tcBorders/>
            <w:vAlign w:val="center"/>
          </w:tcPr>
          <w:p>
            <w:pPr>
              <w:pStyle w:val="TableContents"/>
              <w:bidi w:val="0"/>
              <w:spacing w:before="0" w:after="283"/>
              <w:jc w:val="right"/>
              <w:rPr/>
            </w:pPr>
            <w:r>
              <w:rPr/>
              <w:t> </w:t>
            </w:r>
          </w:p>
        </w:tc>
        <w:tc>
          <w:tcPr>
            <w:tcW w:w="116" w:type="dxa"/>
            <w:tcBorders/>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left"/>
              <w:rPr/>
            </w:pPr>
            <w:r>
              <w:rPr/>
              <w:t>Federal</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671" w:type="dxa"/>
            <w:tcBorders/>
            <w:shd w:fill="CCEEFF" w:val="clear"/>
            <w:vAlign w:val="center"/>
          </w:tcPr>
          <w:p>
            <w:pPr>
              <w:pStyle w:val="TableContents"/>
              <w:bidi w:val="0"/>
              <w:spacing w:before="0" w:after="283"/>
              <w:jc w:val="right"/>
              <w:rPr/>
            </w:pPr>
            <w:r>
              <w:rPr/>
              <w:t>(3,261</w:t>
            </w:r>
          </w:p>
        </w:tc>
        <w:tc>
          <w:tcPr>
            <w:tcW w:w="100"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right"/>
              <w:rPr/>
            </w:pPr>
            <w:r>
              <w:rPr/>
              <w:t>1,242</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671" w:type="dxa"/>
            <w:tcBorders/>
            <w:shd w:fill="CCEEFF" w:val="clear"/>
            <w:vAlign w:val="center"/>
          </w:tcPr>
          <w:p>
            <w:pPr>
              <w:pStyle w:val="TableContents"/>
              <w:bidi w:val="0"/>
              <w:spacing w:before="0" w:after="283"/>
              <w:jc w:val="right"/>
              <w:rPr/>
            </w:pPr>
            <w:r>
              <w:rPr/>
              <w:t>933</w:t>
            </w:r>
          </w:p>
        </w:tc>
        <w:tc>
          <w:tcPr>
            <w:tcW w:w="116" w:type="dxa"/>
            <w:tcBorders/>
            <w:shd w:fill="CCEEFF" w:val="clear"/>
            <w:vAlign w:val="center"/>
          </w:tcPr>
          <w:p>
            <w:pPr>
              <w:pStyle w:val="TableContents"/>
              <w:bidi w:val="0"/>
              <w:spacing w:before="0" w:after="283"/>
              <w:jc w:val="left"/>
              <w:rPr/>
            </w:pPr>
            <w:r>
              <w:rPr/>
              <w:t> </w:t>
            </w:r>
          </w:p>
        </w:tc>
      </w:tr>
      <w:tr>
        <w:trPr/>
        <w:tc>
          <w:tcPr>
            <w:tcW w:w="3500" w:type="dxa"/>
            <w:tcBorders/>
            <w:vAlign w:val="center"/>
          </w:tcPr>
          <w:p>
            <w:pPr>
              <w:pStyle w:val="TableContents"/>
              <w:bidi w:val="0"/>
              <w:spacing w:before="0" w:after="283"/>
              <w:jc w:val="left"/>
              <w:rPr/>
            </w:pPr>
            <w:r>
              <w:rPr/>
              <w:t>State</w:t>
            </w:r>
          </w:p>
        </w:tc>
        <w:tc>
          <w:tcPr>
            <w:tcW w:w="6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671" w:type="dxa"/>
            <w:tcBorders/>
            <w:vAlign w:val="center"/>
          </w:tcPr>
          <w:p>
            <w:pPr>
              <w:pStyle w:val="TableContents"/>
              <w:bidi w:val="0"/>
              <w:spacing w:before="0" w:after="283"/>
              <w:jc w:val="right"/>
              <w:rPr/>
            </w:pPr>
            <w:r>
              <w:rPr/>
              <w:t>348</w:t>
            </w:r>
          </w:p>
        </w:tc>
        <w:tc>
          <w:tcPr>
            <w:tcW w:w="10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592" w:type="dxa"/>
            <w:tcBorders/>
            <w:vAlign w:val="center"/>
          </w:tcPr>
          <w:p>
            <w:pPr>
              <w:pStyle w:val="TableContents"/>
              <w:bidi w:val="0"/>
              <w:spacing w:before="0" w:after="283"/>
              <w:jc w:val="right"/>
              <w:rPr/>
            </w:pPr>
            <w:r>
              <w:rPr/>
              <w:t>260</w:t>
            </w:r>
          </w:p>
        </w:tc>
        <w:tc>
          <w:tcPr>
            <w:tcW w:w="10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671" w:type="dxa"/>
            <w:tcBorders/>
            <w:vAlign w:val="center"/>
          </w:tcPr>
          <w:p>
            <w:pPr>
              <w:pStyle w:val="TableContents"/>
              <w:bidi w:val="0"/>
              <w:spacing w:before="0" w:after="283"/>
              <w:jc w:val="right"/>
              <w:rPr/>
            </w:pPr>
            <w:r>
              <w:rPr/>
              <w:t>431</w:t>
            </w:r>
          </w:p>
        </w:tc>
        <w:tc>
          <w:tcPr>
            <w:tcW w:w="116" w:type="dxa"/>
            <w:tcBorders/>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left"/>
              <w:rPr/>
            </w:pPr>
            <w:r>
              <w:rPr/>
              <w:t>Investment Tax Credits</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71" w:type="dxa"/>
            <w:tcBorders>
              <w:bottom w:val="single" w:sz="8" w:space="0" w:color="000000"/>
            </w:tcBorders>
            <w:shd w:fill="CCEEFF" w:val="clear"/>
            <w:tcMar>
              <w:bottom w:w="28" w:type="dxa"/>
            </w:tcMar>
            <w:vAlign w:val="center"/>
          </w:tcPr>
          <w:p>
            <w:pPr>
              <w:pStyle w:val="TableContents"/>
              <w:bidi w:val="0"/>
              <w:spacing w:before="0" w:after="283"/>
              <w:jc w:val="right"/>
              <w:rPr/>
            </w:pPr>
            <w:r>
              <w:rPr/>
              <w:t>(64</w:t>
            </w:r>
          </w:p>
        </w:tc>
        <w:tc>
          <w:tcPr>
            <w:tcW w:w="10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92" w:type="dxa"/>
            <w:tcBorders>
              <w:bottom w:val="single" w:sz="8" w:space="0" w:color="000000"/>
            </w:tcBorders>
            <w:shd w:fill="CCEEFF" w:val="clear"/>
            <w:tcMar>
              <w:bottom w:w="28" w:type="dxa"/>
            </w:tcMar>
            <w:vAlign w:val="center"/>
          </w:tcPr>
          <w:p>
            <w:pPr>
              <w:pStyle w:val="TableContents"/>
              <w:bidi w:val="0"/>
              <w:spacing w:before="0" w:after="283"/>
              <w:jc w:val="right"/>
              <w:rPr/>
            </w:pPr>
            <w:r>
              <w:rPr/>
              <w:t>(68</w:t>
            </w:r>
          </w:p>
        </w:tc>
        <w:tc>
          <w:tcPr>
            <w:tcW w:w="10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71" w:type="dxa"/>
            <w:tcBorders>
              <w:bottom w:val="single" w:sz="8" w:space="0" w:color="000000"/>
            </w:tcBorders>
            <w:shd w:fill="CCEEFF" w:val="clear"/>
            <w:tcMar>
              <w:bottom w:w="28" w:type="dxa"/>
            </w:tcMar>
            <w:vAlign w:val="center"/>
          </w:tcPr>
          <w:p>
            <w:pPr>
              <w:pStyle w:val="TableContents"/>
              <w:bidi w:val="0"/>
              <w:spacing w:before="0" w:after="283"/>
              <w:jc w:val="right"/>
              <w:rPr/>
            </w:pPr>
            <w:r>
              <w:rPr/>
              <w:t>(72</w:t>
            </w:r>
          </w:p>
        </w:tc>
        <w:tc>
          <w:tcPr>
            <w:tcW w:w="116"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r>
      <w:tr>
        <w:trPr/>
        <w:tc>
          <w:tcPr>
            <w:tcW w:w="3500" w:type="dxa"/>
            <w:tcBorders/>
            <w:vAlign w:val="center"/>
          </w:tcPr>
          <w:p>
            <w:pPr>
              <w:pStyle w:val="TableContents"/>
              <w:bidi w:val="0"/>
              <w:spacing w:before="0" w:after="283"/>
              <w:jc w:val="left"/>
              <w:rPr/>
            </w:pPr>
            <w:r>
              <w:rPr/>
              <w:t>Total Income Tax Expense (Benefit)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8" w:type="dxa"/>
            <w:tcBorders>
              <w:bottom w:val="single" w:sz="8" w:space="0" w:color="000000"/>
            </w:tcBorders>
            <w:tcMar>
              <w:bottom w:w="28" w:type="dxa"/>
            </w:tcMar>
            <w:vAlign w:val="center"/>
          </w:tcPr>
          <w:p>
            <w:pPr>
              <w:pStyle w:val="TableContents"/>
              <w:bidi w:val="0"/>
              <w:spacing w:before="0" w:after="283"/>
              <w:jc w:val="left"/>
              <w:rPr/>
            </w:pPr>
            <w:r>
              <w:rPr/>
              <w:t>$</w:t>
            </w:r>
          </w:p>
        </w:tc>
        <w:tc>
          <w:tcPr>
            <w:tcW w:w="671" w:type="dxa"/>
            <w:tcBorders>
              <w:bottom w:val="single" w:sz="8" w:space="0" w:color="000000"/>
            </w:tcBorders>
            <w:tcMar>
              <w:bottom w:w="28" w:type="dxa"/>
            </w:tcMar>
            <w:vAlign w:val="center"/>
          </w:tcPr>
          <w:p>
            <w:pPr>
              <w:pStyle w:val="TableContents"/>
              <w:bidi w:val="0"/>
              <w:spacing w:before="0" w:after="283"/>
              <w:jc w:val="right"/>
              <w:rPr/>
            </w:pPr>
            <w:r>
              <w:rPr/>
              <w:t>1,041</w:t>
            </w:r>
          </w:p>
        </w:tc>
        <w:tc>
          <w:tcPr>
            <w:tcW w:w="100" w:type="dxa"/>
            <w:tcBorders>
              <w:bottom w:val="single" w:sz="8" w:space="0" w:color="000000"/>
            </w:tcBorders>
            <w:tcMar>
              <w:bottom w:w="28" w:type="dxa"/>
            </w:tcMar>
            <w:vAlign w:val="center"/>
          </w:tcPr>
          <w:p>
            <w:pPr>
              <w:pStyle w:val="TableContents"/>
              <w:bidi w:val="0"/>
              <w:spacing w:before="0" w:after="283"/>
              <w:jc w:val="left"/>
              <w:rPr/>
            </w:pPr>
            <w:r>
              <w:rPr/>
              <w:t> </w:t>
            </w:r>
          </w:p>
        </w:tc>
        <w:tc>
          <w:tcPr>
            <w:tcW w:w="63" w:type="dxa"/>
            <w:tcBorders>
              <w:bottom w:val="single" w:sz="8" w:space="0" w:color="000000"/>
            </w:tcBorders>
            <w:tcMar>
              <w:bottom w:w="28" w:type="dxa"/>
            </w:tcMar>
            <w:vAlign w:val="center"/>
          </w:tcPr>
          <w:p>
            <w:pPr>
              <w:pStyle w:val="TableContents"/>
              <w:bidi w:val="0"/>
              <w:spacing w:before="0" w:after="283"/>
              <w:jc w:val="left"/>
              <w:rPr/>
            </w:pPr>
            <w:r>
              <w:rPr/>
              <w:t> </w:t>
            </w:r>
          </w:p>
        </w:tc>
        <w:tc>
          <w:tcPr>
            <w:tcW w:w="148" w:type="dxa"/>
            <w:tcBorders>
              <w:bottom w:val="single" w:sz="8" w:space="0" w:color="000000"/>
            </w:tcBorders>
            <w:tcMar>
              <w:bottom w:w="28" w:type="dxa"/>
            </w:tcMar>
            <w:vAlign w:val="center"/>
          </w:tcPr>
          <w:p>
            <w:pPr>
              <w:pStyle w:val="TableContents"/>
              <w:bidi w:val="0"/>
              <w:spacing w:before="0" w:after="283"/>
              <w:jc w:val="left"/>
              <w:rPr/>
            </w:pPr>
            <w:r>
              <w:rPr/>
              <w:t>$</w:t>
            </w:r>
          </w:p>
        </w:tc>
        <w:tc>
          <w:tcPr>
            <w:tcW w:w="592" w:type="dxa"/>
            <w:tcBorders>
              <w:bottom w:val="single" w:sz="8" w:space="0" w:color="000000"/>
            </w:tcBorders>
            <w:tcMar>
              <w:bottom w:w="28" w:type="dxa"/>
            </w:tcMar>
            <w:vAlign w:val="center"/>
          </w:tcPr>
          <w:p>
            <w:pPr>
              <w:pStyle w:val="TableContents"/>
              <w:bidi w:val="0"/>
              <w:spacing w:before="0" w:after="283"/>
              <w:jc w:val="right"/>
              <w:rPr/>
            </w:pPr>
            <w:r>
              <w:rPr/>
              <w:t>3,240</w:t>
            </w:r>
          </w:p>
        </w:tc>
        <w:tc>
          <w:tcPr>
            <w:tcW w:w="100" w:type="dxa"/>
            <w:tcBorders>
              <w:bottom w:val="single" w:sz="8" w:space="0" w:color="000000"/>
            </w:tcBorders>
            <w:tcMar>
              <w:bottom w:w="28" w:type="dxa"/>
            </w:tcMar>
            <w:vAlign w:val="center"/>
          </w:tcPr>
          <w:p>
            <w:pPr>
              <w:pStyle w:val="TableContents"/>
              <w:bidi w:val="0"/>
              <w:spacing w:before="0" w:after="283"/>
              <w:jc w:val="left"/>
              <w:rPr/>
            </w:pPr>
            <w:r>
              <w:rPr/>
              <w:t> </w:t>
            </w:r>
          </w:p>
        </w:tc>
        <w:tc>
          <w:tcPr>
            <w:tcW w:w="63" w:type="dxa"/>
            <w:tcBorders>
              <w:bottom w:val="single" w:sz="8" w:space="0" w:color="000000"/>
            </w:tcBorders>
            <w:tcMar>
              <w:bottom w:w="28" w:type="dxa"/>
            </w:tcMar>
            <w:vAlign w:val="center"/>
          </w:tcPr>
          <w:p>
            <w:pPr>
              <w:pStyle w:val="TableContents"/>
              <w:bidi w:val="0"/>
              <w:spacing w:before="0" w:after="283"/>
              <w:jc w:val="left"/>
              <w:rPr/>
            </w:pPr>
            <w:r>
              <w:rPr/>
              <w:t> </w:t>
            </w:r>
          </w:p>
        </w:tc>
        <w:tc>
          <w:tcPr>
            <w:tcW w:w="148" w:type="dxa"/>
            <w:tcBorders>
              <w:bottom w:val="single" w:sz="8" w:space="0" w:color="000000"/>
            </w:tcBorders>
            <w:tcMar>
              <w:bottom w:w="28" w:type="dxa"/>
            </w:tcMar>
            <w:vAlign w:val="center"/>
          </w:tcPr>
          <w:p>
            <w:pPr>
              <w:pStyle w:val="TableContents"/>
              <w:bidi w:val="0"/>
              <w:spacing w:before="0" w:after="283"/>
              <w:jc w:val="left"/>
              <w:rPr/>
            </w:pPr>
            <w:r>
              <w:rPr/>
              <w:t>$</w:t>
            </w:r>
          </w:p>
        </w:tc>
        <w:tc>
          <w:tcPr>
            <w:tcW w:w="671" w:type="dxa"/>
            <w:tcBorders>
              <w:bottom w:val="single" w:sz="8" w:space="0" w:color="000000"/>
            </w:tcBorders>
            <w:tcMar>
              <w:bottom w:w="28" w:type="dxa"/>
            </w:tcMar>
            <w:vAlign w:val="center"/>
          </w:tcPr>
          <w:p>
            <w:pPr>
              <w:pStyle w:val="TableContents"/>
              <w:bidi w:val="0"/>
              <w:spacing w:before="0" w:after="283"/>
              <w:jc w:val="right"/>
              <w:rPr/>
            </w:pPr>
            <w:r>
              <w:rPr/>
              <w:t>(5,488</w:t>
            </w:r>
          </w:p>
        </w:tc>
        <w:tc>
          <w:tcPr>
            <w:tcW w:w="116" w:type="dxa"/>
            <w:tcBorders>
              <w:bottom w:val="single" w:sz="8" w:space="0" w:color="000000"/>
            </w:tcBorders>
            <w:tcMar>
              <w:bottom w:w="28" w:type="dxa"/>
            </w:tcM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Middlesex’s March 2018 base water rate settlement with the NJBPU, Middlesex received approval for regulatory accounting treatment of income tax benefits associated with the adoption of tangible property regulations issued by the IRS (fully amortized as of March 31, 2022) as well as prospective recognition of the income tax benefits for the immediate deduction of repair costs on tangible property. This results in significant reductions in the Company’s effective income tax rate, current income tax expense (benefit) and deferred income tax expense (benefit).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57 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taxes reflect the net tax effect of temporary differences between the carrying amounts of assets and liabilities for financial purposes and the amounts used for income tax purposes. The components of the net deferred tax liability are as follows:</w:t>
      </w:r>
    </w:p>
    <w:p>
      <w:pPr>
        <w:pStyle w:val="TextBody"/>
        <w:bidi w:val="0"/>
        <w:spacing w:before="0" w:after="0"/>
        <w:ind w:left="0" w:right="0" w:firstLine="720"/>
        <w:jc w:val="center"/>
        <w:rPr>
          <w:caps w:val="false"/>
          <w:smallCaps w:val="false"/>
        </w:rPr>
      </w:pPr>
      <w:r>
        <w:rPr>
          <w:caps w:val="false"/>
          <w:smallCaps w:val="false"/>
        </w:rPr>
        <w:t> </w:t>
      </w:r>
    </w:p>
    <w:tbl>
      <w:tblPr>
        <w:tblW w:w="6562" w:type="dxa"/>
        <w:jc w:val="left"/>
        <w:tblInd w:w="0" w:type="dxa"/>
        <w:tblLayout w:type="fixed"/>
        <w:tblCellMar>
          <w:top w:w="0" w:type="dxa"/>
          <w:left w:w="0" w:type="dxa"/>
          <w:bottom w:w="0" w:type="dxa"/>
          <w:right w:w="0" w:type="dxa"/>
        </w:tblCellMar>
      </w:tblPr>
      <w:tblGrid>
        <w:gridCol w:w="4145"/>
        <w:gridCol w:w="60"/>
        <w:gridCol w:w="173"/>
        <w:gridCol w:w="842"/>
        <w:gridCol w:w="117"/>
        <w:gridCol w:w="74"/>
        <w:gridCol w:w="173"/>
        <w:gridCol w:w="842"/>
        <w:gridCol w:w="136"/>
      </w:tblGrid>
      <w:tr>
        <w:trPr/>
        <w:tc>
          <w:tcPr>
            <w:tcW w:w="41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357" w:type="dxa"/>
            <w:gridSpan w:val="7"/>
            <w:tcBorders/>
            <w:vAlign w:val="center"/>
          </w:tcPr>
          <w:p>
            <w:pPr>
              <w:pStyle w:val="TableContents"/>
              <w:bidi w:val="0"/>
              <w:spacing w:before="0" w:after="283"/>
              <w:jc w:val="center"/>
              <w:rPr>
                <w:b/>
              </w:rPr>
            </w:pPr>
            <w:r>
              <w:rPr>
                <w:b/>
              </w:rPr>
              <w:t>(Thousands of Dollars)</w:t>
            </w:r>
          </w:p>
        </w:tc>
      </w:tr>
      <w:tr>
        <w:trPr/>
        <w:tc>
          <w:tcPr>
            <w:tcW w:w="41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357" w:type="dxa"/>
            <w:gridSpan w:val="7"/>
            <w:tcBorders/>
            <w:vAlign w:val="center"/>
          </w:tcPr>
          <w:p>
            <w:pPr>
              <w:pStyle w:val="TableContents"/>
              <w:bidi w:val="0"/>
              <w:spacing w:before="0" w:after="283"/>
              <w:jc w:val="center"/>
              <w:rPr>
                <w:b/>
              </w:rPr>
            </w:pPr>
            <w:r>
              <w:rPr>
                <w:b/>
              </w:rPr>
              <w:t>December 31,</w:t>
            </w:r>
          </w:p>
        </w:tc>
      </w:tr>
      <w:tr>
        <w:trPr/>
        <w:tc>
          <w:tcPr>
            <w:tcW w:w="4145" w:type="dxa"/>
            <w:tcBorders/>
            <w:vAlign w:val="center"/>
          </w:tcPr>
          <w:p>
            <w:pPr>
              <w:pStyle w:val="TableContents"/>
              <w:bidi w:val="0"/>
              <w:spacing w:before="0" w:after="283"/>
              <w:jc w:val="center"/>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132"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74" w:type="dxa"/>
            <w:tcBorders>
              <w:bottom w:val="single" w:sz="8" w:space="0" w:color="000000"/>
            </w:tcBorders>
            <w:tcMar>
              <w:bottom w:w="28" w:type="dxa"/>
            </w:tcMar>
            <w:vAlign w:val="center"/>
          </w:tcPr>
          <w:p>
            <w:pPr>
              <w:pStyle w:val="TableContents"/>
              <w:bidi w:val="0"/>
              <w:spacing w:before="0" w:after="283"/>
              <w:jc w:val="left"/>
              <w:rPr/>
            </w:pPr>
            <w:r>
              <w:rPr/>
              <w:t> </w:t>
            </w:r>
          </w:p>
        </w:tc>
        <w:tc>
          <w:tcPr>
            <w:tcW w:w="1151"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2022</w:t>
            </w:r>
          </w:p>
        </w:tc>
      </w:tr>
      <w:tr>
        <w:trPr/>
        <w:tc>
          <w:tcPr>
            <w:tcW w:w="4145" w:type="dxa"/>
            <w:tcBorders/>
            <w:shd w:fill="CCEEFF" w:val="clear"/>
            <w:vAlign w:val="center"/>
          </w:tcPr>
          <w:p>
            <w:pPr>
              <w:pStyle w:val="TableContents"/>
              <w:bidi w:val="0"/>
              <w:spacing w:before="0" w:after="283"/>
              <w:jc w:val="left"/>
              <w:rPr/>
            </w:pPr>
            <w:r>
              <w:rPr/>
              <w:t>Utility Plant Related</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w:t>
            </w:r>
          </w:p>
        </w:tc>
        <w:tc>
          <w:tcPr>
            <w:tcW w:w="842" w:type="dxa"/>
            <w:tcBorders/>
            <w:shd w:fill="CCEEFF" w:val="clear"/>
            <w:vAlign w:val="center"/>
          </w:tcPr>
          <w:p>
            <w:pPr>
              <w:pStyle w:val="TableContents"/>
              <w:bidi w:val="0"/>
              <w:spacing w:before="0" w:after="283"/>
              <w:jc w:val="right"/>
              <w:rPr/>
            </w:pPr>
            <w:r>
              <w:rPr/>
              <w:t>84,330</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w:t>
            </w:r>
          </w:p>
        </w:tc>
        <w:tc>
          <w:tcPr>
            <w:tcW w:w="842" w:type="dxa"/>
            <w:tcBorders/>
            <w:shd w:fill="CCEEFF" w:val="clear"/>
            <w:vAlign w:val="center"/>
          </w:tcPr>
          <w:p>
            <w:pPr>
              <w:pStyle w:val="TableContents"/>
              <w:bidi w:val="0"/>
              <w:spacing w:before="0" w:after="283"/>
              <w:jc w:val="right"/>
              <w:rPr/>
            </w:pPr>
            <w:r>
              <w:rPr/>
              <w:t>72,996</w:t>
            </w:r>
          </w:p>
        </w:tc>
        <w:tc>
          <w:tcPr>
            <w:tcW w:w="136" w:type="dxa"/>
            <w:tcBorders/>
            <w:shd w:fill="CCEEFF" w:val="clear"/>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283"/>
              <w:jc w:val="left"/>
              <w:rPr/>
            </w:pPr>
            <w:r>
              <w:rPr/>
              <w:t>Customer Advances</w:t>
            </w:r>
          </w:p>
        </w:tc>
        <w:tc>
          <w:tcPr>
            <w:tcW w:w="6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right"/>
              <w:rPr/>
            </w:pPr>
            <w:r>
              <w:rPr/>
              <w:t>(3,546</w:t>
            </w:r>
          </w:p>
        </w:tc>
        <w:tc>
          <w:tcPr>
            <w:tcW w:w="117" w:type="dxa"/>
            <w:tcBorders/>
            <w:vAlign w:val="center"/>
          </w:tcPr>
          <w:p>
            <w:pPr>
              <w:pStyle w:val="TableContents"/>
              <w:bidi w:val="0"/>
              <w:spacing w:before="0" w:after="283"/>
              <w:jc w:val="left"/>
              <w:rPr/>
            </w:pPr>
            <w:r>
              <w:rPr/>
              <w:t>)</w:t>
            </w:r>
          </w:p>
        </w:tc>
        <w:tc>
          <w:tcPr>
            <w:tcW w:w="74"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right"/>
              <w:rPr/>
            </w:pPr>
            <w:r>
              <w:rPr/>
              <w:t>(3,568</w:t>
            </w:r>
          </w:p>
        </w:tc>
        <w:tc>
          <w:tcPr>
            <w:tcW w:w="136" w:type="dxa"/>
            <w:tcBorders/>
            <w:vAlign w:val="center"/>
          </w:tcPr>
          <w:p>
            <w:pPr>
              <w:pStyle w:val="TableContents"/>
              <w:bidi w:val="0"/>
              <w:spacing w:before="0" w:after="283"/>
              <w:jc w:val="left"/>
              <w:rPr/>
            </w:pPr>
            <w:r>
              <w:rPr/>
              <w:t>)</w:t>
            </w:r>
          </w:p>
        </w:tc>
      </w:tr>
      <w:tr>
        <w:trPr/>
        <w:tc>
          <w:tcPr>
            <w:tcW w:w="4145" w:type="dxa"/>
            <w:tcBorders/>
            <w:shd w:fill="CCEEFF" w:val="clear"/>
            <w:vAlign w:val="center"/>
          </w:tcPr>
          <w:p>
            <w:pPr>
              <w:pStyle w:val="TableContents"/>
              <w:bidi w:val="0"/>
              <w:spacing w:before="0" w:after="283"/>
              <w:jc w:val="left"/>
              <w:rPr/>
            </w:pPr>
            <w:r>
              <w:rPr/>
              <w:t>Employee Benefits</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842" w:type="dxa"/>
            <w:tcBorders/>
            <w:shd w:fill="CCEEFF" w:val="clear"/>
            <w:vAlign w:val="center"/>
          </w:tcPr>
          <w:p>
            <w:pPr>
              <w:pStyle w:val="TableContents"/>
              <w:bidi w:val="0"/>
              <w:spacing w:before="0" w:after="283"/>
              <w:jc w:val="right"/>
              <w:rPr/>
            </w:pPr>
            <w:r>
              <w:rPr/>
              <w:t>7,100</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842" w:type="dxa"/>
            <w:tcBorders/>
            <w:shd w:fill="CCEEFF" w:val="clear"/>
            <w:vAlign w:val="center"/>
          </w:tcPr>
          <w:p>
            <w:pPr>
              <w:pStyle w:val="TableContents"/>
              <w:bidi w:val="0"/>
              <w:spacing w:before="0" w:after="283"/>
              <w:jc w:val="right"/>
              <w:rPr/>
            </w:pPr>
            <w:r>
              <w:rPr/>
              <w:t>7,380</w:t>
            </w:r>
          </w:p>
        </w:tc>
        <w:tc>
          <w:tcPr>
            <w:tcW w:w="136" w:type="dxa"/>
            <w:tcBorders/>
            <w:shd w:fill="CCEEFF" w:val="clear"/>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283"/>
              <w:jc w:val="left"/>
              <w:rPr/>
            </w:pPr>
            <w:r>
              <w:rPr/>
              <w:t>Investment Tax Credits</w:t>
            </w:r>
          </w:p>
        </w:tc>
        <w:tc>
          <w:tcPr>
            <w:tcW w:w="6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right"/>
              <w:rPr/>
            </w:pPr>
            <w:r>
              <w:rPr/>
              <w:t>240</w:t>
            </w:r>
          </w:p>
        </w:tc>
        <w:tc>
          <w:tcPr>
            <w:tcW w:w="117"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right"/>
              <w:rPr/>
            </w:pPr>
            <w:r>
              <w:rPr/>
              <w:t>304</w:t>
            </w:r>
          </w:p>
        </w:tc>
        <w:tc>
          <w:tcPr>
            <w:tcW w:w="136" w:type="dxa"/>
            <w:tcBorders/>
            <w:vAlign w:val="center"/>
          </w:tcPr>
          <w:p>
            <w:pPr>
              <w:pStyle w:val="TableContents"/>
              <w:bidi w:val="0"/>
              <w:spacing w:before="0" w:after="283"/>
              <w:jc w:val="left"/>
              <w:rPr/>
            </w:pPr>
            <w:r>
              <w:rPr/>
              <w:t> </w:t>
            </w:r>
          </w:p>
        </w:tc>
      </w:tr>
      <w:tr>
        <w:trPr/>
        <w:tc>
          <w:tcPr>
            <w:tcW w:w="4145" w:type="dxa"/>
            <w:tcBorders/>
            <w:shd w:fill="CCEEFF" w:val="clear"/>
            <w:vAlign w:val="center"/>
          </w:tcPr>
          <w:p>
            <w:pPr>
              <w:pStyle w:val="TableContents"/>
              <w:bidi w:val="0"/>
              <w:spacing w:before="0" w:after="283"/>
              <w:jc w:val="left"/>
              <w:rPr/>
            </w:pPr>
            <w:r>
              <w:rPr/>
              <w:t>Other</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2" w:type="dxa"/>
            <w:tcBorders>
              <w:bottom w:val="single" w:sz="8" w:space="0" w:color="000000"/>
            </w:tcBorders>
            <w:shd w:fill="CCEEFF" w:val="clear"/>
            <w:tcMar>
              <w:bottom w:w="28" w:type="dxa"/>
            </w:tcMar>
            <w:vAlign w:val="center"/>
          </w:tcPr>
          <w:p>
            <w:pPr>
              <w:pStyle w:val="TableContents"/>
              <w:bidi w:val="0"/>
              <w:spacing w:before="0" w:after="283"/>
              <w:jc w:val="right"/>
              <w:rPr/>
            </w:pPr>
            <w:r>
              <w:rPr/>
              <w:t>612</w:t>
            </w:r>
          </w:p>
        </w:tc>
        <w:tc>
          <w:tcPr>
            <w:tcW w:w="11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2" w:type="dxa"/>
            <w:tcBorders>
              <w:bottom w:val="single" w:sz="8" w:space="0" w:color="000000"/>
            </w:tcBorders>
            <w:shd w:fill="CCEEFF" w:val="clear"/>
            <w:tcMar>
              <w:bottom w:w="28" w:type="dxa"/>
            </w:tcMar>
            <w:vAlign w:val="center"/>
          </w:tcPr>
          <w:p>
            <w:pPr>
              <w:pStyle w:val="TableContents"/>
              <w:bidi w:val="0"/>
              <w:spacing w:before="0" w:after="283"/>
              <w:jc w:val="right"/>
              <w:rPr/>
            </w:pPr>
            <w:r>
              <w:rPr/>
              <w:t>671</w:t>
            </w:r>
          </w:p>
        </w:tc>
        <w:tc>
          <w:tcPr>
            <w:tcW w:w="13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283"/>
              <w:jc w:val="left"/>
              <w:rPr/>
            </w:pPr>
            <w:r>
              <w:rPr/>
              <w:t>Total Accumulated Deferred Income Taxes</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73" w:type="dxa"/>
            <w:tcBorders>
              <w:bottom w:val="single" w:sz="8" w:space="0" w:color="000000"/>
            </w:tcBorders>
            <w:tcMar>
              <w:bottom w:w="28" w:type="dxa"/>
            </w:tcMar>
            <w:vAlign w:val="center"/>
          </w:tcPr>
          <w:p>
            <w:pPr>
              <w:pStyle w:val="TableContents"/>
              <w:bidi w:val="0"/>
              <w:spacing w:before="0" w:after="283"/>
              <w:jc w:val="left"/>
              <w:rPr/>
            </w:pPr>
            <w:r>
              <w:rPr/>
              <w:t>$</w:t>
            </w:r>
          </w:p>
        </w:tc>
        <w:tc>
          <w:tcPr>
            <w:tcW w:w="842" w:type="dxa"/>
            <w:tcBorders>
              <w:bottom w:val="single" w:sz="8" w:space="0" w:color="000000"/>
            </w:tcBorders>
            <w:tcMar>
              <w:bottom w:w="28" w:type="dxa"/>
            </w:tcMar>
            <w:vAlign w:val="center"/>
          </w:tcPr>
          <w:p>
            <w:pPr>
              <w:pStyle w:val="TableContents"/>
              <w:bidi w:val="0"/>
              <w:spacing w:before="0" w:after="283"/>
              <w:jc w:val="right"/>
              <w:rPr/>
            </w:pPr>
            <w:r>
              <w:rPr/>
              <w:t>88,736</w:t>
            </w:r>
          </w:p>
        </w:tc>
        <w:tc>
          <w:tcPr>
            <w:tcW w:w="117" w:type="dxa"/>
            <w:tcBorders>
              <w:bottom w:val="single" w:sz="8" w:space="0" w:color="000000"/>
            </w:tcBorders>
            <w:tcMar>
              <w:bottom w:w="28" w:type="dxa"/>
            </w:tcMar>
            <w:vAlign w:val="center"/>
          </w:tcPr>
          <w:p>
            <w:pPr>
              <w:pStyle w:val="TableContents"/>
              <w:bidi w:val="0"/>
              <w:spacing w:before="0" w:after="283"/>
              <w:jc w:val="left"/>
              <w:rPr/>
            </w:pPr>
            <w:r>
              <w:rPr/>
              <w:t> </w:t>
            </w:r>
          </w:p>
        </w:tc>
        <w:tc>
          <w:tcPr>
            <w:tcW w:w="74" w:type="dxa"/>
            <w:tcBorders>
              <w:bottom w:val="single" w:sz="8" w:space="0" w:color="000000"/>
            </w:tcBorders>
            <w:tcMar>
              <w:bottom w:w="28" w:type="dxa"/>
            </w:tcMar>
            <w:vAlign w:val="center"/>
          </w:tcPr>
          <w:p>
            <w:pPr>
              <w:pStyle w:val="TableContents"/>
              <w:bidi w:val="0"/>
              <w:spacing w:before="0" w:after="283"/>
              <w:jc w:val="left"/>
              <w:rPr/>
            </w:pPr>
            <w:r>
              <w:rPr/>
              <w:t> </w:t>
            </w:r>
          </w:p>
        </w:tc>
        <w:tc>
          <w:tcPr>
            <w:tcW w:w="173" w:type="dxa"/>
            <w:tcBorders>
              <w:bottom w:val="single" w:sz="8" w:space="0" w:color="000000"/>
            </w:tcBorders>
            <w:tcMar>
              <w:bottom w:w="28" w:type="dxa"/>
            </w:tcMar>
            <w:vAlign w:val="center"/>
          </w:tcPr>
          <w:p>
            <w:pPr>
              <w:pStyle w:val="TableContents"/>
              <w:bidi w:val="0"/>
              <w:spacing w:before="0" w:after="283"/>
              <w:jc w:val="left"/>
              <w:rPr/>
            </w:pPr>
            <w:r>
              <w:rPr/>
              <w:t>$</w:t>
            </w:r>
          </w:p>
        </w:tc>
        <w:tc>
          <w:tcPr>
            <w:tcW w:w="842" w:type="dxa"/>
            <w:tcBorders>
              <w:bottom w:val="single" w:sz="8" w:space="0" w:color="000000"/>
            </w:tcBorders>
            <w:tcMar>
              <w:bottom w:w="28" w:type="dxa"/>
            </w:tcMar>
            <w:vAlign w:val="center"/>
          </w:tcPr>
          <w:p>
            <w:pPr>
              <w:pStyle w:val="TableContents"/>
              <w:bidi w:val="0"/>
              <w:spacing w:before="0" w:after="283"/>
              <w:jc w:val="right"/>
              <w:rPr/>
            </w:pPr>
            <w:r>
              <w:rPr/>
              <w:t>77,783</w:t>
            </w:r>
          </w:p>
        </w:tc>
        <w:tc>
          <w:tcPr>
            <w:tcW w:w="136"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 Commitments and Contingent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Water Supply</w:t>
      </w:r>
      <w:r>
        <w:rPr>
          <w:rFonts w:ascii="Times New Roman;Times;Serif" w:hAnsi="Times New Roman;Times;Serif"/>
          <w:b w:val="false"/>
          <w:i w:val="false"/>
          <w:caps w:val="false"/>
          <w:smallCaps w:val="false"/>
          <w:sz w:val="20"/>
        </w:rPr>
        <w:t xml:space="preserve"> – Middlesex’s agreement with the New Jersey Water Supply Authority (NJWSA) for the purchase of untreated water expires November 30, 2048. NJSWA provides for an average purchase of 27.0 million gallons a day (mgd), with a peak up to 47.0 mgd. Pricing is set annually by the NJWSA through a public rate making process. The agreement has provisions for additional pricing in the event Middlesex overdrafts or exceeds certain monthly and annual thresholds.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Middlesex also has an agreement with a non-affiliated NJBPU-regulated water utility for the purchase of treated water. This agreement, which expires February 27, 2026, provides for the minimum purchase of 3.0 mgd of treated water with provisions for additional purchases if needed.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Tidewater contracts with the City of Dover, Delaware to purchase treated water of up to 60.0 million gallons annually.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Purchased water costs are shown below:</w:t>
      </w:r>
    </w:p>
    <w:p>
      <w:pPr>
        <w:pStyle w:val="TextBody"/>
        <w:bidi w:val="0"/>
        <w:spacing w:before="0" w:after="0"/>
        <w:ind w:left="5220" w:right="0" w:hanging="90"/>
        <w:jc w:val="left"/>
        <w:rPr>
          <w:caps w:val="false"/>
          <w:smallCaps w:val="false"/>
        </w:rPr>
      </w:pPr>
      <w:r>
        <w:rPr>
          <w:caps w:val="false"/>
          <w:smallCaps w:val="false"/>
        </w:rPr>
        <w:t> </w:t>
      </w:r>
    </w:p>
    <w:tbl>
      <w:tblPr>
        <w:tblW w:w="3993" w:type="dxa"/>
        <w:jc w:val="left"/>
        <w:tblInd w:w="0" w:type="dxa"/>
        <w:tblLayout w:type="fixed"/>
        <w:tblCellMar>
          <w:top w:w="0" w:type="dxa"/>
          <w:left w:w="0" w:type="dxa"/>
          <w:bottom w:w="0" w:type="dxa"/>
          <w:right w:w="0" w:type="dxa"/>
        </w:tblCellMar>
      </w:tblPr>
      <w:tblGrid>
        <w:gridCol w:w="1115"/>
        <w:gridCol w:w="60"/>
        <w:gridCol w:w="232"/>
        <w:gridCol w:w="534"/>
        <w:gridCol w:w="99"/>
        <w:gridCol w:w="99"/>
        <w:gridCol w:w="232"/>
        <w:gridCol w:w="534"/>
        <w:gridCol w:w="99"/>
        <w:gridCol w:w="99"/>
        <w:gridCol w:w="232"/>
        <w:gridCol w:w="534"/>
        <w:gridCol w:w="124"/>
      </w:tblGrid>
      <w:tr>
        <w:trPr/>
        <w:tc>
          <w:tcPr>
            <w:tcW w:w="11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818" w:type="dxa"/>
            <w:gridSpan w:val="11"/>
            <w:tcBorders/>
            <w:vAlign w:val="center"/>
          </w:tcPr>
          <w:p>
            <w:pPr>
              <w:pStyle w:val="TableContents"/>
              <w:bidi w:val="0"/>
              <w:spacing w:before="0" w:after="283"/>
              <w:jc w:val="center"/>
              <w:rPr>
                <w:b/>
              </w:rPr>
            </w:pPr>
            <w:r>
              <w:rPr>
                <w:b/>
              </w:rPr>
              <w:t>(Millions of Dollars)</w:t>
            </w:r>
          </w:p>
        </w:tc>
      </w:tr>
      <w:tr>
        <w:trPr/>
        <w:tc>
          <w:tcPr>
            <w:tcW w:w="11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818" w:type="dxa"/>
            <w:gridSpan w:val="11"/>
            <w:tcBorders/>
            <w:vAlign w:val="center"/>
          </w:tcPr>
          <w:p>
            <w:pPr>
              <w:pStyle w:val="TableContents"/>
              <w:bidi w:val="0"/>
              <w:spacing w:before="0" w:after="283"/>
              <w:jc w:val="center"/>
              <w:rPr>
                <w:b/>
              </w:rPr>
            </w:pPr>
            <w:r>
              <w:rPr>
                <w:b/>
              </w:rPr>
              <w:t>Years Ended December 31,</w:t>
            </w:r>
          </w:p>
        </w:tc>
      </w:tr>
      <w:tr>
        <w:trPr/>
        <w:tc>
          <w:tcPr>
            <w:tcW w:w="1115" w:type="dxa"/>
            <w:tcBorders/>
            <w:vAlign w:val="center"/>
          </w:tcPr>
          <w:p>
            <w:pPr>
              <w:pStyle w:val="TableContents"/>
              <w:bidi w:val="0"/>
              <w:spacing w:before="0" w:after="283"/>
              <w:jc w:val="center"/>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65"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99" w:type="dxa"/>
            <w:tcBorders>
              <w:bottom w:val="single" w:sz="8" w:space="0" w:color="000000"/>
            </w:tcBorders>
            <w:tcMar>
              <w:bottom w:w="28" w:type="dxa"/>
            </w:tcMar>
            <w:vAlign w:val="center"/>
          </w:tcPr>
          <w:p>
            <w:pPr>
              <w:pStyle w:val="TableContents"/>
              <w:bidi w:val="0"/>
              <w:spacing w:before="0" w:after="283"/>
              <w:jc w:val="left"/>
              <w:rPr/>
            </w:pPr>
            <w:r>
              <w:rPr/>
              <w:t> </w:t>
            </w:r>
          </w:p>
        </w:tc>
        <w:tc>
          <w:tcPr>
            <w:tcW w:w="865"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99" w:type="dxa"/>
            <w:tcBorders>
              <w:bottom w:val="single" w:sz="8" w:space="0" w:color="000000"/>
            </w:tcBorders>
            <w:tcMar>
              <w:bottom w:w="28" w:type="dxa"/>
            </w:tcMar>
            <w:vAlign w:val="center"/>
          </w:tcPr>
          <w:p>
            <w:pPr>
              <w:pStyle w:val="TableContents"/>
              <w:bidi w:val="0"/>
              <w:spacing w:before="0" w:after="283"/>
              <w:jc w:val="left"/>
              <w:rPr/>
            </w:pPr>
            <w:r>
              <w:rPr/>
              <w:t> </w:t>
            </w:r>
          </w:p>
        </w:tc>
        <w:tc>
          <w:tcPr>
            <w:tcW w:w="89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2021</w:t>
            </w:r>
          </w:p>
        </w:tc>
      </w:tr>
      <w:tr>
        <w:trPr/>
        <w:tc>
          <w:tcPr>
            <w:tcW w:w="1115" w:type="dxa"/>
            <w:tcBorders/>
            <w:shd w:fill="CCEEFF" w:val="clear"/>
            <w:vAlign w:val="center"/>
          </w:tcPr>
          <w:p>
            <w:pPr>
              <w:pStyle w:val="TableContents"/>
              <w:bidi w:val="0"/>
              <w:spacing w:before="0" w:after="283"/>
              <w:jc w:val="left"/>
              <w:rPr/>
            </w:pPr>
            <w:r>
              <w:rPr/>
              <w:t>Untreated</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534" w:type="dxa"/>
            <w:tcBorders/>
            <w:shd w:fill="CCEEFF" w:val="clear"/>
            <w:vAlign w:val="center"/>
          </w:tcPr>
          <w:p>
            <w:pPr>
              <w:pStyle w:val="TableContents"/>
              <w:bidi w:val="0"/>
              <w:spacing w:before="0" w:after="283"/>
              <w:jc w:val="right"/>
              <w:rPr/>
            </w:pPr>
            <w:r>
              <w:rPr/>
              <w:t>3.2</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534" w:type="dxa"/>
            <w:tcBorders/>
            <w:shd w:fill="CCEEFF" w:val="clear"/>
            <w:vAlign w:val="center"/>
          </w:tcPr>
          <w:p>
            <w:pPr>
              <w:pStyle w:val="TableContents"/>
              <w:bidi w:val="0"/>
              <w:spacing w:before="0" w:after="283"/>
              <w:jc w:val="right"/>
              <w:rPr/>
            </w:pPr>
            <w:r>
              <w:rPr/>
              <w:t>3.2</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534" w:type="dxa"/>
            <w:tcBorders/>
            <w:shd w:fill="CCEEFF" w:val="clear"/>
            <w:vAlign w:val="center"/>
          </w:tcPr>
          <w:p>
            <w:pPr>
              <w:pStyle w:val="TableContents"/>
              <w:bidi w:val="0"/>
              <w:spacing w:before="0" w:after="283"/>
              <w:jc w:val="right"/>
              <w:rPr/>
            </w:pPr>
            <w:r>
              <w:rPr/>
              <w:t>3.3</w:t>
            </w:r>
          </w:p>
        </w:tc>
        <w:tc>
          <w:tcPr>
            <w:tcW w:w="124" w:type="dxa"/>
            <w:tcBorders/>
            <w:shd w:fill="CCEEFF" w:val="clear"/>
            <w:vAlign w:val="center"/>
          </w:tcPr>
          <w:p>
            <w:pPr>
              <w:pStyle w:val="TableContents"/>
              <w:bidi w:val="0"/>
              <w:spacing w:before="0" w:after="283"/>
              <w:jc w:val="left"/>
              <w:rPr/>
            </w:pPr>
            <w:r>
              <w:rPr/>
              <w:t> </w:t>
            </w:r>
          </w:p>
        </w:tc>
      </w:tr>
      <w:tr>
        <w:trPr/>
        <w:tc>
          <w:tcPr>
            <w:tcW w:w="1115" w:type="dxa"/>
            <w:tcBorders/>
            <w:vAlign w:val="center"/>
          </w:tcPr>
          <w:p>
            <w:pPr>
              <w:pStyle w:val="TableContents"/>
              <w:bidi w:val="0"/>
              <w:spacing w:before="0" w:after="283"/>
              <w:jc w:val="left"/>
              <w:rPr/>
            </w:pPr>
            <w:r>
              <w:rPr/>
              <w:t>Treated</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32" w:type="dxa"/>
            <w:tcBorders>
              <w:bottom w:val="single" w:sz="8" w:space="0" w:color="000000"/>
            </w:tcBorders>
            <w:tcMar>
              <w:bottom w:w="28" w:type="dxa"/>
            </w:tcMar>
            <w:vAlign w:val="center"/>
          </w:tcPr>
          <w:p>
            <w:pPr>
              <w:pStyle w:val="TableContents"/>
              <w:bidi w:val="0"/>
              <w:spacing w:before="0" w:after="283"/>
              <w:jc w:val="left"/>
              <w:rPr/>
            </w:pPr>
            <w:r>
              <w:rPr/>
              <w:t> </w:t>
            </w:r>
          </w:p>
        </w:tc>
        <w:tc>
          <w:tcPr>
            <w:tcW w:w="534" w:type="dxa"/>
            <w:tcBorders>
              <w:bottom w:val="single" w:sz="8" w:space="0" w:color="000000"/>
            </w:tcBorders>
            <w:tcMar>
              <w:bottom w:w="28" w:type="dxa"/>
            </w:tcMar>
            <w:vAlign w:val="center"/>
          </w:tcPr>
          <w:p>
            <w:pPr>
              <w:pStyle w:val="TableContents"/>
              <w:bidi w:val="0"/>
              <w:spacing w:before="0" w:after="283"/>
              <w:jc w:val="right"/>
              <w:rPr/>
            </w:pPr>
            <w:r>
              <w:rPr/>
              <w:t>5.3</w:t>
            </w:r>
          </w:p>
        </w:tc>
        <w:tc>
          <w:tcPr>
            <w:tcW w:w="99" w:type="dxa"/>
            <w:tcBorders>
              <w:bottom w:val="single" w:sz="8" w:space="0" w:color="000000"/>
            </w:tcBorders>
            <w:tcMar>
              <w:bottom w:w="28" w:type="dxa"/>
            </w:tcMar>
            <w:vAlign w:val="center"/>
          </w:tcPr>
          <w:p>
            <w:pPr>
              <w:pStyle w:val="TableContents"/>
              <w:bidi w:val="0"/>
              <w:spacing w:before="0" w:after="283"/>
              <w:jc w:val="left"/>
              <w:rPr/>
            </w:pPr>
            <w:r>
              <w:rPr/>
              <w:t> </w:t>
            </w:r>
          </w:p>
        </w:tc>
        <w:tc>
          <w:tcPr>
            <w:tcW w:w="99" w:type="dxa"/>
            <w:tcBorders>
              <w:bottom w:val="single" w:sz="8" w:space="0" w:color="000000"/>
            </w:tcBorders>
            <w:tcMar>
              <w:bottom w:w="28" w:type="dxa"/>
            </w:tcMar>
            <w:vAlign w:val="center"/>
          </w:tcPr>
          <w:p>
            <w:pPr>
              <w:pStyle w:val="TableContents"/>
              <w:bidi w:val="0"/>
              <w:spacing w:before="0" w:after="283"/>
              <w:jc w:val="left"/>
              <w:rPr/>
            </w:pPr>
            <w:r>
              <w:rPr/>
              <w:t> </w:t>
            </w:r>
          </w:p>
        </w:tc>
        <w:tc>
          <w:tcPr>
            <w:tcW w:w="232" w:type="dxa"/>
            <w:tcBorders>
              <w:bottom w:val="single" w:sz="8" w:space="0" w:color="000000"/>
            </w:tcBorders>
            <w:tcMar>
              <w:bottom w:w="28" w:type="dxa"/>
            </w:tcMar>
            <w:vAlign w:val="center"/>
          </w:tcPr>
          <w:p>
            <w:pPr>
              <w:pStyle w:val="TableContents"/>
              <w:bidi w:val="0"/>
              <w:spacing w:before="0" w:after="283"/>
              <w:jc w:val="left"/>
              <w:rPr/>
            </w:pPr>
            <w:r>
              <w:rPr/>
              <w:t> </w:t>
            </w:r>
          </w:p>
        </w:tc>
        <w:tc>
          <w:tcPr>
            <w:tcW w:w="534" w:type="dxa"/>
            <w:tcBorders>
              <w:bottom w:val="single" w:sz="8" w:space="0" w:color="000000"/>
            </w:tcBorders>
            <w:tcMar>
              <w:bottom w:w="28" w:type="dxa"/>
            </w:tcMar>
            <w:vAlign w:val="center"/>
          </w:tcPr>
          <w:p>
            <w:pPr>
              <w:pStyle w:val="TableContents"/>
              <w:bidi w:val="0"/>
              <w:spacing w:before="0" w:after="283"/>
              <w:jc w:val="right"/>
              <w:rPr/>
            </w:pPr>
            <w:r>
              <w:rPr/>
              <w:t>3.9</w:t>
            </w:r>
          </w:p>
        </w:tc>
        <w:tc>
          <w:tcPr>
            <w:tcW w:w="99" w:type="dxa"/>
            <w:tcBorders>
              <w:bottom w:val="single" w:sz="8" w:space="0" w:color="000000"/>
            </w:tcBorders>
            <w:tcMar>
              <w:bottom w:w="28" w:type="dxa"/>
            </w:tcMar>
            <w:vAlign w:val="center"/>
          </w:tcPr>
          <w:p>
            <w:pPr>
              <w:pStyle w:val="TableContents"/>
              <w:bidi w:val="0"/>
              <w:spacing w:before="0" w:after="283"/>
              <w:jc w:val="left"/>
              <w:rPr/>
            </w:pPr>
            <w:r>
              <w:rPr/>
              <w:t> </w:t>
            </w:r>
          </w:p>
        </w:tc>
        <w:tc>
          <w:tcPr>
            <w:tcW w:w="99" w:type="dxa"/>
            <w:tcBorders>
              <w:bottom w:val="single" w:sz="8" w:space="0" w:color="000000"/>
            </w:tcBorders>
            <w:tcMar>
              <w:bottom w:w="28" w:type="dxa"/>
            </w:tcMar>
            <w:vAlign w:val="center"/>
          </w:tcPr>
          <w:p>
            <w:pPr>
              <w:pStyle w:val="TableContents"/>
              <w:bidi w:val="0"/>
              <w:spacing w:before="0" w:after="283"/>
              <w:jc w:val="left"/>
              <w:rPr/>
            </w:pPr>
            <w:r>
              <w:rPr/>
              <w:t> </w:t>
            </w:r>
          </w:p>
        </w:tc>
        <w:tc>
          <w:tcPr>
            <w:tcW w:w="232" w:type="dxa"/>
            <w:tcBorders>
              <w:bottom w:val="single" w:sz="8" w:space="0" w:color="000000"/>
            </w:tcBorders>
            <w:tcMar>
              <w:bottom w:w="28" w:type="dxa"/>
            </w:tcMar>
            <w:vAlign w:val="center"/>
          </w:tcPr>
          <w:p>
            <w:pPr>
              <w:pStyle w:val="TableContents"/>
              <w:bidi w:val="0"/>
              <w:spacing w:before="0" w:after="283"/>
              <w:jc w:val="left"/>
              <w:rPr/>
            </w:pPr>
            <w:r>
              <w:rPr/>
              <w:t> </w:t>
            </w:r>
          </w:p>
        </w:tc>
        <w:tc>
          <w:tcPr>
            <w:tcW w:w="534" w:type="dxa"/>
            <w:tcBorders>
              <w:bottom w:val="single" w:sz="8" w:space="0" w:color="000000"/>
            </w:tcBorders>
            <w:tcMar>
              <w:bottom w:w="28" w:type="dxa"/>
            </w:tcMar>
            <w:vAlign w:val="center"/>
          </w:tcPr>
          <w:p>
            <w:pPr>
              <w:pStyle w:val="TableContents"/>
              <w:bidi w:val="0"/>
              <w:spacing w:before="0" w:after="283"/>
              <w:jc w:val="right"/>
              <w:rPr/>
            </w:pPr>
            <w:r>
              <w:rPr/>
              <w:t>3.6</w:t>
            </w:r>
          </w:p>
        </w:tc>
        <w:tc>
          <w:tcPr>
            <w:tcW w:w="124"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115" w:type="dxa"/>
            <w:tcBorders/>
            <w:shd w:fill="CCEEFF" w:val="clear"/>
            <w:vAlign w:val="center"/>
          </w:tcPr>
          <w:p>
            <w:pPr>
              <w:pStyle w:val="TableContents"/>
              <w:bidi w:val="0"/>
              <w:spacing w:before="0" w:after="283"/>
              <w:jc w:val="left"/>
              <w:rPr/>
            </w:pPr>
            <w:r>
              <w:rPr/>
              <w:t>Total Costs</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32"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534" w:type="dxa"/>
            <w:tcBorders>
              <w:bottom w:val="single" w:sz="8" w:space="0" w:color="000000"/>
            </w:tcBorders>
            <w:shd w:fill="CCEEFF" w:val="clear"/>
            <w:tcMar>
              <w:bottom w:w="28" w:type="dxa"/>
            </w:tcMar>
            <w:vAlign w:val="center"/>
          </w:tcPr>
          <w:p>
            <w:pPr>
              <w:pStyle w:val="TableContents"/>
              <w:bidi w:val="0"/>
              <w:spacing w:before="0" w:after="283"/>
              <w:jc w:val="right"/>
              <w:rPr/>
            </w:pPr>
            <w:r>
              <w:rPr/>
              <w:t>8.5</w:t>
            </w:r>
          </w:p>
        </w:tc>
        <w:tc>
          <w:tcPr>
            <w:tcW w:w="9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32"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534" w:type="dxa"/>
            <w:tcBorders>
              <w:bottom w:val="single" w:sz="8" w:space="0" w:color="000000"/>
            </w:tcBorders>
            <w:shd w:fill="CCEEFF" w:val="clear"/>
            <w:tcMar>
              <w:bottom w:w="28" w:type="dxa"/>
            </w:tcMar>
            <w:vAlign w:val="center"/>
          </w:tcPr>
          <w:p>
            <w:pPr>
              <w:pStyle w:val="TableContents"/>
              <w:bidi w:val="0"/>
              <w:spacing w:before="0" w:after="283"/>
              <w:jc w:val="right"/>
              <w:rPr/>
            </w:pPr>
            <w:r>
              <w:rPr/>
              <w:t>7.1</w:t>
            </w:r>
          </w:p>
        </w:tc>
        <w:tc>
          <w:tcPr>
            <w:tcW w:w="9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32"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534" w:type="dxa"/>
            <w:tcBorders>
              <w:bottom w:val="single" w:sz="8" w:space="0" w:color="000000"/>
            </w:tcBorders>
            <w:shd w:fill="CCEEFF" w:val="clear"/>
            <w:tcMar>
              <w:bottom w:w="28" w:type="dxa"/>
            </w:tcMar>
            <w:vAlign w:val="center"/>
          </w:tcPr>
          <w:p>
            <w:pPr>
              <w:pStyle w:val="TableContents"/>
              <w:bidi w:val="0"/>
              <w:spacing w:before="0" w:after="283"/>
              <w:jc w:val="right"/>
              <w:rPr/>
            </w:pPr>
            <w:r>
              <w:rPr/>
              <w:t>6.9</w:t>
            </w:r>
          </w:p>
        </w:tc>
        <w:tc>
          <w:tcPr>
            <w:tcW w:w="12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Leases - </w:t>
      </w:r>
      <w:r>
        <w:rPr>
          <w:rFonts w:ascii="Times New Roman;Times;Serif" w:hAnsi="Times New Roman;Times;Serif"/>
          <w:b w:val="false"/>
          <w:i w:val="false"/>
          <w:caps w:val="false"/>
          <w:smallCaps w:val="false"/>
          <w:sz w:val="20"/>
        </w:rPr>
        <w:t>The Company determines if an arrangement is a lease at the inception of the lease. Generally, a lease agreement exists if the Company determines that the arrangement gives the Company control over the use of an identified asset and obtains substantially all of the benefits from the identified asset.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entered into an operating lease of office space for administrative purposes, expiring in 2030. The Company has not entered into any finance leases. The exercise of a lease renewal option for the Company’s administrative offices is solely at the discretion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right-of-use (ROU) asset recorded represents the Company’s right to use an underlying asset for the lease term and lease liability represents the Company’s obligation to make lease payments arising from the lease. Lease ROU assets and liabilities are recognized at commencement date based on the present value of lease payments over the lease term. The Company’s operating lease does not provide an implicit discount rate and as such the Company used an estimated incremental borrowing rate (4.03%) based on the information available at commencement date in determining the present value of lease payments.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58 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the impacts of accounting for regulated operations, and the resulting recognition of expense at the amounts recovered in customer rates, expenditures for operating leases are consistent with lease expense and was $0.8 million for each of the years ended December 31, 2023, 2022 and 2021.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related to operating lease ROU assets is as follows:</w:t>
      </w:r>
    </w:p>
    <w:p>
      <w:pPr>
        <w:pStyle w:val="TextBody"/>
        <w:bidi w:val="0"/>
        <w:spacing w:before="0" w:after="0"/>
        <w:ind w:left="0" w:right="0" w:hanging="0"/>
        <w:jc w:val="both"/>
        <w:rPr>
          <w:caps w:val="false"/>
          <w:smallCaps w:val="false"/>
        </w:rPr>
      </w:pPr>
      <w:r>
        <w:rPr>
          <w:caps w:val="false"/>
          <w:smallCaps w:val="false"/>
        </w:rPr>
        <w:t> </w:t>
      </w:r>
    </w:p>
    <w:tbl>
      <w:tblPr>
        <w:tblW w:w="4416" w:type="dxa"/>
        <w:jc w:val="left"/>
        <w:tblInd w:w="0" w:type="dxa"/>
        <w:tblLayout w:type="fixed"/>
        <w:tblCellMar>
          <w:top w:w="0" w:type="dxa"/>
          <w:left w:w="0" w:type="dxa"/>
          <w:bottom w:w="0" w:type="dxa"/>
          <w:right w:w="0" w:type="dxa"/>
        </w:tblCellMar>
      </w:tblPr>
      <w:tblGrid>
        <w:gridCol w:w="2930"/>
        <w:gridCol w:w="60"/>
        <w:gridCol w:w="149"/>
        <w:gridCol w:w="423"/>
        <w:gridCol w:w="101"/>
        <w:gridCol w:w="64"/>
        <w:gridCol w:w="149"/>
        <w:gridCol w:w="423"/>
        <w:gridCol w:w="117"/>
      </w:tblGrid>
      <w:tr>
        <w:trPr/>
        <w:tc>
          <w:tcPr>
            <w:tcW w:w="29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26" w:type="dxa"/>
            <w:gridSpan w:val="7"/>
            <w:tcBorders/>
            <w:vAlign w:val="center"/>
          </w:tcPr>
          <w:p>
            <w:pPr>
              <w:pStyle w:val="TableContents"/>
              <w:bidi w:val="0"/>
              <w:spacing w:before="0" w:after="283"/>
              <w:jc w:val="center"/>
              <w:rPr>
                <w:b/>
              </w:rPr>
            </w:pPr>
            <w:r>
              <w:rPr>
                <w:b/>
              </w:rPr>
              <w:t>(In Millions)</w:t>
            </w:r>
          </w:p>
        </w:tc>
      </w:tr>
      <w:tr>
        <w:trPr/>
        <w:tc>
          <w:tcPr>
            <w:tcW w:w="29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26" w:type="dxa"/>
            <w:gridSpan w:val="7"/>
            <w:tcBorders/>
            <w:vAlign w:val="center"/>
          </w:tcPr>
          <w:p>
            <w:pPr>
              <w:pStyle w:val="TableContents"/>
              <w:bidi w:val="0"/>
              <w:spacing w:before="0" w:after="283"/>
              <w:jc w:val="center"/>
              <w:rPr>
                <w:b/>
              </w:rPr>
            </w:pPr>
            <w:r>
              <w:rPr>
                <w:b/>
              </w:rPr>
              <w:t>December 31,</w:t>
            </w:r>
          </w:p>
        </w:tc>
      </w:tr>
      <w:tr>
        <w:trPr/>
        <w:tc>
          <w:tcPr>
            <w:tcW w:w="2930" w:type="dxa"/>
            <w:tcBorders/>
            <w:vAlign w:val="center"/>
          </w:tcPr>
          <w:p>
            <w:pPr>
              <w:pStyle w:val="TableContents"/>
              <w:bidi w:val="0"/>
              <w:spacing w:before="0" w:after="283"/>
              <w:jc w:val="center"/>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73"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4" w:type="dxa"/>
            <w:tcBorders>
              <w:bottom w:val="single" w:sz="8" w:space="0" w:color="000000"/>
            </w:tcBorders>
            <w:tcMar>
              <w:bottom w:w="28" w:type="dxa"/>
            </w:tcMar>
            <w:vAlign w:val="center"/>
          </w:tcPr>
          <w:p>
            <w:pPr>
              <w:pStyle w:val="TableContents"/>
              <w:bidi w:val="0"/>
              <w:spacing w:before="0" w:after="283"/>
              <w:jc w:val="left"/>
              <w:rPr/>
            </w:pPr>
            <w:r>
              <w:rPr/>
              <w:t> </w:t>
            </w:r>
          </w:p>
        </w:tc>
        <w:tc>
          <w:tcPr>
            <w:tcW w:w="689"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2022</w:t>
            </w:r>
          </w:p>
        </w:tc>
      </w:tr>
      <w:tr>
        <w:trPr/>
        <w:tc>
          <w:tcPr>
            <w:tcW w:w="2930" w:type="dxa"/>
            <w:tcBorders/>
            <w:shd w:fill="CCEEFF" w:val="clear"/>
            <w:vAlign w:val="center"/>
          </w:tcPr>
          <w:p>
            <w:pPr>
              <w:pStyle w:val="TableContents"/>
              <w:bidi w:val="0"/>
              <w:spacing w:before="0" w:after="283"/>
              <w:jc w:val="left"/>
              <w:rPr/>
            </w:pPr>
            <w:r>
              <w:rPr/>
              <w:t>ROU Asset at Lease Inception</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423" w:type="dxa"/>
            <w:tcBorders/>
            <w:shd w:fill="CCEEFF" w:val="clear"/>
            <w:vAlign w:val="center"/>
          </w:tcPr>
          <w:p>
            <w:pPr>
              <w:pStyle w:val="TableContents"/>
              <w:bidi w:val="0"/>
              <w:spacing w:before="0" w:after="283"/>
              <w:jc w:val="right"/>
              <w:rPr/>
            </w:pPr>
            <w:r>
              <w:rPr/>
              <w:t>7.3</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423" w:type="dxa"/>
            <w:tcBorders/>
            <w:shd w:fill="CCEEFF" w:val="clear"/>
            <w:vAlign w:val="center"/>
          </w:tcPr>
          <w:p>
            <w:pPr>
              <w:pStyle w:val="TableContents"/>
              <w:bidi w:val="0"/>
              <w:spacing w:before="0" w:after="283"/>
              <w:jc w:val="right"/>
              <w:rPr/>
            </w:pPr>
            <w:r>
              <w:rPr/>
              <w:t>7.3</w:t>
            </w:r>
          </w:p>
        </w:tc>
        <w:tc>
          <w:tcPr>
            <w:tcW w:w="117" w:type="dxa"/>
            <w:tcBorders/>
            <w:shd w:fill="CCEEFF" w:val="clear"/>
            <w:vAlign w:val="center"/>
          </w:tcPr>
          <w:p>
            <w:pPr>
              <w:pStyle w:val="TableContents"/>
              <w:bidi w:val="0"/>
              <w:spacing w:before="0" w:after="283"/>
              <w:jc w:val="left"/>
              <w:rPr/>
            </w:pPr>
            <w:r>
              <w:rPr/>
              <w:t> </w:t>
            </w:r>
          </w:p>
        </w:tc>
      </w:tr>
      <w:tr>
        <w:trPr/>
        <w:tc>
          <w:tcPr>
            <w:tcW w:w="2930" w:type="dxa"/>
            <w:tcBorders/>
            <w:vAlign w:val="center"/>
          </w:tcPr>
          <w:p>
            <w:pPr>
              <w:pStyle w:val="TableContents"/>
              <w:bidi w:val="0"/>
              <w:spacing w:before="0" w:after="283"/>
              <w:jc w:val="left"/>
              <w:rPr/>
            </w:pPr>
            <w:r>
              <w:rPr/>
              <w:t>Accumulated Amortization</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9" w:type="dxa"/>
            <w:tcBorders>
              <w:bottom w:val="single" w:sz="8" w:space="0" w:color="000000"/>
            </w:tcBorders>
            <w:tcMar>
              <w:bottom w:w="28" w:type="dxa"/>
            </w:tcMar>
            <w:vAlign w:val="center"/>
          </w:tcPr>
          <w:p>
            <w:pPr>
              <w:pStyle w:val="TableContents"/>
              <w:bidi w:val="0"/>
              <w:spacing w:before="0" w:after="283"/>
              <w:jc w:val="left"/>
              <w:rPr/>
            </w:pPr>
            <w:r>
              <w:rPr/>
              <w:t> </w:t>
            </w:r>
          </w:p>
        </w:tc>
        <w:tc>
          <w:tcPr>
            <w:tcW w:w="423" w:type="dxa"/>
            <w:tcBorders>
              <w:bottom w:val="single" w:sz="8" w:space="0" w:color="000000"/>
            </w:tcBorders>
            <w:tcMar>
              <w:bottom w:w="28" w:type="dxa"/>
            </w:tcMar>
            <w:vAlign w:val="center"/>
          </w:tcPr>
          <w:p>
            <w:pPr>
              <w:pStyle w:val="TableContents"/>
              <w:bidi w:val="0"/>
              <w:spacing w:before="0" w:after="283"/>
              <w:jc w:val="right"/>
              <w:rPr/>
            </w:pPr>
            <w:r>
              <w:rPr/>
              <w:t>(4.1</w:t>
            </w:r>
          </w:p>
        </w:tc>
        <w:tc>
          <w:tcPr>
            <w:tcW w:w="101" w:type="dxa"/>
            <w:tcBorders>
              <w:bottom w:val="single" w:sz="8" w:space="0" w:color="000000"/>
            </w:tcBorders>
            <w:tcMar>
              <w:bottom w:w="28" w:type="dxa"/>
            </w:tcMar>
            <w:vAlign w:val="center"/>
          </w:tcPr>
          <w:p>
            <w:pPr>
              <w:pStyle w:val="TableContents"/>
              <w:bidi w:val="0"/>
              <w:spacing w:before="0" w:after="283"/>
              <w:jc w:val="left"/>
              <w:rPr/>
            </w:pPr>
            <w:r>
              <w:rPr/>
              <w:t>)</w:t>
            </w:r>
          </w:p>
        </w:tc>
        <w:tc>
          <w:tcPr>
            <w:tcW w:w="64" w:type="dxa"/>
            <w:tcBorders>
              <w:bottom w:val="single" w:sz="8" w:space="0" w:color="000000"/>
            </w:tcBorders>
            <w:tcMar>
              <w:bottom w:w="28" w:type="dxa"/>
            </w:tcMar>
            <w:vAlign w:val="center"/>
          </w:tcPr>
          <w:p>
            <w:pPr>
              <w:pStyle w:val="TableContents"/>
              <w:bidi w:val="0"/>
              <w:spacing w:before="0" w:after="283"/>
              <w:jc w:val="left"/>
              <w:rPr/>
            </w:pPr>
            <w:r>
              <w:rPr/>
              <w:t> </w:t>
            </w:r>
          </w:p>
        </w:tc>
        <w:tc>
          <w:tcPr>
            <w:tcW w:w="149" w:type="dxa"/>
            <w:tcBorders>
              <w:bottom w:val="single" w:sz="8" w:space="0" w:color="000000"/>
            </w:tcBorders>
            <w:tcMar>
              <w:bottom w:w="28" w:type="dxa"/>
            </w:tcMar>
            <w:vAlign w:val="center"/>
          </w:tcPr>
          <w:p>
            <w:pPr>
              <w:pStyle w:val="TableContents"/>
              <w:bidi w:val="0"/>
              <w:spacing w:before="0" w:after="283"/>
              <w:jc w:val="left"/>
              <w:rPr/>
            </w:pPr>
            <w:r>
              <w:rPr/>
              <w:t> </w:t>
            </w:r>
          </w:p>
        </w:tc>
        <w:tc>
          <w:tcPr>
            <w:tcW w:w="423" w:type="dxa"/>
            <w:tcBorders>
              <w:bottom w:val="single" w:sz="8" w:space="0" w:color="000000"/>
            </w:tcBorders>
            <w:tcMar>
              <w:bottom w:w="28" w:type="dxa"/>
            </w:tcMar>
            <w:vAlign w:val="center"/>
          </w:tcPr>
          <w:p>
            <w:pPr>
              <w:pStyle w:val="TableContents"/>
              <w:bidi w:val="0"/>
              <w:spacing w:before="0" w:after="283"/>
              <w:jc w:val="right"/>
              <w:rPr/>
            </w:pPr>
            <w:r>
              <w:rPr/>
              <w:t>(3.5</w:t>
            </w:r>
          </w:p>
        </w:tc>
        <w:tc>
          <w:tcPr>
            <w:tcW w:w="117" w:type="dxa"/>
            <w:tcBorders>
              <w:bottom w:val="single" w:sz="8" w:space="0" w:color="000000"/>
            </w:tcBorders>
            <w:tcMar>
              <w:bottom w:w="28" w:type="dxa"/>
            </w:tcMar>
            <w:vAlign w:val="center"/>
          </w:tcPr>
          <w:p>
            <w:pPr>
              <w:pStyle w:val="TableContents"/>
              <w:bidi w:val="0"/>
              <w:spacing w:before="0" w:after="283"/>
              <w:jc w:val="left"/>
              <w:rPr/>
            </w:pPr>
            <w:r>
              <w:rPr/>
              <w:t>)</w:t>
            </w:r>
          </w:p>
        </w:tc>
      </w:tr>
      <w:tr>
        <w:trPr/>
        <w:tc>
          <w:tcPr>
            <w:tcW w:w="2930" w:type="dxa"/>
            <w:tcBorders/>
            <w:shd w:fill="CCEEFF" w:val="clear"/>
            <w:vAlign w:val="center"/>
          </w:tcPr>
          <w:p>
            <w:pPr>
              <w:pStyle w:val="TableContents"/>
              <w:bidi w:val="0"/>
              <w:spacing w:before="0" w:after="283"/>
              <w:jc w:val="left"/>
              <w:rPr/>
            </w:pPr>
            <w:r>
              <w:rPr/>
              <w:t>Current ROU Asset</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423" w:type="dxa"/>
            <w:tcBorders>
              <w:bottom w:val="single" w:sz="8" w:space="0" w:color="000000"/>
            </w:tcBorders>
            <w:shd w:fill="CCEEFF" w:val="clear"/>
            <w:tcMar>
              <w:bottom w:w="28" w:type="dxa"/>
            </w:tcMar>
            <w:vAlign w:val="center"/>
          </w:tcPr>
          <w:p>
            <w:pPr>
              <w:pStyle w:val="TableContents"/>
              <w:bidi w:val="0"/>
              <w:spacing w:before="0" w:after="283"/>
              <w:jc w:val="right"/>
              <w:rPr/>
            </w:pPr>
            <w:r>
              <w:rPr/>
              <w:t>3.2</w:t>
            </w:r>
          </w:p>
        </w:tc>
        <w:tc>
          <w:tcPr>
            <w:tcW w:w="1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423" w:type="dxa"/>
            <w:tcBorders>
              <w:bottom w:val="single" w:sz="8" w:space="0" w:color="000000"/>
            </w:tcBorders>
            <w:shd w:fill="CCEEFF" w:val="clear"/>
            <w:tcMar>
              <w:bottom w:w="28" w:type="dxa"/>
            </w:tcMar>
            <w:vAlign w:val="center"/>
          </w:tcPr>
          <w:p>
            <w:pPr>
              <w:pStyle w:val="TableContents"/>
              <w:bidi w:val="0"/>
              <w:spacing w:before="0" w:after="283"/>
              <w:jc w:val="right"/>
              <w:rPr/>
            </w:pPr>
            <w:r>
              <w:rPr/>
              <w:t>3.8</w:t>
            </w:r>
          </w:p>
        </w:tc>
        <w:tc>
          <w:tcPr>
            <w:tcW w:w="11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future minimum operating lease commitments as of December 31, 2023 are as follows:</w:t>
      </w:r>
    </w:p>
    <w:p>
      <w:pPr>
        <w:pStyle w:val="TextBody"/>
        <w:bidi w:val="0"/>
        <w:spacing w:before="0" w:after="0"/>
        <w:ind w:left="0" w:right="0" w:hanging="0"/>
        <w:jc w:val="left"/>
        <w:rPr>
          <w:caps w:val="false"/>
          <w:smallCaps w:val="false"/>
        </w:rPr>
      </w:pPr>
      <w:r>
        <w:rPr>
          <w:caps w:val="false"/>
          <w:smallCaps w:val="false"/>
        </w:rPr>
        <w:t> </w:t>
      </w:r>
    </w:p>
    <w:tbl>
      <w:tblPr>
        <w:tblW w:w="5714" w:type="dxa"/>
        <w:jc w:val="left"/>
        <w:tblInd w:w="0" w:type="dxa"/>
        <w:tblLayout w:type="fixed"/>
        <w:tblCellMar>
          <w:top w:w="0" w:type="dxa"/>
          <w:left w:w="0" w:type="dxa"/>
          <w:bottom w:w="0" w:type="dxa"/>
          <w:right w:w="0" w:type="dxa"/>
        </w:tblCellMar>
      </w:tblPr>
      <w:tblGrid>
        <w:gridCol w:w="3590"/>
        <w:gridCol w:w="60"/>
        <w:gridCol w:w="510"/>
        <w:gridCol w:w="1444"/>
        <w:gridCol w:w="110"/>
      </w:tblGrid>
      <w:tr>
        <w:trPr/>
        <w:tc>
          <w:tcPr>
            <w:tcW w:w="3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vAlign w:val="center"/>
          </w:tcPr>
          <w:p>
            <w:pPr>
              <w:pStyle w:val="TableContents"/>
              <w:bidi w:val="0"/>
              <w:spacing w:before="0" w:after="283"/>
              <w:jc w:val="center"/>
              <w:rPr>
                <w:b/>
              </w:rPr>
            </w:pPr>
            <w:r>
              <w:rPr>
                <w:b/>
              </w:rPr>
              <w:t>(In Millions)</w:t>
            </w:r>
          </w:p>
        </w:tc>
        <w:tc>
          <w:tcPr>
            <w:tcW w:w="110" w:type="dxa"/>
            <w:tcBorders/>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vAlign w:val="center"/>
          </w:tcPr>
          <w:p>
            <w:pPr>
              <w:pStyle w:val="TableContents"/>
              <w:bidi w:val="0"/>
              <w:spacing w:before="0" w:after="283"/>
              <w:jc w:val="center"/>
              <w:rPr>
                <w:b/>
              </w:rPr>
            </w:pPr>
            <w:r>
              <w:rPr>
                <w:b/>
              </w:rPr>
              <w:t>December 31, 2023</w:t>
            </w:r>
          </w:p>
        </w:tc>
        <w:tc>
          <w:tcPr>
            <w:tcW w:w="110" w:type="dxa"/>
            <w:tcBorders/>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283"/>
              <w:jc w:val="right"/>
              <w:rPr/>
            </w:pPr>
            <w:r>
              <w:rPr/>
              <w:t>2024</w:t>
            </w:r>
          </w:p>
        </w:tc>
        <w:tc>
          <w:tcPr>
            <w:tcW w:w="60" w:type="dxa"/>
            <w:tcBorders/>
            <w:shd w:fill="CCEEFF" w:val="clear"/>
            <w:vAlign w:val="center"/>
          </w:tcPr>
          <w:p>
            <w:pPr>
              <w:pStyle w:val="TableContents"/>
              <w:bidi w:val="0"/>
              <w:spacing w:before="0" w:after="283"/>
              <w:jc w:val="left"/>
              <w:rPr/>
            </w:pPr>
            <w:r>
              <w:rPr/>
              <w:t> </w:t>
            </w:r>
          </w:p>
        </w:tc>
        <w:tc>
          <w:tcPr>
            <w:tcW w:w="510" w:type="dxa"/>
            <w:tcBorders/>
            <w:shd w:fill="CCEEFF" w:val="clear"/>
            <w:vAlign w:val="center"/>
          </w:tcPr>
          <w:p>
            <w:pPr>
              <w:pStyle w:val="TableContents"/>
              <w:bidi w:val="0"/>
              <w:spacing w:before="0" w:after="283"/>
              <w:jc w:val="left"/>
              <w:rPr/>
            </w:pPr>
            <w:r>
              <w:rPr/>
              <w:t> </w:t>
            </w:r>
          </w:p>
        </w:tc>
        <w:tc>
          <w:tcPr>
            <w:tcW w:w="1444" w:type="dxa"/>
            <w:tcBorders/>
            <w:shd w:fill="CCEEFF" w:val="clear"/>
            <w:vAlign w:val="center"/>
          </w:tcPr>
          <w:p>
            <w:pPr>
              <w:pStyle w:val="TableContents"/>
              <w:bidi w:val="0"/>
              <w:spacing w:before="0" w:after="283"/>
              <w:jc w:val="right"/>
              <w:rPr/>
            </w:pPr>
            <w:r>
              <w:rPr/>
              <w:t>0.8</w:t>
            </w:r>
          </w:p>
        </w:tc>
        <w:tc>
          <w:tcPr>
            <w:tcW w:w="110" w:type="dxa"/>
            <w:tcBorders/>
            <w:shd w:fill="CCEEFF" w:val="clear"/>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283"/>
              <w:jc w:val="right"/>
              <w:rPr/>
            </w:pPr>
            <w:r>
              <w:rPr/>
              <w:t>2025</w:t>
            </w:r>
          </w:p>
        </w:tc>
        <w:tc>
          <w:tcPr>
            <w:tcW w:w="60" w:type="dxa"/>
            <w:tcBorders/>
            <w:vAlign w:val="center"/>
          </w:tcPr>
          <w:p>
            <w:pPr>
              <w:pStyle w:val="TableContents"/>
              <w:bidi w:val="0"/>
              <w:spacing w:before="0" w:after="283"/>
              <w:jc w:val="left"/>
              <w:rPr/>
            </w:pPr>
            <w:r>
              <w:rPr/>
              <w:t> </w:t>
            </w:r>
          </w:p>
        </w:tc>
        <w:tc>
          <w:tcPr>
            <w:tcW w:w="510" w:type="dxa"/>
            <w:tcBorders/>
            <w:vAlign w:val="center"/>
          </w:tcPr>
          <w:p>
            <w:pPr>
              <w:pStyle w:val="TableContents"/>
              <w:bidi w:val="0"/>
              <w:spacing w:before="0" w:after="283"/>
              <w:jc w:val="left"/>
              <w:rPr/>
            </w:pPr>
            <w:r>
              <w:rPr/>
              <w:t> </w:t>
            </w:r>
          </w:p>
        </w:tc>
        <w:tc>
          <w:tcPr>
            <w:tcW w:w="1444" w:type="dxa"/>
            <w:tcBorders/>
            <w:vAlign w:val="center"/>
          </w:tcPr>
          <w:p>
            <w:pPr>
              <w:pStyle w:val="TableContents"/>
              <w:bidi w:val="0"/>
              <w:spacing w:before="0" w:after="283"/>
              <w:jc w:val="right"/>
              <w:rPr/>
            </w:pPr>
            <w:r>
              <w:rPr/>
              <w:t>0.8</w:t>
            </w:r>
          </w:p>
        </w:tc>
        <w:tc>
          <w:tcPr>
            <w:tcW w:w="110" w:type="dxa"/>
            <w:tcBorders/>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283"/>
              <w:jc w:val="right"/>
              <w:rPr/>
            </w:pPr>
            <w:r>
              <w:rPr/>
              <w:t>2026</w:t>
            </w:r>
          </w:p>
        </w:tc>
        <w:tc>
          <w:tcPr>
            <w:tcW w:w="60" w:type="dxa"/>
            <w:tcBorders/>
            <w:shd w:fill="CCEEFF" w:val="clear"/>
            <w:vAlign w:val="center"/>
          </w:tcPr>
          <w:p>
            <w:pPr>
              <w:pStyle w:val="TableContents"/>
              <w:bidi w:val="0"/>
              <w:spacing w:before="0" w:after="283"/>
              <w:jc w:val="left"/>
              <w:rPr/>
            </w:pPr>
            <w:r>
              <w:rPr/>
              <w:t> </w:t>
            </w:r>
          </w:p>
        </w:tc>
        <w:tc>
          <w:tcPr>
            <w:tcW w:w="510" w:type="dxa"/>
            <w:tcBorders/>
            <w:shd w:fill="CCEEFF" w:val="clear"/>
            <w:vAlign w:val="center"/>
          </w:tcPr>
          <w:p>
            <w:pPr>
              <w:pStyle w:val="TableContents"/>
              <w:bidi w:val="0"/>
              <w:spacing w:before="0" w:after="283"/>
              <w:jc w:val="left"/>
              <w:rPr/>
            </w:pPr>
            <w:r>
              <w:rPr/>
              <w:t> </w:t>
            </w:r>
          </w:p>
        </w:tc>
        <w:tc>
          <w:tcPr>
            <w:tcW w:w="1444" w:type="dxa"/>
            <w:tcBorders/>
            <w:shd w:fill="CCEEFF" w:val="clear"/>
            <w:vAlign w:val="center"/>
          </w:tcPr>
          <w:p>
            <w:pPr>
              <w:pStyle w:val="TableContents"/>
              <w:bidi w:val="0"/>
              <w:spacing w:before="0" w:after="283"/>
              <w:jc w:val="right"/>
              <w:rPr/>
            </w:pPr>
            <w:r>
              <w:rPr/>
              <w:t>0.9</w:t>
            </w:r>
          </w:p>
        </w:tc>
        <w:tc>
          <w:tcPr>
            <w:tcW w:w="110" w:type="dxa"/>
            <w:tcBorders/>
            <w:shd w:fill="CCEEFF" w:val="clear"/>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283"/>
              <w:jc w:val="right"/>
              <w:rPr/>
            </w:pPr>
            <w:r>
              <w:rPr/>
              <w:t>2027</w:t>
            </w:r>
          </w:p>
        </w:tc>
        <w:tc>
          <w:tcPr>
            <w:tcW w:w="60" w:type="dxa"/>
            <w:tcBorders/>
            <w:vAlign w:val="center"/>
          </w:tcPr>
          <w:p>
            <w:pPr>
              <w:pStyle w:val="TableContents"/>
              <w:bidi w:val="0"/>
              <w:spacing w:before="0" w:after="283"/>
              <w:jc w:val="left"/>
              <w:rPr/>
            </w:pPr>
            <w:r>
              <w:rPr/>
              <w:t> </w:t>
            </w:r>
          </w:p>
        </w:tc>
        <w:tc>
          <w:tcPr>
            <w:tcW w:w="510" w:type="dxa"/>
            <w:tcBorders/>
            <w:vAlign w:val="center"/>
          </w:tcPr>
          <w:p>
            <w:pPr>
              <w:pStyle w:val="TableContents"/>
              <w:bidi w:val="0"/>
              <w:spacing w:before="0" w:after="283"/>
              <w:jc w:val="left"/>
              <w:rPr/>
            </w:pPr>
            <w:r>
              <w:rPr/>
              <w:t> </w:t>
            </w:r>
          </w:p>
        </w:tc>
        <w:tc>
          <w:tcPr>
            <w:tcW w:w="1444" w:type="dxa"/>
            <w:tcBorders/>
            <w:vAlign w:val="center"/>
          </w:tcPr>
          <w:p>
            <w:pPr>
              <w:pStyle w:val="TableContents"/>
              <w:bidi w:val="0"/>
              <w:spacing w:before="0" w:after="283"/>
              <w:jc w:val="right"/>
              <w:rPr/>
            </w:pPr>
            <w:r>
              <w:rPr/>
              <w:t>0.9</w:t>
            </w:r>
          </w:p>
        </w:tc>
        <w:tc>
          <w:tcPr>
            <w:tcW w:w="110" w:type="dxa"/>
            <w:tcBorders/>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283"/>
              <w:jc w:val="right"/>
              <w:rPr/>
            </w:pPr>
            <w:r>
              <w:rPr/>
              <w:t>2028</w:t>
            </w:r>
          </w:p>
        </w:tc>
        <w:tc>
          <w:tcPr>
            <w:tcW w:w="60" w:type="dxa"/>
            <w:tcBorders/>
            <w:shd w:fill="CCEEFF" w:val="clear"/>
            <w:vAlign w:val="center"/>
          </w:tcPr>
          <w:p>
            <w:pPr>
              <w:pStyle w:val="TableContents"/>
              <w:bidi w:val="0"/>
              <w:spacing w:before="0" w:after="283"/>
              <w:jc w:val="left"/>
              <w:rPr/>
            </w:pPr>
            <w:r>
              <w:rPr/>
              <w:t> </w:t>
            </w:r>
          </w:p>
        </w:tc>
        <w:tc>
          <w:tcPr>
            <w:tcW w:w="510" w:type="dxa"/>
            <w:tcBorders/>
            <w:shd w:fill="CCEEFF" w:val="clear"/>
            <w:vAlign w:val="center"/>
          </w:tcPr>
          <w:p>
            <w:pPr>
              <w:pStyle w:val="TableContents"/>
              <w:bidi w:val="0"/>
              <w:spacing w:before="0" w:after="283"/>
              <w:jc w:val="left"/>
              <w:rPr/>
            </w:pPr>
            <w:r>
              <w:rPr/>
              <w:t> </w:t>
            </w:r>
          </w:p>
        </w:tc>
        <w:tc>
          <w:tcPr>
            <w:tcW w:w="1444" w:type="dxa"/>
            <w:tcBorders/>
            <w:shd w:fill="CCEEFF" w:val="clear"/>
            <w:vAlign w:val="center"/>
          </w:tcPr>
          <w:p>
            <w:pPr>
              <w:pStyle w:val="TableContents"/>
              <w:bidi w:val="0"/>
              <w:spacing w:before="0" w:after="283"/>
              <w:jc w:val="right"/>
              <w:rPr/>
            </w:pPr>
            <w:r>
              <w:rPr/>
              <w:t>0.9</w:t>
            </w:r>
          </w:p>
        </w:tc>
        <w:tc>
          <w:tcPr>
            <w:tcW w:w="110" w:type="dxa"/>
            <w:tcBorders/>
            <w:shd w:fill="CCEEFF" w:val="clear"/>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283"/>
              <w:jc w:val="right"/>
              <w:rPr/>
            </w:pPr>
            <w:r>
              <w:rPr/>
              <w:t>Thereafter</w:t>
            </w:r>
          </w:p>
        </w:tc>
        <w:tc>
          <w:tcPr>
            <w:tcW w:w="60" w:type="dxa"/>
            <w:tcBorders/>
            <w:vAlign w:val="center"/>
          </w:tcPr>
          <w:p>
            <w:pPr>
              <w:pStyle w:val="TableContents"/>
              <w:bidi w:val="0"/>
              <w:spacing w:before="0" w:after="283"/>
              <w:jc w:val="left"/>
              <w:rPr/>
            </w:pPr>
            <w:r>
              <w:rPr/>
              <w:t> </w:t>
            </w:r>
          </w:p>
        </w:tc>
        <w:tc>
          <w:tcPr>
            <w:tcW w:w="510" w:type="dxa"/>
            <w:tcBorders>
              <w:bottom w:val="single" w:sz="8" w:space="0" w:color="000000"/>
            </w:tcBorders>
            <w:tcMar>
              <w:bottom w:w="28" w:type="dxa"/>
            </w:tcMar>
            <w:vAlign w:val="center"/>
          </w:tcPr>
          <w:p>
            <w:pPr>
              <w:pStyle w:val="TableContents"/>
              <w:bidi w:val="0"/>
              <w:spacing w:before="0" w:after="283"/>
              <w:jc w:val="left"/>
              <w:rPr/>
            </w:pPr>
            <w:r>
              <w:rPr/>
              <w:t> </w:t>
            </w:r>
          </w:p>
        </w:tc>
        <w:tc>
          <w:tcPr>
            <w:tcW w:w="1444" w:type="dxa"/>
            <w:tcBorders>
              <w:bottom w:val="single" w:sz="8" w:space="0" w:color="000000"/>
            </w:tcBorders>
            <w:tcMar>
              <w:bottom w:w="28" w:type="dxa"/>
            </w:tcMar>
            <w:vAlign w:val="center"/>
          </w:tcPr>
          <w:p>
            <w:pPr>
              <w:pStyle w:val="TableContents"/>
              <w:bidi w:val="0"/>
              <w:spacing w:before="0" w:after="283"/>
              <w:jc w:val="right"/>
              <w:rPr/>
            </w:pPr>
            <w:r>
              <w:rPr/>
              <w:t>0.9</w:t>
            </w:r>
          </w:p>
        </w:tc>
        <w:tc>
          <w:tcPr>
            <w:tcW w:w="110" w:type="dxa"/>
            <w:tcBorders/>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283"/>
              <w:jc w:val="right"/>
              <w:rPr/>
            </w:pPr>
            <w:r>
              <w:rPr/>
              <w:t>Total Lease Payments</w:t>
            </w:r>
          </w:p>
        </w:tc>
        <w:tc>
          <w:tcPr>
            <w:tcW w:w="60" w:type="dxa"/>
            <w:tcBorders/>
            <w:shd w:fill="CCEEFF" w:val="clear"/>
            <w:vAlign w:val="center"/>
          </w:tcPr>
          <w:p>
            <w:pPr>
              <w:pStyle w:val="TableContents"/>
              <w:bidi w:val="0"/>
              <w:spacing w:before="0" w:after="283"/>
              <w:jc w:val="left"/>
              <w:rPr/>
            </w:pPr>
            <w:r>
              <w:rPr/>
              <w:t> </w:t>
            </w:r>
          </w:p>
        </w:tc>
        <w:tc>
          <w:tcPr>
            <w:tcW w:w="510" w:type="dxa"/>
            <w:tcBorders/>
            <w:shd w:fill="CCEEFF" w:val="clear"/>
            <w:vAlign w:val="center"/>
          </w:tcPr>
          <w:p>
            <w:pPr>
              <w:pStyle w:val="TableContents"/>
              <w:bidi w:val="0"/>
              <w:spacing w:before="0" w:after="283"/>
              <w:jc w:val="left"/>
              <w:rPr/>
            </w:pPr>
            <w:r>
              <w:rPr/>
              <w:t>$</w:t>
            </w:r>
          </w:p>
        </w:tc>
        <w:tc>
          <w:tcPr>
            <w:tcW w:w="1444" w:type="dxa"/>
            <w:tcBorders/>
            <w:shd w:fill="CCEEFF" w:val="clear"/>
            <w:vAlign w:val="center"/>
          </w:tcPr>
          <w:p>
            <w:pPr>
              <w:pStyle w:val="TableContents"/>
              <w:bidi w:val="0"/>
              <w:spacing w:before="0" w:after="283"/>
              <w:jc w:val="right"/>
              <w:rPr/>
            </w:pPr>
            <w:r>
              <w:rPr/>
              <w:t>5.2</w:t>
            </w:r>
          </w:p>
        </w:tc>
        <w:tc>
          <w:tcPr>
            <w:tcW w:w="110" w:type="dxa"/>
            <w:tcBorders/>
            <w:shd w:fill="CCEEFF" w:val="clear"/>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283"/>
              <w:jc w:val="right"/>
              <w:rPr/>
            </w:pPr>
            <w:r>
              <w:rPr/>
              <w:t>Imputed Interest</w:t>
            </w:r>
          </w:p>
        </w:tc>
        <w:tc>
          <w:tcPr>
            <w:tcW w:w="60" w:type="dxa"/>
            <w:tcBorders/>
            <w:vAlign w:val="center"/>
          </w:tcPr>
          <w:p>
            <w:pPr>
              <w:pStyle w:val="TableContents"/>
              <w:bidi w:val="0"/>
              <w:spacing w:before="0" w:after="283"/>
              <w:jc w:val="left"/>
              <w:rPr/>
            </w:pPr>
            <w:r>
              <w:rPr/>
              <w:t> </w:t>
            </w:r>
          </w:p>
        </w:tc>
        <w:tc>
          <w:tcPr>
            <w:tcW w:w="510" w:type="dxa"/>
            <w:tcBorders>
              <w:bottom w:val="single" w:sz="8" w:space="0" w:color="000000"/>
            </w:tcBorders>
            <w:tcMar>
              <w:bottom w:w="28" w:type="dxa"/>
            </w:tcMar>
            <w:vAlign w:val="center"/>
          </w:tcPr>
          <w:p>
            <w:pPr>
              <w:pStyle w:val="TableContents"/>
              <w:bidi w:val="0"/>
              <w:spacing w:before="0" w:after="283"/>
              <w:jc w:val="left"/>
              <w:rPr/>
            </w:pPr>
            <w:r>
              <w:rPr/>
              <w:t> </w:t>
            </w:r>
          </w:p>
        </w:tc>
        <w:tc>
          <w:tcPr>
            <w:tcW w:w="1444" w:type="dxa"/>
            <w:tcBorders>
              <w:bottom w:val="single" w:sz="8" w:space="0" w:color="000000"/>
            </w:tcBorders>
            <w:tcMar>
              <w:bottom w:w="28" w:type="dxa"/>
            </w:tcMar>
            <w:vAlign w:val="center"/>
          </w:tcPr>
          <w:p>
            <w:pPr>
              <w:pStyle w:val="TableContents"/>
              <w:bidi w:val="0"/>
              <w:spacing w:before="0" w:after="283"/>
              <w:jc w:val="right"/>
              <w:rPr/>
            </w:pPr>
            <w:r>
              <w:rPr/>
              <w:t>(1.5</w:t>
            </w:r>
          </w:p>
        </w:tc>
        <w:tc>
          <w:tcPr>
            <w:tcW w:w="110" w:type="dxa"/>
            <w:tcBorders/>
            <w:vAlign w:val="center"/>
          </w:tcPr>
          <w:p>
            <w:pPr>
              <w:pStyle w:val="TableContents"/>
              <w:bidi w:val="0"/>
              <w:spacing w:before="0" w:after="283"/>
              <w:jc w:val="left"/>
              <w:rPr/>
            </w:pPr>
            <w:r>
              <w:rPr/>
              <w:t>)</w:t>
            </w:r>
          </w:p>
        </w:tc>
      </w:tr>
      <w:tr>
        <w:trPr/>
        <w:tc>
          <w:tcPr>
            <w:tcW w:w="3590" w:type="dxa"/>
            <w:tcBorders/>
            <w:shd w:fill="CCEEFF" w:val="clear"/>
            <w:vAlign w:val="center"/>
          </w:tcPr>
          <w:p>
            <w:pPr>
              <w:pStyle w:val="TableContents"/>
              <w:bidi w:val="0"/>
              <w:spacing w:before="0" w:after="283"/>
              <w:jc w:val="right"/>
              <w:rPr/>
            </w:pPr>
            <w:r>
              <w:rPr/>
              <w:t>Present Value of Lease Payments</w:t>
            </w:r>
          </w:p>
        </w:tc>
        <w:tc>
          <w:tcPr>
            <w:tcW w:w="60" w:type="dxa"/>
            <w:tcBorders/>
            <w:shd w:fill="CCEEFF" w:val="clear"/>
            <w:vAlign w:val="center"/>
          </w:tcPr>
          <w:p>
            <w:pPr>
              <w:pStyle w:val="TableContents"/>
              <w:bidi w:val="0"/>
              <w:spacing w:before="0" w:after="283"/>
              <w:jc w:val="left"/>
              <w:rPr/>
            </w:pPr>
            <w:r>
              <w:rPr/>
              <w:t> </w:t>
            </w:r>
          </w:p>
        </w:tc>
        <w:tc>
          <w:tcPr>
            <w:tcW w:w="510" w:type="dxa"/>
            <w:tcBorders/>
            <w:shd w:fill="CCEEFF" w:val="clear"/>
            <w:vAlign w:val="center"/>
          </w:tcPr>
          <w:p>
            <w:pPr>
              <w:pStyle w:val="TableContents"/>
              <w:bidi w:val="0"/>
              <w:spacing w:before="0" w:after="283"/>
              <w:jc w:val="left"/>
              <w:rPr/>
            </w:pPr>
            <w:r>
              <w:rPr/>
              <w:t> </w:t>
            </w:r>
          </w:p>
        </w:tc>
        <w:tc>
          <w:tcPr>
            <w:tcW w:w="1444" w:type="dxa"/>
            <w:tcBorders/>
            <w:shd w:fill="CCEEFF" w:val="clear"/>
            <w:vAlign w:val="center"/>
          </w:tcPr>
          <w:p>
            <w:pPr>
              <w:pStyle w:val="TableContents"/>
              <w:bidi w:val="0"/>
              <w:spacing w:before="0" w:after="283"/>
              <w:jc w:val="right"/>
              <w:rPr/>
            </w:pPr>
            <w:r>
              <w:rPr/>
              <w:t>3.7</w:t>
            </w:r>
          </w:p>
        </w:tc>
        <w:tc>
          <w:tcPr>
            <w:tcW w:w="110" w:type="dxa"/>
            <w:tcBorders/>
            <w:shd w:fill="CCEEFF" w:val="clear"/>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283"/>
              <w:jc w:val="right"/>
              <w:rPr/>
            </w:pPr>
            <w:r>
              <w:rPr/>
              <w:t>Less Current Portion*</w:t>
            </w:r>
          </w:p>
        </w:tc>
        <w:tc>
          <w:tcPr>
            <w:tcW w:w="60" w:type="dxa"/>
            <w:tcBorders/>
            <w:vAlign w:val="center"/>
          </w:tcPr>
          <w:p>
            <w:pPr>
              <w:pStyle w:val="TableContents"/>
              <w:bidi w:val="0"/>
              <w:spacing w:before="0" w:after="283"/>
              <w:jc w:val="left"/>
              <w:rPr/>
            </w:pPr>
            <w:r>
              <w:rPr/>
              <w:t> </w:t>
            </w:r>
          </w:p>
        </w:tc>
        <w:tc>
          <w:tcPr>
            <w:tcW w:w="510" w:type="dxa"/>
            <w:tcBorders>
              <w:bottom w:val="single" w:sz="8" w:space="0" w:color="000000"/>
            </w:tcBorders>
            <w:tcMar>
              <w:bottom w:w="28" w:type="dxa"/>
            </w:tcMar>
            <w:vAlign w:val="center"/>
          </w:tcPr>
          <w:p>
            <w:pPr>
              <w:pStyle w:val="TableContents"/>
              <w:bidi w:val="0"/>
              <w:spacing w:before="0" w:after="283"/>
              <w:jc w:val="left"/>
              <w:rPr/>
            </w:pPr>
            <w:r>
              <w:rPr/>
              <w:t> </w:t>
            </w:r>
          </w:p>
        </w:tc>
        <w:tc>
          <w:tcPr>
            <w:tcW w:w="1444" w:type="dxa"/>
            <w:tcBorders>
              <w:bottom w:val="single" w:sz="8" w:space="0" w:color="000000"/>
            </w:tcBorders>
            <w:tcMar>
              <w:bottom w:w="28" w:type="dxa"/>
            </w:tcMar>
            <w:vAlign w:val="center"/>
          </w:tcPr>
          <w:p>
            <w:pPr>
              <w:pStyle w:val="TableContents"/>
              <w:bidi w:val="0"/>
              <w:spacing w:before="0" w:after="283"/>
              <w:jc w:val="right"/>
              <w:rPr/>
            </w:pPr>
            <w:r>
              <w:rPr/>
              <w:t>(0.6</w:t>
            </w:r>
          </w:p>
        </w:tc>
        <w:tc>
          <w:tcPr>
            <w:tcW w:w="110" w:type="dxa"/>
            <w:tcBorders/>
            <w:vAlign w:val="center"/>
          </w:tcPr>
          <w:p>
            <w:pPr>
              <w:pStyle w:val="TableContents"/>
              <w:bidi w:val="0"/>
              <w:spacing w:before="0" w:after="283"/>
              <w:jc w:val="left"/>
              <w:rPr/>
            </w:pPr>
            <w:r>
              <w:rPr/>
              <w:t>)</w:t>
            </w:r>
          </w:p>
        </w:tc>
      </w:tr>
      <w:tr>
        <w:trPr/>
        <w:tc>
          <w:tcPr>
            <w:tcW w:w="3590" w:type="dxa"/>
            <w:tcBorders/>
            <w:shd w:fill="CCEEFF" w:val="clear"/>
            <w:vAlign w:val="center"/>
          </w:tcPr>
          <w:p>
            <w:pPr>
              <w:pStyle w:val="TableContents"/>
              <w:bidi w:val="0"/>
              <w:spacing w:before="0" w:after="283"/>
              <w:jc w:val="right"/>
              <w:rPr/>
            </w:pPr>
            <w:r>
              <w:rPr/>
              <w:t>Non-Current Lease Liability</w:t>
            </w:r>
          </w:p>
        </w:tc>
        <w:tc>
          <w:tcPr>
            <w:tcW w:w="60" w:type="dxa"/>
            <w:tcBorders/>
            <w:shd w:fill="CCEEFF" w:val="clear"/>
            <w:vAlign w:val="center"/>
          </w:tcPr>
          <w:p>
            <w:pPr>
              <w:pStyle w:val="TableContents"/>
              <w:bidi w:val="0"/>
              <w:spacing w:before="0" w:after="283"/>
              <w:jc w:val="left"/>
              <w:rPr/>
            </w:pPr>
            <w:r>
              <w:rPr/>
              <w:t> </w:t>
            </w:r>
          </w:p>
        </w:tc>
        <w:tc>
          <w:tcPr>
            <w:tcW w:w="51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444" w:type="dxa"/>
            <w:tcBorders>
              <w:bottom w:val="single" w:sz="8" w:space="0" w:color="000000"/>
            </w:tcBorders>
            <w:shd w:fill="CCEEFF" w:val="clear"/>
            <w:tcMar>
              <w:bottom w:w="28" w:type="dxa"/>
            </w:tcMar>
            <w:vAlign w:val="center"/>
          </w:tcPr>
          <w:p>
            <w:pPr>
              <w:pStyle w:val="TableContents"/>
              <w:bidi w:val="0"/>
              <w:spacing w:before="0" w:after="283"/>
              <w:jc w:val="right"/>
              <w:rPr/>
            </w:pPr>
            <w:r>
              <w:rPr/>
              <w:t>3.1</w:t>
            </w:r>
          </w:p>
        </w:tc>
        <w:tc>
          <w:tcPr>
            <w:tcW w:w="110" w:type="dxa"/>
            <w:tcBorders/>
            <w:shd w:fill="CCEEFF" w:val="clear"/>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0" w:type="dxa"/>
            <w:tcBorders/>
            <w:vAlign w:val="center"/>
          </w:tcPr>
          <w:p>
            <w:pPr>
              <w:pStyle w:val="TableContents"/>
              <w:bidi w:val="0"/>
              <w:spacing w:before="0" w:after="283"/>
              <w:jc w:val="left"/>
              <w:rPr/>
            </w:pPr>
            <w:r>
              <w:rPr/>
              <w:t> </w:t>
            </w:r>
          </w:p>
        </w:tc>
        <w:tc>
          <w:tcPr>
            <w:tcW w:w="1444"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283"/>
              <w:jc w:val="right"/>
              <w:rPr/>
            </w:pPr>
            <w:r>
              <w:rPr/>
              <w:t>*Included in Other Current Liabilities</w:t>
            </w:r>
          </w:p>
        </w:tc>
        <w:tc>
          <w:tcPr>
            <w:tcW w:w="2124" w:type="dxa"/>
            <w:gridSpan w:val="4"/>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Construction</w:t>
      </w:r>
      <w:r>
        <w:rPr>
          <w:rFonts w:ascii="Times New Roman;Times;Serif" w:hAnsi="Times New Roman;Times;Serif"/>
          <w:b w:val="false"/>
          <w:i w:val="false"/>
          <w:caps w:val="false"/>
          <w:smallCaps w:val="false"/>
          <w:sz w:val="20"/>
        </w:rPr>
        <w:t xml:space="preserve"> –The Company has projected to spend approximately $75 million in 2024, $81 million in 2025 and $70 million in 2026 on its construction program. As of December 31, 2023, the Company has entered into several contractual construction agreements that in total obligate it to expend an estimated $6.7 million in the future. The actual amount and timing of capital expenditures is dependent on the need for replacement of existing infrastructure, customer growth, residential new home construction and sales, project scheduling, supply chain issues and continued refinement of project scope and costs. There is no assurance that projected customer growth and residential new home construction and sales will occur.</w:t>
      </w:r>
    </w:p>
    <w:p>
      <w:pPr>
        <w:pStyle w:val="TextBody"/>
        <w:bidi w:val="0"/>
        <w:spacing w:before="0" w:after="0"/>
        <w:ind w:left="0" w:right="0" w:firstLine="1125"/>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Contingencies</w:t>
      </w:r>
      <w:r>
        <w:rPr>
          <w:rFonts w:ascii="Times New Roman;Times;Serif" w:hAnsi="Times New Roman;Times;Serif"/>
          <w:b w:val="false"/>
          <w:i w:val="false"/>
          <w:caps w:val="false"/>
          <w:smallCaps w:val="false"/>
          <w:sz w:val="20"/>
        </w:rPr>
        <w:t xml:space="preserve"> – Based on our operations in the heavily-regulated water and wastewater industries, the Company is routinely involved in disputes, claims, lawsuits and other regulatory and legal matters, including responsibility for fines and penalties relative to regulatory compliance. At this time, Management does not believe the final resolution of any such matters, whether asserted or unasserted, will have a material adverse effect on the Company’s financial position, results of operations or cash flows. In addition, the Company maintains business insurance coverage that may mitigate the effect of any current or future loss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PFOA Matter - </w:t>
      </w:r>
      <w:r>
        <w:rPr>
          <w:rFonts w:ascii="Times New Roman;Times;Serif" w:hAnsi="Times New Roman;Times;Serif"/>
          <w:b w:val="false"/>
          <w:i w:val="false"/>
          <w:caps w:val="false"/>
          <w:smallCaps w:val="false"/>
          <w:sz w:val="20"/>
        </w:rPr>
        <w:t xml:space="preserve">In November 2021, the Company was served with two PFOA-related class action lawsuits seeking restitution for medical, water replacement and other related costs and economic damages. Middlesex and 3M agreed to enter into a joint mediation on these lawsuits (for further discussion of this matter, see </w:t>
      </w:r>
      <w:r>
        <w:rPr>
          <w:rFonts w:ascii="Times New Roman;Times;Serif" w:hAnsi="Times New Roman;Times;Serif"/>
          <w:b w:val="false"/>
          <w:i/>
          <w:caps w:val="false"/>
          <w:smallCaps w:val="false"/>
          <w:sz w:val="20"/>
        </w:rPr>
        <w:t>Note 1(s) Regulatory Notice of Non-Compliance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59 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Change in Control Agreements</w:t>
      </w:r>
      <w:r>
        <w:rPr>
          <w:rFonts w:ascii="Times New Roman;Times;Serif" w:hAnsi="Times New Roman;Times;Serif"/>
          <w:b w:val="false"/>
          <w:i w:val="false"/>
          <w:caps w:val="false"/>
          <w:smallCaps w:val="false"/>
          <w:sz w:val="20"/>
        </w:rPr>
        <w:t xml:space="preserve"> – The Company has Change in Control Agreements with its executive officers that provide compensation and benefits in the event of termination of employment in connection with a change in control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 – Short-term Borrowings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regarding the Company’s short-term borrowings for the years ended December 31, 2023 and 2022 is summarized below:</w:t>
      </w:r>
    </w:p>
    <w:p>
      <w:pPr>
        <w:pStyle w:val="TextBody"/>
        <w:bidi w:val="0"/>
        <w:spacing w:before="0" w:after="0"/>
        <w:ind w:left="0" w:right="0" w:hanging="0"/>
        <w:jc w:val="left"/>
        <w:rPr>
          <w:caps w:val="false"/>
          <w:smallCaps w:val="false"/>
        </w:rPr>
      </w:pPr>
      <w:r>
        <w:rPr>
          <w:caps w:val="false"/>
          <w:smallCaps w:val="false"/>
        </w:rPr>
        <w:t> </w:t>
      </w:r>
    </w:p>
    <w:tbl>
      <w:tblPr>
        <w:tblW w:w="6085" w:type="dxa"/>
        <w:jc w:val="left"/>
        <w:tblInd w:w="0" w:type="dxa"/>
        <w:tblLayout w:type="fixed"/>
        <w:tblCellMar>
          <w:top w:w="0" w:type="dxa"/>
          <w:left w:w="0" w:type="dxa"/>
          <w:bottom w:w="0" w:type="dxa"/>
          <w:right w:w="0" w:type="dxa"/>
        </w:tblCellMar>
      </w:tblPr>
      <w:tblGrid>
        <w:gridCol w:w="4280"/>
        <w:gridCol w:w="60"/>
        <w:gridCol w:w="140"/>
        <w:gridCol w:w="635"/>
        <w:gridCol w:w="60"/>
        <w:gridCol w:w="60"/>
        <w:gridCol w:w="140"/>
        <w:gridCol w:w="635"/>
        <w:gridCol w:w="75"/>
      </w:tblGrid>
      <w:tr>
        <w:trPr/>
        <w:tc>
          <w:tcPr>
            <w:tcW w:w="42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45" w:type="dxa"/>
            <w:gridSpan w:val="7"/>
            <w:tcBorders/>
            <w:vAlign w:val="center"/>
          </w:tcPr>
          <w:p>
            <w:pPr>
              <w:pStyle w:val="TableContents"/>
              <w:bidi w:val="0"/>
              <w:spacing w:before="0" w:after="283"/>
              <w:jc w:val="center"/>
              <w:rPr>
                <w:b/>
              </w:rPr>
            </w:pPr>
            <w:r>
              <w:rPr>
                <w:b/>
              </w:rPr>
              <w:t>(In Millions)</w:t>
            </w:r>
          </w:p>
        </w:tc>
      </w:tr>
      <w:tr>
        <w:trPr/>
        <w:tc>
          <w:tcPr>
            <w:tcW w:w="4280" w:type="dxa"/>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35"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5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2022</w:t>
            </w:r>
          </w:p>
        </w:tc>
      </w:tr>
      <w:tr>
        <w:trPr/>
        <w:tc>
          <w:tcPr>
            <w:tcW w:w="4280" w:type="dxa"/>
            <w:tcBorders/>
            <w:shd w:fill="CCEEFF" w:val="clear"/>
            <w:vAlign w:val="center"/>
          </w:tcPr>
          <w:p>
            <w:pPr>
              <w:pStyle w:val="TableContents"/>
              <w:bidi w:val="0"/>
              <w:spacing w:before="0" w:after="283"/>
              <w:jc w:val="left"/>
              <w:rPr/>
            </w:pPr>
            <w:r>
              <w:rPr/>
              <w:t>Average Amount Outstanding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35.7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28.9</w:t>
            </w:r>
          </w:p>
        </w:tc>
        <w:tc>
          <w:tcPr>
            <w:tcW w:w="75" w:type="dxa"/>
            <w:tcBorders/>
            <w:shd w:fill="CCEEFF" w:val="clear"/>
            <w:vAlign w:val="center"/>
          </w:tcPr>
          <w:p>
            <w:pPr>
              <w:pStyle w:val="TableContents"/>
              <w:bidi w:val="0"/>
              <w:spacing w:before="0" w:after="283"/>
              <w:jc w:val="left"/>
              <w:rPr/>
            </w:pPr>
            <w:r>
              <w:rPr/>
              <w:t> </w:t>
            </w:r>
          </w:p>
        </w:tc>
      </w:tr>
      <w:tr>
        <w:trPr/>
        <w:tc>
          <w:tcPr>
            <w:tcW w:w="4280" w:type="dxa"/>
            <w:tcBorders/>
            <w:vAlign w:val="center"/>
          </w:tcPr>
          <w:p>
            <w:pPr>
              <w:pStyle w:val="TableContents"/>
              <w:bidi w:val="0"/>
              <w:spacing w:before="0" w:after="283"/>
              <w:jc w:val="left"/>
              <w:rPr/>
            </w:pPr>
            <w:r>
              <w:rPr/>
              <w:t>Weighted Average Interest Rate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6.13%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3.34%</w:t>
            </w:r>
          </w:p>
        </w:tc>
        <w:tc>
          <w:tcPr>
            <w:tcW w:w="75" w:type="dxa"/>
            <w:tcBorders/>
            <w:vAlign w:val="center"/>
          </w:tcPr>
          <w:p>
            <w:pPr>
              <w:pStyle w:val="TableContents"/>
              <w:bidi w:val="0"/>
              <w:spacing w:before="0" w:after="283"/>
              <w:jc w:val="left"/>
              <w:rPr/>
            </w:pPr>
            <w:r>
              <w:rPr/>
              <w:t> </w:t>
            </w:r>
          </w:p>
        </w:tc>
      </w:tr>
      <w:tr>
        <w:trPr/>
        <w:tc>
          <w:tcPr>
            <w:tcW w:w="4280" w:type="dxa"/>
            <w:tcBorders/>
            <w:shd w:fill="CCEEFF" w:val="clear"/>
            <w:vAlign w:val="center"/>
          </w:tcPr>
          <w:p>
            <w:pPr>
              <w:pStyle w:val="TableContents"/>
              <w:bidi w:val="0"/>
              <w:spacing w:before="0" w:after="283"/>
              <w:jc w:val="left"/>
              <w:rPr/>
            </w:pPr>
            <w:r>
              <w:rPr/>
              <w:t>Notes Payable at Year-End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42.8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55.5</w:t>
            </w:r>
          </w:p>
        </w:tc>
        <w:tc>
          <w:tcPr>
            <w:tcW w:w="75" w:type="dxa"/>
            <w:tcBorders/>
            <w:shd w:fill="CCEEFF" w:val="clear"/>
            <w:vAlign w:val="center"/>
          </w:tcPr>
          <w:p>
            <w:pPr>
              <w:pStyle w:val="TableContents"/>
              <w:bidi w:val="0"/>
              <w:spacing w:before="0" w:after="283"/>
              <w:jc w:val="left"/>
              <w:rPr/>
            </w:pPr>
            <w:r>
              <w:rPr/>
              <w:t> </w:t>
            </w:r>
          </w:p>
        </w:tc>
      </w:tr>
      <w:tr>
        <w:trPr/>
        <w:tc>
          <w:tcPr>
            <w:tcW w:w="4280" w:type="dxa"/>
            <w:tcBorders/>
            <w:vAlign w:val="center"/>
          </w:tcPr>
          <w:p>
            <w:pPr>
              <w:pStyle w:val="TableContents"/>
              <w:bidi w:val="0"/>
              <w:spacing w:before="0" w:after="283"/>
              <w:jc w:val="left"/>
              <w:rPr/>
            </w:pPr>
            <w:r>
              <w:rPr/>
              <w:t>Weighted Average Interest Rate at Year-End</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6.50%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5.17%</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bank lines of credit aggregating $140.0 million.</w:t>
      </w:r>
    </w:p>
    <w:p>
      <w:pPr>
        <w:pStyle w:val="TextBody"/>
        <w:bidi w:val="0"/>
        <w:spacing w:before="0" w:after="0"/>
        <w:ind w:left="0" w:right="0" w:hanging="0"/>
        <w:jc w:val="both"/>
        <w:rPr>
          <w:caps w:val="false"/>
          <w:smallCaps w:val="false"/>
        </w:rPr>
      </w:pPr>
      <w:r>
        <w:rPr>
          <w:caps w:val="false"/>
          <w:smallCaps w:val="false"/>
        </w:rPr>
        <w:t> </w:t>
      </w:r>
    </w:p>
    <w:tbl>
      <w:tblPr>
        <w:tblW w:w="9155" w:type="dxa"/>
        <w:jc w:val="left"/>
        <w:tblInd w:w="0" w:type="dxa"/>
        <w:tblLayout w:type="fixed"/>
        <w:tblCellMar>
          <w:top w:w="0" w:type="dxa"/>
          <w:left w:w="0" w:type="dxa"/>
          <w:bottom w:w="0" w:type="dxa"/>
          <w:right w:w="0" w:type="dxa"/>
        </w:tblCellMar>
      </w:tblPr>
      <w:tblGrid>
        <w:gridCol w:w="2465"/>
        <w:gridCol w:w="60"/>
        <w:gridCol w:w="280"/>
        <w:gridCol w:w="880"/>
        <w:gridCol w:w="120"/>
        <w:gridCol w:w="70"/>
        <w:gridCol w:w="214"/>
        <w:gridCol w:w="673"/>
        <w:gridCol w:w="93"/>
        <w:gridCol w:w="70"/>
        <w:gridCol w:w="197"/>
        <w:gridCol w:w="788"/>
        <w:gridCol w:w="85"/>
        <w:gridCol w:w="60"/>
        <w:gridCol w:w="1370"/>
        <w:gridCol w:w="60"/>
        <w:gridCol w:w="1670"/>
      </w:tblGrid>
      <w:tr>
        <w:trPr/>
        <w:tc>
          <w:tcPr>
            <w:tcW w:w="24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470" w:type="dxa"/>
            <w:gridSpan w:val="11"/>
            <w:tcBorders/>
            <w:vAlign w:val="center"/>
          </w:tcPr>
          <w:p>
            <w:pPr>
              <w:pStyle w:val="TableContents"/>
              <w:bidi w:val="0"/>
              <w:spacing w:before="0" w:after="283"/>
              <w:jc w:val="center"/>
              <w:rPr>
                <w:b/>
              </w:rPr>
            </w:pPr>
            <w:r>
              <w:rPr>
                <w:b/>
              </w:rPr>
              <w:t>(In Millions)</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center"/>
              <w:rPr/>
            </w:pPr>
            <w:r>
              <w:rPr/>
              <w:t> </w:t>
            </w:r>
          </w:p>
        </w:tc>
      </w:tr>
      <w:tr>
        <w:trPr/>
        <w:tc>
          <w:tcPr>
            <w:tcW w:w="24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470" w:type="dxa"/>
            <w:gridSpan w:val="11"/>
            <w:tcBorders/>
            <w:vAlign w:val="center"/>
          </w:tcPr>
          <w:p>
            <w:pPr>
              <w:pStyle w:val="TableContents"/>
              <w:bidi w:val="0"/>
              <w:spacing w:before="0" w:after="283"/>
              <w:jc w:val="center"/>
              <w:rPr>
                <w:b/>
              </w:rPr>
            </w:pPr>
            <w:r>
              <w:rPr>
                <w:b/>
              </w:rPr>
              <w:t>As of December 31, 2023</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center"/>
              <w:rPr>
                <w:b/>
              </w:rPr>
            </w:pPr>
            <w:r>
              <w:rPr>
                <w:b/>
              </w:rPr>
              <w:t>Line of Credit</w:t>
            </w:r>
          </w:p>
        </w:tc>
      </w:tr>
      <w:tr>
        <w:trPr/>
        <w:tc>
          <w:tcPr>
            <w:tcW w:w="2465" w:type="dxa"/>
            <w:tcBorders/>
            <w:vAlign w:val="center"/>
          </w:tcPr>
          <w:p>
            <w:pPr>
              <w:pStyle w:val="TableContents"/>
              <w:bidi w:val="0"/>
              <w:spacing w:before="0" w:after="283"/>
              <w:jc w:val="center"/>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8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Outstanding</w:t>
            </w:r>
          </w:p>
        </w:tc>
        <w:tc>
          <w:tcPr>
            <w:tcW w:w="70" w:type="dxa"/>
            <w:tcBorders>
              <w:bottom w:val="single" w:sz="8" w:space="0" w:color="000000"/>
            </w:tcBorders>
            <w:tcMar>
              <w:bottom w:w="28" w:type="dxa"/>
            </w:tcMar>
            <w:vAlign w:val="center"/>
          </w:tcPr>
          <w:p>
            <w:pPr>
              <w:pStyle w:val="TableContents"/>
              <w:bidi w:val="0"/>
              <w:spacing w:before="0" w:after="283"/>
              <w:jc w:val="left"/>
              <w:rPr/>
            </w:pPr>
            <w:r>
              <w:rPr/>
              <w:t> </w:t>
            </w:r>
          </w:p>
        </w:tc>
        <w:tc>
          <w:tcPr>
            <w:tcW w:w="98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Available</w:t>
            </w:r>
          </w:p>
        </w:tc>
        <w:tc>
          <w:tcPr>
            <w:tcW w:w="70" w:type="dxa"/>
            <w:tcBorders>
              <w:bottom w:val="single" w:sz="8" w:space="0" w:color="000000"/>
            </w:tcBorders>
            <w:tcMar>
              <w:bottom w:w="28" w:type="dxa"/>
            </w:tcMar>
            <w:vAlign w:val="center"/>
          </w:tcPr>
          <w:p>
            <w:pPr>
              <w:pStyle w:val="TableContents"/>
              <w:bidi w:val="0"/>
              <w:spacing w:before="0" w:after="283"/>
              <w:jc w:val="left"/>
              <w:rPr/>
            </w:pPr>
            <w:r>
              <w:rPr/>
              <w:t> </w:t>
            </w:r>
          </w:p>
        </w:tc>
        <w:tc>
          <w:tcPr>
            <w:tcW w:w="107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Maximum</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370" w:type="dxa"/>
            <w:tcBorders>
              <w:bottom w:val="single" w:sz="8" w:space="0" w:color="000000"/>
            </w:tcBorders>
            <w:tcMar>
              <w:bottom w:w="28" w:type="dxa"/>
            </w:tcMar>
            <w:vAlign w:val="center"/>
          </w:tcPr>
          <w:p>
            <w:pPr>
              <w:pStyle w:val="TableContents"/>
              <w:bidi w:val="0"/>
              <w:spacing w:before="0" w:after="283"/>
              <w:jc w:val="center"/>
              <w:rPr>
                <w:b/>
              </w:rPr>
            </w:pPr>
            <w:r>
              <w:rPr>
                <w:b/>
              </w:rPr>
              <w:t>Credit Type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670" w:type="dxa"/>
            <w:tcBorders>
              <w:bottom w:val="single" w:sz="8" w:space="0" w:color="000000"/>
            </w:tcBorders>
            <w:tcMar>
              <w:bottom w:w="28" w:type="dxa"/>
            </w:tcMar>
            <w:vAlign w:val="center"/>
          </w:tcPr>
          <w:p>
            <w:pPr>
              <w:pStyle w:val="TableContents"/>
              <w:bidi w:val="0"/>
              <w:spacing w:before="0" w:after="283"/>
              <w:jc w:val="center"/>
              <w:rPr>
                <w:b/>
              </w:rPr>
            </w:pPr>
            <w:r>
              <w:rPr>
                <w:b/>
              </w:rPr>
              <w:t>Renewal Date</w:t>
            </w:r>
          </w:p>
        </w:tc>
      </w:tr>
      <w:tr>
        <w:trPr/>
        <w:tc>
          <w:tcPr>
            <w:tcW w:w="2465" w:type="dxa"/>
            <w:tcBorders/>
            <w:shd w:fill="CCEEFF" w:val="clear"/>
            <w:vAlign w:val="center"/>
          </w:tcPr>
          <w:p>
            <w:pPr>
              <w:pStyle w:val="TableContents"/>
              <w:bidi w:val="0"/>
              <w:spacing w:before="0" w:after="283"/>
              <w:jc w:val="left"/>
              <w:rPr/>
            </w:pPr>
            <w:r>
              <w:rPr/>
              <w:t>Bank of America</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w:t>
            </w:r>
          </w:p>
        </w:tc>
        <w:tc>
          <w:tcPr>
            <w:tcW w:w="880" w:type="dxa"/>
            <w:tcBorders/>
            <w:shd w:fill="CCEEFF" w:val="clear"/>
            <w:vAlign w:val="center"/>
          </w:tcPr>
          <w:p>
            <w:pPr>
              <w:pStyle w:val="TableContents"/>
              <w:bidi w:val="0"/>
              <w:spacing w:before="0" w:after="0"/>
              <w:jc w:val="right"/>
              <w:rPr/>
            </w:pPr>
            <w:r>
              <w:rPr/>
              <w:t>—</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673" w:type="dxa"/>
            <w:tcBorders/>
            <w:shd w:fill="CCEEFF" w:val="clear"/>
            <w:vAlign w:val="center"/>
          </w:tcPr>
          <w:p>
            <w:pPr>
              <w:pStyle w:val="TableContents"/>
              <w:bidi w:val="0"/>
              <w:spacing w:before="0" w:after="283"/>
              <w:jc w:val="right"/>
              <w:rPr/>
            </w:pPr>
            <w:r>
              <w:rPr/>
              <w:t>60.0</w:t>
            </w:r>
          </w:p>
        </w:tc>
        <w:tc>
          <w:tcPr>
            <w:tcW w:w="93"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w:t>
            </w:r>
          </w:p>
        </w:tc>
        <w:tc>
          <w:tcPr>
            <w:tcW w:w="788" w:type="dxa"/>
            <w:tcBorders/>
            <w:shd w:fill="CCEEFF" w:val="clear"/>
            <w:vAlign w:val="center"/>
          </w:tcPr>
          <w:p>
            <w:pPr>
              <w:pStyle w:val="TableContents"/>
              <w:bidi w:val="0"/>
              <w:spacing w:before="0" w:after="283"/>
              <w:jc w:val="right"/>
              <w:rPr/>
            </w:pPr>
            <w:r>
              <w:rPr/>
              <w:t>60.0</w:t>
            </w:r>
          </w:p>
        </w:tc>
        <w:tc>
          <w:tcPr>
            <w:tcW w:w="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left"/>
              <w:rPr/>
            </w:pPr>
            <w:r>
              <w:rPr/>
              <w:t> </w:t>
            </w:r>
            <w:r>
              <w:rPr/>
              <w:t>Uncommitted</w:t>
            </w:r>
          </w:p>
        </w:tc>
        <w:tc>
          <w:tcPr>
            <w:tcW w:w="60" w:type="dxa"/>
            <w:tcBorders/>
            <w:shd w:fill="CCEEFF" w:val="clear"/>
            <w:vAlign w:val="center"/>
          </w:tcPr>
          <w:p>
            <w:pPr>
              <w:pStyle w:val="TableContents"/>
              <w:bidi w:val="0"/>
              <w:spacing w:before="0" w:after="283"/>
              <w:jc w:val="left"/>
              <w:rPr/>
            </w:pPr>
            <w:r>
              <w:rPr/>
              <w:t> </w:t>
            </w:r>
          </w:p>
        </w:tc>
        <w:tc>
          <w:tcPr>
            <w:tcW w:w="1670" w:type="dxa"/>
            <w:tcBorders/>
            <w:shd w:fill="CCEEFF" w:val="clear"/>
            <w:vAlign w:val="center"/>
          </w:tcPr>
          <w:p>
            <w:pPr>
              <w:pStyle w:val="TableContents"/>
              <w:bidi w:val="0"/>
              <w:spacing w:before="0" w:after="283"/>
              <w:jc w:val="left"/>
              <w:rPr/>
            </w:pPr>
            <w:r>
              <w:rPr/>
              <w:t>January 24, 2025</w:t>
            </w:r>
          </w:p>
        </w:tc>
      </w:tr>
      <w:tr>
        <w:trPr/>
        <w:tc>
          <w:tcPr>
            <w:tcW w:w="2465" w:type="dxa"/>
            <w:tcBorders/>
            <w:vAlign w:val="center"/>
          </w:tcPr>
          <w:p>
            <w:pPr>
              <w:pStyle w:val="TableContents"/>
              <w:bidi w:val="0"/>
              <w:spacing w:before="0" w:after="283"/>
              <w:jc w:val="left"/>
              <w:rPr/>
            </w:pPr>
            <w:r>
              <w:rPr/>
              <w:t>PNC Bank</w:t>
            </w:r>
          </w:p>
        </w:tc>
        <w:tc>
          <w:tcPr>
            <w:tcW w:w="60"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left"/>
              <w:rPr/>
            </w:pPr>
            <w:r>
              <w:rPr/>
              <w:t> </w:t>
            </w:r>
          </w:p>
        </w:tc>
        <w:tc>
          <w:tcPr>
            <w:tcW w:w="880" w:type="dxa"/>
            <w:tcBorders/>
            <w:vAlign w:val="center"/>
          </w:tcPr>
          <w:p>
            <w:pPr>
              <w:pStyle w:val="TableContents"/>
              <w:bidi w:val="0"/>
              <w:spacing w:before="0" w:after="283"/>
              <w:jc w:val="right"/>
              <w:rPr/>
            </w:pPr>
            <w:r>
              <w:rPr/>
              <w:t>39.8</w:t>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673" w:type="dxa"/>
            <w:tcBorders/>
            <w:vAlign w:val="center"/>
          </w:tcPr>
          <w:p>
            <w:pPr>
              <w:pStyle w:val="TableContents"/>
              <w:bidi w:val="0"/>
              <w:spacing w:before="0" w:after="283"/>
              <w:jc w:val="right"/>
              <w:rPr/>
            </w:pPr>
            <w:r>
              <w:rPr/>
              <w:t>28.2</w:t>
            </w:r>
          </w:p>
        </w:tc>
        <w:tc>
          <w:tcPr>
            <w:tcW w:w="93"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788" w:type="dxa"/>
            <w:tcBorders/>
            <w:vAlign w:val="center"/>
          </w:tcPr>
          <w:p>
            <w:pPr>
              <w:pStyle w:val="TableContents"/>
              <w:bidi w:val="0"/>
              <w:spacing w:before="0" w:after="283"/>
              <w:jc w:val="right"/>
              <w:rPr/>
            </w:pPr>
            <w:r>
              <w:rPr/>
              <w:t>68.0</w:t>
            </w:r>
          </w:p>
        </w:tc>
        <w:tc>
          <w:tcPr>
            <w:tcW w:w="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left"/>
              <w:rPr/>
            </w:pPr>
            <w:r>
              <w:rPr/>
              <w:t> </w:t>
            </w:r>
            <w:r>
              <w:rPr/>
              <w:t>Committed</w:t>
            </w:r>
          </w:p>
        </w:tc>
        <w:tc>
          <w:tcPr>
            <w:tcW w:w="6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pPr>
            <w:r>
              <w:rPr/>
              <w:t>January 31, 2026</w:t>
            </w:r>
          </w:p>
        </w:tc>
      </w:tr>
      <w:tr>
        <w:trPr/>
        <w:tc>
          <w:tcPr>
            <w:tcW w:w="2465" w:type="dxa"/>
            <w:tcBorders/>
            <w:shd w:fill="CCEEFF" w:val="clear"/>
            <w:vAlign w:val="center"/>
          </w:tcPr>
          <w:p>
            <w:pPr>
              <w:pStyle w:val="TableContents"/>
              <w:bidi w:val="0"/>
              <w:spacing w:before="0" w:after="283"/>
              <w:jc w:val="left"/>
              <w:rPr/>
            </w:pPr>
            <w:r>
              <w:rPr/>
              <w:t>CoBank, ACB (CoBank)</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80" w:type="dxa"/>
            <w:tcBorders>
              <w:bottom w:val="single" w:sz="8" w:space="0" w:color="000000"/>
            </w:tcBorders>
            <w:shd w:fill="CCEEFF" w:val="clear"/>
            <w:tcMar>
              <w:bottom w:w="28" w:type="dxa"/>
            </w:tcMar>
            <w:vAlign w:val="center"/>
          </w:tcPr>
          <w:p>
            <w:pPr>
              <w:pStyle w:val="TableContents"/>
              <w:bidi w:val="0"/>
              <w:spacing w:before="0" w:after="283"/>
              <w:jc w:val="right"/>
              <w:rPr/>
            </w:pPr>
            <w:r>
              <w:rPr/>
              <w:t>3.0</w:t>
            </w:r>
          </w:p>
        </w:tc>
        <w:tc>
          <w:tcPr>
            <w:tcW w:w="12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1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73" w:type="dxa"/>
            <w:tcBorders>
              <w:bottom w:val="single" w:sz="8" w:space="0" w:color="000000"/>
            </w:tcBorders>
            <w:shd w:fill="CCEEFF" w:val="clear"/>
            <w:tcMar>
              <w:bottom w:w="28" w:type="dxa"/>
            </w:tcMar>
            <w:vAlign w:val="center"/>
          </w:tcPr>
          <w:p>
            <w:pPr>
              <w:pStyle w:val="TableContents"/>
              <w:bidi w:val="0"/>
              <w:spacing w:before="0" w:after="283"/>
              <w:jc w:val="right"/>
              <w:rPr/>
            </w:pPr>
            <w:r>
              <w:rPr/>
              <w:t>9.0</w:t>
            </w:r>
          </w:p>
        </w:tc>
        <w:tc>
          <w:tcPr>
            <w:tcW w:w="9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9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88" w:type="dxa"/>
            <w:tcBorders>
              <w:bottom w:val="single" w:sz="8" w:space="0" w:color="000000"/>
            </w:tcBorders>
            <w:shd w:fill="CCEEFF" w:val="clear"/>
            <w:tcMar>
              <w:bottom w:w="28" w:type="dxa"/>
            </w:tcMar>
            <w:vAlign w:val="center"/>
          </w:tcPr>
          <w:p>
            <w:pPr>
              <w:pStyle w:val="TableContents"/>
              <w:bidi w:val="0"/>
              <w:spacing w:before="0" w:after="283"/>
              <w:jc w:val="right"/>
              <w:rPr/>
            </w:pPr>
            <w:r>
              <w:rPr/>
              <w:t>12.0</w:t>
            </w:r>
          </w:p>
        </w:tc>
        <w:tc>
          <w:tcPr>
            <w:tcW w:w="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left"/>
              <w:rPr/>
            </w:pPr>
            <w:r>
              <w:rPr/>
              <w:t> </w:t>
            </w:r>
            <w:r>
              <w:rPr/>
              <w:t>Committed</w:t>
            </w:r>
          </w:p>
        </w:tc>
        <w:tc>
          <w:tcPr>
            <w:tcW w:w="60" w:type="dxa"/>
            <w:tcBorders/>
            <w:shd w:fill="CCEEFF" w:val="clear"/>
            <w:vAlign w:val="center"/>
          </w:tcPr>
          <w:p>
            <w:pPr>
              <w:pStyle w:val="TableContents"/>
              <w:bidi w:val="0"/>
              <w:spacing w:before="0" w:after="283"/>
              <w:jc w:val="left"/>
              <w:rPr/>
            </w:pPr>
            <w:r>
              <w:rPr/>
              <w:t> </w:t>
            </w:r>
          </w:p>
        </w:tc>
        <w:tc>
          <w:tcPr>
            <w:tcW w:w="1670" w:type="dxa"/>
            <w:tcBorders/>
            <w:shd w:fill="CCEEFF" w:val="clear"/>
            <w:vAlign w:val="center"/>
          </w:tcPr>
          <w:p>
            <w:pPr>
              <w:pStyle w:val="TableContents"/>
              <w:bidi w:val="0"/>
              <w:spacing w:before="0" w:after="283"/>
              <w:jc w:val="left"/>
              <w:rPr/>
            </w:pPr>
            <w:r>
              <w:rPr/>
              <w:t>May 20, 2026</w:t>
            </w:r>
          </w:p>
        </w:tc>
      </w:tr>
      <w:tr>
        <w:trPr/>
        <w:tc>
          <w:tcPr>
            <w:tcW w:w="2465" w:type="dxa"/>
            <w:tcBorders/>
            <w:vAlign w:val="center"/>
          </w:tcPr>
          <w:p>
            <w:pPr>
              <w:pStyle w:val="TableContents"/>
              <w:bidi w:val="0"/>
              <w:spacing w:before="0" w:after="283"/>
              <w:jc w:val="left"/>
              <w:rPr/>
            </w:pPr>
            <w:r>
              <w:rPr/>
              <w:t> </w:t>
            </w:r>
          </w:p>
        </w:tc>
        <w:tc>
          <w:tcPr>
            <w:tcW w:w="60" w:type="dxa"/>
            <w:tcBorders>
              <w:bottom w:val="double" w:sz="6" w:space="0" w:color="000000"/>
            </w:tcBorders>
            <w:tcMar>
              <w:bottom w:w="28" w:type="dxa"/>
            </w:tcMar>
            <w:vAlign w:val="center"/>
          </w:tcPr>
          <w:p>
            <w:pPr>
              <w:pStyle w:val="TableContents"/>
              <w:bidi w:val="0"/>
              <w:spacing w:before="0" w:after="283"/>
              <w:jc w:val="left"/>
              <w:rPr/>
            </w:pPr>
            <w:r>
              <w:rPr/>
              <w:t> </w:t>
            </w:r>
          </w:p>
        </w:tc>
        <w:tc>
          <w:tcPr>
            <w:tcW w:w="280" w:type="dxa"/>
            <w:tcBorders>
              <w:bottom w:val="double" w:sz="6" w:space="0" w:color="000000"/>
            </w:tcBorders>
            <w:tcMar>
              <w:bottom w:w="28" w:type="dxa"/>
            </w:tcMar>
            <w:vAlign w:val="center"/>
          </w:tcPr>
          <w:p>
            <w:pPr>
              <w:pStyle w:val="TableContents"/>
              <w:bidi w:val="0"/>
              <w:spacing w:before="0" w:after="283"/>
              <w:jc w:val="left"/>
              <w:rPr/>
            </w:pPr>
            <w:r>
              <w:rPr/>
              <w:t>$</w:t>
            </w:r>
          </w:p>
        </w:tc>
        <w:tc>
          <w:tcPr>
            <w:tcW w:w="880" w:type="dxa"/>
            <w:tcBorders>
              <w:bottom w:val="double" w:sz="6" w:space="0" w:color="000000"/>
            </w:tcBorders>
            <w:tcMar>
              <w:bottom w:w="28" w:type="dxa"/>
            </w:tcMar>
            <w:vAlign w:val="center"/>
          </w:tcPr>
          <w:p>
            <w:pPr>
              <w:pStyle w:val="TableContents"/>
              <w:bidi w:val="0"/>
              <w:spacing w:before="0" w:after="283"/>
              <w:jc w:val="right"/>
              <w:rPr/>
            </w:pPr>
            <w:r>
              <w:rPr/>
              <w:t>42.8</w:t>
            </w:r>
          </w:p>
        </w:tc>
        <w:tc>
          <w:tcPr>
            <w:tcW w:w="120" w:type="dxa"/>
            <w:tcBorders>
              <w:bottom w:val="double" w:sz="6" w:space="0" w:color="000000"/>
            </w:tcBorders>
            <w:tcMar>
              <w:bottom w:w="28" w:type="dxa"/>
            </w:tcMar>
            <w:vAlign w:val="center"/>
          </w:tcPr>
          <w:p>
            <w:pPr>
              <w:pStyle w:val="TableContents"/>
              <w:bidi w:val="0"/>
              <w:spacing w:before="0" w:after="283"/>
              <w:jc w:val="left"/>
              <w:rPr/>
            </w:pPr>
            <w:r>
              <w:rPr/>
              <w:t> </w:t>
            </w:r>
          </w:p>
        </w:tc>
        <w:tc>
          <w:tcPr>
            <w:tcW w:w="70" w:type="dxa"/>
            <w:tcBorders>
              <w:bottom w:val="double" w:sz="6" w:space="0" w:color="000000"/>
            </w:tcBorders>
            <w:tcMar>
              <w:bottom w:w="28" w:type="dxa"/>
            </w:tcMar>
            <w:vAlign w:val="center"/>
          </w:tcPr>
          <w:p>
            <w:pPr>
              <w:pStyle w:val="TableContents"/>
              <w:bidi w:val="0"/>
              <w:spacing w:before="0" w:after="283"/>
              <w:jc w:val="left"/>
              <w:rPr/>
            </w:pPr>
            <w:r>
              <w:rPr/>
              <w:t> </w:t>
            </w:r>
          </w:p>
        </w:tc>
        <w:tc>
          <w:tcPr>
            <w:tcW w:w="214" w:type="dxa"/>
            <w:tcBorders>
              <w:bottom w:val="double" w:sz="6" w:space="0" w:color="000000"/>
            </w:tcBorders>
            <w:tcMar>
              <w:bottom w:w="28" w:type="dxa"/>
            </w:tcMar>
            <w:vAlign w:val="center"/>
          </w:tcPr>
          <w:p>
            <w:pPr>
              <w:pStyle w:val="TableContents"/>
              <w:bidi w:val="0"/>
              <w:spacing w:before="0" w:after="283"/>
              <w:jc w:val="left"/>
              <w:rPr/>
            </w:pPr>
            <w:r>
              <w:rPr/>
              <w:t>$</w:t>
            </w:r>
          </w:p>
        </w:tc>
        <w:tc>
          <w:tcPr>
            <w:tcW w:w="673" w:type="dxa"/>
            <w:tcBorders>
              <w:bottom w:val="double" w:sz="6" w:space="0" w:color="000000"/>
            </w:tcBorders>
            <w:tcMar>
              <w:bottom w:w="28" w:type="dxa"/>
            </w:tcMar>
            <w:vAlign w:val="center"/>
          </w:tcPr>
          <w:p>
            <w:pPr>
              <w:pStyle w:val="TableContents"/>
              <w:bidi w:val="0"/>
              <w:spacing w:before="0" w:after="283"/>
              <w:jc w:val="right"/>
              <w:rPr/>
            </w:pPr>
            <w:r>
              <w:rPr/>
              <w:t>97.2</w:t>
            </w:r>
          </w:p>
        </w:tc>
        <w:tc>
          <w:tcPr>
            <w:tcW w:w="93" w:type="dxa"/>
            <w:tcBorders>
              <w:bottom w:val="double" w:sz="6" w:space="0" w:color="000000"/>
            </w:tcBorders>
            <w:tcMar>
              <w:bottom w:w="28" w:type="dxa"/>
            </w:tcMar>
            <w:vAlign w:val="center"/>
          </w:tcPr>
          <w:p>
            <w:pPr>
              <w:pStyle w:val="TableContents"/>
              <w:bidi w:val="0"/>
              <w:spacing w:before="0" w:after="283"/>
              <w:jc w:val="left"/>
              <w:rPr/>
            </w:pPr>
            <w:r>
              <w:rPr/>
              <w:t> </w:t>
            </w:r>
          </w:p>
        </w:tc>
        <w:tc>
          <w:tcPr>
            <w:tcW w:w="70" w:type="dxa"/>
            <w:tcBorders>
              <w:bottom w:val="double" w:sz="6" w:space="0" w:color="000000"/>
            </w:tcBorders>
            <w:tcMar>
              <w:bottom w:w="28" w:type="dxa"/>
            </w:tcMar>
            <w:vAlign w:val="center"/>
          </w:tcPr>
          <w:p>
            <w:pPr>
              <w:pStyle w:val="TableContents"/>
              <w:bidi w:val="0"/>
              <w:spacing w:before="0" w:after="283"/>
              <w:jc w:val="left"/>
              <w:rPr/>
            </w:pPr>
            <w:r>
              <w:rPr/>
              <w:t> </w:t>
            </w:r>
          </w:p>
        </w:tc>
        <w:tc>
          <w:tcPr>
            <w:tcW w:w="197" w:type="dxa"/>
            <w:tcBorders>
              <w:bottom w:val="double" w:sz="6" w:space="0" w:color="000000"/>
            </w:tcBorders>
            <w:tcMar>
              <w:bottom w:w="28" w:type="dxa"/>
            </w:tcMar>
            <w:vAlign w:val="center"/>
          </w:tcPr>
          <w:p>
            <w:pPr>
              <w:pStyle w:val="TableContents"/>
              <w:bidi w:val="0"/>
              <w:spacing w:before="0" w:after="283"/>
              <w:jc w:val="left"/>
              <w:rPr/>
            </w:pPr>
            <w:r>
              <w:rPr/>
              <w:t>$</w:t>
            </w:r>
          </w:p>
        </w:tc>
        <w:tc>
          <w:tcPr>
            <w:tcW w:w="788" w:type="dxa"/>
            <w:tcBorders>
              <w:bottom w:val="double" w:sz="6" w:space="0" w:color="000000"/>
            </w:tcBorders>
            <w:tcMar>
              <w:bottom w:w="28" w:type="dxa"/>
            </w:tcMar>
            <w:vAlign w:val="center"/>
          </w:tcPr>
          <w:p>
            <w:pPr>
              <w:pStyle w:val="TableContents"/>
              <w:bidi w:val="0"/>
              <w:spacing w:before="0" w:after="283"/>
              <w:jc w:val="right"/>
              <w:rPr/>
            </w:pPr>
            <w:r>
              <w:rPr/>
              <w:t>140.0</w:t>
            </w:r>
          </w:p>
        </w:tc>
        <w:tc>
          <w:tcPr>
            <w:tcW w:w="85" w:type="dxa"/>
            <w:tcBorders>
              <w:bottom w:val="double" w:sz="6"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 xml:space="preserve">The maturity dates for the Notes Payable as of December 31, 2023 are extendable at the discretion of the Company. </w:t>
      </w:r>
    </w:p>
    <w:p>
      <w:pPr>
        <w:pStyle w:val="TextBody"/>
        <w:bidi w:val="0"/>
        <w:spacing w:before="0" w:after="0"/>
        <w:ind w:left="0" w:right="0" w:firstLine="817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interest rates are set for borrowings under the Bank of America and PNC Bank lines of credit using the Secured Overnight Financing Rate (SOFR) and then adding a specific financial institution credit spread. The interest rate for borrowings under the CoBank line of credit are set weekly using CoBank’s internal cost of funds index that is similar to the SOFR and adding a credit spread. There is no requirement for a compensating balance under any of the established lines of credit.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6 - Capitalization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the transactions discussed below related to the issuance of securities were approved by either the NJBPU or DEPSC, except where otherwise noted.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issues shares of its common stock in connection with its Middlesex Water Company Investment Plan (the Investment Plan), a direct share purchase and dividend reinvestment plan for the Company’s common stock. The Company raised approximately $12.1 million under the Investment Plan during 2023.    On March 1, 2023, the Company began offering shares of its common stock for purchase at a 3% discount to participants in the Investment Plan. The discount offering ended December 1, 2023.  The discount applied to all common stock purchases made under the Investment Plan during that time period, whether by optional cash payment or by dividend reinvestment. Since the inception of the Investment Plan and its predecessor plan, the Company has periodically replenished the level of authorized shares in the plans. In May 2023, Middlesex received approval from the NJBPU to increase the number of authorized shares under the Investment Plan by 0.7 million shares. Currently, 0.7 million shares remain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60 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registered with the United States Securities and Exchange Commission and available for issuance to participants under the Investment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2023, Middlesex received approval from the NJBPU to issue and sell up to 1.0 million shares of its common stock, without par value, through December 31, 2025. Sales of additional shares of common stock are part of the Company’s comprehensive financing plan to fund its multi-year utility plant infrastructure investment program. As described below in “Long-term Debt”, the NJBPU also approved the debt funding component of the financing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issues common shares under a restricted stock plan for certain management employees, which is described in Note 7 – </w:t>
      </w:r>
      <w:r>
        <w:rPr>
          <w:rFonts w:ascii="Times New Roman;Times;Serif" w:hAnsi="Times New Roman;Times;Serif"/>
          <w:b w:val="false"/>
          <w:i/>
          <w:caps w:val="false"/>
          <w:smallCaps w:val="false"/>
          <w:sz w:val="20"/>
        </w:rPr>
        <w:t>Employee Benefit Plans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a stock plan for its independent Directors as a component of outside members of the Board of Directors compensation. For the years ended December 31, 2023, 2022 and 2021, 4,608, 2,664 and 3,444 shares, respectively, of Middlesex common stock were granted and issued to the Company’s independent Directors under the plan. The maximum number of shares authorized for grant under the plan is 100,000, of which 41,853 shares remain available for future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dividends on the preferred stock are in arrears, no dividends may be declared or paid on the common stock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2023 and 2022, there were 120,000 shares of preferred stock authorized and less than 21,000 shares of preferred stock outstanding. There were no preferred stock dividends in arrears.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not pay any dividends on its common stock unless full cumulative dividends to the preceding dividend date for all outstanding shares of preferred stock have been paid or set aside for payment. If four or more quarterly dividends are in arrears, the preferred shareholders, as a class, are entitled to elect two members to the Board of Directors in addition to Directors elected by holders of the common stock. In addition, if Middlesex were to liquidate, holders of preferred stock would be paid back the stated value of their preferred shares before any distributions could be made to common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feature of the no par $7.00 Series Cumulative and Convertible Preferred Stock allows the security holders to exchange one convertible preferred share for twelve shares of the Company's common stock. In addition, the Company may redeem up to 10% of the outstanding convertible stock in any calendar year at a price equal to the fair value of twelve shares of the Company's common stock for each share of convertible stock redeemed.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Long-term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regulatory approval, the Company periodically issues long-term debt to fund its investments in utility plant. To the extent possible and fiscally prudent, the Company finances qualifying capital projects under State Revolving Fund (SRF) loan programs in New Jersey and Delaware. These government programs provide financing at interest rates typically below rates available in the broader financial markets. A portion of the borrowings under the New Jersey SRF is interest-free.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New Jersey SRF program, borrowers first enter into a construction loan agreement with the New Jersey Infrastructure Bank (NJIB) at a below market interest rate. When construction on the qualifying project is substantially complete, NJIB will coordinate the conversion of the construction loan into a long-term securitized loan with a portion of the principal balance having a stated interest rate of zero percent (0%) and a portion of the principal balance at a market interest rate at the time of closing using the credit rating of the State of New Jersey. As a result of revised project funding priority ranking for the NJIB SRF Program, the Company has no current projects in the NJIB SRF program. However, it is seeking to have Middlesex’s LSLR Project added to the qualified list in order to borrow under the NJIB SRF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61 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SRF program, borrowers 1) enter into a long-term note agreement for a term not to exceed twenty years, 2) submit requisitions for cost reimbursements during the construction period for up to two years after the agreement is executed and 3) as the proceeds are received from the requisitions, borrowers record a corresponding debt obligation amount.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2023, Middlesex received approval from the NJBPU to borrow up to $300.0 million from the New Jersey SRF Program, the New Jersey Economic Development Authority, private placement and other financial institutions as needed through December 31, 2025. The Company may issue debt securities in a series of one or more transaction offerings to help fund Middlesex’s multi-year capital construction program.</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2023, Middlesex closed on a $40.0 million, 5.24% private placement of First Mortgage Bonds (FMBs) with a 2043 maturity date designated as Series 2023A. Proceeds were used to reduce the Company’s outstanding balances under its bank lines of credit.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2022, Middlesex repaid its two outstanding NJIB construction loans by issuing FMBs to the NJIB under two loan agreements. The total amount of FMBs issued is $52.2 million and designated as Series 2022A ($16.2 million) and Series 2022B ($36.0 million). The interest rate on the Series 2022A bond is zero and the interest rate on the Series 2022B bond ranges between 2.7% and 3.0%. The final maturity date for both FMBs is August 1, 2056, with scheduled debt service payments over the life of these loans.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2021, Middlesex closed on a $19.5 million, 2.79% private placement of FMBs with a 2041 maturity date designated as Series 2021A. Proceeds were used to reduce the Company’s outstanding balances under its lines of credit.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2021, Middlesex received approval from the NJBPU to redeem up to $45.5 million of outstanding FMBs, specifically Series RR ($22.5 million) and Series SS ($23.0 million), and issue replacement FMBs at an overall lower cost of debt. In November 2021, Middlesex closed on a $45.5 million, 2.90% private placement of FMBs, designated as Series 2021B with a 2051 maturity date to effectuate the redemptions.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2023, Tidewater closed on a $20.0 million loan from CoBank, ACB (CoBank) with an interest rate of 5.71% and a 2033 maturity date and fully drew all funds by June 30, 2023. Proceeds from the loan were used to pay off Tidewater’s outstanding balances under its bank lines of credit and for other general corporate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2023, Tidewater closed on three DEPSC-approved Delaware SRF loans totaling $10.2 million, all at interest rates of 2.0% with maturity dates in 2043 and 2044. These loans are for the construction, relocation, improvement, and/or interconnection of transmission mains. Tidewater has drawn a total of $6.1 million through December 31, 2023 and expects that the requisitions will continue through mid-2025.</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2021, Tidewater closed on a DEPSC-approved $5.0 million Delaware SRF loan at an interest rate of 2.0%. The loan was for construction of a one million gallon elevated storage tank. Through December 31, 2023, Tidewater has drawn a total of $4.8 million and expects that the requisitions will continue through the first quarter of 2024. The final maturity date on the loan is 2044.</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2021, Tidewater completed its $20 million secured borrowing with CoBank, at an interest rate of 3.94% and a 2046 maturity date. Proceeds from the loan were used to pay off its outstanding balances under its lines of credit.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2023, Pinelands Water and Pinelands Wastewater closed on $3.9 million and $3.6 million CoBank amortizing mortgage type loans, respectively, with an interest rate of 6.17% and a final maturity date of 2043 for each loan. Proceeds were used to pay off outstanding intercompany loans with Middlesex and for ongoing capital projects.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62 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annual principal repayment obligations as of December 31, 2023 for all long-term debt over the next five years and thereafter are shown below:</w:t>
      </w:r>
    </w:p>
    <w:p>
      <w:pPr>
        <w:pStyle w:val="TextBody"/>
        <w:bidi w:val="0"/>
        <w:spacing w:before="0" w:after="0"/>
        <w:ind w:left="0" w:right="0" w:hanging="0"/>
        <w:jc w:val="both"/>
        <w:rPr>
          <w:caps w:val="false"/>
          <w:smallCaps w:val="false"/>
        </w:rPr>
      </w:pPr>
      <w:r>
        <w:rPr>
          <w:caps w:val="false"/>
          <w:smallCaps w:val="false"/>
        </w:rPr>
        <w:t> </w:t>
      </w:r>
    </w:p>
    <w:tbl>
      <w:tblPr>
        <w:tblW w:w="2813" w:type="dxa"/>
        <w:jc w:val="left"/>
        <w:tblInd w:w="0" w:type="dxa"/>
        <w:tblLayout w:type="fixed"/>
        <w:tblCellMar>
          <w:top w:w="0" w:type="dxa"/>
          <w:left w:w="0" w:type="dxa"/>
          <w:bottom w:w="0" w:type="dxa"/>
          <w:right w:w="0" w:type="dxa"/>
        </w:tblCellMar>
      </w:tblPr>
      <w:tblGrid>
        <w:gridCol w:w="1010"/>
        <w:gridCol w:w="60"/>
        <w:gridCol w:w="314"/>
        <w:gridCol w:w="1259"/>
        <w:gridCol w:w="170"/>
      </w:tblGrid>
      <w:tr>
        <w:trPr/>
        <w:tc>
          <w:tcPr>
            <w:tcW w:w="1010" w:type="dxa"/>
            <w:tcBorders/>
            <w:vAlign w:val="center"/>
          </w:tcPr>
          <w:p>
            <w:pPr>
              <w:pStyle w:val="TableContents"/>
              <w:bidi w:val="0"/>
              <w:spacing w:before="0" w:after="283"/>
              <w:jc w:val="center"/>
              <w:rPr>
                <w:b/>
                <w:u w:val="single"/>
              </w:rPr>
            </w:pPr>
            <w:r>
              <w:rPr>
                <w:b/>
                <w:u w:val="single"/>
              </w:rPr>
              <w:t>Year</w:t>
            </w:r>
          </w:p>
        </w:tc>
        <w:tc>
          <w:tcPr>
            <w:tcW w:w="60" w:type="dxa"/>
            <w:tcBorders/>
            <w:vAlign w:val="center"/>
          </w:tcPr>
          <w:p>
            <w:pPr>
              <w:pStyle w:val="TableContents"/>
              <w:bidi w:val="0"/>
              <w:spacing w:before="0" w:after="283"/>
              <w:jc w:val="left"/>
              <w:rPr/>
            </w:pPr>
            <w:r>
              <w:rPr/>
              <w:t> </w:t>
            </w:r>
          </w:p>
        </w:tc>
        <w:tc>
          <w:tcPr>
            <w:tcW w:w="1743" w:type="dxa"/>
            <w:gridSpan w:val="3"/>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(Millions of Dollars)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Annual Maturities</w:t>
            </w:r>
          </w:p>
        </w:tc>
      </w:tr>
      <w:tr>
        <w:trPr/>
        <w:tc>
          <w:tcPr>
            <w:tcW w:w="10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43" w:type="dxa"/>
            <w:gridSpan w:val="3"/>
            <w:tcBorders/>
            <w:vAlign w:val="center"/>
          </w:tcPr>
          <w:p>
            <w:pPr>
              <w:pStyle w:val="TableContents"/>
              <w:bidi w:val="0"/>
              <w:spacing w:before="0" w:after="283"/>
              <w:jc w:val="center"/>
              <w:rPr/>
            </w:pPr>
            <w:r>
              <w:rPr/>
              <w:t> </w:t>
            </w:r>
          </w:p>
        </w:tc>
      </w:tr>
      <w:tr>
        <w:trPr/>
        <w:tc>
          <w:tcPr>
            <w:tcW w:w="1010" w:type="dxa"/>
            <w:tcBorders/>
            <w:shd w:fill="CCEEFF" w:val="clear"/>
            <w:vAlign w:val="center"/>
          </w:tcPr>
          <w:p>
            <w:pPr>
              <w:pStyle w:val="TableContents"/>
              <w:bidi w:val="0"/>
              <w:spacing w:before="0" w:after="283"/>
              <w:jc w:val="center"/>
              <w:rPr/>
            </w:pPr>
            <w:r>
              <w:rPr/>
              <w:t>2024</w:t>
            </w:r>
          </w:p>
        </w:tc>
        <w:tc>
          <w:tcPr>
            <w:tcW w:w="60" w:type="dxa"/>
            <w:tcBorders/>
            <w:shd w:fill="CCEEFF" w:val="clear"/>
            <w:vAlign w:val="center"/>
          </w:tcPr>
          <w:p>
            <w:pPr>
              <w:pStyle w:val="TableContents"/>
              <w:bidi w:val="0"/>
              <w:spacing w:before="0" w:after="283"/>
              <w:jc w:val="left"/>
              <w:rPr/>
            </w:pPr>
            <w:r>
              <w:rPr/>
              <w:t> </w:t>
            </w:r>
          </w:p>
        </w:tc>
        <w:tc>
          <w:tcPr>
            <w:tcW w:w="314" w:type="dxa"/>
            <w:tcBorders/>
            <w:shd w:fill="CCEEFF" w:val="clear"/>
            <w:vAlign w:val="center"/>
          </w:tcPr>
          <w:p>
            <w:pPr>
              <w:pStyle w:val="TableContents"/>
              <w:bidi w:val="0"/>
              <w:spacing w:before="0" w:after="283"/>
              <w:jc w:val="left"/>
              <w:rPr/>
            </w:pPr>
            <w:r>
              <w:rPr/>
              <w:t>$</w:t>
            </w:r>
          </w:p>
        </w:tc>
        <w:tc>
          <w:tcPr>
            <w:tcW w:w="1259" w:type="dxa"/>
            <w:tcBorders/>
            <w:shd w:fill="CCEEFF" w:val="clear"/>
            <w:vAlign w:val="center"/>
          </w:tcPr>
          <w:p>
            <w:pPr>
              <w:pStyle w:val="TableContents"/>
              <w:bidi w:val="0"/>
              <w:spacing w:before="0" w:after="283"/>
              <w:jc w:val="right"/>
              <w:rPr/>
            </w:pPr>
            <w:r>
              <w:rPr/>
              <w:t>7.7</w:t>
            </w:r>
          </w:p>
        </w:tc>
        <w:tc>
          <w:tcPr>
            <w:tcW w:w="170" w:type="dxa"/>
            <w:tcBorders/>
            <w:shd w:fill="CCEEFF" w:val="clear"/>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283"/>
              <w:jc w:val="center"/>
              <w:rPr/>
            </w:pPr>
            <w:r>
              <w:rPr/>
              <w:t>2025</w:t>
            </w:r>
          </w:p>
        </w:tc>
        <w:tc>
          <w:tcPr>
            <w:tcW w:w="60" w:type="dxa"/>
            <w:tcBorders/>
            <w:vAlign w:val="center"/>
          </w:tcPr>
          <w:p>
            <w:pPr>
              <w:pStyle w:val="TableContents"/>
              <w:bidi w:val="0"/>
              <w:spacing w:before="0" w:after="283"/>
              <w:jc w:val="left"/>
              <w:rPr/>
            </w:pPr>
            <w:r>
              <w:rPr/>
              <w:t> </w:t>
            </w:r>
          </w:p>
        </w:tc>
        <w:tc>
          <w:tcPr>
            <w:tcW w:w="314" w:type="dxa"/>
            <w:tcBorders/>
            <w:vAlign w:val="center"/>
          </w:tcPr>
          <w:p>
            <w:pPr>
              <w:pStyle w:val="TableContents"/>
              <w:bidi w:val="0"/>
              <w:spacing w:before="0" w:after="283"/>
              <w:jc w:val="left"/>
              <w:rPr/>
            </w:pPr>
            <w:r>
              <w:rPr/>
              <w:t>$</w:t>
            </w:r>
          </w:p>
        </w:tc>
        <w:tc>
          <w:tcPr>
            <w:tcW w:w="1259" w:type="dxa"/>
            <w:tcBorders/>
            <w:vAlign w:val="center"/>
          </w:tcPr>
          <w:p>
            <w:pPr>
              <w:pStyle w:val="TableContents"/>
              <w:bidi w:val="0"/>
              <w:spacing w:before="0" w:after="283"/>
              <w:jc w:val="right"/>
              <w:rPr/>
            </w:pPr>
            <w:r>
              <w:rPr/>
              <w:t>7.6</w:t>
            </w:r>
          </w:p>
        </w:tc>
        <w:tc>
          <w:tcPr>
            <w:tcW w:w="170" w:type="dxa"/>
            <w:tcBorders/>
            <w:vAlign w:val="center"/>
          </w:tcPr>
          <w:p>
            <w:pPr>
              <w:pStyle w:val="TableContents"/>
              <w:bidi w:val="0"/>
              <w:spacing w:before="0" w:after="283"/>
              <w:jc w:val="left"/>
              <w:rPr/>
            </w:pPr>
            <w:r>
              <w:rPr/>
              <w:t> </w:t>
            </w:r>
          </w:p>
        </w:tc>
      </w:tr>
      <w:tr>
        <w:trPr/>
        <w:tc>
          <w:tcPr>
            <w:tcW w:w="1010" w:type="dxa"/>
            <w:tcBorders/>
            <w:shd w:fill="CCEEFF" w:val="clear"/>
            <w:vAlign w:val="center"/>
          </w:tcPr>
          <w:p>
            <w:pPr>
              <w:pStyle w:val="TableContents"/>
              <w:bidi w:val="0"/>
              <w:spacing w:before="0" w:after="283"/>
              <w:jc w:val="center"/>
              <w:rPr/>
            </w:pPr>
            <w:r>
              <w:rPr/>
              <w:t>2026</w:t>
            </w:r>
          </w:p>
        </w:tc>
        <w:tc>
          <w:tcPr>
            <w:tcW w:w="60" w:type="dxa"/>
            <w:tcBorders/>
            <w:shd w:fill="CCEEFF" w:val="clear"/>
            <w:vAlign w:val="center"/>
          </w:tcPr>
          <w:p>
            <w:pPr>
              <w:pStyle w:val="TableContents"/>
              <w:bidi w:val="0"/>
              <w:spacing w:before="0" w:after="283"/>
              <w:jc w:val="left"/>
              <w:rPr/>
            </w:pPr>
            <w:r>
              <w:rPr/>
              <w:t> </w:t>
            </w:r>
          </w:p>
        </w:tc>
        <w:tc>
          <w:tcPr>
            <w:tcW w:w="314" w:type="dxa"/>
            <w:tcBorders/>
            <w:shd w:fill="CCEEFF" w:val="clear"/>
            <w:vAlign w:val="center"/>
          </w:tcPr>
          <w:p>
            <w:pPr>
              <w:pStyle w:val="TableContents"/>
              <w:bidi w:val="0"/>
              <w:spacing w:before="0" w:after="283"/>
              <w:jc w:val="left"/>
              <w:rPr/>
            </w:pPr>
            <w:r>
              <w:rPr/>
              <w:t>$</w:t>
            </w:r>
          </w:p>
        </w:tc>
        <w:tc>
          <w:tcPr>
            <w:tcW w:w="1259" w:type="dxa"/>
            <w:tcBorders/>
            <w:shd w:fill="CCEEFF" w:val="clear"/>
            <w:vAlign w:val="center"/>
          </w:tcPr>
          <w:p>
            <w:pPr>
              <w:pStyle w:val="TableContents"/>
              <w:bidi w:val="0"/>
              <w:spacing w:before="0" w:after="283"/>
              <w:jc w:val="right"/>
              <w:rPr/>
            </w:pPr>
            <w:r>
              <w:rPr/>
              <w:t>7.4</w:t>
            </w:r>
          </w:p>
        </w:tc>
        <w:tc>
          <w:tcPr>
            <w:tcW w:w="170" w:type="dxa"/>
            <w:tcBorders/>
            <w:shd w:fill="CCEEFF" w:val="clear"/>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283"/>
              <w:jc w:val="center"/>
              <w:rPr/>
            </w:pPr>
            <w:r>
              <w:rPr/>
              <w:t>2027</w:t>
            </w:r>
          </w:p>
        </w:tc>
        <w:tc>
          <w:tcPr>
            <w:tcW w:w="60" w:type="dxa"/>
            <w:tcBorders/>
            <w:vAlign w:val="center"/>
          </w:tcPr>
          <w:p>
            <w:pPr>
              <w:pStyle w:val="TableContents"/>
              <w:bidi w:val="0"/>
              <w:spacing w:before="0" w:after="283"/>
              <w:jc w:val="left"/>
              <w:rPr/>
            </w:pPr>
            <w:r>
              <w:rPr/>
              <w:t> </w:t>
            </w:r>
          </w:p>
        </w:tc>
        <w:tc>
          <w:tcPr>
            <w:tcW w:w="314" w:type="dxa"/>
            <w:tcBorders/>
            <w:vAlign w:val="center"/>
          </w:tcPr>
          <w:p>
            <w:pPr>
              <w:pStyle w:val="TableContents"/>
              <w:bidi w:val="0"/>
              <w:spacing w:before="0" w:after="283"/>
              <w:jc w:val="left"/>
              <w:rPr/>
            </w:pPr>
            <w:r>
              <w:rPr/>
              <w:t>$</w:t>
            </w:r>
          </w:p>
        </w:tc>
        <w:tc>
          <w:tcPr>
            <w:tcW w:w="1259" w:type="dxa"/>
            <w:tcBorders/>
            <w:vAlign w:val="center"/>
          </w:tcPr>
          <w:p>
            <w:pPr>
              <w:pStyle w:val="TableContents"/>
              <w:bidi w:val="0"/>
              <w:spacing w:before="0" w:after="283"/>
              <w:jc w:val="right"/>
              <w:rPr/>
            </w:pPr>
            <w:r>
              <w:rPr/>
              <w:t>7.2</w:t>
            </w:r>
          </w:p>
        </w:tc>
        <w:tc>
          <w:tcPr>
            <w:tcW w:w="170" w:type="dxa"/>
            <w:tcBorders/>
            <w:vAlign w:val="center"/>
          </w:tcPr>
          <w:p>
            <w:pPr>
              <w:pStyle w:val="TableContents"/>
              <w:bidi w:val="0"/>
              <w:spacing w:before="0" w:after="283"/>
              <w:jc w:val="left"/>
              <w:rPr/>
            </w:pPr>
            <w:r>
              <w:rPr/>
              <w:t> </w:t>
            </w:r>
          </w:p>
        </w:tc>
      </w:tr>
      <w:tr>
        <w:trPr/>
        <w:tc>
          <w:tcPr>
            <w:tcW w:w="1010" w:type="dxa"/>
            <w:tcBorders/>
            <w:shd w:fill="CCEEFF" w:val="clear"/>
            <w:vAlign w:val="center"/>
          </w:tcPr>
          <w:p>
            <w:pPr>
              <w:pStyle w:val="TableContents"/>
              <w:bidi w:val="0"/>
              <w:spacing w:before="0" w:after="283"/>
              <w:jc w:val="center"/>
              <w:rPr/>
            </w:pPr>
            <w:r>
              <w:rPr/>
              <w:t>2028</w:t>
            </w:r>
          </w:p>
        </w:tc>
        <w:tc>
          <w:tcPr>
            <w:tcW w:w="60" w:type="dxa"/>
            <w:tcBorders/>
            <w:shd w:fill="CCEEFF" w:val="clear"/>
            <w:vAlign w:val="center"/>
          </w:tcPr>
          <w:p>
            <w:pPr>
              <w:pStyle w:val="TableContents"/>
              <w:bidi w:val="0"/>
              <w:spacing w:before="0" w:after="283"/>
              <w:jc w:val="left"/>
              <w:rPr/>
            </w:pPr>
            <w:r>
              <w:rPr/>
              <w:t> </w:t>
            </w:r>
          </w:p>
        </w:tc>
        <w:tc>
          <w:tcPr>
            <w:tcW w:w="314" w:type="dxa"/>
            <w:tcBorders/>
            <w:shd w:fill="CCEEFF" w:val="clear"/>
            <w:vAlign w:val="center"/>
          </w:tcPr>
          <w:p>
            <w:pPr>
              <w:pStyle w:val="TableContents"/>
              <w:bidi w:val="0"/>
              <w:spacing w:before="0" w:after="283"/>
              <w:jc w:val="left"/>
              <w:rPr/>
            </w:pPr>
            <w:r>
              <w:rPr/>
              <w:t>$</w:t>
            </w:r>
          </w:p>
        </w:tc>
        <w:tc>
          <w:tcPr>
            <w:tcW w:w="1259" w:type="dxa"/>
            <w:tcBorders/>
            <w:shd w:fill="CCEEFF" w:val="clear"/>
            <w:vAlign w:val="center"/>
          </w:tcPr>
          <w:p>
            <w:pPr>
              <w:pStyle w:val="TableContents"/>
              <w:bidi w:val="0"/>
              <w:spacing w:before="0" w:after="283"/>
              <w:jc w:val="right"/>
              <w:rPr/>
            </w:pPr>
            <w:r>
              <w:rPr/>
              <w:t>6.9</w:t>
            </w:r>
          </w:p>
        </w:tc>
        <w:tc>
          <w:tcPr>
            <w:tcW w:w="170" w:type="dxa"/>
            <w:tcBorders/>
            <w:shd w:fill="CCEEFF" w:val="clear"/>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283"/>
              <w:jc w:val="center"/>
              <w:rPr/>
            </w:pPr>
            <w:r>
              <w:rPr/>
              <w:t>Thereafter</w:t>
            </w:r>
          </w:p>
        </w:tc>
        <w:tc>
          <w:tcPr>
            <w:tcW w:w="60" w:type="dxa"/>
            <w:tcBorders/>
            <w:vAlign w:val="center"/>
          </w:tcPr>
          <w:p>
            <w:pPr>
              <w:pStyle w:val="TableContents"/>
              <w:bidi w:val="0"/>
              <w:spacing w:before="0" w:after="283"/>
              <w:jc w:val="left"/>
              <w:rPr/>
            </w:pPr>
            <w:r>
              <w:rPr/>
              <w:t> </w:t>
            </w:r>
          </w:p>
        </w:tc>
        <w:tc>
          <w:tcPr>
            <w:tcW w:w="314" w:type="dxa"/>
            <w:tcBorders/>
            <w:vAlign w:val="center"/>
          </w:tcPr>
          <w:p>
            <w:pPr>
              <w:pStyle w:val="TableContents"/>
              <w:bidi w:val="0"/>
              <w:spacing w:before="0" w:after="283"/>
              <w:jc w:val="left"/>
              <w:rPr/>
            </w:pPr>
            <w:r>
              <w:rPr/>
              <w:t>$</w:t>
            </w:r>
          </w:p>
        </w:tc>
        <w:tc>
          <w:tcPr>
            <w:tcW w:w="1259" w:type="dxa"/>
            <w:tcBorders/>
            <w:vAlign w:val="center"/>
          </w:tcPr>
          <w:p>
            <w:pPr>
              <w:pStyle w:val="TableContents"/>
              <w:bidi w:val="0"/>
              <w:spacing w:before="0" w:after="283"/>
              <w:jc w:val="right"/>
              <w:rPr/>
            </w:pPr>
            <w:r>
              <w:rPr/>
              <w:t>327.9</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weighted average interest rate on all long-term debt at December 31, 2023 and 2022 was 3.65% and 2.98%,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Substantially all of the utility plant of the Company is subject to the lien of its mortgage, which includes debt service and capital ratio covenants. The Company is in compliance with all of its mortgage covenants and restrictions.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Earnings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calculation of basic and diluted earnings per share (EPS) for the years ended December 31, 2023, 2022 and 2021. Basic EPS is computed on the basis of the weighted average number of shares outstanding. Diluted EPS assumes the conversion of the Convertible Preferred Stock $7.00 Series.</w:t>
      </w:r>
    </w:p>
    <w:p>
      <w:pPr>
        <w:pStyle w:val="TextBody"/>
        <w:bidi w:val="0"/>
        <w:spacing w:before="0" w:after="0"/>
        <w:ind w:left="0" w:right="0" w:hanging="0"/>
        <w:jc w:val="both"/>
        <w:rPr>
          <w:caps w:val="false"/>
          <w:smallCaps w:val="false"/>
        </w:rPr>
      </w:pPr>
      <w:r>
        <w:rPr>
          <w:caps w:val="false"/>
          <w:smallCaps w:val="false"/>
        </w:rPr>
        <w:t> </w:t>
      </w:r>
    </w:p>
    <w:tbl>
      <w:tblPr>
        <w:tblW w:w="10190" w:type="dxa"/>
        <w:jc w:val="left"/>
        <w:tblInd w:w="0" w:type="dxa"/>
        <w:tblLayout w:type="fixed"/>
        <w:tblCellMar>
          <w:top w:w="0" w:type="dxa"/>
          <w:left w:w="0" w:type="dxa"/>
          <w:bottom w:w="0" w:type="dxa"/>
          <w:right w:w="0" w:type="dxa"/>
        </w:tblCellMar>
      </w:tblPr>
      <w:tblGrid>
        <w:gridCol w:w="4670"/>
        <w:gridCol w:w="60"/>
        <w:gridCol w:w="140"/>
        <w:gridCol w:w="680"/>
        <w:gridCol w:w="95"/>
        <w:gridCol w:w="60"/>
        <w:gridCol w:w="60"/>
        <w:gridCol w:w="680"/>
        <w:gridCol w:w="60"/>
        <w:gridCol w:w="60"/>
        <w:gridCol w:w="140"/>
        <w:gridCol w:w="680"/>
        <w:gridCol w:w="95"/>
        <w:gridCol w:w="60"/>
        <w:gridCol w:w="60"/>
        <w:gridCol w:w="680"/>
        <w:gridCol w:w="60"/>
        <w:gridCol w:w="60"/>
        <w:gridCol w:w="140"/>
        <w:gridCol w:w="680"/>
        <w:gridCol w:w="95"/>
        <w:gridCol w:w="60"/>
        <w:gridCol w:w="60"/>
        <w:gridCol w:w="680"/>
        <w:gridCol w:w="75"/>
      </w:tblGrid>
      <w:tr>
        <w:trPr/>
        <w:tc>
          <w:tcPr>
            <w:tcW w:w="46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460" w:type="dxa"/>
            <w:gridSpan w:val="23"/>
            <w:tcBorders/>
            <w:vAlign w:val="center"/>
          </w:tcPr>
          <w:p>
            <w:pPr>
              <w:pStyle w:val="TableContents"/>
              <w:bidi w:val="0"/>
              <w:spacing w:before="0" w:after="283"/>
              <w:jc w:val="center"/>
              <w:rPr>
                <w:b/>
              </w:rPr>
            </w:pPr>
            <w:r>
              <w:rPr>
                <w:b/>
              </w:rPr>
              <w:t>(In Thousands, Except Per Share Amounts)</w:t>
            </w:r>
          </w:p>
        </w:tc>
      </w:tr>
      <w:tr>
        <w:trPr/>
        <w:tc>
          <w:tcPr>
            <w:tcW w:w="46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75" w:type="dxa"/>
            <w:gridSpan w:val="7"/>
            <w:tcBorders/>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1775" w:type="dxa"/>
            <w:gridSpan w:val="7"/>
            <w:tcBorders/>
            <w:vAlign w:val="center"/>
          </w:tcPr>
          <w:p>
            <w:pPr>
              <w:pStyle w:val="TableContents"/>
              <w:bidi w:val="0"/>
              <w:spacing w:before="0" w:after="283"/>
              <w:jc w:val="center"/>
              <w:rPr>
                <w:b/>
              </w:rPr>
            </w:pPr>
            <w:r>
              <w:rPr>
                <w:b/>
              </w:rPr>
              <w:t>2022</w:t>
            </w:r>
          </w:p>
        </w:tc>
        <w:tc>
          <w:tcPr>
            <w:tcW w:w="60" w:type="dxa"/>
            <w:tcBorders/>
            <w:vAlign w:val="center"/>
          </w:tcPr>
          <w:p>
            <w:pPr>
              <w:pStyle w:val="TableContents"/>
              <w:bidi w:val="0"/>
              <w:spacing w:before="0" w:after="283"/>
              <w:jc w:val="left"/>
              <w:rPr/>
            </w:pPr>
            <w:r>
              <w:rPr/>
              <w:t> </w:t>
            </w:r>
          </w:p>
        </w:tc>
        <w:tc>
          <w:tcPr>
            <w:tcW w:w="1790" w:type="dxa"/>
            <w:gridSpan w:val="7"/>
            <w:tcBorders/>
            <w:vAlign w:val="center"/>
          </w:tcPr>
          <w:p>
            <w:pPr>
              <w:pStyle w:val="TableContents"/>
              <w:bidi w:val="0"/>
              <w:spacing w:before="0" w:after="283"/>
              <w:jc w:val="center"/>
              <w:rPr>
                <w:b/>
              </w:rPr>
            </w:pPr>
            <w:r>
              <w:rPr>
                <w:b/>
              </w:rPr>
              <w:t>2021</w:t>
            </w:r>
          </w:p>
        </w:tc>
      </w:tr>
      <w:tr>
        <w:trPr/>
        <w:tc>
          <w:tcPr>
            <w:tcW w:w="4670" w:type="dxa"/>
            <w:tcBorders>
              <w:bottom w:val="single" w:sz="8" w:space="0" w:color="000000"/>
            </w:tcBorders>
            <w:tcMar>
              <w:bottom w:w="28" w:type="dxa"/>
            </w:tcMar>
            <w:vAlign w:val="center"/>
          </w:tcPr>
          <w:p>
            <w:pPr>
              <w:pStyle w:val="TableContents"/>
              <w:bidi w:val="0"/>
              <w:spacing w:before="0" w:after="283"/>
              <w:jc w:val="left"/>
              <w:rPr/>
            </w:pPr>
            <w:r>
              <w:rPr/>
              <w:t>Basic:</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915" w:type="dxa"/>
            <w:gridSpan w:val="3"/>
            <w:tcBorders>
              <w:bottom w:val="single" w:sz="8" w:space="0" w:color="000000"/>
            </w:tcBorders>
            <w:tcMar>
              <w:bottom w:w="28" w:type="dxa"/>
            </w:tcMar>
            <w:vAlign w:val="center"/>
          </w:tcPr>
          <w:p>
            <w:pPr>
              <w:pStyle w:val="TableContents"/>
              <w:bidi w:val="0"/>
              <w:spacing w:before="0" w:after="283"/>
              <w:jc w:val="center"/>
              <w:rPr>
                <w:b/>
              </w:rPr>
            </w:pPr>
            <w:r>
              <w:rPr>
                <w:b/>
              </w:rPr>
              <w:t>Income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0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915" w:type="dxa"/>
            <w:gridSpan w:val="3"/>
            <w:tcBorders>
              <w:bottom w:val="single" w:sz="8" w:space="0" w:color="000000"/>
            </w:tcBorders>
            <w:tcMar>
              <w:bottom w:w="28" w:type="dxa"/>
            </w:tcMar>
            <w:vAlign w:val="center"/>
          </w:tcPr>
          <w:p>
            <w:pPr>
              <w:pStyle w:val="TableContents"/>
              <w:bidi w:val="0"/>
              <w:spacing w:before="0" w:after="283"/>
              <w:jc w:val="center"/>
              <w:rPr>
                <w:b/>
              </w:rPr>
            </w:pPr>
            <w:r>
              <w:rPr>
                <w:b/>
              </w:rPr>
              <w:t>Income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0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915" w:type="dxa"/>
            <w:gridSpan w:val="3"/>
            <w:tcBorders>
              <w:bottom w:val="single" w:sz="8" w:space="0" w:color="000000"/>
            </w:tcBorders>
            <w:tcMar>
              <w:bottom w:w="28" w:type="dxa"/>
            </w:tcMar>
            <w:vAlign w:val="center"/>
          </w:tcPr>
          <w:p>
            <w:pPr>
              <w:pStyle w:val="TableContents"/>
              <w:bidi w:val="0"/>
              <w:spacing w:before="0" w:after="283"/>
              <w:jc w:val="center"/>
              <w:rPr>
                <w:b/>
              </w:rPr>
            </w:pPr>
            <w:r>
              <w:rPr>
                <w:b/>
              </w:rPr>
              <w:t>Income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15" w:type="dxa"/>
            <w:gridSpan w:val="3"/>
            <w:tcBorders>
              <w:bottom w:val="single" w:sz="8" w:space="0" w:color="000000"/>
            </w:tcBorders>
            <w:tcMar>
              <w:bottom w:w="28" w:type="dxa"/>
            </w:tcMar>
            <w:vAlign w:val="center"/>
          </w:tcPr>
          <w:p>
            <w:pPr>
              <w:pStyle w:val="TableContents"/>
              <w:bidi w:val="0"/>
              <w:spacing w:before="0" w:after="283"/>
              <w:jc w:val="center"/>
              <w:rPr>
                <w:b/>
              </w:rPr>
            </w:pPr>
            <w:r>
              <w:rPr>
                <w:b/>
              </w:rPr>
              <w:t>Shares</w:t>
            </w:r>
          </w:p>
        </w:tc>
      </w:tr>
      <w:tr>
        <w:trPr/>
        <w:tc>
          <w:tcPr>
            <w:tcW w:w="4670" w:type="dxa"/>
            <w:tcBorders/>
            <w:shd w:fill="CCEEFF" w:val="clear"/>
            <w:vAlign w:val="center"/>
          </w:tcPr>
          <w:p>
            <w:pPr>
              <w:pStyle w:val="TableContents"/>
              <w:bidi w:val="0"/>
              <w:spacing w:before="0" w:after="283"/>
              <w:jc w:val="left"/>
              <w:rPr/>
            </w:pPr>
            <w:r>
              <w:rPr/>
              <w:t>Net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31,524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17,732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42,429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17,597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36,543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17,492</w:t>
            </w:r>
          </w:p>
        </w:tc>
        <w:tc>
          <w:tcPr>
            <w:tcW w:w="75" w:type="dxa"/>
            <w:tcBorders/>
            <w:shd w:fill="CCEEFF" w:val="clear"/>
            <w:vAlign w:val="center"/>
          </w:tcPr>
          <w:p>
            <w:pPr>
              <w:pStyle w:val="TableContents"/>
              <w:bidi w:val="0"/>
              <w:spacing w:before="0" w:after="283"/>
              <w:jc w:val="left"/>
              <w:rPr/>
            </w:pPr>
            <w:r>
              <w:rPr/>
              <w:t> </w:t>
            </w:r>
          </w:p>
        </w:tc>
      </w:tr>
      <w:tr>
        <w:trPr/>
        <w:tc>
          <w:tcPr>
            <w:tcW w:w="4670" w:type="dxa"/>
            <w:tcBorders/>
            <w:vAlign w:val="center"/>
          </w:tcPr>
          <w:p>
            <w:pPr>
              <w:pStyle w:val="TableContents"/>
              <w:bidi w:val="0"/>
              <w:spacing w:before="0" w:after="283"/>
              <w:jc w:val="left"/>
              <w:rPr/>
            </w:pPr>
            <w:r>
              <w:rPr/>
              <w:t>Preferred Dividend</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tcMar>
              <w:bottom w:w="28" w:type="dxa"/>
            </w:tcMar>
            <w:vAlign w:val="center"/>
          </w:tcPr>
          <w:p>
            <w:pPr>
              <w:pStyle w:val="TableContents"/>
              <w:bidi w:val="0"/>
              <w:spacing w:before="0" w:after="283"/>
              <w:jc w:val="right"/>
              <w:rPr/>
            </w:pPr>
            <w:r>
              <w:rPr/>
              <w:t>(120</w:t>
            </w:r>
          </w:p>
        </w:tc>
        <w:tc>
          <w:tcPr>
            <w:tcW w:w="95" w:type="dxa"/>
            <w:tcBorders>
              <w:bottom w:val="single" w:sz="8" w:space="0" w:color="000000"/>
            </w:tcBorders>
            <w:tcMar>
              <w:bottom w:w="28" w:type="dxa"/>
            </w:tcMar>
            <w:vAlign w:val="center"/>
          </w:tcPr>
          <w:p>
            <w:pPr>
              <w:pStyle w:val="TableContents"/>
              <w:bidi w:val="0"/>
              <w:spacing w:before="0" w:after="283"/>
              <w:jc w:val="left"/>
              <w:rPr/>
            </w:pPr>
            <w:r>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tcMar>
              <w:bottom w:w="28" w:type="dxa"/>
            </w:tcMar>
            <w:vAlign w:val="center"/>
          </w:tcPr>
          <w:p>
            <w:pPr>
              <w:pStyle w:val="TableContents"/>
              <w:bidi w:val="0"/>
              <w:spacing w:before="0" w:after="283"/>
              <w:jc w:val="righ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tcMar>
              <w:bottom w:w="28" w:type="dxa"/>
            </w:tcMar>
            <w:vAlign w:val="center"/>
          </w:tcPr>
          <w:p>
            <w:pPr>
              <w:pStyle w:val="TableContents"/>
              <w:bidi w:val="0"/>
              <w:spacing w:before="0" w:after="283"/>
              <w:jc w:val="right"/>
              <w:rPr/>
            </w:pPr>
            <w:r>
              <w:rPr/>
              <w:t>(120</w:t>
            </w:r>
          </w:p>
        </w:tc>
        <w:tc>
          <w:tcPr>
            <w:tcW w:w="95" w:type="dxa"/>
            <w:tcBorders>
              <w:bottom w:val="single" w:sz="8" w:space="0" w:color="000000"/>
            </w:tcBorders>
            <w:tcMar>
              <w:bottom w:w="28" w:type="dxa"/>
            </w:tcMar>
            <w:vAlign w:val="center"/>
          </w:tcPr>
          <w:p>
            <w:pPr>
              <w:pStyle w:val="TableContents"/>
              <w:bidi w:val="0"/>
              <w:spacing w:before="0" w:after="283"/>
              <w:jc w:val="left"/>
              <w:rPr/>
            </w:pPr>
            <w:r>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tcMar>
              <w:bottom w:w="28" w:type="dxa"/>
            </w:tcMar>
            <w:vAlign w:val="center"/>
          </w:tcPr>
          <w:p>
            <w:pPr>
              <w:pStyle w:val="TableContents"/>
              <w:bidi w:val="0"/>
              <w:spacing w:before="0" w:after="283"/>
              <w:jc w:val="righ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tcMar>
              <w:bottom w:w="28" w:type="dxa"/>
            </w:tcMar>
            <w:vAlign w:val="center"/>
          </w:tcPr>
          <w:p>
            <w:pPr>
              <w:pStyle w:val="TableContents"/>
              <w:bidi w:val="0"/>
              <w:spacing w:before="0" w:after="283"/>
              <w:jc w:val="right"/>
              <w:rPr/>
            </w:pPr>
            <w:r>
              <w:rPr/>
              <w:t>(120</w:t>
            </w:r>
          </w:p>
        </w:tc>
        <w:tc>
          <w:tcPr>
            <w:tcW w:w="95" w:type="dxa"/>
            <w:tcBorders>
              <w:bottom w:val="single" w:sz="8" w:space="0" w:color="000000"/>
            </w:tcBorders>
            <w:tcMar>
              <w:bottom w:w="28" w:type="dxa"/>
            </w:tcMar>
            <w:vAlign w:val="center"/>
          </w:tcPr>
          <w:p>
            <w:pPr>
              <w:pStyle w:val="TableContents"/>
              <w:bidi w:val="0"/>
              <w:spacing w:before="0" w:after="283"/>
              <w:jc w:val="left"/>
              <w:rPr/>
            </w:pPr>
            <w:r>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tcMar>
              <w:bottom w:w="28" w:type="dxa"/>
            </w:tcMar>
            <w:vAlign w:val="center"/>
          </w:tcPr>
          <w:p>
            <w:pPr>
              <w:pStyle w:val="TableContents"/>
              <w:bidi w:val="0"/>
              <w:spacing w:before="0" w:after="283"/>
              <w:jc w:val="right"/>
              <w:rPr/>
            </w:pPr>
            <w:r>
              <w:rPr/>
              <w:t> </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283"/>
              <w:jc w:val="left"/>
              <w:rPr/>
            </w:pPr>
            <w:r>
              <w:rPr/>
              <w:t>Earnings Applicable to Common Stock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31,404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17,732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42,309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17,597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36,423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17,492</w:t>
            </w:r>
          </w:p>
        </w:tc>
        <w:tc>
          <w:tcPr>
            <w:tcW w:w="75" w:type="dxa"/>
            <w:tcBorders/>
            <w:shd w:fill="CCEEFF" w:val="clear"/>
            <w:vAlign w:val="center"/>
          </w:tcPr>
          <w:p>
            <w:pPr>
              <w:pStyle w:val="TableContents"/>
              <w:bidi w:val="0"/>
              <w:spacing w:before="0" w:after="283"/>
              <w:jc w:val="left"/>
              <w:rPr/>
            </w:pPr>
            <w:r>
              <w:rPr/>
              <w:t> </w:t>
            </w:r>
          </w:p>
        </w:tc>
      </w:tr>
      <w:tr>
        <w:trPr/>
        <w:tc>
          <w:tcPr>
            <w:tcW w:w="4670" w:type="dxa"/>
            <w:tcBorders/>
            <w:vAlign w:val="center"/>
          </w:tcPr>
          <w:p>
            <w:pPr>
              <w:pStyle w:val="TableContents"/>
              <w:bidi w:val="0"/>
              <w:spacing w:before="0" w:after="283"/>
              <w:jc w:val="left"/>
              <w:rPr/>
            </w:pPr>
            <w:r>
              <w:rPr/>
              <w:t>Basic EPS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1.77</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2.40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2.08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4670" w:type="dxa"/>
            <w:tcBorders>
              <w:bottom w:val="single" w:sz="8" w:space="0" w:color="000000"/>
            </w:tcBorders>
            <w:shd w:fill="CCEEFF" w:val="clear"/>
            <w:tcMar>
              <w:bottom w:w="28" w:type="dxa"/>
            </w:tcMar>
            <w:vAlign w:val="center"/>
          </w:tcPr>
          <w:p>
            <w:pPr>
              <w:pStyle w:val="TableContents"/>
              <w:bidi w:val="0"/>
              <w:spacing w:before="0" w:after="283"/>
              <w:jc w:val="left"/>
              <w:rPr/>
            </w:pPr>
            <w:r>
              <w:rPr/>
              <w:t>Diluted:</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4670" w:type="dxa"/>
            <w:tcBorders/>
            <w:vAlign w:val="center"/>
          </w:tcPr>
          <w:p>
            <w:pPr>
              <w:pStyle w:val="TableContents"/>
              <w:bidi w:val="0"/>
              <w:spacing w:before="0" w:after="283"/>
              <w:jc w:val="left"/>
              <w:rPr/>
            </w:pPr>
            <w:r>
              <w:rPr/>
              <w:t>Earnings Applicable to Common Stock</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31,404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17,732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42,309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17,597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36,423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17,492</w:t>
            </w:r>
          </w:p>
        </w:tc>
        <w:tc>
          <w:tcPr>
            <w:tcW w:w="75" w:type="dxa"/>
            <w:tcBorders/>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283"/>
              <w:jc w:val="left"/>
              <w:rPr/>
            </w:pPr>
            <w:r>
              <w:rPr/>
              <w:t>Convertible Preferred $7.00 Series Dividend</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67</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115</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67</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115</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67</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115</w:t>
            </w:r>
          </w:p>
        </w:tc>
        <w:tc>
          <w:tcPr>
            <w:tcW w:w="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4670" w:type="dxa"/>
            <w:tcBorders/>
            <w:vAlign w:val="center"/>
          </w:tcPr>
          <w:p>
            <w:pPr>
              <w:pStyle w:val="TableContents"/>
              <w:bidi w:val="0"/>
              <w:spacing w:before="0" w:after="283"/>
              <w:jc w:val="left"/>
              <w:rPr/>
            </w:pPr>
            <w:r>
              <w:rPr/>
              <w:t>Adjusted Earnings Applicable to Common Stock</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31,471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17,847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42,376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17,712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36,490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17,607</w:t>
            </w:r>
          </w:p>
        </w:tc>
        <w:tc>
          <w:tcPr>
            <w:tcW w:w="75" w:type="dxa"/>
            <w:tcBorders/>
            <w:vAlign w:val="center"/>
          </w:tcPr>
          <w:p>
            <w:pPr>
              <w:pStyle w:val="TableContents"/>
              <w:bidi w:val="0"/>
              <w:spacing w:before="0" w:after="283"/>
              <w:jc w:val="left"/>
              <w:rPr/>
            </w:pPr>
            <w:r>
              <w:rPr/>
              <w:t> </w:t>
            </w:r>
          </w:p>
        </w:tc>
      </w:tr>
      <w:tr>
        <w:trPr/>
        <w:tc>
          <w:tcPr>
            <w:tcW w:w="4670" w:type="dxa"/>
            <w:tcBorders>
              <w:bottom w:val="single" w:sz="8" w:space="0" w:color="000000"/>
            </w:tcBorders>
            <w:shd w:fill="CCEEFF" w:val="clear"/>
            <w:tcMar>
              <w:bottom w:w="28" w:type="dxa"/>
            </w:tcMar>
            <w:vAlign w:val="center"/>
          </w:tcPr>
          <w:p>
            <w:pPr>
              <w:pStyle w:val="TableContents"/>
              <w:bidi w:val="0"/>
              <w:spacing w:before="0" w:after="283"/>
              <w:jc w:val="left"/>
              <w:rPr/>
            </w:pPr>
            <w:r>
              <w:rPr/>
              <w:t>Diluted EPS</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1.76</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2.39</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2.07</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Fair Value of Financial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methods and assumptions were used by the Company in estimating its fair value disclosure for financial instruments for which it is practicable to estimate that value. The carrying amounts reflected in the consolidated balance sheets for cash and cash equivalents, accounts receivable, accounts payable and notes payable approximate their respective fair values due to the short-term maturities of these instruments. The fair value of FMBs and SRF Bonds (collectively, the Bonds) issued by Middlesex is based on quoted market prices for similar issues. Under the fair value hierarchy, the fair value of cash and cash equivalents is classified as a Level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63 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measurement and the fair value of notes payable and the Bonds in the table below are classified as Level 2 measurements. The carrying amount and fair value of the Bonds were as follows:</w:t>
      </w:r>
    </w:p>
    <w:p>
      <w:pPr>
        <w:pStyle w:val="TextBody"/>
        <w:bidi w:val="0"/>
        <w:spacing w:before="0" w:after="0"/>
        <w:ind w:left="0" w:right="0" w:hanging="0"/>
        <w:jc w:val="left"/>
        <w:rPr>
          <w:caps w:val="false"/>
          <w:smallCaps w:val="false"/>
        </w:rPr>
      </w:pPr>
      <w:r>
        <w:rPr>
          <w:caps w:val="false"/>
          <w:smallCaps w:val="false"/>
        </w:rPr>
        <w:t> </w:t>
      </w:r>
    </w:p>
    <w:tbl>
      <w:tblPr>
        <w:tblW w:w="4890" w:type="dxa"/>
        <w:jc w:val="left"/>
        <w:tblInd w:w="0" w:type="dxa"/>
        <w:tblLayout w:type="fixed"/>
        <w:tblCellMar>
          <w:top w:w="0" w:type="dxa"/>
          <w:left w:w="0" w:type="dxa"/>
          <w:bottom w:w="0" w:type="dxa"/>
          <w:right w:w="0" w:type="dxa"/>
        </w:tblCellMar>
      </w:tblPr>
      <w:tblGrid>
        <w:gridCol w:w="635"/>
        <w:gridCol w:w="60"/>
        <w:gridCol w:w="140"/>
        <w:gridCol w:w="800"/>
        <w:gridCol w:w="60"/>
        <w:gridCol w:w="60"/>
        <w:gridCol w:w="140"/>
        <w:gridCol w:w="800"/>
        <w:gridCol w:w="60"/>
        <w:gridCol w:w="60"/>
        <w:gridCol w:w="140"/>
        <w:gridCol w:w="800"/>
        <w:gridCol w:w="60"/>
        <w:gridCol w:w="60"/>
        <w:gridCol w:w="140"/>
        <w:gridCol w:w="800"/>
        <w:gridCol w:w="75"/>
      </w:tblGrid>
      <w:tr>
        <w:trPr/>
        <w:tc>
          <w:tcPr>
            <w:tcW w:w="6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195" w:type="dxa"/>
            <w:gridSpan w:val="15"/>
            <w:tcBorders/>
            <w:vAlign w:val="center"/>
          </w:tcPr>
          <w:p>
            <w:pPr>
              <w:pStyle w:val="TableContents"/>
              <w:bidi w:val="0"/>
              <w:spacing w:before="0" w:after="283"/>
              <w:jc w:val="center"/>
              <w:rPr>
                <w:b/>
              </w:rPr>
            </w:pPr>
            <w:r>
              <w:rPr>
                <w:b/>
              </w:rPr>
              <w:t>(Thousands of Dollars)</w:t>
            </w:r>
          </w:p>
        </w:tc>
      </w:tr>
      <w:tr>
        <w:trPr/>
        <w:tc>
          <w:tcPr>
            <w:tcW w:w="6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195" w:type="dxa"/>
            <w:gridSpan w:val="15"/>
            <w:tcBorders/>
            <w:vAlign w:val="center"/>
          </w:tcPr>
          <w:p>
            <w:pPr>
              <w:pStyle w:val="TableContents"/>
              <w:bidi w:val="0"/>
              <w:spacing w:before="0" w:after="283"/>
              <w:jc w:val="center"/>
              <w:rPr>
                <w:b/>
              </w:rPr>
            </w:pPr>
            <w:r>
              <w:rPr>
                <w:b/>
              </w:rPr>
              <w:t>At December 31,</w:t>
            </w:r>
          </w:p>
        </w:tc>
      </w:tr>
      <w:tr>
        <w:trPr/>
        <w:tc>
          <w:tcPr>
            <w:tcW w:w="6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060" w:type="dxa"/>
            <w:gridSpan w:val="7"/>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2075" w:type="dxa"/>
            <w:gridSpan w:val="7"/>
            <w:tcBorders>
              <w:bottom w:val="single" w:sz="8" w:space="0" w:color="000000"/>
            </w:tcBorders>
            <w:tcMar>
              <w:bottom w:w="28" w:type="dxa"/>
            </w:tcMar>
            <w:vAlign w:val="center"/>
          </w:tcPr>
          <w:p>
            <w:pPr>
              <w:pStyle w:val="TableContents"/>
              <w:bidi w:val="0"/>
              <w:spacing w:before="0" w:after="283"/>
              <w:jc w:val="center"/>
              <w:rPr>
                <w:b/>
              </w:rPr>
            </w:pPr>
            <w:r>
              <w:rPr>
                <w:b/>
              </w:rPr>
              <w:t>2022</w:t>
            </w:r>
          </w:p>
        </w:tc>
      </w:tr>
      <w:tr>
        <w:trPr/>
        <w:tc>
          <w:tcPr>
            <w:tcW w:w="6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00" w:type="dxa"/>
            <w:gridSpan w:val="3"/>
            <w:tcBorders/>
            <w:vAlign w:val="center"/>
          </w:tcPr>
          <w:p>
            <w:pPr>
              <w:pStyle w:val="TableContents"/>
              <w:bidi w:val="0"/>
              <w:spacing w:before="0" w:after="283"/>
              <w:jc w:val="center"/>
              <w:rPr/>
            </w:pPr>
            <w:r>
              <w:rPr/>
              <w:t>Carrying</w:t>
            </w:r>
          </w:p>
        </w:tc>
        <w:tc>
          <w:tcPr>
            <w:tcW w:w="60" w:type="dxa"/>
            <w:tcBorders/>
            <w:vAlign w:val="center"/>
          </w:tcPr>
          <w:p>
            <w:pPr>
              <w:pStyle w:val="TableContents"/>
              <w:bidi w:val="0"/>
              <w:spacing w:before="0" w:after="283"/>
              <w:jc w:val="left"/>
              <w:rPr/>
            </w:pPr>
            <w:r>
              <w:rPr/>
              <w:t> </w:t>
            </w:r>
          </w:p>
        </w:tc>
        <w:tc>
          <w:tcPr>
            <w:tcW w:w="1000" w:type="dxa"/>
            <w:gridSpan w:val="3"/>
            <w:tcBorders/>
            <w:vAlign w:val="center"/>
          </w:tcPr>
          <w:p>
            <w:pPr>
              <w:pStyle w:val="TableContents"/>
              <w:bidi w:val="0"/>
              <w:spacing w:before="0" w:after="283"/>
              <w:jc w:val="center"/>
              <w:rPr/>
            </w:pPr>
            <w:r>
              <w:rPr/>
              <w:t>Fair</w:t>
            </w:r>
          </w:p>
        </w:tc>
        <w:tc>
          <w:tcPr>
            <w:tcW w:w="60" w:type="dxa"/>
            <w:tcBorders/>
            <w:vAlign w:val="center"/>
          </w:tcPr>
          <w:p>
            <w:pPr>
              <w:pStyle w:val="TableContents"/>
              <w:bidi w:val="0"/>
              <w:spacing w:before="0" w:after="283"/>
              <w:jc w:val="left"/>
              <w:rPr/>
            </w:pPr>
            <w:r>
              <w:rPr/>
              <w:t> </w:t>
            </w:r>
          </w:p>
        </w:tc>
        <w:tc>
          <w:tcPr>
            <w:tcW w:w="1000" w:type="dxa"/>
            <w:gridSpan w:val="3"/>
            <w:tcBorders/>
            <w:vAlign w:val="center"/>
          </w:tcPr>
          <w:p>
            <w:pPr>
              <w:pStyle w:val="TableContents"/>
              <w:bidi w:val="0"/>
              <w:spacing w:before="0" w:after="283"/>
              <w:jc w:val="center"/>
              <w:rPr/>
            </w:pPr>
            <w:r>
              <w:rPr/>
              <w:t>Carrying</w:t>
            </w:r>
          </w:p>
        </w:tc>
        <w:tc>
          <w:tcPr>
            <w:tcW w:w="60" w:type="dxa"/>
            <w:tcBorders/>
            <w:vAlign w:val="center"/>
          </w:tcPr>
          <w:p>
            <w:pPr>
              <w:pStyle w:val="TableContents"/>
              <w:bidi w:val="0"/>
              <w:spacing w:before="0" w:after="283"/>
              <w:jc w:val="left"/>
              <w:rPr/>
            </w:pPr>
            <w:r>
              <w:rPr/>
              <w:t> </w:t>
            </w:r>
          </w:p>
        </w:tc>
        <w:tc>
          <w:tcPr>
            <w:tcW w:w="1015" w:type="dxa"/>
            <w:gridSpan w:val="3"/>
            <w:tcBorders/>
            <w:vAlign w:val="center"/>
          </w:tcPr>
          <w:p>
            <w:pPr>
              <w:pStyle w:val="TableContents"/>
              <w:bidi w:val="0"/>
              <w:spacing w:before="0" w:after="283"/>
              <w:jc w:val="center"/>
              <w:rPr/>
            </w:pPr>
            <w:r>
              <w:rPr/>
              <w:t>Fair</w:t>
            </w:r>
          </w:p>
        </w:tc>
      </w:tr>
      <w:tr>
        <w:trPr/>
        <w:tc>
          <w:tcPr>
            <w:tcW w:w="635" w:type="dxa"/>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000" w:type="dxa"/>
            <w:gridSpan w:val="3"/>
            <w:tcBorders>
              <w:bottom w:val="single" w:sz="8" w:space="0" w:color="000000"/>
            </w:tcBorders>
            <w:tcMar>
              <w:bottom w:w="28" w:type="dxa"/>
            </w:tcMar>
            <w:vAlign w:val="center"/>
          </w:tcPr>
          <w:p>
            <w:pPr>
              <w:pStyle w:val="TableContents"/>
              <w:bidi w:val="0"/>
              <w:spacing w:before="0" w:after="283"/>
              <w:jc w:val="center"/>
              <w:rPr/>
            </w:pPr>
            <w:r>
              <w:rPr/>
              <w:t>Amount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000" w:type="dxa"/>
            <w:gridSpan w:val="3"/>
            <w:tcBorders>
              <w:bottom w:val="single" w:sz="8" w:space="0" w:color="000000"/>
            </w:tcBorders>
            <w:tcMar>
              <w:bottom w:w="28" w:type="dxa"/>
            </w:tcMar>
            <w:vAlign w:val="center"/>
          </w:tcPr>
          <w:p>
            <w:pPr>
              <w:pStyle w:val="TableContents"/>
              <w:bidi w:val="0"/>
              <w:spacing w:before="0" w:after="283"/>
              <w:jc w:val="center"/>
              <w:rPr/>
            </w:pPr>
            <w:r>
              <w:rPr/>
              <w:t>Value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000" w:type="dxa"/>
            <w:gridSpan w:val="3"/>
            <w:tcBorders>
              <w:bottom w:val="single" w:sz="8" w:space="0" w:color="000000"/>
            </w:tcBorders>
            <w:tcMar>
              <w:bottom w:w="28" w:type="dxa"/>
            </w:tcMar>
            <w:vAlign w:val="center"/>
          </w:tcPr>
          <w:p>
            <w:pPr>
              <w:pStyle w:val="TableContents"/>
              <w:bidi w:val="0"/>
              <w:spacing w:before="0" w:after="283"/>
              <w:jc w:val="center"/>
              <w:rPr/>
            </w:pPr>
            <w:r>
              <w:rPr/>
              <w:t>Amount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015" w:type="dxa"/>
            <w:gridSpan w:val="3"/>
            <w:tcBorders>
              <w:bottom w:val="single" w:sz="8" w:space="0" w:color="000000"/>
            </w:tcBorders>
            <w:tcMar>
              <w:bottom w:w="28" w:type="dxa"/>
            </w:tcMar>
            <w:vAlign w:val="center"/>
          </w:tcPr>
          <w:p>
            <w:pPr>
              <w:pStyle w:val="TableContents"/>
              <w:bidi w:val="0"/>
              <w:spacing w:before="0" w:after="283"/>
              <w:jc w:val="center"/>
              <w:rPr/>
            </w:pPr>
            <w:r>
              <w:rPr/>
              <w:t>Value</w:t>
            </w:r>
          </w:p>
        </w:tc>
      </w:tr>
      <w:tr>
        <w:trPr/>
        <w:tc>
          <w:tcPr>
            <w:tcW w:w="635" w:type="dxa"/>
            <w:tcBorders/>
            <w:shd w:fill="CCEEFF" w:val="clear"/>
            <w:vAlign w:val="center"/>
          </w:tcPr>
          <w:p>
            <w:pPr>
              <w:pStyle w:val="TableContents"/>
              <w:bidi w:val="0"/>
              <w:spacing w:before="0" w:after="283"/>
              <w:jc w:val="left"/>
              <w:rPr/>
            </w:pPr>
            <w:r>
              <w:rPr/>
              <w:t>FMBs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133,374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131,745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147,269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138,756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was not practicable to estimate the fair value on our outstanding long-term debt for which there is no quoted market price and there is not an active trading market. For details, including carrying value, interest rate and due date on these series of long-term debt, please refer to those series of long-term debt titled “Amortizing Secured Notes” and “State Revolving Trust Notes” on the Consolidated Statements of Capital Stock and Long-Term Debt. The carrying amount of these instruments was $231.3 million and $159.1 million at December 31, 2023 and 2022, respectively. Customer advances for construction have carrying amounts of $21.3 million and $21.4 million at December 31, 2023 and 2022, respectively. Their relative fair values cannot be accurately estimated since future refund payments depend on several variables, including new customer connections, customer consumption levels and future rate increases.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7 - Employee Benefit Plans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Pension Benefits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Pension Plan covers all active employees hired prior to April 1, 2007. Employees hired after March 31, 2007 are not eligible to participate in this plan, but can participate in a defined contribution profit sharing plan that provides an annual contribution at the discretion of the Company, based upon a percentage of the participants’ annual paid compensation. In order to be eligible for contribution, the eligible employee must be employed by the Company on December 31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of the year to which the contribution relates. The Company maintains an unfunded supplemental plan for a limited number of its executive officers. The Accumulated Benefit Obligation for the Company’s Pension Plan at December 31, 2023 and 2022 was $83.7 million and $79.4 million, respectively.</w:t>
      </w:r>
    </w:p>
    <w:p>
      <w:pPr>
        <w:pStyle w:val="TextBody"/>
        <w:bidi w:val="0"/>
        <w:spacing w:before="0" w:after="0"/>
        <w:ind w:left="0" w:right="0" w:firstLine="11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Benefits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Other Benefits Plan covers substantially all of its current retired employees. Employees hired after March 31, 2007 are not eligible to participate in this plan. Coverage includes healthcare and life insurance.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Regulatory Treatment of Over/Underfunded Retirement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Because the Company is subject to rate regulation in the states in which it operates, it is required to maintain its accounts in accordance with the regulatory authority’s rules and guidelines, which may differ from other authoritative accounting pronouncements. In those instances, the Company follows the guidance of ASC 980, </w:t>
      </w:r>
      <w:r>
        <w:rPr>
          <w:rFonts w:ascii="Times New Roman;Times;Serif" w:hAnsi="Times New Roman;Times;Serif"/>
          <w:b w:val="false"/>
          <w:i/>
          <w:caps w:val="false"/>
          <w:smallCaps w:val="false"/>
          <w:sz w:val="20"/>
        </w:rPr>
        <w:t>Regulated Operations</w:t>
      </w:r>
      <w:r>
        <w:rPr>
          <w:rFonts w:ascii="Times New Roman;Times;Serif" w:hAnsi="Times New Roman;Times;Serif"/>
          <w:b w:val="false"/>
          <w:i w:val="false"/>
          <w:caps w:val="false"/>
          <w:smallCaps w:val="false"/>
          <w:sz w:val="20"/>
        </w:rPr>
        <w:t xml:space="preserve">. Based on prior regulatory practice, and in accordance with the guidance in ASC 980, </w:t>
      </w:r>
      <w:r>
        <w:rPr>
          <w:rFonts w:ascii="Times New Roman;Times;Serif" w:hAnsi="Times New Roman;Times;Serif"/>
          <w:b w:val="false"/>
          <w:i/>
          <w:caps w:val="false"/>
          <w:smallCaps w:val="false"/>
          <w:sz w:val="20"/>
        </w:rPr>
        <w:t>Regulated Operations</w:t>
      </w:r>
      <w:r>
        <w:rPr>
          <w:rFonts w:ascii="Times New Roman;Times;Serif" w:hAnsi="Times New Roman;Times;Serif"/>
          <w:b w:val="false"/>
          <w:i w:val="false"/>
          <w:caps w:val="false"/>
          <w:smallCaps w:val="false"/>
          <w:sz w:val="20"/>
        </w:rPr>
        <w:t xml:space="preserve">, the Company records underfunded Pension Plan and Other Benefits Plan obligation costs, which otherwise would be recognized in Other Comprehensive Income under ASC 715, </w:t>
      </w:r>
      <w:r>
        <w:rPr>
          <w:rFonts w:ascii="Times New Roman;Times;Serif" w:hAnsi="Times New Roman;Times;Serif"/>
          <w:b w:val="false"/>
          <w:i/>
          <w:caps w:val="false"/>
          <w:smallCaps w:val="false"/>
          <w:sz w:val="20"/>
        </w:rPr>
        <w:t>Compensation – Retirement Benefits</w:t>
      </w:r>
      <w:r>
        <w:rPr>
          <w:rFonts w:ascii="Times New Roman;Times;Serif" w:hAnsi="Times New Roman;Times;Serif"/>
          <w:b w:val="false"/>
          <w:i w:val="false"/>
          <w:caps w:val="false"/>
          <w:smallCaps w:val="false"/>
          <w:sz w:val="20"/>
        </w:rPr>
        <w:t>, as a Regulatory Asset, and expects to recover those costs in rates charged to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64 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a December 31 measurement date for all of its employee benefit plans. The tables below set forth information relating to the Company’s Pension Plan and Other Benefits Plan for 2023 and 2022.</w:t>
      </w:r>
    </w:p>
    <w:p>
      <w:pPr>
        <w:pStyle w:val="TextBody"/>
        <w:bidi w:val="0"/>
        <w:spacing w:before="0" w:after="0"/>
        <w:ind w:left="0" w:right="0" w:hanging="0"/>
        <w:jc w:val="left"/>
        <w:rPr>
          <w:caps w:val="false"/>
          <w:smallCaps w:val="false"/>
        </w:rPr>
      </w:pPr>
      <w:r>
        <w:rPr>
          <w:caps w:val="false"/>
          <w:smallCaps w:val="false"/>
        </w:rPr>
        <w:t> </w:t>
      </w:r>
    </w:p>
    <w:tbl>
      <w:tblPr>
        <w:tblW w:w="7987" w:type="dxa"/>
        <w:jc w:val="left"/>
        <w:tblInd w:w="0" w:type="dxa"/>
        <w:tblLayout w:type="fixed"/>
        <w:tblCellMar>
          <w:top w:w="0" w:type="dxa"/>
          <w:left w:w="0" w:type="dxa"/>
          <w:bottom w:w="0" w:type="dxa"/>
          <w:right w:w="0" w:type="dxa"/>
        </w:tblCellMar>
      </w:tblPr>
      <w:tblGrid>
        <w:gridCol w:w="3830"/>
        <w:gridCol w:w="60"/>
        <w:gridCol w:w="140"/>
        <w:gridCol w:w="680"/>
        <w:gridCol w:w="95"/>
        <w:gridCol w:w="60"/>
        <w:gridCol w:w="140"/>
        <w:gridCol w:w="800"/>
        <w:gridCol w:w="95"/>
        <w:gridCol w:w="60"/>
        <w:gridCol w:w="143"/>
        <w:gridCol w:w="697"/>
        <w:gridCol w:w="97"/>
        <w:gridCol w:w="61"/>
        <w:gridCol w:w="143"/>
        <w:gridCol w:w="774"/>
        <w:gridCol w:w="112"/>
      </w:tblGrid>
      <w:tr>
        <w:trPr/>
        <w:tc>
          <w:tcPr>
            <w:tcW w:w="38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097" w:type="dxa"/>
            <w:gridSpan w:val="15"/>
            <w:tcBorders/>
            <w:vAlign w:val="center"/>
          </w:tcPr>
          <w:p>
            <w:pPr>
              <w:pStyle w:val="TableContents"/>
              <w:bidi w:val="0"/>
              <w:spacing w:before="0" w:after="283"/>
              <w:jc w:val="center"/>
              <w:rPr>
                <w:i w:val="false"/>
                <w:caps w:val="false"/>
                <w:smallCaps w:val="false"/>
              </w:rPr>
            </w:pPr>
            <w:r>
              <w:rPr>
                <w:i w:val="false"/>
                <w:caps w:val="false"/>
                <w:smallCaps w:val="false"/>
              </w:rPr>
              <w:t>(</w:t>
            </w:r>
            <w:r>
              <w:rPr>
                <w:rFonts w:ascii="Times New Roman;Times;Serif" w:hAnsi="Times New Roman;Times;Serif"/>
                <w:b/>
                <w:i w:val="false"/>
                <w:caps w:val="false"/>
                <w:smallCaps w:val="false"/>
                <w:sz w:val="20"/>
              </w:rPr>
              <w:t>Thousands of Dollars)</w:t>
            </w:r>
          </w:p>
        </w:tc>
      </w:tr>
      <w:tr>
        <w:trPr/>
        <w:tc>
          <w:tcPr>
            <w:tcW w:w="38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010" w:type="dxa"/>
            <w:gridSpan w:val="7"/>
            <w:tcBorders/>
            <w:vAlign w:val="center"/>
          </w:tcPr>
          <w:p>
            <w:pPr>
              <w:pStyle w:val="TableContents"/>
              <w:bidi w:val="0"/>
              <w:spacing w:before="0" w:after="283"/>
              <w:jc w:val="center"/>
              <w:rPr>
                <w:b/>
              </w:rPr>
            </w:pPr>
            <w:r>
              <w:rPr>
                <w:b/>
              </w:rPr>
              <w:t>Pension Plan</w:t>
            </w:r>
          </w:p>
        </w:tc>
        <w:tc>
          <w:tcPr>
            <w:tcW w:w="60" w:type="dxa"/>
            <w:tcBorders/>
            <w:vAlign w:val="center"/>
          </w:tcPr>
          <w:p>
            <w:pPr>
              <w:pStyle w:val="TableContents"/>
              <w:bidi w:val="0"/>
              <w:spacing w:before="0" w:after="283"/>
              <w:jc w:val="left"/>
              <w:rPr/>
            </w:pPr>
            <w:r>
              <w:rPr/>
              <w:t> </w:t>
            </w:r>
          </w:p>
        </w:tc>
        <w:tc>
          <w:tcPr>
            <w:tcW w:w="2027" w:type="dxa"/>
            <w:gridSpan w:val="7"/>
            <w:tcBorders/>
            <w:vAlign w:val="center"/>
          </w:tcPr>
          <w:p>
            <w:pPr>
              <w:pStyle w:val="TableContents"/>
              <w:bidi w:val="0"/>
              <w:spacing w:before="0" w:after="283"/>
              <w:jc w:val="center"/>
              <w:rPr>
                <w:b/>
              </w:rPr>
            </w:pPr>
            <w:r>
              <w:rPr>
                <w:b/>
              </w:rPr>
              <w:t>Other Benefits Plan</w:t>
            </w:r>
          </w:p>
        </w:tc>
      </w:tr>
      <w:tr>
        <w:trPr/>
        <w:tc>
          <w:tcPr>
            <w:tcW w:w="38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097" w:type="dxa"/>
            <w:gridSpan w:val="15"/>
            <w:tcBorders/>
            <w:vAlign w:val="center"/>
          </w:tcPr>
          <w:p>
            <w:pPr>
              <w:pStyle w:val="TableContents"/>
              <w:bidi w:val="0"/>
              <w:spacing w:before="0" w:after="283"/>
              <w:jc w:val="center"/>
              <w:rPr>
                <w:b/>
              </w:rPr>
            </w:pPr>
            <w:r>
              <w:rPr>
                <w:b/>
              </w:rPr>
              <w:t>Years Ended December 31,</w:t>
            </w:r>
          </w:p>
        </w:tc>
      </w:tr>
      <w:tr>
        <w:trPr/>
        <w:tc>
          <w:tcPr>
            <w:tcW w:w="3830" w:type="dxa"/>
            <w:tcBorders/>
            <w:vAlign w:val="center"/>
          </w:tcPr>
          <w:p>
            <w:pPr>
              <w:pStyle w:val="TableContents"/>
              <w:bidi w:val="0"/>
              <w:spacing w:before="0" w:after="283"/>
              <w:jc w:val="center"/>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915"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035"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937"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1" w:type="dxa"/>
            <w:tcBorders>
              <w:bottom w:val="single" w:sz="8" w:space="0" w:color="000000"/>
            </w:tcBorders>
            <w:tcMar>
              <w:bottom w:w="28" w:type="dxa"/>
            </w:tcMar>
            <w:vAlign w:val="center"/>
          </w:tcPr>
          <w:p>
            <w:pPr>
              <w:pStyle w:val="TableContents"/>
              <w:bidi w:val="0"/>
              <w:spacing w:before="0" w:after="283"/>
              <w:jc w:val="left"/>
              <w:rPr/>
            </w:pPr>
            <w:r>
              <w:rPr/>
              <w:t> </w:t>
            </w:r>
          </w:p>
        </w:tc>
        <w:tc>
          <w:tcPr>
            <w:tcW w:w="1029"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2022</w:t>
            </w:r>
          </w:p>
        </w:tc>
      </w:tr>
      <w:tr>
        <w:trPr/>
        <w:tc>
          <w:tcPr>
            <w:tcW w:w="3830" w:type="dxa"/>
            <w:tcBorders/>
            <w:shd w:fill="CCEEFF" w:val="clear"/>
            <w:vAlign w:val="center"/>
          </w:tcPr>
          <w:p>
            <w:pPr>
              <w:pStyle w:val="TableContents"/>
              <w:bidi w:val="0"/>
              <w:spacing w:before="0" w:after="283"/>
              <w:jc w:val="left"/>
              <w:rPr/>
            </w:pPr>
            <w:r>
              <w:rPr/>
              <w:t>Change in Projected Benefit Obligation: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697"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74"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3830" w:type="dxa"/>
            <w:tcBorders/>
            <w:vAlign w:val="center"/>
          </w:tcPr>
          <w:p>
            <w:pPr>
              <w:pStyle w:val="TableContents"/>
              <w:bidi w:val="0"/>
              <w:spacing w:before="0" w:after="283"/>
              <w:jc w:val="left"/>
              <w:rPr/>
            </w:pPr>
            <w:r>
              <w:rPr/>
              <w:t>Beginning Balance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87,788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113,710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w:t>
            </w:r>
          </w:p>
        </w:tc>
        <w:tc>
          <w:tcPr>
            <w:tcW w:w="697" w:type="dxa"/>
            <w:tcBorders/>
            <w:vAlign w:val="center"/>
          </w:tcPr>
          <w:p>
            <w:pPr>
              <w:pStyle w:val="TableContents"/>
              <w:bidi w:val="0"/>
              <w:spacing w:before="0" w:after="283"/>
              <w:jc w:val="right"/>
              <w:rPr/>
            </w:pPr>
            <w:r>
              <w:rPr/>
              <w:t>32,909</w:t>
            </w:r>
          </w:p>
        </w:tc>
        <w:tc>
          <w:tcPr>
            <w:tcW w:w="97"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w:t>
            </w:r>
          </w:p>
        </w:tc>
        <w:tc>
          <w:tcPr>
            <w:tcW w:w="774" w:type="dxa"/>
            <w:tcBorders/>
            <w:vAlign w:val="center"/>
          </w:tcPr>
          <w:p>
            <w:pPr>
              <w:pStyle w:val="TableContents"/>
              <w:bidi w:val="0"/>
              <w:spacing w:before="0" w:after="283"/>
              <w:jc w:val="right"/>
              <w:rPr/>
            </w:pPr>
            <w:r>
              <w:rPr/>
              <w:t>49,396</w:t>
            </w:r>
          </w:p>
        </w:tc>
        <w:tc>
          <w:tcPr>
            <w:tcW w:w="112" w:type="dxa"/>
            <w:tcBorders/>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283"/>
              <w:jc w:val="left"/>
              <w:rPr/>
            </w:pPr>
            <w:r>
              <w:rPr/>
              <w:t>Service Cost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1,551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2,362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697" w:type="dxa"/>
            <w:tcBorders/>
            <w:shd w:fill="CCEEFF" w:val="clear"/>
            <w:vAlign w:val="center"/>
          </w:tcPr>
          <w:p>
            <w:pPr>
              <w:pStyle w:val="TableContents"/>
              <w:bidi w:val="0"/>
              <w:spacing w:before="0" w:after="283"/>
              <w:jc w:val="right"/>
              <w:rPr/>
            </w:pPr>
            <w:r>
              <w:rPr/>
              <w:t>391</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74" w:type="dxa"/>
            <w:tcBorders/>
            <w:shd w:fill="CCEEFF" w:val="clear"/>
            <w:vAlign w:val="center"/>
          </w:tcPr>
          <w:p>
            <w:pPr>
              <w:pStyle w:val="TableContents"/>
              <w:bidi w:val="0"/>
              <w:spacing w:before="0" w:after="283"/>
              <w:jc w:val="right"/>
              <w:rPr/>
            </w:pPr>
            <w:r>
              <w:rPr/>
              <w:t>799</w:t>
            </w:r>
          </w:p>
        </w:tc>
        <w:tc>
          <w:tcPr>
            <w:tcW w:w="112" w:type="dxa"/>
            <w:tcBorders/>
            <w:shd w:fill="CCEEFF" w:val="clear"/>
            <w:vAlign w:val="center"/>
          </w:tcPr>
          <w:p>
            <w:pPr>
              <w:pStyle w:val="TableContents"/>
              <w:bidi w:val="0"/>
              <w:spacing w:before="0" w:after="283"/>
              <w:jc w:val="left"/>
              <w:rPr/>
            </w:pPr>
            <w:r>
              <w:rPr/>
              <w:t> </w:t>
            </w:r>
          </w:p>
        </w:tc>
      </w:tr>
      <w:tr>
        <w:trPr/>
        <w:tc>
          <w:tcPr>
            <w:tcW w:w="3830" w:type="dxa"/>
            <w:tcBorders/>
            <w:vAlign w:val="center"/>
          </w:tcPr>
          <w:p>
            <w:pPr>
              <w:pStyle w:val="TableContents"/>
              <w:bidi w:val="0"/>
              <w:spacing w:before="0" w:after="283"/>
              <w:jc w:val="left"/>
              <w:rPr/>
            </w:pPr>
            <w:r>
              <w:rPr/>
              <w:t>Interest Cost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4,270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3,042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697" w:type="dxa"/>
            <w:tcBorders/>
            <w:vAlign w:val="center"/>
          </w:tcPr>
          <w:p>
            <w:pPr>
              <w:pStyle w:val="TableContents"/>
              <w:bidi w:val="0"/>
              <w:spacing w:before="0" w:after="283"/>
              <w:jc w:val="right"/>
              <w:rPr/>
            </w:pPr>
            <w:r>
              <w:rPr/>
              <w:t>1,608</w:t>
            </w:r>
          </w:p>
        </w:tc>
        <w:tc>
          <w:tcPr>
            <w:tcW w:w="97"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774" w:type="dxa"/>
            <w:tcBorders/>
            <w:vAlign w:val="center"/>
          </w:tcPr>
          <w:p>
            <w:pPr>
              <w:pStyle w:val="TableContents"/>
              <w:bidi w:val="0"/>
              <w:spacing w:before="0" w:after="283"/>
              <w:jc w:val="right"/>
              <w:rPr/>
            </w:pPr>
            <w:r>
              <w:rPr/>
              <w:t>1,325</w:t>
            </w:r>
          </w:p>
        </w:tc>
        <w:tc>
          <w:tcPr>
            <w:tcW w:w="112" w:type="dxa"/>
            <w:tcBorders/>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283"/>
              <w:jc w:val="left"/>
              <w:rPr/>
            </w:pPr>
            <w:r>
              <w:rPr/>
              <w:t>Actuarial (Gain)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1,966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(27,850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697" w:type="dxa"/>
            <w:tcBorders/>
            <w:shd w:fill="CCEEFF" w:val="clear"/>
            <w:vAlign w:val="center"/>
          </w:tcPr>
          <w:p>
            <w:pPr>
              <w:pStyle w:val="TableContents"/>
              <w:bidi w:val="0"/>
              <w:spacing w:before="0" w:after="283"/>
              <w:jc w:val="right"/>
              <w:rPr/>
            </w:pPr>
            <w:r>
              <w:rPr/>
              <w:t>(5,968</w:t>
            </w:r>
          </w:p>
        </w:tc>
        <w:tc>
          <w:tcPr>
            <w:tcW w:w="97" w:type="dxa"/>
            <w:tcBorders/>
            <w:shd w:fill="CCEEFF" w:val="clear"/>
            <w:vAlign w:val="center"/>
          </w:tcPr>
          <w:p>
            <w:pPr>
              <w:pStyle w:val="TableContents"/>
              <w:bidi w:val="0"/>
              <w:spacing w:before="0" w:after="283"/>
              <w:jc w:val="left"/>
              <w:rPr/>
            </w:pPr>
            <w:r>
              <w:rPr/>
              <w:t>)</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74" w:type="dxa"/>
            <w:tcBorders/>
            <w:shd w:fill="CCEEFF" w:val="clear"/>
            <w:vAlign w:val="center"/>
          </w:tcPr>
          <w:p>
            <w:pPr>
              <w:pStyle w:val="TableContents"/>
              <w:bidi w:val="0"/>
              <w:spacing w:before="0" w:after="283"/>
              <w:jc w:val="right"/>
              <w:rPr/>
            </w:pPr>
            <w:r>
              <w:rPr/>
              <w:t>(17,761</w:t>
            </w:r>
          </w:p>
        </w:tc>
        <w:tc>
          <w:tcPr>
            <w:tcW w:w="112" w:type="dxa"/>
            <w:tcBorders/>
            <w:shd w:fill="CCEEFF" w:val="clear"/>
            <w:vAlign w:val="center"/>
          </w:tcPr>
          <w:p>
            <w:pPr>
              <w:pStyle w:val="TableContents"/>
              <w:bidi w:val="0"/>
              <w:spacing w:before="0" w:after="283"/>
              <w:jc w:val="left"/>
              <w:rPr/>
            </w:pPr>
            <w:r>
              <w:rPr/>
              <w:t>)</w:t>
            </w:r>
          </w:p>
        </w:tc>
      </w:tr>
      <w:tr>
        <w:trPr/>
        <w:tc>
          <w:tcPr>
            <w:tcW w:w="3830" w:type="dxa"/>
            <w:tcBorders/>
            <w:vAlign w:val="center"/>
          </w:tcPr>
          <w:p>
            <w:pPr>
              <w:pStyle w:val="TableContents"/>
              <w:bidi w:val="0"/>
              <w:spacing w:before="0" w:after="283"/>
              <w:jc w:val="left"/>
              <w:rPr/>
            </w:pPr>
            <w:r>
              <w:rPr/>
              <w:t>Benefits Paid</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tcMar>
              <w:bottom w:w="28" w:type="dxa"/>
            </w:tcMar>
            <w:vAlign w:val="center"/>
          </w:tcPr>
          <w:p>
            <w:pPr>
              <w:pStyle w:val="TableContents"/>
              <w:bidi w:val="0"/>
              <w:spacing w:before="0" w:after="283"/>
              <w:jc w:val="right"/>
              <w:rPr/>
            </w:pPr>
            <w:r>
              <w:rPr/>
              <w:t>(3,722</w:t>
            </w:r>
          </w:p>
        </w:tc>
        <w:tc>
          <w:tcPr>
            <w:tcW w:w="95" w:type="dxa"/>
            <w:tcBorders>
              <w:bottom w:val="single" w:sz="8" w:space="0" w:color="000000"/>
            </w:tcBorders>
            <w:tcMar>
              <w:bottom w:w="28" w:type="dxa"/>
            </w:tcMar>
            <w:vAlign w:val="center"/>
          </w:tcPr>
          <w:p>
            <w:pPr>
              <w:pStyle w:val="TableContents"/>
              <w:bidi w:val="0"/>
              <w:spacing w:before="0" w:after="283"/>
              <w:jc w:val="left"/>
              <w:rPr/>
            </w:pPr>
            <w:r>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right"/>
              <w:rPr/>
            </w:pPr>
            <w:r>
              <w:rPr/>
              <w:t>(3,476</w:t>
            </w:r>
          </w:p>
        </w:tc>
        <w:tc>
          <w:tcPr>
            <w:tcW w:w="95" w:type="dxa"/>
            <w:tcBorders>
              <w:bottom w:val="single" w:sz="8" w:space="0" w:color="000000"/>
            </w:tcBorders>
            <w:tcMar>
              <w:bottom w:w="28" w:type="dxa"/>
            </w:tcMar>
            <w:vAlign w:val="center"/>
          </w:tcPr>
          <w:p>
            <w:pPr>
              <w:pStyle w:val="TableContents"/>
              <w:bidi w:val="0"/>
              <w:spacing w:before="0" w:after="283"/>
              <w:jc w:val="left"/>
              <w:rPr/>
            </w:pPr>
            <w:r>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3" w:type="dxa"/>
            <w:tcBorders>
              <w:bottom w:val="single" w:sz="8" w:space="0" w:color="000000"/>
            </w:tcBorders>
            <w:tcMar>
              <w:bottom w:w="28" w:type="dxa"/>
            </w:tcMar>
            <w:vAlign w:val="center"/>
          </w:tcPr>
          <w:p>
            <w:pPr>
              <w:pStyle w:val="TableContents"/>
              <w:bidi w:val="0"/>
              <w:spacing w:before="0" w:after="283"/>
              <w:jc w:val="left"/>
              <w:rPr/>
            </w:pPr>
            <w:r>
              <w:rPr/>
              <w:t> </w:t>
            </w:r>
          </w:p>
        </w:tc>
        <w:tc>
          <w:tcPr>
            <w:tcW w:w="697" w:type="dxa"/>
            <w:tcBorders>
              <w:bottom w:val="single" w:sz="8" w:space="0" w:color="000000"/>
            </w:tcBorders>
            <w:tcMar>
              <w:bottom w:w="28" w:type="dxa"/>
            </w:tcMar>
            <w:vAlign w:val="center"/>
          </w:tcPr>
          <w:p>
            <w:pPr>
              <w:pStyle w:val="TableContents"/>
              <w:bidi w:val="0"/>
              <w:spacing w:before="0" w:after="283"/>
              <w:jc w:val="right"/>
              <w:rPr/>
            </w:pPr>
            <w:r>
              <w:rPr/>
              <w:t>(940</w:t>
            </w:r>
          </w:p>
        </w:tc>
        <w:tc>
          <w:tcPr>
            <w:tcW w:w="97" w:type="dxa"/>
            <w:tcBorders>
              <w:bottom w:val="single" w:sz="8" w:space="0" w:color="000000"/>
            </w:tcBorders>
            <w:tcMar>
              <w:bottom w:w="28" w:type="dxa"/>
            </w:tcMar>
            <w:vAlign w:val="center"/>
          </w:tcPr>
          <w:p>
            <w:pPr>
              <w:pStyle w:val="TableContents"/>
              <w:bidi w:val="0"/>
              <w:spacing w:before="0" w:after="283"/>
              <w:jc w:val="left"/>
              <w:rPr/>
            </w:pPr>
            <w:r>
              <w:rPr/>
              <w:t>)</w:t>
            </w:r>
          </w:p>
        </w:tc>
        <w:tc>
          <w:tcPr>
            <w:tcW w:w="61" w:type="dxa"/>
            <w:tcBorders>
              <w:bottom w:val="single" w:sz="8" w:space="0" w:color="000000"/>
            </w:tcBorders>
            <w:tcMar>
              <w:bottom w:w="28" w:type="dxa"/>
            </w:tcMar>
            <w:vAlign w:val="center"/>
          </w:tcPr>
          <w:p>
            <w:pPr>
              <w:pStyle w:val="TableContents"/>
              <w:bidi w:val="0"/>
              <w:spacing w:before="0" w:after="283"/>
              <w:jc w:val="left"/>
              <w:rPr/>
            </w:pPr>
            <w:r>
              <w:rPr/>
              <w:t> </w:t>
            </w:r>
          </w:p>
        </w:tc>
        <w:tc>
          <w:tcPr>
            <w:tcW w:w="143" w:type="dxa"/>
            <w:tcBorders>
              <w:bottom w:val="single" w:sz="8" w:space="0" w:color="000000"/>
            </w:tcBorders>
            <w:tcMar>
              <w:bottom w:w="28" w:type="dxa"/>
            </w:tcMar>
            <w:vAlign w:val="center"/>
          </w:tcPr>
          <w:p>
            <w:pPr>
              <w:pStyle w:val="TableContents"/>
              <w:bidi w:val="0"/>
              <w:spacing w:before="0" w:after="283"/>
              <w:jc w:val="left"/>
              <w:rPr/>
            </w:pPr>
            <w:r>
              <w:rPr/>
              <w:t> </w:t>
            </w:r>
          </w:p>
        </w:tc>
        <w:tc>
          <w:tcPr>
            <w:tcW w:w="774" w:type="dxa"/>
            <w:tcBorders>
              <w:bottom w:val="single" w:sz="8" w:space="0" w:color="000000"/>
            </w:tcBorders>
            <w:tcMar>
              <w:bottom w:w="28" w:type="dxa"/>
            </w:tcMar>
            <w:vAlign w:val="center"/>
          </w:tcPr>
          <w:p>
            <w:pPr>
              <w:pStyle w:val="TableContents"/>
              <w:bidi w:val="0"/>
              <w:spacing w:before="0" w:after="283"/>
              <w:jc w:val="right"/>
              <w:rPr/>
            </w:pPr>
            <w:r>
              <w:rPr/>
              <w:t>(850</w:t>
            </w:r>
          </w:p>
        </w:tc>
        <w:tc>
          <w:tcPr>
            <w:tcW w:w="112" w:type="dxa"/>
            <w:tcBorders>
              <w:bottom w:val="single" w:sz="8" w:space="0" w:color="000000"/>
            </w:tcBorders>
            <w:tcMar>
              <w:bottom w:w="28" w:type="dxa"/>
            </w:tcMar>
            <w:vAlign w:val="center"/>
          </w:tcPr>
          <w:p>
            <w:pPr>
              <w:pStyle w:val="TableContents"/>
              <w:bidi w:val="0"/>
              <w:spacing w:before="0" w:after="283"/>
              <w:jc w:val="left"/>
              <w:rPr/>
            </w:pPr>
            <w:r>
              <w:rPr/>
              <w:t>)</w:t>
            </w:r>
          </w:p>
        </w:tc>
      </w:tr>
      <w:tr>
        <w:trPr/>
        <w:tc>
          <w:tcPr>
            <w:tcW w:w="3830" w:type="dxa"/>
            <w:tcBorders/>
            <w:shd w:fill="CCEEFF" w:val="clear"/>
            <w:vAlign w:val="center"/>
          </w:tcPr>
          <w:p>
            <w:pPr>
              <w:pStyle w:val="TableContents"/>
              <w:bidi w:val="0"/>
              <w:spacing w:before="0" w:after="283"/>
              <w:jc w:val="left"/>
              <w:rPr/>
            </w:pPr>
            <w:r>
              <w:rPr/>
              <w:t>Ending Balance</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91,853</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87,788</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697" w:type="dxa"/>
            <w:tcBorders>
              <w:bottom w:val="single" w:sz="8" w:space="0" w:color="000000"/>
            </w:tcBorders>
            <w:shd w:fill="CCEEFF" w:val="clear"/>
            <w:tcMar>
              <w:bottom w:w="28" w:type="dxa"/>
            </w:tcMar>
            <w:vAlign w:val="center"/>
          </w:tcPr>
          <w:p>
            <w:pPr>
              <w:pStyle w:val="TableContents"/>
              <w:bidi w:val="0"/>
              <w:spacing w:before="0" w:after="283"/>
              <w:jc w:val="right"/>
              <w:rPr/>
            </w:pPr>
            <w:r>
              <w:rPr/>
              <w:t>28,000</w:t>
            </w:r>
          </w:p>
        </w:tc>
        <w:tc>
          <w:tcPr>
            <w:tcW w:w="9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774" w:type="dxa"/>
            <w:tcBorders>
              <w:bottom w:val="single" w:sz="8" w:space="0" w:color="000000"/>
            </w:tcBorders>
            <w:shd w:fill="CCEEFF" w:val="clear"/>
            <w:tcMar>
              <w:bottom w:w="28" w:type="dxa"/>
            </w:tcMar>
            <w:vAlign w:val="center"/>
          </w:tcPr>
          <w:p>
            <w:pPr>
              <w:pStyle w:val="TableContents"/>
              <w:bidi w:val="0"/>
              <w:spacing w:before="0" w:after="283"/>
              <w:jc w:val="right"/>
              <w:rPr/>
            </w:pPr>
            <w:r>
              <w:rPr/>
              <w:t>32,909</w:t>
            </w:r>
          </w:p>
        </w:tc>
        <w:tc>
          <w:tcPr>
            <w:tcW w:w="11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7702" w:type="dxa"/>
        <w:jc w:val="left"/>
        <w:tblInd w:w="0" w:type="dxa"/>
        <w:tblLayout w:type="fixed"/>
        <w:tblCellMar>
          <w:top w:w="0" w:type="dxa"/>
          <w:left w:w="0" w:type="dxa"/>
          <w:bottom w:w="0" w:type="dxa"/>
          <w:right w:w="0" w:type="dxa"/>
        </w:tblCellMar>
      </w:tblPr>
      <w:tblGrid>
        <w:gridCol w:w="3545"/>
        <w:gridCol w:w="60"/>
        <w:gridCol w:w="140"/>
        <w:gridCol w:w="680"/>
        <w:gridCol w:w="95"/>
        <w:gridCol w:w="60"/>
        <w:gridCol w:w="140"/>
        <w:gridCol w:w="800"/>
        <w:gridCol w:w="95"/>
        <w:gridCol w:w="60"/>
        <w:gridCol w:w="149"/>
        <w:gridCol w:w="724"/>
        <w:gridCol w:w="101"/>
        <w:gridCol w:w="63"/>
        <w:gridCol w:w="149"/>
        <w:gridCol w:w="724"/>
        <w:gridCol w:w="117"/>
      </w:tblGrid>
      <w:tr>
        <w:trPr/>
        <w:tc>
          <w:tcPr>
            <w:tcW w:w="35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097" w:type="dxa"/>
            <w:gridSpan w:val="15"/>
            <w:tcBorders/>
            <w:vAlign w:val="center"/>
          </w:tcPr>
          <w:p>
            <w:pPr>
              <w:pStyle w:val="TableContents"/>
              <w:bidi w:val="0"/>
              <w:spacing w:before="0" w:after="283"/>
              <w:jc w:val="center"/>
              <w:rPr>
                <w:i w:val="false"/>
                <w:caps w:val="false"/>
                <w:smallCaps w:val="false"/>
              </w:rPr>
            </w:pPr>
            <w:r>
              <w:rPr>
                <w:i w:val="false"/>
                <w:caps w:val="false"/>
                <w:smallCaps w:val="false"/>
              </w:rPr>
              <w:t>(</w:t>
            </w:r>
            <w:r>
              <w:rPr>
                <w:rFonts w:ascii="Times New Roman;Times;Serif" w:hAnsi="Times New Roman;Times;Serif"/>
                <w:b/>
                <w:i w:val="false"/>
                <w:caps w:val="false"/>
                <w:smallCaps w:val="false"/>
                <w:sz w:val="20"/>
              </w:rPr>
              <w:t>Thousands of Dollars)</w:t>
            </w:r>
          </w:p>
        </w:tc>
      </w:tr>
      <w:tr>
        <w:trPr/>
        <w:tc>
          <w:tcPr>
            <w:tcW w:w="35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010" w:type="dxa"/>
            <w:gridSpan w:val="7"/>
            <w:tcBorders/>
            <w:vAlign w:val="center"/>
          </w:tcPr>
          <w:p>
            <w:pPr>
              <w:pStyle w:val="TableContents"/>
              <w:bidi w:val="0"/>
              <w:spacing w:before="0" w:after="283"/>
              <w:jc w:val="center"/>
              <w:rPr>
                <w:b/>
              </w:rPr>
            </w:pPr>
            <w:r>
              <w:rPr>
                <w:b/>
              </w:rPr>
              <w:t>Pension Plan</w:t>
            </w:r>
          </w:p>
        </w:tc>
        <w:tc>
          <w:tcPr>
            <w:tcW w:w="60" w:type="dxa"/>
            <w:tcBorders/>
            <w:vAlign w:val="center"/>
          </w:tcPr>
          <w:p>
            <w:pPr>
              <w:pStyle w:val="TableContents"/>
              <w:bidi w:val="0"/>
              <w:spacing w:before="0" w:after="283"/>
              <w:jc w:val="left"/>
              <w:rPr/>
            </w:pPr>
            <w:r>
              <w:rPr/>
              <w:t> </w:t>
            </w:r>
          </w:p>
        </w:tc>
        <w:tc>
          <w:tcPr>
            <w:tcW w:w="2027" w:type="dxa"/>
            <w:gridSpan w:val="7"/>
            <w:tcBorders/>
            <w:vAlign w:val="center"/>
          </w:tcPr>
          <w:p>
            <w:pPr>
              <w:pStyle w:val="TableContents"/>
              <w:bidi w:val="0"/>
              <w:spacing w:before="0" w:after="283"/>
              <w:jc w:val="center"/>
              <w:rPr>
                <w:b/>
              </w:rPr>
            </w:pPr>
            <w:r>
              <w:rPr>
                <w:b/>
              </w:rPr>
              <w:t>Other Benefits Plan</w:t>
            </w:r>
          </w:p>
        </w:tc>
      </w:tr>
      <w:tr>
        <w:trPr/>
        <w:tc>
          <w:tcPr>
            <w:tcW w:w="35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097" w:type="dxa"/>
            <w:gridSpan w:val="15"/>
            <w:tcBorders/>
            <w:vAlign w:val="center"/>
          </w:tcPr>
          <w:p>
            <w:pPr>
              <w:pStyle w:val="TableContents"/>
              <w:bidi w:val="0"/>
              <w:spacing w:before="0" w:after="283"/>
              <w:jc w:val="center"/>
              <w:rPr>
                <w:b/>
              </w:rPr>
            </w:pPr>
            <w:r>
              <w:rPr>
                <w:b/>
              </w:rPr>
              <w:t>Years Ended December 31,</w:t>
            </w:r>
          </w:p>
        </w:tc>
      </w:tr>
      <w:tr>
        <w:trPr/>
        <w:tc>
          <w:tcPr>
            <w:tcW w:w="3545" w:type="dxa"/>
            <w:tcBorders/>
            <w:vAlign w:val="center"/>
          </w:tcPr>
          <w:p>
            <w:pPr>
              <w:pStyle w:val="TableContents"/>
              <w:bidi w:val="0"/>
              <w:spacing w:before="0" w:after="283"/>
              <w:jc w:val="center"/>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915"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035"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974"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3" w:type="dxa"/>
            <w:tcBorders>
              <w:bottom w:val="single" w:sz="8" w:space="0" w:color="000000"/>
            </w:tcBorders>
            <w:tcMar>
              <w:bottom w:w="28" w:type="dxa"/>
            </w:tcMar>
            <w:vAlign w:val="center"/>
          </w:tcPr>
          <w:p>
            <w:pPr>
              <w:pStyle w:val="TableContents"/>
              <w:bidi w:val="0"/>
              <w:spacing w:before="0" w:after="283"/>
              <w:jc w:val="left"/>
              <w:rPr/>
            </w:pPr>
            <w:r>
              <w:rPr/>
              <w:t> </w:t>
            </w:r>
          </w:p>
        </w:tc>
        <w:tc>
          <w:tcPr>
            <w:tcW w:w="99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2022</w:t>
            </w:r>
          </w:p>
        </w:tc>
      </w:tr>
      <w:tr>
        <w:trPr/>
        <w:tc>
          <w:tcPr>
            <w:tcW w:w="3545" w:type="dxa"/>
            <w:tcBorders/>
            <w:shd w:fill="CCEEFF" w:val="clear"/>
            <w:vAlign w:val="center"/>
          </w:tcPr>
          <w:p>
            <w:pPr>
              <w:pStyle w:val="TableContents"/>
              <w:bidi w:val="0"/>
              <w:spacing w:before="0" w:after="283"/>
              <w:jc w:val="left"/>
              <w:rPr/>
            </w:pPr>
            <w:r>
              <w:rPr/>
              <w:t>Change in Fair Value of Plan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4"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4"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p>
        </w:tc>
      </w:tr>
      <w:tr>
        <w:trPr/>
        <w:tc>
          <w:tcPr>
            <w:tcW w:w="3545" w:type="dxa"/>
            <w:tcBorders/>
            <w:vAlign w:val="center"/>
          </w:tcPr>
          <w:p>
            <w:pPr>
              <w:pStyle w:val="TableContents"/>
              <w:bidi w:val="0"/>
              <w:spacing w:before="0" w:after="283"/>
              <w:jc w:val="left"/>
              <w:rPr/>
            </w:pPr>
            <w:r>
              <w:rPr/>
              <w:t>Beginning Balance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84,828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100,750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w:t>
            </w:r>
          </w:p>
        </w:tc>
        <w:tc>
          <w:tcPr>
            <w:tcW w:w="724" w:type="dxa"/>
            <w:tcBorders/>
            <w:vAlign w:val="center"/>
          </w:tcPr>
          <w:p>
            <w:pPr>
              <w:pStyle w:val="TableContents"/>
              <w:bidi w:val="0"/>
              <w:spacing w:before="0" w:after="283"/>
              <w:jc w:val="right"/>
              <w:rPr/>
            </w:pPr>
            <w:r>
              <w:rPr/>
              <w:t>44,029</w:t>
            </w:r>
          </w:p>
        </w:tc>
        <w:tc>
          <w:tcPr>
            <w:tcW w:w="101"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w:t>
            </w:r>
          </w:p>
        </w:tc>
        <w:tc>
          <w:tcPr>
            <w:tcW w:w="724" w:type="dxa"/>
            <w:tcBorders/>
            <w:vAlign w:val="center"/>
          </w:tcPr>
          <w:p>
            <w:pPr>
              <w:pStyle w:val="TableContents"/>
              <w:bidi w:val="0"/>
              <w:spacing w:before="0" w:after="283"/>
              <w:jc w:val="right"/>
              <w:rPr/>
            </w:pPr>
            <w:r>
              <w:rPr/>
              <w:t>50,668</w:t>
            </w:r>
          </w:p>
        </w:tc>
        <w:tc>
          <w:tcPr>
            <w:tcW w:w="117" w:type="dxa"/>
            <w:tcBorders/>
            <w:vAlign w:val="center"/>
          </w:tcPr>
          <w:p>
            <w:pPr>
              <w:pStyle w:val="TableContents"/>
              <w:bidi w:val="0"/>
              <w:spacing w:before="0" w:after="283"/>
              <w:jc w:val="left"/>
              <w:rPr/>
            </w:pPr>
            <w:r>
              <w:rPr/>
              <w:t> </w:t>
            </w:r>
          </w:p>
        </w:tc>
      </w:tr>
      <w:tr>
        <w:trPr/>
        <w:tc>
          <w:tcPr>
            <w:tcW w:w="3545" w:type="dxa"/>
            <w:tcBorders/>
            <w:shd w:fill="CCEEFF" w:val="clear"/>
            <w:vAlign w:val="center"/>
          </w:tcPr>
          <w:p>
            <w:pPr>
              <w:pStyle w:val="TableContents"/>
              <w:bidi w:val="0"/>
              <w:spacing w:before="0" w:after="283"/>
              <w:jc w:val="left"/>
              <w:rPr/>
            </w:pPr>
            <w:r>
              <w:rPr/>
              <w:t>Actual Return on Plan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10,840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(14,346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4" w:type="dxa"/>
            <w:tcBorders/>
            <w:shd w:fill="CCEEFF" w:val="clear"/>
            <w:vAlign w:val="center"/>
          </w:tcPr>
          <w:p>
            <w:pPr>
              <w:pStyle w:val="TableContents"/>
              <w:bidi w:val="0"/>
              <w:spacing w:before="0" w:after="283"/>
              <w:jc w:val="right"/>
              <w:rPr/>
            </w:pPr>
            <w:r>
              <w:rPr/>
              <w:t>4,323</w:t>
            </w:r>
          </w:p>
        </w:tc>
        <w:tc>
          <w:tcPr>
            <w:tcW w:w="101"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4" w:type="dxa"/>
            <w:tcBorders/>
            <w:shd w:fill="CCEEFF" w:val="clear"/>
            <w:vAlign w:val="center"/>
          </w:tcPr>
          <w:p>
            <w:pPr>
              <w:pStyle w:val="TableContents"/>
              <w:bidi w:val="0"/>
              <w:spacing w:before="0" w:after="283"/>
              <w:jc w:val="right"/>
              <w:rPr/>
            </w:pPr>
            <w:r>
              <w:rPr/>
              <w:t>(6,639</w:t>
            </w:r>
          </w:p>
        </w:tc>
        <w:tc>
          <w:tcPr>
            <w:tcW w:w="117" w:type="dxa"/>
            <w:tcBorders/>
            <w:shd w:fill="CCEEFF" w:val="clear"/>
            <w:vAlign w:val="center"/>
          </w:tcPr>
          <w:p>
            <w:pPr>
              <w:pStyle w:val="TableContents"/>
              <w:bidi w:val="0"/>
              <w:spacing w:before="0" w:after="283"/>
              <w:jc w:val="left"/>
              <w:rPr/>
            </w:pPr>
            <w:r>
              <w:rPr/>
              <w:t>)</w:t>
            </w:r>
          </w:p>
        </w:tc>
      </w:tr>
      <w:tr>
        <w:trPr/>
        <w:tc>
          <w:tcPr>
            <w:tcW w:w="3545" w:type="dxa"/>
            <w:tcBorders/>
            <w:vAlign w:val="center"/>
          </w:tcPr>
          <w:p>
            <w:pPr>
              <w:pStyle w:val="TableContents"/>
              <w:bidi w:val="0"/>
              <w:spacing w:before="0" w:after="283"/>
              <w:jc w:val="left"/>
              <w:rPr/>
            </w:pPr>
            <w:r>
              <w:rPr/>
              <w:t>Employer Contributions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400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1,900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724" w:type="dxa"/>
            <w:tcBorders/>
            <w:vAlign w:val="center"/>
          </w:tcPr>
          <w:p>
            <w:pPr>
              <w:pStyle w:val="TableContents"/>
              <w:bidi w:val="0"/>
              <w:spacing w:before="0" w:after="283"/>
              <w:jc w:val="right"/>
              <w:rPr/>
            </w:pPr>
            <w:r>
              <w:rPr/>
              <w:t>940</w:t>
            </w:r>
          </w:p>
        </w:tc>
        <w:tc>
          <w:tcPr>
            <w:tcW w:w="101"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724" w:type="dxa"/>
            <w:tcBorders/>
            <w:vAlign w:val="center"/>
          </w:tcPr>
          <w:p>
            <w:pPr>
              <w:pStyle w:val="TableContents"/>
              <w:bidi w:val="0"/>
              <w:spacing w:before="0" w:after="283"/>
              <w:jc w:val="right"/>
              <w:rPr/>
            </w:pPr>
            <w:r>
              <w:rPr/>
              <w:t>850</w:t>
            </w:r>
          </w:p>
        </w:tc>
        <w:tc>
          <w:tcPr>
            <w:tcW w:w="117" w:type="dxa"/>
            <w:tcBorders/>
            <w:vAlign w:val="center"/>
          </w:tcPr>
          <w:p>
            <w:pPr>
              <w:pStyle w:val="TableContents"/>
              <w:bidi w:val="0"/>
              <w:spacing w:before="0" w:after="283"/>
              <w:jc w:val="left"/>
              <w:rPr/>
            </w:pPr>
            <w:r>
              <w:rPr/>
              <w:t> </w:t>
            </w:r>
          </w:p>
        </w:tc>
      </w:tr>
      <w:tr>
        <w:trPr/>
        <w:tc>
          <w:tcPr>
            <w:tcW w:w="3545" w:type="dxa"/>
            <w:tcBorders/>
            <w:shd w:fill="CCEEFF" w:val="clear"/>
            <w:vAlign w:val="center"/>
          </w:tcPr>
          <w:p>
            <w:pPr>
              <w:pStyle w:val="TableContents"/>
              <w:bidi w:val="0"/>
              <w:spacing w:before="0" w:after="283"/>
              <w:jc w:val="left"/>
              <w:rPr/>
            </w:pPr>
            <w:r>
              <w:rPr/>
              <w:t>Benefits Paid</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(3,722</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(3,476</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24" w:type="dxa"/>
            <w:tcBorders>
              <w:bottom w:val="single" w:sz="8" w:space="0" w:color="000000"/>
            </w:tcBorders>
            <w:shd w:fill="CCEEFF" w:val="clear"/>
            <w:tcMar>
              <w:bottom w:w="28" w:type="dxa"/>
            </w:tcMar>
            <w:vAlign w:val="center"/>
          </w:tcPr>
          <w:p>
            <w:pPr>
              <w:pStyle w:val="TableContents"/>
              <w:bidi w:val="0"/>
              <w:spacing w:before="0" w:after="283"/>
              <w:jc w:val="right"/>
              <w:rPr/>
            </w:pPr>
            <w:r>
              <w:rPr/>
              <w:t>(940</w:t>
            </w:r>
          </w:p>
        </w:tc>
        <w:tc>
          <w:tcPr>
            <w:tcW w:w="101"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24" w:type="dxa"/>
            <w:tcBorders>
              <w:bottom w:val="single" w:sz="8" w:space="0" w:color="000000"/>
            </w:tcBorders>
            <w:shd w:fill="CCEEFF" w:val="clear"/>
            <w:tcMar>
              <w:bottom w:w="28" w:type="dxa"/>
            </w:tcMar>
            <w:vAlign w:val="center"/>
          </w:tcPr>
          <w:p>
            <w:pPr>
              <w:pStyle w:val="TableContents"/>
              <w:bidi w:val="0"/>
              <w:spacing w:before="0" w:after="283"/>
              <w:jc w:val="right"/>
              <w:rPr/>
            </w:pPr>
            <w:r>
              <w:rPr/>
              <w:t>(850</w:t>
            </w:r>
          </w:p>
        </w:tc>
        <w:tc>
          <w:tcPr>
            <w:tcW w:w="117"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r>
      <w:tr>
        <w:trPr/>
        <w:tc>
          <w:tcPr>
            <w:tcW w:w="3545" w:type="dxa"/>
            <w:tcBorders/>
            <w:vAlign w:val="center"/>
          </w:tcPr>
          <w:p>
            <w:pPr>
              <w:pStyle w:val="TableContents"/>
              <w:bidi w:val="0"/>
              <w:spacing w:before="0" w:after="283"/>
              <w:jc w:val="left"/>
              <w:rPr/>
            </w:pPr>
            <w:r>
              <w:rPr/>
              <w:t>Ending Balance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w:t>
            </w:r>
          </w:p>
        </w:tc>
        <w:tc>
          <w:tcPr>
            <w:tcW w:w="680" w:type="dxa"/>
            <w:tcBorders>
              <w:bottom w:val="single" w:sz="8" w:space="0" w:color="000000"/>
            </w:tcBorders>
            <w:tcMar>
              <w:bottom w:w="28" w:type="dxa"/>
            </w:tcMar>
            <w:vAlign w:val="center"/>
          </w:tcPr>
          <w:p>
            <w:pPr>
              <w:pStyle w:val="TableContents"/>
              <w:bidi w:val="0"/>
              <w:spacing w:before="0" w:after="283"/>
              <w:jc w:val="right"/>
              <w:rPr/>
            </w:pPr>
            <w:r>
              <w:rPr/>
              <w:t>92,346</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w:t>
            </w:r>
          </w:p>
        </w:tc>
        <w:tc>
          <w:tcPr>
            <w:tcW w:w="800" w:type="dxa"/>
            <w:tcBorders>
              <w:bottom w:val="single" w:sz="8" w:space="0" w:color="000000"/>
            </w:tcBorders>
            <w:tcMar>
              <w:bottom w:w="28" w:type="dxa"/>
            </w:tcMar>
            <w:vAlign w:val="center"/>
          </w:tcPr>
          <w:p>
            <w:pPr>
              <w:pStyle w:val="TableContents"/>
              <w:bidi w:val="0"/>
              <w:spacing w:before="0" w:after="283"/>
              <w:jc w:val="right"/>
              <w:rPr/>
            </w:pPr>
            <w:r>
              <w:rPr/>
              <w:t>84,828</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9" w:type="dxa"/>
            <w:tcBorders>
              <w:bottom w:val="single" w:sz="8" w:space="0" w:color="000000"/>
            </w:tcBorders>
            <w:tcMar>
              <w:bottom w:w="28" w:type="dxa"/>
            </w:tcMar>
            <w:vAlign w:val="center"/>
          </w:tcPr>
          <w:p>
            <w:pPr>
              <w:pStyle w:val="TableContents"/>
              <w:bidi w:val="0"/>
              <w:spacing w:before="0" w:after="283"/>
              <w:jc w:val="left"/>
              <w:rPr/>
            </w:pPr>
            <w:r>
              <w:rPr/>
              <w:t>$</w:t>
            </w:r>
          </w:p>
        </w:tc>
        <w:tc>
          <w:tcPr>
            <w:tcW w:w="724" w:type="dxa"/>
            <w:tcBorders>
              <w:bottom w:val="single" w:sz="8" w:space="0" w:color="000000"/>
            </w:tcBorders>
            <w:tcMar>
              <w:bottom w:w="28" w:type="dxa"/>
            </w:tcMar>
            <w:vAlign w:val="center"/>
          </w:tcPr>
          <w:p>
            <w:pPr>
              <w:pStyle w:val="TableContents"/>
              <w:bidi w:val="0"/>
              <w:spacing w:before="0" w:after="283"/>
              <w:jc w:val="right"/>
              <w:rPr/>
            </w:pPr>
            <w:r>
              <w:rPr/>
              <w:t>48,352</w:t>
            </w:r>
          </w:p>
        </w:tc>
        <w:tc>
          <w:tcPr>
            <w:tcW w:w="101" w:type="dxa"/>
            <w:tcBorders>
              <w:bottom w:val="single" w:sz="8" w:space="0" w:color="000000"/>
            </w:tcBorders>
            <w:tcMar>
              <w:bottom w:w="28" w:type="dxa"/>
            </w:tcMar>
            <w:vAlign w:val="center"/>
          </w:tcPr>
          <w:p>
            <w:pPr>
              <w:pStyle w:val="TableContents"/>
              <w:bidi w:val="0"/>
              <w:spacing w:before="0" w:after="283"/>
              <w:jc w:val="left"/>
              <w:rPr/>
            </w:pPr>
            <w:r>
              <w:rPr/>
              <w:t> </w:t>
            </w:r>
          </w:p>
        </w:tc>
        <w:tc>
          <w:tcPr>
            <w:tcW w:w="63" w:type="dxa"/>
            <w:tcBorders>
              <w:bottom w:val="single" w:sz="8" w:space="0" w:color="000000"/>
            </w:tcBorders>
            <w:tcMar>
              <w:bottom w:w="28" w:type="dxa"/>
            </w:tcMar>
            <w:vAlign w:val="center"/>
          </w:tcPr>
          <w:p>
            <w:pPr>
              <w:pStyle w:val="TableContents"/>
              <w:bidi w:val="0"/>
              <w:spacing w:before="0" w:after="283"/>
              <w:jc w:val="left"/>
              <w:rPr/>
            </w:pPr>
            <w:r>
              <w:rPr/>
              <w:t> </w:t>
            </w:r>
          </w:p>
        </w:tc>
        <w:tc>
          <w:tcPr>
            <w:tcW w:w="149" w:type="dxa"/>
            <w:tcBorders>
              <w:bottom w:val="single" w:sz="8" w:space="0" w:color="000000"/>
            </w:tcBorders>
            <w:tcMar>
              <w:bottom w:w="28" w:type="dxa"/>
            </w:tcMar>
            <w:vAlign w:val="center"/>
          </w:tcPr>
          <w:p>
            <w:pPr>
              <w:pStyle w:val="TableContents"/>
              <w:bidi w:val="0"/>
              <w:spacing w:before="0" w:after="283"/>
              <w:jc w:val="left"/>
              <w:rPr/>
            </w:pPr>
            <w:r>
              <w:rPr/>
              <w:t>$</w:t>
            </w:r>
          </w:p>
        </w:tc>
        <w:tc>
          <w:tcPr>
            <w:tcW w:w="724" w:type="dxa"/>
            <w:tcBorders>
              <w:bottom w:val="single" w:sz="8" w:space="0" w:color="000000"/>
            </w:tcBorders>
            <w:tcMar>
              <w:bottom w:w="28" w:type="dxa"/>
            </w:tcMar>
            <w:vAlign w:val="center"/>
          </w:tcPr>
          <w:p>
            <w:pPr>
              <w:pStyle w:val="TableContents"/>
              <w:bidi w:val="0"/>
              <w:spacing w:before="0" w:after="283"/>
              <w:jc w:val="right"/>
              <w:rPr/>
            </w:pPr>
            <w:r>
              <w:rPr/>
              <w:t>44,029</w:t>
            </w:r>
          </w:p>
        </w:tc>
        <w:tc>
          <w:tcPr>
            <w:tcW w:w="117"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5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4"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4"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p>
        </w:tc>
      </w:tr>
      <w:tr>
        <w:trPr/>
        <w:tc>
          <w:tcPr>
            <w:tcW w:w="3545" w:type="dxa"/>
            <w:tcBorders/>
            <w:vAlign w:val="center"/>
          </w:tcPr>
          <w:p>
            <w:pPr>
              <w:pStyle w:val="TableContents"/>
              <w:bidi w:val="0"/>
              <w:spacing w:before="0" w:after="283"/>
              <w:jc w:val="left"/>
              <w:rPr/>
            </w:pPr>
            <w:r>
              <w:rPr/>
              <w:t>Funded Status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494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(2,960</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w:t>
            </w:r>
          </w:p>
        </w:tc>
        <w:tc>
          <w:tcPr>
            <w:tcW w:w="724" w:type="dxa"/>
            <w:tcBorders/>
            <w:vAlign w:val="center"/>
          </w:tcPr>
          <w:p>
            <w:pPr>
              <w:pStyle w:val="TableContents"/>
              <w:bidi w:val="0"/>
              <w:spacing w:before="0" w:after="283"/>
              <w:jc w:val="right"/>
              <w:rPr/>
            </w:pPr>
            <w:r>
              <w:rPr/>
              <w:t>20,352</w:t>
            </w:r>
          </w:p>
        </w:tc>
        <w:tc>
          <w:tcPr>
            <w:tcW w:w="101"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w:t>
            </w:r>
          </w:p>
        </w:tc>
        <w:tc>
          <w:tcPr>
            <w:tcW w:w="724" w:type="dxa"/>
            <w:tcBorders/>
            <w:vAlign w:val="center"/>
          </w:tcPr>
          <w:p>
            <w:pPr>
              <w:pStyle w:val="TableContents"/>
              <w:bidi w:val="0"/>
              <w:spacing w:before="0" w:after="283"/>
              <w:jc w:val="right"/>
              <w:rPr/>
            </w:pPr>
            <w:r>
              <w:rPr/>
              <w:t>11,120</w:t>
            </w:r>
          </w:p>
        </w:tc>
        <w:tc>
          <w:tcPr>
            <w:tcW w:w="117"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7845" w:type="dxa"/>
        <w:jc w:val="left"/>
        <w:tblInd w:w="0" w:type="dxa"/>
        <w:tblLayout w:type="fixed"/>
        <w:tblCellMar>
          <w:top w:w="0" w:type="dxa"/>
          <w:left w:w="0" w:type="dxa"/>
          <w:bottom w:w="0" w:type="dxa"/>
          <w:right w:w="0" w:type="dxa"/>
        </w:tblCellMar>
      </w:tblPr>
      <w:tblGrid>
        <w:gridCol w:w="3980"/>
        <w:gridCol w:w="60"/>
        <w:gridCol w:w="140"/>
        <w:gridCol w:w="635"/>
        <w:gridCol w:w="95"/>
        <w:gridCol w:w="60"/>
        <w:gridCol w:w="140"/>
        <w:gridCol w:w="560"/>
        <w:gridCol w:w="60"/>
        <w:gridCol w:w="60"/>
        <w:gridCol w:w="140"/>
        <w:gridCol w:w="755"/>
        <w:gridCol w:w="95"/>
        <w:gridCol w:w="60"/>
        <w:gridCol w:w="140"/>
        <w:gridCol w:w="755"/>
        <w:gridCol w:w="110"/>
      </w:tblGrid>
      <w:tr>
        <w:trPr/>
        <w:tc>
          <w:tcPr>
            <w:tcW w:w="39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5" w:type="dxa"/>
            <w:gridSpan w:val="15"/>
            <w:tcBorders/>
            <w:vAlign w:val="center"/>
          </w:tcPr>
          <w:p>
            <w:pPr>
              <w:pStyle w:val="TableContents"/>
              <w:bidi w:val="0"/>
              <w:spacing w:before="0" w:after="283"/>
              <w:jc w:val="center"/>
              <w:rPr>
                <w:i w:val="false"/>
                <w:caps w:val="false"/>
                <w:smallCaps w:val="false"/>
              </w:rPr>
            </w:pPr>
            <w:r>
              <w:rPr>
                <w:i w:val="false"/>
                <w:caps w:val="false"/>
                <w:smallCaps w:val="false"/>
              </w:rPr>
              <w:t>(</w:t>
            </w:r>
            <w:r>
              <w:rPr>
                <w:rFonts w:ascii="Times New Roman;Times;Serif" w:hAnsi="Times New Roman;Times;Serif"/>
                <w:b/>
                <w:i w:val="false"/>
                <w:caps w:val="false"/>
                <w:smallCaps w:val="false"/>
                <w:sz w:val="20"/>
              </w:rPr>
              <w:t>Thousands of Dollars)</w:t>
            </w:r>
          </w:p>
        </w:tc>
      </w:tr>
      <w:tr>
        <w:trPr/>
        <w:tc>
          <w:tcPr>
            <w:tcW w:w="39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90" w:type="dxa"/>
            <w:gridSpan w:val="7"/>
            <w:tcBorders/>
            <w:vAlign w:val="center"/>
          </w:tcPr>
          <w:p>
            <w:pPr>
              <w:pStyle w:val="TableContents"/>
              <w:bidi w:val="0"/>
              <w:spacing w:before="0" w:after="283"/>
              <w:jc w:val="center"/>
              <w:rPr>
                <w:b/>
              </w:rPr>
            </w:pPr>
            <w:r>
              <w:rPr>
                <w:b/>
              </w:rPr>
              <w:t>Pension Plan</w:t>
            </w:r>
          </w:p>
        </w:tc>
        <w:tc>
          <w:tcPr>
            <w:tcW w:w="60" w:type="dxa"/>
            <w:tcBorders/>
            <w:vAlign w:val="center"/>
          </w:tcPr>
          <w:p>
            <w:pPr>
              <w:pStyle w:val="TableContents"/>
              <w:bidi w:val="0"/>
              <w:spacing w:before="0" w:after="283"/>
              <w:jc w:val="left"/>
              <w:rPr/>
            </w:pPr>
            <w:r>
              <w:rPr/>
              <w:t> </w:t>
            </w:r>
          </w:p>
        </w:tc>
        <w:tc>
          <w:tcPr>
            <w:tcW w:w="2055" w:type="dxa"/>
            <w:gridSpan w:val="7"/>
            <w:tcBorders/>
            <w:vAlign w:val="center"/>
          </w:tcPr>
          <w:p>
            <w:pPr>
              <w:pStyle w:val="TableContents"/>
              <w:bidi w:val="0"/>
              <w:spacing w:before="0" w:after="283"/>
              <w:jc w:val="center"/>
              <w:rPr>
                <w:b/>
              </w:rPr>
            </w:pPr>
            <w:r>
              <w:rPr>
                <w:b/>
              </w:rPr>
              <w:t>Other Benefits Plan</w:t>
            </w:r>
          </w:p>
        </w:tc>
      </w:tr>
      <w:tr>
        <w:trPr/>
        <w:tc>
          <w:tcPr>
            <w:tcW w:w="39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805" w:type="dxa"/>
            <w:gridSpan w:val="15"/>
            <w:tcBorders/>
            <w:vAlign w:val="center"/>
          </w:tcPr>
          <w:p>
            <w:pPr>
              <w:pStyle w:val="TableContents"/>
              <w:bidi w:val="0"/>
              <w:spacing w:before="0" w:after="283"/>
              <w:jc w:val="center"/>
              <w:rPr>
                <w:b/>
              </w:rPr>
            </w:pPr>
            <w:r>
              <w:rPr>
                <w:b/>
              </w:rPr>
              <w:t>As of December 31,</w:t>
            </w:r>
          </w:p>
        </w:tc>
      </w:tr>
      <w:tr>
        <w:trPr/>
        <w:tc>
          <w:tcPr>
            <w:tcW w:w="3980" w:type="dxa"/>
            <w:tcBorders/>
            <w:vAlign w:val="center"/>
          </w:tcPr>
          <w:p>
            <w:pPr>
              <w:pStyle w:val="TableContents"/>
              <w:bidi w:val="0"/>
              <w:spacing w:before="0" w:after="283"/>
              <w:jc w:val="center"/>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7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6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99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005"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2022</w:t>
            </w:r>
          </w:p>
        </w:tc>
      </w:tr>
      <w:tr>
        <w:trPr/>
        <w:tc>
          <w:tcPr>
            <w:tcW w:w="3980" w:type="dxa"/>
            <w:tcBorders/>
            <w:shd w:fill="CCEEFF" w:val="clear"/>
            <w:vAlign w:val="center"/>
          </w:tcPr>
          <w:p>
            <w:pPr>
              <w:pStyle w:val="TableContents"/>
              <w:bidi w:val="0"/>
              <w:spacing w:before="0" w:after="283"/>
              <w:jc w:val="left"/>
              <w:rPr/>
            </w:pPr>
            <w:r>
              <w:rPr/>
              <w:t>Amounts Recognized in the Consolidated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left"/>
              <w:rPr/>
            </w:pPr>
            <w:r>
              <w:rPr/>
              <w:t>Balance Sheets consist of:</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283"/>
              <w:jc w:val="left"/>
              <w:rPr/>
            </w:pPr>
            <w:r>
              <w:rPr/>
              <w:t>Current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933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529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0"/>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left"/>
              <w:rPr/>
            </w:pPr>
            <w:r>
              <w:rPr/>
              <w:t>Noncurrent Liability (Asset)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tcMar>
              <w:bottom w:w="28" w:type="dxa"/>
            </w:tcMar>
            <w:vAlign w:val="center"/>
          </w:tcPr>
          <w:p>
            <w:pPr>
              <w:pStyle w:val="TableContents"/>
              <w:bidi w:val="0"/>
              <w:spacing w:before="0" w:after="283"/>
              <w:jc w:val="right"/>
              <w:rPr/>
            </w:pPr>
            <w:r>
              <w:rPr/>
              <w:t>(1,427</w:t>
            </w:r>
          </w:p>
        </w:tc>
        <w:tc>
          <w:tcPr>
            <w:tcW w:w="95" w:type="dxa"/>
            <w:tcBorders>
              <w:bottom w:val="single" w:sz="8" w:space="0" w:color="000000"/>
            </w:tcBorders>
            <w:tcMar>
              <w:bottom w:w="28" w:type="dxa"/>
            </w:tcMar>
            <w:vAlign w:val="center"/>
          </w:tcPr>
          <w:p>
            <w:pPr>
              <w:pStyle w:val="TableContents"/>
              <w:bidi w:val="0"/>
              <w:spacing w:before="0" w:after="283"/>
              <w:jc w:val="left"/>
              <w:rPr/>
            </w:pPr>
            <w:r>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tcMar>
              <w:bottom w:w="28" w:type="dxa"/>
            </w:tcMar>
            <w:vAlign w:val="center"/>
          </w:tcPr>
          <w:p>
            <w:pPr>
              <w:pStyle w:val="TableContents"/>
              <w:bidi w:val="0"/>
              <w:spacing w:before="0" w:after="283"/>
              <w:jc w:val="right"/>
              <w:rPr/>
            </w:pPr>
            <w:r>
              <w:rPr/>
              <w:t>2,431</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tcMar>
              <w:bottom w:w="28" w:type="dxa"/>
            </w:tcMar>
            <w:vAlign w:val="center"/>
          </w:tcPr>
          <w:p>
            <w:pPr>
              <w:pStyle w:val="TableContents"/>
              <w:bidi w:val="0"/>
              <w:spacing w:before="0" w:after="283"/>
              <w:jc w:val="right"/>
              <w:rPr/>
            </w:pPr>
            <w:r>
              <w:rPr/>
              <w:t>(20,352</w:t>
            </w:r>
          </w:p>
        </w:tc>
        <w:tc>
          <w:tcPr>
            <w:tcW w:w="95" w:type="dxa"/>
            <w:tcBorders>
              <w:bottom w:val="single" w:sz="8" w:space="0" w:color="000000"/>
            </w:tcBorders>
            <w:tcMar>
              <w:bottom w:w="28" w:type="dxa"/>
            </w:tcMar>
            <w:vAlign w:val="center"/>
          </w:tcPr>
          <w:p>
            <w:pPr>
              <w:pStyle w:val="TableContents"/>
              <w:bidi w:val="0"/>
              <w:spacing w:before="0" w:after="283"/>
              <w:jc w:val="left"/>
              <w:rPr/>
            </w:pPr>
            <w:r>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tcMar>
              <w:bottom w:w="28" w:type="dxa"/>
            </w:tcMar>
            <w:vAlign w:val="center"/>
          </w:tcPr>
          <w:p>
            <w:pPr>
              <w:pStyle w:val="TableContents"/>
              <w:bidi w:val="0"/>
              <w:spacing w:before="0" w:after="283"/>
              <w:jc w:val="right"/>
              <w:rPr/>
            </w:pPr>
            <w:r>
              <w:rPr/>
              <w:t>(11,120</w:t>
            </w:r>
          </w:p>
        </w:tc>
        <w:tc>
          <w:tcPr>
            <w:tcW w:w="110" w:type="dxa"/>
            <w:tcBorders>
              <w:bottom w:val="single" w:sz="8" w:space="0" w:color="000000"/>
            </w:tcBorders>
            <w:tcMar>
              <w:bottom w:w="28" w:type="dxa"/>
            </w:tcMar>
            <w:vAlign w:val="center"/>
          </w:tcPr>
          <w:p>
            <w:pPr>
              <w:pStyle w:val="TableContents"/>
              <w:bidi w:val="0"/>
              <w:spacing w:before="0" w:after="283"/>
              <w:jc w:val="left"/>
              <w:rPr/>
            </w:pPr>
            <w:r>
              <w:rPr/>
              <w:t>)</w:t>
            </w:r>
          </w:p>
        </w:tc>
      </w:tr>
      <w:tr>
        <w:trPr/>
        <w:tc>
          <w:tcPr>
            <w:tcW w:w="3980" w:type="dxa"/>
            <w:tcBorders/>
            <w:shd w:fill="CCEEFF" w:val="clear"/>
            <w:vAlign w:val="center"/>
          </w:tcPr>
          <w:p>
            <w:pPr>
              <w:pStyle w:val="TableContents"/>
              <w:bidi w:val="0"/>
              <w:spacing w:before="0" w:after="283"/>
              <w:jc w:val="left"/>
              <w:rPr/>
            </w:pPr>
            <w:r>
              <w:rPr/>
              <w:t>Net Liability (Asset) Recognized</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(494</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2,960</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(20,352</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(11,120</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65 </w:t>
      </w:r>
    </w:p>
    <w:p>
      <w:pPr>
        <w:pStyle w:val="TextBody"/>
        <w:bidi w:val="0"/>
        <w:spacing w:before="0" w:after="0"/>
        <w:ind w:left="0" w:right="0" w:hanging="0"/>
        <w:jc w:val="left"/>
        <w:rPr>
          <w:caps w:val="false"/>
          <w:smallCaps w:val="false"/>
        </w:rPr>
      </w:pPr>
      <w:r>
        <w:rPr>
          <w:caps w:val="false"/>
          <w:smallCaps w:val="false"/>
        </w:rPr>
        <w:t> </w:t>
      </w:r>
    </w:p>
    <w:tbl>
      <w:tblPr>
        <w:tblW w:w="9650" w:type="dxa"/>
        <w:jc w:val="left"/>
        <w:tblInd w:w="0" w:type="dxa"/>
        <w:tblLayout w:type="fixed"/>
        <w:tblCellMar>
          <w:top w:w="0" w:type="dxa"/>
          <w:left w:w="0" w:type="dxa"/>
          <w:bottom w:w="0" w:type="dxa"/>
          <w:right w:w="0" w:type="dxa"/>
        </w:tblCellMar>
      </w:tblPr>
      <w:tblGrid>
        <w:gridCol w:w="4055"/>
        <w:gridCol w:w="60"/>
        <w:gridCol w:w="140"/>
        <w:gridCol w:w="635"/>
        <w:gridCol w:w="95"/>
        <w:gridCol w:w="60"/>
        <w:gridCol w:w="140"/>
        <w:gridCol w:w="635"/>
        <w:gridCol w:w="95"/>
        <w:gridCol w:w="60"/>
        <w:gridCol w:w="140"/>
        <w:gridCol w:w="635"/>
        <w:gridCol w:w="95"/>
        <w:gridCol w:w="60"/>
        <w:gridCol w:w="140"/>
        <w:gridCol w:w="635"/>
        <w:gridCol w:w="95"/>
        <w:gridCol w:w="60"/>
        <w:gridCol w:w="140"/>
        <w:gridCol w:w="635"/>
        <w:gridCol w:w="95"/>
        <w:gridCol w:w="60"/>
        <w:gridCol w:w="140"/>
        <w:gridCol w:w="635"/>
        <w:gridCol w:w="110"/>
      </w:tblGrid>
      <w:tr>
        <w:trPr/>
        <w:tc>
          <w:tcPr>
            <w:tcW w:w="40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535" w:type="dxa"/>
            <w:gridSpan w:val="23"/>
            <w:tcBorders/>
            <w:vAlign w:val="center"/>
          </w:tcPr>
          <w:p>
            <w:pPr>
              <w:pStyle w:val="TableContents"/>
              <w:bidi w:val="0"/>
              <w:spacing w:before="0" w:after="283"/>
              <w:jc w:val="center"/>
              <w:rPr>
                <w:b/>
              </w:rPr>
            </w:pPr>
            <w:r>
              <w:rPr>
                <w:b/>
              </w:rPr>
              <w:t>(Thousands of Dollars)</w:t>
            </w:r>
          </w:p>
        </w:tc>
      </w:tr>
      <w:tr>
        <w:trPr/>
        <w:tc>
          <w:tcPr>
            <w:tcW w:w="40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730" w:type="dxa"/>
            <w:gridSpan w:val="11"/>
            <w:tcBorders/>
            <w:vAlign w:val="center"/>
          </w:tcPr>
          <w:p>
            <w:pPr>
              <w:pStyle w:val="TableContents"/>
              <w:bidi w:val="0"/>
              <w:spacing w:before="0" w:after="283"/>
              <w:jc w:val="center"/>
              <w:rPr>
                <w:b/>
              </w:rPr>
            </w:pPr>
            <w:r>
              <w:rPr>
                <w:b/>
              </w:rPr>
              <w:t>Pension Plan</w:t>
            </w:r>
          </w:p>
        </w:tc>
        <w:tc>
          <w:tcPr>
            <w:tcW w:w="60" w:type="dxa"/>
            <w:tcBorders/>
            <w:vAlign w:val="center"/>
          </w:tcPr>
          <w:p>
            <w:pPr>
              <w:pStyle w:val="TableContents"/>
              <w:bidi w:val="0"/>
              <w:spacing w:before="0" w:after="283"/>
              <w:jc w:val="left"/>
              <w:rPr/>
            </w:pPr>
            <w:r>
              <w:rPr/>
              <w:t> </w:t>
            </w:r>
          </w:p>
        </w:tc>
        <w:tc>
          <w:tcPr>
            <w:tcW w:w="2745" w:type="dxa"/>
            <w:gridSpan w:val="11"/>
            <w:tcBorders/>
            <w:vAlign w:val="center"/>
          </w:tcPr>
          <w:p>
            <w:pPr>
              <w:pStyle w:val="TableContents"/>
              <w:bidi w:val="0"/>
              <w:spacing w:before="0" w:after="283"/>
              <w:jc w:val="center"/>
              <w:rPr>
                <w:b/>
              </w:rPr>
            </w:pPr>
            <w:r>
              <w:rPr>
                <w:b/>
              </w:rPr>
              <w:t>Other Benefits Plan</w:t>
            </w:r>
          </w:p>
        </w:tc>
      </w:tr>
      <w:tr>
        <w:trPr/>
        <w:tc>
          <w:tcPr>
            <w:tcW w:w="40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535" w:type="dxa"/>
            <w:gridSpan w:val="23"/>
            <w:tcBorders/>
            <w:vAlign w:val="center"/>
          </w:tcPr>
          <w:p>
            <w:pPr>
              <w:pStyle w:val="TableContents"/>
              <w:bidi w:val="0"/>
              <w:spacing w:before="0" w:after="283"/>
              <w:jc w:val="center"/>
              <w:rPr>
                <w:b/>
              </w:rPr>
            </w:pPr>
            <w:r>
              <w:rPr>
                <w:b/>
              </w:rPr>
              <w:t>Years Ended December 31,</w:t>
            </w:r>
          </w:p>
        </w:tc>
      </w:tr>
      <w:tr>
        <w:trPr/>
        <w:tc>
          <w:tcPr>
            <w:tcW w:w="4055" w:type="dxa"/>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7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7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7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2021</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7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7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85"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2021</w:t>
            </w:r>
          </w:p>
        </w:tc>
      </w:tr>
      <w:tr>
        <w:trPr/>
        <w:tc>
          <w:tcPr>
            <w:tcW w:w="4055" w:type="dxa"/>
            <w:tcBorders/>
            <w:shd w:fill="CCEEFF" w:val="clear"/>
            <w:vAlign w:val="center"/>
          </w:tcPr>
          <w:p>
            <w:pPr>
              <w:pStyle w:val="TableContents"/>
              <w:bidi w:val="0"/>
              <w:spacing w:before="0" w:after="283"/>
              <w:jc w:val="left"/>
              <w:rPr/>
            </w:pPr>
            <w:r>
              <w:rPr/>
              <w:t>Components of Net Periodic Benefit Cost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pPr>
            <w:r>
              <w:rPr/>
              <w:t>Service Cost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35" w:type="dxa"/>
            <w:tcBorders/>
            <w:vAlign w:val="center"/>
          </w:tcPr>
          <w:p>
            <w:pPr>
              <w:pStyle w:val="TableContents"/>
              <w:bidi w:val="0"/>
              <w:spacing w:before="0" w:after="283"/>
              <w:jc w:val="right"/>
              <w:rPr/>
            </w:pPr>
            <w:r>
              <w:rPr/>
              <w:t>1,551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35" w:type="dxa"/>
            <w:tcBorders/>
            <w:vAlign w:val="center"/>
          </w:tcPr>
          <w:p>
            <w:pPr>
              <w:pStyle w:val="TableContents"/>
              <w:bidi w:val="0"/>
              <w:spacing w:before="0" w:after="283"/>
              <w:jc w:val="right"/>
              <w:rPr/>
            </w:pPr>
            <w:r>
              <w:rPr/>
              <w:t>2,362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35" w:type="dxa"/>
            <w:tcBorders/>
            <w:vAlign w:val="center"/>
          </w:tcPr>
          <w:p>
            <w:pPr>
              <w:pStyle w:val="TableContents"/>
              <w:bidi w:val="0"/>
              <w:spacing w:before="0" w:after="283"/>
              <w:jc w:val="right"/>
              <w:rPr/>
            </w:pPr>
            <w:r>
              <w:rPr/>
              <w:t>2,696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35" w:type="dxa"/>
            <w:tcBorders/>
            <w:vAlign w:val="center"/>
          </w:tcPr>
          <w:p>
            <w:pPr>
              <w:pStyle w:val="TableContents"/>
              <w:bidi w:val="0"/>
              <w:spacing w:before="0" w:after="283"/>
              <w:jc w:val="right"/>
              <w:rPr/>
            </w:pPr>
            <w:r>
              <w:rPr/>
              <w:t>391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35" w:type="dxa"/>
            <w:tcBorders/>
            <w:vAlign w:val="center"/>
          </w:tcPr>
          <w:p>
            <w:pPr>
              <w:pStyle w:val="TableContents"/>
              <w:bidi w:val="0"/>
              <w:spacing w:before="0" w:after="283"/>
              <w:jc w:val="right"/>
              <w:rPr/>
            </w:pPr>
            <w:r>
              <w:rPr/>
              <w:t>799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35" w:type="dxa"/>
            <w:tcBorders/>
            <w:vAlign w:val="center"/>
          </w:tcPr>
          <w:p>
            <w:pPr>
              <w:pStyle w:val="TableContents"/>
              <w:bidi w:val="0"/>
              <w:spacing w:before="0" w:after="283"/>
              <w:jc w:val="right"/>
              <w:rPr/>
            </w:pPr>
            <w:r>
              <w:rPr/>
              <w:t>917</w:t>
            </w:r>
          </w:p>
        </w:tc>
        <w:tc>
          <w:tcPr>
            <w:tcW w:w="110" w:type="dxa"/>
            <w:tcBorders/>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283"/>
              <w:jc w:val="left"/>
              <w:rPr/>
            </w:pPr>
            <w:r>
              <w:rPr/>
              <w:t>Interest Cost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4,270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3,042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2,706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1,608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1,325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1,236</w:t>
            </w:r>
          </w:p>
        </w:tc>
        <w:tc>
          <w:tcPr>
            <w:tcW w:w="110" w:type="dxa"/>
            <w:tcBorders/>
            <w:shd w:fill="CCEEFF" w:val="clear"/>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pPr>
            <w:r>
              <w:rPr/>
              <w:t>Expected Return on Plan Assets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(5,865</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(7,041</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(6,225</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(3,082</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(3,547</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(3,142</w:t>
            </w:r>
          </w:p>
        </w:tc>
        <w:tc>
          <w:tcPr>
            <w:tcW w:w="110" w:type="dxa"/>
            <w:tcBorders/>
            <w:vAlign w:val="center"/>
          </w:tcPr>
          <w:p>
            <w:pPr>
              <w:pStyle w:val="TableContents"/>
              <w:bidi w:val="0"/>
              <w:spacing w:before="0" w:after="283"/>
              <w:jc w:val="left"/>
              <w:rPr/>
            </w:pPr>
            <w:r>
              <w:rPr/>
              <w:t>)</w:t>
            </w:r>
          </w:p>
        </w:tc>
      </w:tr>
      <w:tr>
        <w:trPr/>
        <w:tc>
          <w:tcPr>
            <w:tcW w:w="4055" w:type="dxa"/>
            <w:tcBorders>
              <w:bottom w:val="single" w:sz="8" w:space="0" w:color="000000"/>
            </w:tcBorders>
            <w:shd w:fill="CCEEFF" w:val="clear"/>
            <w:tcMar>
              <w:bottom w:w="28" w:type="dxa"/>
            </w:tcMar>
            <w:vAlign w:val="center"/>
          </w:tcPr>
          <w:p>
            <w:pPr>
              <w:pStyle w:val="TableContents"/>
              <w:bidi w:val="0"/>
              <w:spacing w:before="0" w:after="283"/>
              <w:jc w:val="left"/>
              <w:rPr/>
            </w:pPr>
            <w:r>
              <w:rPr/>
              <w:t>Amortization of Net Actuarial Loss (Gain)</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658</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1,674</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2,868</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(191</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527</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4055" w:type="dxa"/>
            <w:tcBorders>
              <w:bottom w:val="single" w:sz="8" w:space="0" w:color="000000"/>
            </w:tcBorders>
            <w:tcMar>
              <w:bottom w:w="28" w:type="dxa"/>
            </w:tcMar>
            <w:vAlign w:val="center"/>
          </w:tcPr>
          <w:p>
            <w:pPr>
              <w:pStyle w:val="TableContents"/>
              <w:bidi w:val="0"/>
              <w:spacing w:before="0" w:after="283"/>
              <w:jc w:val="left"/>
              <w:rPr/>
            </w:pPr>
            <w:r>
              <w:rPr/>
              <w:t>Net Periodic Benefit Cost*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w:t>
            </w:r>
          </w:p>
        </w:tc>
        <w:tc>
          <w:tcPr>
            <w:tcW w:w="635" w:type="dxa"/>
            <w:tcBorders>
              <w:bottom w:val="single" w:sz="8" w:space="0" w:color="000000"/>
            </w:tcBorders>
            <w:tcMar>
              <w:bottom w:w="28" w:type="dxa"/>
            </w:tcMar>
            <w:vAlign w:val="center"/>
          </w:tcPr>
          <w:p>
            <w:pPr>
              <w:pStyle w:val="TableContents"/>
              <w:bidi w:val="0"/>
              <w:spacing w:before="0" w:after="283"/>
              <w:jc w:val="right"/>
              <w:rPr/>
            </w:pPr>
            <w:r>
              <w:rPr/>
              <w:t>614</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w:t>
            </w:r>
          </w:p>
        </w:tc>
        <w:tc>
          <w:tcPr>
            <w:tcW w:w="635" w:type="dxa"/>
            <w:tcBorders>
              <w:bottom w:val="single" w:sz="8" w:space="0" w:color="000000"/>
            </w:tcBorders>
            <w:tcMar>
              <w:bottom w:w="28" w:type="dxa"/>
            </w:tcMar>
            <w:vAlign w:val="center"/>
          </w:tcPr>
          <w:p>
            <w:pPr>
              <w:pStyle w:val="TableContents"/>
              <w:bidi w:val="0"/>
              <w:spacing w:before="0" w:after="283"/>
              <w:jc w:val="right"/>
              <w:rPr/>
            </w:pPr>
            <w:r>
              <w:rPr/>
              <w:t>37</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w:t>
            </w:r>
          </w:p>
        </w:tc>
        <w:tc>
          <w:tcPr>
            <w:tcW w:w="635" w:type="dxa"/>
            <w:tcBorders>
              <w:bottom w:val="single" w:sz="8" w:space="0" w:color="000000"/>
            </w:tcBorders>
            <w:tcMar>
              <w:bottom w:w="28" w:type="dxa"/>
            </w:tcMar>
            <w:vAlign w:val="center"/>
          </w:tcPr>
          <w:p>
            <w:pPr>
              <w:pStyle w:val="TableContents"/>
              <w:bidi w:val="0"/>
              <w:spacing w:before="0" w:after="283"/>
              <w:jc w:val="right"/>
              <w:rPr/>
            </w:pPr>
            <w:r>
              <w:rPr/>
              <w:t>2,045</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w:t>
            </w:r>
          </w:p>
        </w:tc>
        <w:tc>
          <w:tcPr>
            <w:tcW w:w="635" w:type="dxa"/>
            <w:tcBorders>
              <w:bottom w:val="single" w:sz="8" w:space="0" w:color="000000"/>
            </w:tcBorders>
            <w:tcMar>
              <w:bottom w:w="28" w:type="dxa"/>
            </w:tcMar>
            <w:vAlign w:val="center"/>
          </w:tcPr>
          <w:p>
            <w:pPr>
              <w:pStyle w:val="TableContents"/>
              <w:bidi w:val="0"/>
              <w:spacing w:before="0" w:after="283"/>
              <w:jc w:val="right"/>
              <w:rPr/>
            </w:pPr>
            <w:r>
              <w:rPr/>
              <w:t>(1,274</w:t>
            </w:r>
          </w:p>
        </w:tc>
        <w:tc>
          <w:tcPr>
            <w:tcW w:w="95" w:type="dxa"/>
            <w:tcBorders>
              <w:bottom w:val="single" w:sz="8" w:space="0" w:color="000000"/>
            </w:tcBorders>
            <w:tcMar>
              <w:bottom w:w="28" w:type="dxa"/>
            </w:tcMar>
            <w:vAlign w:val="center"/>
          </w:tcPr>
          <w:p>
            <w:pPr>
              <w:pStyle w:val="TableContents"/>
              <w:bidi w:val="0"/>
              <w:spacing w:before="0" w:after="283"/>
              <w:jc w:val="left"/>
              <w:rPr/>
            </w:pPr>
            <w:r>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w:t>
            </w:r>
          </w:p>
        </w:tc>
        <w:tc>
          <w:tcPr>
            <w:tcW w:w="635" w:type="dxa"/>
            <w:tcBorders>
              <w:bottom w:val="single" w:sz="8" w:space="0" w:color="000000"/>
            </w:tcBorders>
            <w:tcMar>
              <w:bottom w:w="28" w:type="dxa"/>
            </w:tcMar>
            <w:vAlign w:val="center"/>
          </w:tcPr>
          <w:p>
            <w:pPr>
              <w:pStyle w:val="TableContents"/>
              <w:bidi w:val="0"/>
              <w:spacing w:before="0" w:after="283"/>
              <w:jc w:val="right"/>
              <w:rPr/>
            </w:pPr>
            <w:r>
              <w:rPr/>
              <w:t>(1,423</w:t>
            </w:r>
          </w:p>
        </w:tc>
        <w:tc>
          <w:tcPr>
            <w:tcW w:w="95" w:type="dxa"/>
            <w:tcBorders>
              <w:bottom w:val="single" w:sz="8" w:space="0" w:color="000000"/>
            </w:tcBorders>
            <w:tcMar>
              <w:bottom w:w="28" w:type="dxa"/>
            </w:tcMar>
            <w:vAlign w:val="center"/>
          </w:tcPr>
          <w:p>
            <w:pPr>
              <w:pStyle w:val="TableContents"/>
              <w:bidi w:val="0"/>
              <w:spacing w:before="0" w:after="283"/>
              <w:jc w:val="left"/>
              <w:rPr/>
            </w:pPr>
            <w:r>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w:t>
            </w:r>
          </w:p>
        </w:tc>
        <w:tc>
          <w:tcPr>
            <w:tcW w:w="635" w:type="dxa"/>
            <w:tcBorders>
              <w:bottom w:val="single" w:sz="8" w:space="0" w:color="000000"/>
            </w:tcBorders>
            <w:tcMar>
              <w:bottom w:w="28" w:type="dxa"/>
            </w:tcMar>
            <w:vAlign w:val="center"/>
          </w:tcPr>
          <w:p>
            <w:pPr>
              <w:pStyle w:val="TableContents"/>
              <w:bidi w:val="0"/>
              <w:spacing w:before="0" w:after="283"/>
              <w:jc w:val="right"/>
              <w:rPr/>
            </w:pPr>
            <w:r>
              <w:rPr/>
              <w:t>(462</w:t>
            </w:r>
          </w:p>
        </w:tc>
        <w:tc>
          <w:tcPr>
            <w:tcW w:w="110" w:type="dxa"/>
            <w:tcBorders>
              <w:bottom w:val="single" w:sz="8" w:space="0" w:color="000000"/>
            </w:tcBorders>
            <w:tcMar>
              <w:bottom w:w="28" w:type="dxa"/>
            </w:tcM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Service cost is included in Operations and Maintenance expense on the consolidated statements of income; all other amounts are included in Other Income (Expense),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that are expected to be amortized from Regulatory Assets into Net Periodic Benefit Cost in 2024 are as follows:</w:t>
      </w:r>
    </w:p>
    <w:p>
      <w:pPr>
        <w:pStyle w:val="TextBody"/>
        <w:bidi w:val="0"/>
        <w:spacing w:before="0" w:after="0"/>
        <w:ind w:left="0" w:right="0" w:hanging="0"/>
        <w:jc w:val="left"/>
        <w:rPr>
          <w:caps w:val="false"/>
          <w:smallCaps w:val="false"/>
        </w:rPr>
      </w:pPr>
      <w:r>
        <w:rPr>
          <w:caps w:val="false"/>
          <w:smallCaps w:val="false"/>
        </w:rPr>
        <w:t> </w:t>
      </w:r>
    </w:p>
    <w:tbl>
      <w:tblPr>
        <w:tblW w:w="4506" w:type="dxa"/>
        <w:jc w:val="left"/>
        <w:tblInd w:w="0" w:type="dxa"/>
        <w:tblLayout w:type="fixed"/>
        <w:tblCellMar>
          <w:top w:w="0" w:type="dxa"/>
          <w:left w:w="0" w:type="dxa"/>
          <w:bottom w:w="0" w:type="dxa"/>
          <w:right w:w="0" w:type="dxa"/>
        </w:tblCellMar>
      </w:tblPr>
      <w:tblGrid>
        <w:gridCol w:w="2090"/>
        <w:gridCol w:w="60"/>
        <w:gridCol w:w="216"/>
        <w:gridCol w:w="588"/>
        <w:gridCol w:w="92"/>
        <w:gridCol w:w="92"/>
        <w:gridCol w:w="216"/>
        <w:gridCol w:w="982"/>
        <w:gridCol w:w="170"/>
      </w:tblGrid>
      <w:tr>
        <w:trPr/>
        <w:tc>
          <w:tcPr>
            <w:tcW w:w="20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356" w:type="dxa"/>
            <w:gridSpan w:val="7"/>
            <w:tcBorders/>
            <w:vAlign w:val="center"/>
          </w:tcPr>
          <w:p>
            <w:pPr>
              <w:pStyle w:val="TableContents"/>
              <w:bidi w:val="0"/>
              <w:spacing w:before="0" w:after="283"/>
              <w:jc w:val="center"/>
              <w:rPr>
                <w:b/>
              </w:rPr>
            </w:pPr>
            <w:r>
              <w:rPr>
                <w:b/>
              </w:rPr>
              <w:t>(Thousands of Dollars)</w:t>
            </w:r>
          </w:p>
        </w:tc>
      </w:tr>
      <w:tr>
        <w:trPr/>
        <w:tc>
          <w:tcPr>
            <w:tcW w:w="2090" w:type="dxa"/>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96" w:type="dxa"/>
            <w:gridSpan w:val="3"/>
            <w:tcBorders>
              <w:bottom w:val="single" w:sz="8" w:space="0" w:color="000000"/>
            </w:tcBorders>
            <w:tcMar>
              <w:bottom w:w="28" w:type="dxa"/>
            </w:tcMar>
            <w:vAlign w:val="center"/>
          </w:tcPr>
          <w:p>
            <w:pPr>
              <w:pStyle w:val="TableContents"/>
              <w:bidi w:val="0"/>
              <w:spacing w:before="0" w:after="283"/>
              <w:jc w:val="center"/>
              <w:rPr>
                <w:b/>
              </w:rPr>
            </w:pPr>
            <w:r>
              <w:rPr>
                <w:b/>
              </w:rPr>
              <w:t>Pension</w:t>
              <w:br/>
              <w:t>Plan</w:t>
            </w:r>
          </w:p>
        </w:tc>
        <w:tc>
          <w:tcPr>
            <w:tcW w:w="92" w:type="dxa"/>
            <w:tcBorders>
              <w:bottom w:val="single" w:sz="8" w:space="0" w:color="000000"/>
            </w:tcBorders>
            <w:tcMar>
              <w:bottom w:w="28" w:type="dxa"/>
            </w:tcMar>
            <w:vAlign w:val="center"/>
          </w:tcPr>
          <w:p>
            <w:pPr>
              <w:pStyle w:val="TableContents"/>
              <w:bidi w:val="0"/>
              <w:spacing w:before="0" w:after="283"/>
              <w:jc w:val="left"/>
              <w:rPr/>
            </w:pPr>
            <w:r>
              <w:rPr/>
              <w:t> </w:t>
            </w:r>
          </w:p>
        </w:tc>
        <w:tc>
          <w:tcPr>
            <w:tcW w:w="1368" w:type="dxa"/>
            <w:gridSpan w:val="3"/>
            <w:tcBorders>
              <w:bottom w:val="single" w:sz="8" w:space="0" w:color="000000"/>
            </w:tcBorders>
            <w:tcMar>
              <w:bottom w:w="28" w:type="dxa"/>
            </w:tcMar>
            <w:vAlign w:val="center"/>
          </w:tcPr>
          <w:p>
            <w:pPr>
              <w:pStyle w:val="TableContents"/>
              <w:bidi w:val="0"/>
              <w:spacing w:before="0" w:after="283"/>
              <w:jc w:val="center"/>
              <w:rPr>
                <w:b/>
              </w:rPr>
            </w:pPr>
            <w:r>
              <w:rPr>
                <w:b/>
              </w:rPr>
              <w:t>Other</w:t>
              <w:br/>
              <w:t xml:space="preserve">Benefits </w:t>
              <w:br/>
              <w:t>Plan</w:t>
            </w:r>
          </w:p>
        </w:tc>
      </w:tr>
      <w:tr>
        <w:trPr/>
        <w:tc>
          <w:tcPr>
            <w:tcW w:w="2090" w:type="dxa"/>
            <w:tcBorders/>
            <w:shd w:fill="CCEEFF" w:val="clear"/>
            <w:vAlign w:val="center"/>
          </w:tcPr>
          <w:p>
            <w:pPr>
              <w:pStyle w:val="TableContents"/>
              <w:bidi w:val="0"/>
              <w:spacing w:before="0" w:after="283"/>
              <w:jc w:val="left"/>
              <w:rPr/>
            </w:pPr>
            <w:r>
              <w:rPr/>
              <w:t>Actuarial Loss (Gain)</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w:t>
            </w:r>
          </w:p>
        </w:tc>
        <w:tc>
          <w:tcPr>
            <w:tcW w:w="588" w:type="dxa"/>
            <w:tcBorders/>
            <w:shd w:fill="CCEEFF" w:val="clear"/>
            <w:vAlign w:val="center"/>
          </w:tcPr>
          <w:p>
            <w:pPr>
              <w:pStyle w:val="TableContents"/>
              <w:bidi w:val="0"/>
              <w:spacing w:before="0" w:after="283"/>
              <w:jc w:val="right"/>
              <w:rPr/>
            </w:pPr>
            <w:r>
              <w:rPr/>
              <w:t>153</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w:t>
            </w:r>
          </w:p>
        </w:tc>
        <w:tc>
          <w:tcPr>
            <w:tcW w:w="982" w:type="dxa"/>
            <w:tcBorders/>
            <w:shd w:fill="CCEEFF" w:val="clear"/>
            <w:vAlign w:val="center"/>
          </w:tcPr>
          <w:p>
            <w:pPr>
              <w:pStyle w:val="TableContents"/>
              <w:bidi w:val="0"/>
              <w:spacing w:before="0" w:after="283"/>
              <w:jc w:val="right"/>
              <w:rPr/>
            </w:pPr>
            <w:r>
              <w:rPr/>
              <w:t>(1,098</w:t>
            </w:r>
          </w:p>
        </w:tc>
        <w:tc>
          <w:tcPr>
            <w:tcW w:w="17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discount rate and compensation increase rate for determining our postretirement benefit plans’ benefit obligations and costs as of and for the years ended December 31, 2023, 2022 and 2021, respectively, are as follows:</w:t>
      </w:r>
    </w:p>
    <w:p>
      <w:pPr>
        <w:pStyle w:val="TextBody"/>
        <w:bidi w:val="0"/>
        <w:spacing w:before="0" w:after="0"/>
        <w:ind w:left="0" w:right="0" w:hanging="0"/>
        <w:jc w:val="left"/>
        <w:rPr>
          <w:caps w:val="false"/>
          <w:smallCaps w:val="false"/>
        </w:rPr>
      </w:pPr>
      <w:r>
        <w:rPr>
          <w:caps w:val="false"/>
          <w:smallCaps w:val="false"/>
        </w:rPr>
        <w:t> </w:t>
      </w:r>
    </w:p>
    <w:tbl>
      <w:tblPr>
        <w:tblW w:w="8075" w:type="dxa"/>
        <w:jc w:val="left"/>
        <w:tblInd w:w="0" w:type="dxa"/>
        <w:tblLayout w:type="fixed"/>
        <w:tblCellMar>
          <w:top w:w="0" w:type="dxa"/>
          <w:left w:w="0" w:type="dxa"/>
          <w:bottom w:w="0" w:type="dxa"/>
          <w:right w:w="0" w:type="dxa"/>
        </w:tblCellMar>
      </w:tblPr>
      <w:tblGrid>
        <w:gridCol w:w="3170"/>
        <w:gridCol w:w="60"/>
        <w:gridCol w:w="60"/>
        <w:gridCol w:w="635"/>
        <w:gridCol w:w="60"/>
        <w:gridCol w:w="60"/>
        <w:gridCol w:w="60"/>
        <w:gridCol w:w="635"/>
        <w:gridCol w:w="60"/>
        <w:gridCol w:w="60"/>
        <w:gridCol w:w="60"/>
        <w:gridCol w:w="635"/>
        <w:gridCol w:w="60"/>
        <w:gridCol w:w="60"/>
        <w:gridCol w:w="60"/>
        <w:gridCol w:w="635"/>
        <w:gridCol w:w="60"/>
        <w:gridCol w:w="60"/>
        <w:gridCol w:w="60"/>
        <w:gridCol w:w="635"/>
        <w:gridCol w:w="60"/>
        <w:gridCol w:w="60"/>
        <w:gridCol w:w="60"/>
        <w:gridCol w:w="635"/>
        <w:gridCol w:w="75"/>
      </w:tblGrid>
      <w:tr>
        <w:trPr/>
        <w:tc>
          <w:tcPr>
            <w:tcW w:w="31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325" w:type="dxa"/>
            <w:gridSpan w:val="10"/>
            <w:tcBorders/>
            <w:vAlign w:val="center"/>
          </w:tcPr>
          <w:p>
            <w:pPr>
              <w:pStyle w:val="TableContents"/>
              <w:bidi w:val="0"/>
              <w:spacing w:before="0" w:after="283"/>
              <w:jc w:val="center"/>
              <w:rPr>
                <w:b/>
              </w:rPr>
            </w:pPr>
            <w:r>
              <w:rPr>
                <w:b/>
              </w:rPr>
              <w:t>Pension Plan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25" w:type="dxa"/>
            <w:gridSpan w:val="10"/>
            <w:tcBorders/>
            <w:vAlign w:val="center"/>
          </w:tcPr>
          <w:p>
            <w:pPr>
              <w:pStyle w:val="TableContents"/>
              <w:bidi w:val="0"/>
              <w:spacing w:before="0" w:after="283"/>
              <w:jc w:val="center"/>
              <w:rPr>
                <w:b/>
              </w:rPr>
            </w:pPr>
            <w:r>
              <w:rPr>
                <w:b/>
              </w:rPr>
              <w:t>Other Benefits Plan</w:t>
            </w:r>
          </w:p>
        </w:tc>
        <w:tc>
          <w:tcPr>
            <w:tcW w:w="75" w:type="dxa"/>
            <w:tcBorders/>
            <w:vAlign w:val="center"/>
          </w:tcPr>
          <w:p>
            <w:pPr>
              <w:pStyle w:val="TableContents"/>
              <w:bidi w:val="0"/>
              <w:spacing w:before="0" w:after="283"/>
              <w:jc w:val="left"/>
              <w:rPr/>
            </w:pPr>
            <w:r>
              <w:rPr/>
              <w:t> </w:t>
            </w:r>
          </w:p>
        </w:tc>
      </w:tr>
      <w:tr>
        <w:trPr/>
        <w:tc>
          <w:tcPr>
            <w:tcW w:w="31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2021</w:t>
            </w:r>
          </w:p>
        </w:tc>
        <w:tc>
          <w:tcPr>
            <w:tcW w:w="75" w:type="dxa"/>
            <w:tcBorders/>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283"/>
              <w:jc w:val="left"/>
              <w:rPr/>
            </w:pPr>
            <w:r>
              <w:rPr/>
              <w:t>Weighted Average Assumptions: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170" w:type="dxa"/>
            <w:tcBorders/>
            <w:vAlign w:val="center"/>
          </w:tcPr>
          <w:p>
            <w:pPr>
              <w:pStyle w:val="TableContents"/>
              <w:bidi w:val="0"/>
              <w:spacing w:before="0" w:after="283"/>
              <w:jc w:val="left"/>
              <w:rPr/>
            </w:pPr>
            <w:r>
              <w:rPr/>
              <w:t>Expected Return on Plan Assets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7.00%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7.00%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7.00%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7.00%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7.00%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7.00%</w:t>
            </w:r>
          </w:p>
        </w:tc>
        <w:tc>
          <w:tcPr>
            <w:tcW w:w="75" w:type="dxa"/>
            <w:tcBorders/>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283"/>
              <w:jc w:val="left"/>
              <w:rPr/>
            </w:pPr>
            <w:r>
              <w:rPr/>
              <w:t>Discount Rate for: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170" w:type="dxa"/>
            <w:tcBorders/>
            <w:vAlign w:val="center"/>
          </w:tcPr>
          <w:p>
            <w:pPr>
              <w:pStyle w:val="TableContents"/>
              <w:bidi w:val="0"/>
              <w:spacing w:before="0" w:after="283"/>
              <w:jc w:val="left"/>
              <w:rPr/>
            </w:pPr>
            <w:r>
              <w:rPr/>
              <w:t>Benefit Obligation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4.79%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4.98%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2.72%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4.79%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4.98%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2.72%</w:t>
            </w:r>
          </w:p>
        </w:tc>
        <w:tc>
          <w:tcPr>
            <w:tcW w:w="75" w:type="dxa"/>
            <w:tcBorders/>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283"/>
              <w:jc w:val="left"/>
              <w:rPr/>
            </w:pPr>
            <w:r>
              <w:rPr/>
              <w:t>Benefit Cost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4.98%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2.72%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2.37%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4.98%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2.72%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2.37%</w:t>
            </w:r>
          </w:p>
        </w:tc>
        <w:tc>
          <w:tcPr>
            <w:tcW w:w="75" w:type="dxa"/>
            <w:tcBorders/>
            <w:shd w:fill="CCEEFF" w:val="clear"/>
            <w:vAlign w:val="center"/>
          </w:tcPr>
          <w:p>
            <w:pPr>
              <w:pStyle w:val="TableContents"/>
              <w:bidi w:val="0"/>
              <w:spacing w:before="0" w:after="283"/>
              <w:jc w:val="left"/>
              <w:rPr/>
            </w:pPr>
            <w:r>
              <w:rPr/>
              <w:t> </w:t>
            </w:r>
          </w:p>
        </w:tc>
      </w:tr>
      <w:tr>
        <w:trPr/>
        <w:tc>
          <w:tcPr>
            <w:tcW w:w="3170" w:type="dxa"/>
            <w:tcBorders/>
            <w:vAlign w:val="center"/>
          </w:tcPr>
          <w:p>
            <w:pPr>
              <w:pStyle w:val="TableContents"/>
              <w:bidi w:val="0"/>
              <w:spacing w:before="0" w:after="283"/>
              <w:jc w:val="left"/>
              <w:rPr/>
            </w:pPr>
            <w:r>
              <w:rPr/>
              <w:t>Compensation Increase for: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283"/>
              <w:jc w:val="left"/>
              <w:rPr/>
            </w:pPr>
            <w:r>
              <w:rPr/>
              <w:t>Benefit Obligation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3.00%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3.00%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3.00%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3.00%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3.00%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3.00%</w:t>
            </w:r>
          </w:p>
        </w:tc>
        <w:tc>
          <w:tcPr>
            <w:tcW w:w="75" w:type="dxa"/>
            <w:tcBorders/>
            <w:shd w:fill="CCEEFF" w:val="clear"/>
            <w:vAlign w:val="center"/>
          </w:tcPr>
          <w:p>
            <w:pPr>
              <w:pStyle w:val="TableContents"/>
              <w:bidi w:val="0"/>
              <w:spacing w:before="0" w:after="283"/>
              <w:jc w:val="left"/>
              <w:rPr/>
            </w:pPr>
            <w:r>
              <w:rPr/>
              <w:t> </w:t>
            </w:r>
          </w:p>
        </w:tc>
      </w:tr>
      <w:tr>
        <w:trPr/>
        <w:tc>
          <w:tcPr>
            <w:tcW w:w="3170" w:type="dxa"/>
            <w:tcBorders/>
            <w:vAlign w:val="center"/>
          </w:tcPr>
          <w:p>
            <w:pPr>
              <w:pStyle w:val="TableContents"/>
              <w:bidi w:val="0"/>
              <w:spacing w:before="0" w:after="283"/>
              <w:jc w:val="left"/>
              <w:rPr/>
            </w:pPr>
            <w:r>
              <w:rPr/>
              <w:t>Benefit 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3.00%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3.00%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3.00%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3.00%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3.00%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3.00%</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increase assumption for the Other Benefits Plan is attributable to life insurance provided to qualifying employees upon their retirement. The insurance coverage will be determined based on the employee’s base compensation as of their retirement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utilizes the Society of Actuaries’ mortality table (Pri-2012) (Mortality Improvement Scale MP2021).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2023 valuation, costs and obligations for our Other Benefits Plan assumed a 7.5% annual rate of increase in the per capita cost of covered healthcare benefits in 2023 with the annual rate of increase declining 0.5% per year for 2024-2029, resulting in an annual rate of increase in the per capita cost of covered healthcare benefits of 4.5% by year 2030.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one-percentage point change in assumed healthcare cost trend rates would have the following effects on the Other Benefits Plan:</w:t>
      </w:r>
    </w:p>
    <w:p>
      <w:pPr>
        <w:pStyle w:val="TextBody"/>
        <w:bidi w:val="0"/>
        <w:spacing w:before="0" w:after="0"/>
        <w:ind w:left="720" w:right="0" w:hanging="0"/>
        <w:jc w:val="center"/>
        <w:rPr>
          <w:caps w:val="false"/>
          <w:smallCaps w:val="false"/>
        </w:rPr>
      </w:pPr>
      <w:r>
        <w:rPr>
          <w:caps w:val="false"/>
          <w:smallCaps w:val="false"/>
        </w:rPr>
        <w:t> </w:t>
      </w:r>
    </w:p>
    <w:tbl>
      <w:tblPr>
        <w:tblW w:w="7227" w:type="dxa"/>
        <w:jc w:val="left"/>
        <w:tblInd w:w="0" w:type="dxa"/>
        <w:tblLayout w:type="fixed"/>
        <w:tblCellMar>
          <w:top w:w="0" w:type="dxa"/>
          <w:left w:w="0" w:type="dxa"/>
          <w:bottom w:w="0" w:type="dxa"/>
          <w:right w:w="0" w:type="dxa"/>
        </w:tblCellMar>
      </w:tblPr>
      <w:tblGrid>
        <w:gridCol w:w="4715"/>
        <w:gridCol w:w="60"/>
        <w:gridCol w:w="205"/>
        <w:gridCol w:w="823"/>
        <w:gridCol w:w="88"/>
        <w:gridCol w:w="88"/>
        <w:gridCol w:w="205"/>
        <w:gridCol w:w="933"/>
        <w:gridCol w:w="110"/>
      </w:tblGrid>
      <w:tr>
        <w:trPr/>
        <w:tc>
          <w:tcPr>
            <w:tcW w:w="47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342" w:type="dxa"/>
            <w:gridSpan w:val="6"/>
            <w:tcBorders/>
            <w:vAlign w:val="center"/>
          </w:tcPr>
          <w:p>
            <w:pPr>
              <w:pStyle w:val="TableContents"/>
              <w:bidi w:val="0"/>
              <w:spacing w:before="0" w:after="283"/>
              <w:jc w:val="center"/>
              <w:rPr>
                <w:b/>
              </w:rPr>
            </w:pPr>
            <w:r>
              <w:rPr>
                <w:b/>
              </w:rPr>
              <w:t>(Thousands of Dollars)</w:t>
            </w:r>
          </w:p>
        </w:tc>
        <w:tc>
          <w:tcPr>
            <w:tcW w:w="110" w:type="dxa"/>
            <w:tcBorders/>
            <w:vAlign w:val="center"/>
          </w:tcPr>
          <w:p>
            <w:pPr>
              <w:pStyle w:val="TableContents"/>
              <w:bidi w:val="0"/>
              <w:spacing w:before="0" w:after="283"/>
              <w:jc w:val="left"/>
              <w:rPr/>
            </w:pPr>
            <w:r>
              <w:rPr/>
              <w:t> </w:t>
            </w:r>
          </w:p>
        </w:tc>
      </w:tr>
      <w:tr>
        <w:trPr/>
        <w:tc>
          <w:tcPr>
            <w:tcW w:w="47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342" w:type="dxa"/>
            <w:gridSpan w:val="6"/>
            <w:tcBorders/>
            <w:vAlign w:val="center"/>
          </w:tcPr>
          <w:p>
            <w:pPr>
              <w:pStyle w:val="TableContents"/>
              <w:bidi w:val="0"/>
              <w:spacing w:before="0" w:after="283"/>
              <w:jc w:val="center"/>
              <w:rPr>
                <w:b/>
              </w:rPr>
            </w:pPr>
            <w:r>
              <w:rPr>
                <w:b/>
              </w:rPr>
              <w:t>1 Percentage Point</w:t>
            </w:r>
          </w:p>
        </w:tc>
        <w:tc>
          <w:tcPr>
            <w:tcW w:w="110" w:type="dxa"/>
            <w:tcBorders/>
            <w:vAlign w:val="center"/>
          </w:tcPr>
          <w:p>
            <w:pPr>
              <w:pStyle w:val="TableContents"/>
              <w:bidi w:val="0"/>
              <w:spacing w:before="0" w:after="283"/>
              <w:jc w:val="left"/>
              <w:rPr/>
            </w:pPr>
            <w:r>
              <w:rPr/>
              <w:t> </w:t>
            </w:r>
          </w:p>
        </w:tc>
      </w:tr>
      <w:tr>
        <w:trPr/>
        <w:tc>
          <w:tcPr>
            <w:tcW w:w="4715" w:type="dxa"/>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02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Increase</w:t>
            </w:r>
          </w:p>
        </w:tc>
        <w:tc>
          <w:tcPr>
            <w:tcW w:w="88" w:type="dxa"/>
            <w:tcBorders>
              <w:bottom w:val="single" w:sz="8" w:space="0" w:color="000000"/>
            </w:tcBorders>
            <w:tcMar>
              <w:bottom w:w="28" w:type="dxa"/>
            </w:tcMar>
            <w:vAlign w:val="center"/>
          </w:tcPr>
          <w:p>
            <w:pPr>
              <w:pStyle w:val="TableContents"/>
              <w:bidi w:val="0"/>
              <w:spacing w:before="0" w:after="283"/>
              <w:jc w:val="left"/>
              <w:rPr/>
            </w:pPr>
            <w:r>
              <w:rPr/>
              <w:t> </w:t>
            </w:r>
          </w:p>
        </w:tc>
        <w:tc>
          <w:tcPr>
            <w:tcW w:w="88" w:type="dxa"/>
            <w:tcBorders>
              <w:bottom w:val="single" w:sz="8" w:space="0" w:color="000000"/>
            </w:tcBorders>
            <w:tcMar>
              <w:bottom w:w="28" w:type="dxa"/>
            </w:tcMar>
            <w:vAlign w:val="center"/>
          </w:tcPr>
          <w:p>
            <w:pPr>
              <w:pStyle w:val="TableContents"/>
              <w:bidi w:val="0"/>
              <w:spacing w:before="0" w:after="283"/>
              <w:jc w:val="left"/>
              <w:rPr/>
            </w:pPr>
            <w:r>
              <w:rPr/>
              <w:t> </w:t>
            </w:r>
          </w:p>
        </w:tc>
        <w:tc>
          <w:tcPr>
            <w:tcW w:w="113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Decrease</w:t>
            </w:r>
          </w:p>
        </w:tc>
        <w:tc>
          <w:tcPr>
            <w:tcW w:w="11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283"/>
              <w:jc w:val="left"/>
              <w:rPr/>
            </w:pPr>
            <w:r>
              <w:rPr/>
              <w:t>Effect on Current Year Service and Interest Costs</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w:t>
            </w:r>
          </w:p>
        </w:tc>
        <w:tc>
          <w:tcPr>
            <w:tcW w:w="823" w:type="dxa"/>
            <w:tcBorders/>
            <w:shd w:fill="CCEEFF" w:val="clear"/>
            <w:vAlign w:val="center"/>
          </w:tcPr>
          <w:p>
            <w:pPr>
              <w:pStyle w:val="TableContents"/>
              <w:bidi w:val="0"/>
              <w:spacing w:before="0" w:after="283"/>
              <w:jc w:val="right"/>
              <w:rPr/>
            </w:pPr>
            <w:r>
              <w:rPr/>
              <w:t>308</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w:t>
            </w:r>
          </w:p>
        </w:tc>
        <w:tc>
          <w:tcPr>
            <w:tcW w:w="933" w:type="dxa"/>
            <w:tcBorders/>
            <w:shd w:fill="CCEEFF" w:val="clear"/>
            <w:vAlign w:val="center"/>
          </w:tcPr>
          <w:p>
            <w:pPr>
              <w:pStyle w:val="TableContents"/>
              <w:bidi w:val="0"/>
              <w:spacing w:before="0" w:after="283"/>
              <w:jc w:val="right"/>
              <w:rPr/>
            </w:pPr>
            <w:r>
              <w:rPr/>
              <w:t>(246</w:t>
            </w:r>
          </w:p>
        </w:tc>
        <w:tc>
          <w:tcPr>
            <w:tcW w:w="110" w:type="dxa"/>
            <w:tcBorders/>
            <w:shd w:fill="CCEEFF" w:val="clear"/>
            <w:vAlign w:val="center"/>
          </w:tcPr>
          <w:p>
            <w:pPr>
              <w:pStyle w:val="TableContents"/>
              <w:bidi w:val="0"/>
              <w:spacing w:before="0" w:after="283"/>
              <w:jc w:val="left"/>
              <w:rPr/>
            </w:pPr>
            <w:r>
              <w:rPr/>
              <w:t>)</w:t>
            </w:r>
          </w:p>
        </w:tc>
      </w:tr>
      <w:tr>
        <w:trPr/>
        <w:tc>
          <w:tcPr>
            <w:tcW w:w="4715" w:type="dxa"/>
            <w:tcBorders/>
            <w:vAlign w:val="center"/>
          </w:tcPr>
          <w:p>
            <w:pPr>
              <w:pStyle w:val="TableContents"/>
              <w:bidi w:val="0"/>
              <w:spacing w:before="0" w:after="283"/>
              <w:jc w:val="left"/>
              <w:rPr/>
            </w:pPr>
            <w:r>
              <w:rPr/>
              <w:t>Effect on Projected Benefit Obligation</w:t>
            </w:r>
          </w:p>
        </w:tc>
        <w:tc>
          <w:tcPr>
            <w:tcW w:w="60"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w:t>
            </w:r>
          </w:p>
        </w:tc>
        <w:tc>
          <w:tcPr>
            <w:tcW w:w="823" w:type="dxa"/>
            <w:tcBorders/>
            <w:vAlign w:val="center"/>
          </w:tcPr>
          <w:p>
            <w:pPr>
              <w:pStyle w:val="TableContents"/>
              <w:bidi w:val="0"/>
              <w:spacing w:before="0" w:after="283"/>
              <w:jc w:val="right"/>
              <w:rPr/>
            </w:pPr>
            <w:r>
              <w:rPr/>
              <w:t>3,264</w:t>
            </w:r>
          </w:p>
        </w:tc>
        <w:tc>
          <w:tcPr>
            <w:tcW w:w="88"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w:t>
            </w:r>
          </w:p>
        </w:tc>
        <w:tc>
          <w:tcPr>
            <w:tcW w:w="933" w:type="dxa"/>
            <w:tcBorders/>
            <w:vAlign w:val="center"/>
          </w:tcPr>
          <w:p>
            <w:pPr>
              <w:pStyle w:val="TableContents"/>
              <w:bidi w:val="0"/>
              <w:spacing w:before="0" w:after="283"/>
              <w:jc w:val="right"/>
              <w:rPr/>
            </w:pPr>
            <w:r>
              <w:rPr/>
              <w:t>(2,676</w:t>
            </w:r>
          </w:p>
        </w:tc>
        <w:tc>
          <w:tcPr>
            <w:tcW w:w="110"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benefit payments, which reflect expected future service, are expected to be paid:</w:t>
      </w:r>
    </w:p>
    <w:p>
      <w:pPr>
        <w:pStyle w:val="TextBody"/>
        <w:bidi w:val="0"/>
        <w:spacing w:before="0" w:after="0"/>
        <w:ind w:left="0" w:right="0" w:hanging="0"/>
        <w:jc w:val="both"/>
        <w:rPr>
          <w:caps w:val="false"/>
          <w:smallCaps w:val="false"/>
        </w:rPr>
      </w:pPr>
      <w:r>
        <w:rPr>
          <w:caps w:val="false"/>
          <w:smallCaps w:val="false"/>
        </w:rPr>
        <w:t> </w:t>
      </w:r>
    </w:p>
    <w:tbl>
      <w:tblPr>
        <w:tblW w:w="4716" w:type="dxa"/>
        <w:jc w:val="left"/>
        <w:tblInd w:w="0" w:type="dxa"/>
        <w:tblLayout w:type="fixed"/>
        <w:tblCellMar>
          <w:top w:w="0" w:type="dxa"/>
          <w:left w:w="0" w:type="dxa"/>
          <w:bottom w:w="0" w:type="dxa"/>
          <w:right w:w="0" w:type="dxa"/>
        </w:tblCellMar>
      </w:tblPr>
      <w:tblGrid>
        <w:gridCol w:w="1070"/>
        <w:gridCol w:w="60"/>
        <w:gridCol w:w="228"/>
        <w:gridCol w:w="1111"/>
        <w:gridCol w:w="79"/>
        <w:gridCol w:w="79"/>
        <w:gridCol w:w="343"/>
        <w:gridCol w:w="1671"/>
        <w:gridCol w:w="75"/>
      </w:tblGrid>
      <w:tr>
        <w:trPr/>
        <w:tc>
          <w:tcPr>
            <w:tcW w:w="10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511" w:type="dxa"/>
            <w:gridSpan w:val="6"/>
            <w:tcBorders/>
            <w:vAlign w:val="center"/>
          </w:tcPr>
          <w:p>
            <w:pPr>
              <w:pStyle w:val="TableContents"/>
              <w:bidi w:val="0"/>
              <w:spacing w:before="0" w:after="283"/>
              <w:jc w:val="center"/>
              <w:rPr>
                <w:b/>
              </w:rPr>
            </w:pPr>
            <w:r>
              <w:rPr>
                <w:b/>
              </w:rPr>
              <w:t>(Thousands of Dollars)</w:t>
            </w:r>
          </w:p>
        </w:tc>
        <w:tc>
          <w:tcPr>
            <w:tcW w:w="75" w:type="dxa"/>
            <w:tcBorders/>
            <w:vAlign w:val="center"/>
          </w:tcPr>
          <w:p>
            <w:pPr>
              <w:pStyle w:val="TableContents"/>
              <w:bidi w:val="0"/>
              <w:spacing w:before="0" w:after="283"/>
              <w:jc w:val="left"/>
              <w:rPr/>
            </w:pPr>
            <w:r>
              <w:rPr/>
              <w:t> </w:t>
            </w:r>
          </w:p>
        </w:tc>
      </w:tr>
      <w:tr>
        <w:trPr/>
        <w:tc>
          <w:tcPr>
            <w:tcW w:w="1070" w:type="dxa"/>
            <w:tcBorders>
              <w:bottom w:val="single" w:sz="8" w:space="0" w:color="000000"/>
            </w:tcBorders>
            <w:tcMar>
              <w:bottom w:w="28" w:type="dxa"/>
            </w:tcMar>
            <w:vAlign w:val="center"/>
          </w:tcPr>
          <w:p>
            <w:pPr>
              <w:pStyle w:val="TableContents"/>
              <w:bidi w:val="0"/>
              <w:spacing w:before="0" w:after="283"/>
              <w:jc w:val="left"/>
              <w:rPr>
                <w:b/>
              </w:rPr>
            </w:pPr>
            <w:r>
              <w:rPr>
                <w:b/>
              </w:rPr>
              <w:t>Year</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33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Pension Plan</w:t>
            </w:r>
          </w:p>
        </w:tc>
        <w:tc>
          <w:tcPr>
            <w:tcW w:w="79" w:type="dxa"/>
            <w:tcBorders>
              <w:bottom w:val="single" w:sz="8" w:space="0" w:color="000000"/>
            </w:tcBorders>
            <w:tcMar>
              <w:bottom w:w="28" w:type="dxa"/>
            </w:tcMar>
            <w:vAlign w:val="center"/>
          </w:tcPr>
          <w:p>
            <w:pPr>
              <w:pStyle w:val="TableContents"/>
              <w:bidi w:val="0"/>
              <w:spacing w:before="0" w:after="283"/>
              <w:jc w:val="left"/>
              <w:rPr/>
            </w:pPr>
            <w:r>
              <w:rPr/>
              <w:t> </w:t>
            </w:r>
          </w:p>
        </w:tc>
        <w:tc>
          <w:tcPr>
            <w:tcW w:w="79" w:type="dxa"/>
            <w:tcBorders>
              <w:bottom w:val="single" w:sz="8" w:space="0" w:color="000000"/>
            </w:tcBorders>
            <w:tcMar>
              <w:bottom w:w="28" w:type="dxa"/>
            </w:tcMar>
            <w:vAlign w:val="center"/>
          </w:tcPr>
          <w:p>
            <w:pPr>
              <w:pStyle w:val="TableContents"/>
              <w:bidi w:val="0"/>
              <w:spacing w:before="0" w:after="283"/>
              <w:jc w:val="left"/>
              <w:rPr/>
            </w:pPr>
            <w:r>
              <w:rPr/>
              <w:t> </w:t>
            </w:r>
          </w:p>
        </w:tc>
        <w:tc>
          <w:tcPr>
            <w:tcW w:w="20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Other Benefits Plan</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070" w:type="dxa"/>
            <w:tcBorders/>
            <w:shd w:fill="CCEEFF" w:val="clear"/>
            <w:vAlign w:val="center"/>
          </w:tcPr>
          <w:p>
            <w:pPr>
              <w:pStyle w:val="TableContents"/>
              <w:bidi w:val="0"/>
              <w:spacing w:before="0" w:after="283"/>
              <w:jc w:val="left"/>
              <w:rPr/>
            </w:pPr>
            <w:r>
              <w:rPr/>
              <w:t>2024</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w:t>
            </w:r>
          </w:p>
        </w:tc>
        <w:tc>
          <w:tcPr>
            <w:tcW w:w="1111" w:type="dxa"/>
            <w:tcBorders/>
            <w:shd w:fill="CCEEFF" w:val="clear"/>
            <w:vAlign w:val="center"/>
          </w:tcPr>
          <w:p>
            <w:pPr>
              <w:pStyle w:val="TableContents"/>
              <w:bidi w:val="0"/>
              <w:spacing w:before="0" w:after="283"/>
              <w:jc w:val="right"/>
              <w:rPr/>
            </w:pPr>
            <w:r>
              <w:rPr/>
              <w:t>5,078</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343" w:type="dxa"/>
            <w:tcBorders/>
            <w:shd w:fill="CCEEFF" w:val="clear"/>
            <w:vAlign w:val="center"/>
          </w:tcPr>
          <w:p>
            <w:pPr>
              <w:pStyle w:val="TableContents"/>
              <w:bidi w:val="0"/>
              <w:spacing w:before="0" w:after="283"/>
              <w:jc w:val="left"/>
              <w:rPr/>
            </w:pPr>
            <w:r>
              <w:rPr/>
              <w:t>$</w:t>
            </w:r>
          </w:p>
        </w:tc>
        <w:tc>
          <w:tcPr>
            <w:tcW w:w="1671" w:type="dxa"/>
            <w:tcBorders/>
            <w:shd w:fill="CCEEFF" w:val="clear"/>
            <w:vAlign w:val="center"/>
          </w:tcPr>
          <w:p>
            <w:pPr>
              <w:pStyle w:val="TableContents"/>
              <w:bidi w:val="0"/>
              <w:spacing w:before="0" w:after="283"/>
              <w:jc w:val="right"/>
              <w:rPr/>
            </w:pPr>
            <w:r>
              <w:rPr/>
              <w:t>1,181</w:t>
            </w:r>
          </w:p>
        </w:tc>
        <w:tc>
          <w:tcPr>
            <w:tcW w:w="75" w:type="dxa"/>
            <w:tcBorders/>
            <w:shd w:fill="CCEEFF" w:val="clear"/>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283"/>
              <w:jc w:val="left"/>
              <w:rPr/>
            </w:pPr>
            <w:r>
              <w:rPr/>
              <w:t>2025</w:t>
            </w:r>
          </w:p>
        </w:tc>
        <w:tc>
          <w:tcPr>
            <w:tcW w:w="6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1111" w:type="dxa"/>
            <w:tcBorders/>
            <w:vAlign w:val="center"/>
          </w:tcPr>
          <w:p>
            <w:pPr>
              <w:pStyle w:val="TableContents"/>
              <w:bidi w:val="0"/>
              <w:spacing w:before="0" w:after="283"/>
              <w:jc w:val="right"/>
              <w:rPr/>
            </w:pPr>
            <w:r>
              <w:rPr/>
              <w:t>5,457</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3" w:type="dxa"/>
            <w:tcBorders/>
            <w:vAlign w:val="center"/>
          </w:tcPr>
          <w:p>
            <w:pPr>
              <w:pStyle w:val="TableContents"/>
              <w:bidi w:val="0"/>
              <w:spacing w:before="0" w:after="283"/>
              <w:jc w:val="left"/>
              <w:rPr/>
            </w:pPr>
            <w:r>
              <w:rPr/>
              <w:t> </w:t>
            </w:r>
          </w:p>
        </w:tc>
        <w:tc>
          <w:tcPr>
            <w:tcW w:w="1671" w:type="dxa"/>
            <w:tcBorders/>
            <w:vAlign w:val="center"/>
          </w:tcPr>
          <w:p>
            <w:pPr>
              <w:pStyle w:val="TableContents"/>
              <w:bidi w:val="0"/>
              <w:spacing w:before="0" w:after="283"/>
              <w:jc w:val="right"/>
              <w:rPr/>
            </w:pPr>
            <w:r>
              <w:rPr/>
              <w:t>1,310</w:t>
            </w:r>
          </w:p>
        </w:tc>
        <w:tc>
          <w:tcPr>
            <w:tcW w:w="75" w:type="dxa"/>
            <w:tcBorders/>
            <w:vAlign w:val="center"/>
          </w:tcPr>
          <w:p>
            <w:pPr>
              <w:pStyle w:val="TableContents"/>
              <w:bidi w:val="0"/>
              <w:spacing w:before="0" w:after="283"/>
              <w:jc w:val="left"/>
              <w:rPr/>
            </w:pPr>
            <w:r>
              <w:rPr/>
              <w:t> </w:t>
            </w:r>
          </w:p>
        </w:tc>
      </w:tr>
      <w:tr>
        <w:trPr/>
        <w:tc>
          <w:tcPr>
            <w:tcW w:w="1070" w:type="dxa"/>
            <w:tcBorders/>
            <w:shd w:fill="CCEEFF" w:val="clear"/>
            <w:vAlign w:val="center"/>
          </w:tcPr>
          <w:p>
            <w:pPr>
              <w:pStyle w:val="TableContents"/>
              <w:bidi w:val="0"/>
              <w:spacing w:before="0" w:after="283"/>
              <w:jc w:val="left"/>
              <w:rPr/>
            </w:pPr>
            <w:r>
              <w:rPr/>
              <w:t>2026</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pPr>
            <w:r>
              <w:rPr/>
              <w:t>5,444</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343" w:type="dxa"/>
            <w:tcBorders/>
            <w:shd w:fill="CCEEFF" w:val="clear"/>
            <w:vAlign w:val="center"/>
          </w:tcPr>
          <w:p>
            <w:pPr>
              <w:pStyle w:val="TableContents"/>
              <w:bidi w:val="0"/>
              <w:spacing w:before="0" w:after="283"/>
              <w:jc w:val="left"/>
              <w:rPr/>
            </w:pPr>
            <w:r>
              <w:rPr/>
              <w:t> </w:t>
            </w:r>
          </w:p>
        </w:tc>
        <w:tc>
          <w:tcPr>
            <w:tcW w:w="1671" w:type="dxa"/>
            <w:tcBorders/>
            <w:shd w:fill="CCEEFF" w:val="clear"/>
            <w:vAlign w:val="center"/>
          </w:tcPr>
          <w:p>
            <w:pPr>
              <w:pStyle w:val="TableContents"/>
              <w:bidi w:val="0"/>
              <w:spacing w:before="0" w:after="283"/>
              <w:jc w:val="right"/>
              <w:rPr/>
            </w:pPr>
            <w:r>
              <w:rPr/>
              <w:t>1,377</w:t>
            </w:r>
          </w:p>
        </w:tc>
        <w:tc>
          <w:tcPr>
            <w:tcW w:w="75" w:type="dxa"/>
            <w:tcBorders/>
            <w:shd w:fill="CCEEFF" w:val="clear"/>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283"/>
              <w:jc w:val="left"/>
              <w:rPr/>
            </w:pPr>
            <w:r>
              <w:rPr/>
              <w:t>2027</w:t>
            </w:r>
          </w:p>
        </w:tc>
        <w:tc>
          <w:tcPr>
            <w:tcW w:w="6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1111" w:type="dxa"/>
            <w:tcBorders/>
            <w:vAlign w:val="center"/>
          </w:tcPr>
          <w:p>
            <w:pPr>
              <w:pStyle w:val="TableContents"/>
              <w:bidi w:val="0"/>
              <w:spacing w:before="0" w:after="283"/>
              <w:jc w:val="right"/>
              <w:rPr/>
            </w:pPr>
            <w:r>
              <w:rPr/>
              <w:t>5,522</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3" w:type="dxa"/>
            <w:tcBorders/>
            <w:vAlign w:val="center"/>
          </w:tcPr>
          <w:p>
            <w:pPr>
              <w:pStyle w:val="TableContents"/>
              <w:bidi w:val="0"/>
              <w:spacing w:before="0" w:after="283"/>
              <w:jc w:val="left"/>
              <w:rPr/>
            </w:pPr>
            <w:r>
              <w:rPr/>
              <w:t> </w:t>
            </w:r>
          </w:p>
        </w:tc>
        <w:tc>
          <w:tcPr>
            <w:tcW w:w="1671" w:type="dxa"/>
            <w:tcBorders/>
            <w:vAlign w:val="center"/>
          </w:tcPr>
          <w:p>
            <w:pPr>
              <w:pStyle w:val="TableContents"/>
              <w:bidi w:val="0"/>
              <w:spacing w:before="0" w:after="283"/>
              <w:jc w:val="right"/>
              <w:rPr/>
            </w:pPr>
            <w:r>
              <w:rPr/>
              <w:t>1,417</w:t>
            </w:r>
          </w:p>
        </w:tc>
        <w:tc>
          <w:tcPr>
            <w:tcW w:w="75" w:type="dxa"/>
            <w:tcBorders/>
            <w:vAlign w:val="center"/>
          </w:tcPr>
          <w:p>
            <w:pPr>
              <w:pStyle w:val="TableContents"/>
              <w:bidi w:val="0"/>
              <w:spacing w:before="0" w:after="283"/>
              <w:jc w:val="left"/>
              <w:rPr/>
            </w:pPr>
            <w:r>
              <w:rPr/>
              <w:t> </w:t>
            </w:r>
          </w:p>
        </w:tc>
      </w:tr>
      <w:tr>
        <w:trPr/>
        <w:tc>
          <w:tcPr>
            <w:tcW w:w="1070" w:type="dxa"/>
            <w:tcBorders/>
            <w:shd w:fill="CCEEFF" w:val="clear"/>
            <w:vAlign w:val="center"/>
          </w:tcPr>
          <w:p>
            <w:pPr>
              <w:pStyle w:val="TableContents"/>
              <w:bidi w:val="0"/>
              <w:spacing w:before="0" w:after="283"/>
              <w:jc w:val="left"/>
              <w:rPr/>
            </w:pPr>
            <w:r>
              <w:rPr/>
              <w:t>2028</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pPr>
            <w:r>
              <w:rPr/>
              <w:t>5,638</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343" w:type="dxa"/>
            <w:tcBorders/>
            <w:shd w:fill="CCEEFF" w:val="clear"/>
            <w:vAlign w:val="center"/>
          </w:tcPr>
          <w:p>
            <w:pPr>
              <w:pStyle w:val="TableContents"/>
              <w:bidi w:val="0"/>
              <w:spacing w:before="0" w:after="283"/>
              <w:jc w:val="left"/>
              <w:rPr/>
            </w:pPr>
            <w:r>
              <w:rPr/>
              <w:t> </w:t>
            </w:r>
          </w:p>
        </w:tc>
        <w:tc>
          <w:tcPr>
            <w:tcW w:w="1671" w:type="dxa"/>
            <w:tcBorders/>
            <w:shd w:fill="CCEEFF" w:val="clear"/>
            <w:vAlign w:val="center"/>
          </w:tcPr>
          <w:p>
            <w:pPr>
              <w:pStyle w:val="TableContents"/>
              <w:bidi w:val="0"/>
              <w:spacing w:before="0" w:after="283"/>
              <w:jc w:val="right"/>
              <w:rPr/>
            </w:pPr>
            <w:r>
              <w:rPr/>
              <w:t>1,445</w:t>
            </w:r>
          </w:p>
        </w:tc>
        <w:tc>
          <w:tcPr>
            <w:tcW w:w="75" w:type="dxa"/>
            <w:tcBorders/>
            <w:shd w:fill="CCEEFF" w:val="clear"/>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283"/>
              <w:jc w:val="left"/>
              <w:rPr/>
            </w:pPr>
            <w:r>
              <w:rPr/>
              <w:t>2029-2033</w:t>
            </w:r>
          </w:p>
        </w:tc>
        <w:tc>
          <w:tcPr>
            <w:tcW w:w="60" w:type="dxa"/>
            <w:tcBorders/>
            <w:vAlign w:val="center"/>
          </w:tcPr>
          <w:p>
            <w:pPr>
              <w:pStyle w:val="TableContents"/>
              <w:bidi w:val="0"/>
              <w:spacing w:before="0" w:after="283"/>
              <w:jc w:val="left"/>
              <w:rPr/>
            </w:pPr>
            <w:r>
              <w:rPr/>
              <w:t> </w:t>
            </w:r>
          </w:p>
        </w:tc>
        <w:tc>
          <w:tcPr>
            <w:tcW w:w="228" w:type="dxa"/>
            <w:tcBorders>
              <w:bottom w:val="single" w:sz="8" w:space="0" w:color="000000"/>
            </w:tcBorders>
            <w:tcMar>
              <w:bottom w:w="28" w:type="dxa"/>
            </w:tcMar>
            <w:vAlign w:val="center"/>
          </w:tcPr>
          <w:p>
            <w:pPr>
              <w:pStyle w:val="TableContents"/>
              <w:bidi w:val="0"/>
              <w:spacing w:before="0" w:after="283"/>
              <w:jc w:val="left"/>
              <w:rPr/>
            </w:pPr>
            <w:r>
              <w:rPr/>
              <w:t> </w:t>
            </w:r>
          </w:p>
        </w:tc>
        <w:tc>
          <w:tcPr>
            <w:tcW w:w="1111" w:type="dxa"/>
            <w:tcBorders>
              <w:bottom w:val="single" w:sz="8" w:space="0" w:color="000000"/>
            </w:tcBorders>
            <w:tcMar>
              <w:bottom w:w="28" w:type="dxa"/>
            </w:tcMar>
            <w:vAlign w:val="center"/>
          </w:tcPr>
          <w:p>
            <w:pPr>
              <w:pStyle w:val="TableContents"/>
              <w:bidi w:val="0"/>
              <w:spacing w:before="0" w:after="283"/>
              <w:jc w:val="right"/>
              <w:rPr/>
            </w:pPr>
            <w:r>
              <w:rPr/>
              <w:t>29,349</w:t>
            </w:r>
          </w:p>
        </w:tc>
        <w:tc>
          <w:tcPr>
            <w:tcW w:w="79" w:type="dxa"/>
            <w:tcBorders>
              <w:bottom w:val="single" w:sz="8" w:space="0" w:color="000000"/>
            </w:tcBorders>
            <w:tcMar>
              <w:bottom w:w="28" w:type="dxa"/>
            </w:tcMar>
            <w:vAlign w:val="center"/>
          </w:tcPr>
          <w:p>
            <w:pPr>
              <w:pStyle w:val="TableContents"/>
              <w:bidi w:val="0"/>
              <w:spacing w:before="0" w:after="283"/>
              <w:jc w:val="left"/>
              <w:rPr/>
            </w:pPr>
            <w:r>
              <w:rPr/>
              <w:t> </w:t>
            </w:r>
          </w:p>
        </w:tc>
        <w:tc>
          <w:tcPr>
            <w:tcW w:w="79" w:type="dxa"/>
            <w:tcBorders>
              <w:bottom w:val="single" w:sz="8" w:space="0" w:color="000000"/>
            </w:tcBorders>
            <w:tcMar>
              <w:bottom w:w="28" w:type="dxa"/>
            </w:tcMar>
            <w:vAlign w:val="center"/>
          </w:tcPr>
          <w:p>
            <w:pPr>
              <w:pStyle w:val="TableContents"/>
              <w:bidi w:val="0"/>
              <w:spacing w:before="0" w:after="283"/>
              <w:jc w:val="left"/>
              <w:rPr/>
            </w:pPr>
            <w:r>
              <w:rPr/>
              <w:t> </w:t>
            </w:r>
          </w:p>
        </w:tc>
        <w:tc>
          <w:tcPr>
            <w:tcW w:w="343" w:type="dxa"/>
            <w:tcBorders>
              <w:bottom w:val="single" w:sz="8" w:space="0" w:color="000000"/>
            </w:tcBorders>
            <w:tcMar>
              <w:bottom w:w="28" w:type="dxa"/>
            </w:tcMar>
            <w:vAlign w:val="center"/>
          </w:tcPr>
          <w:p>
            <w:pPr>
              <w:pStyle w:val="TableContents"/>
              <w:bidi w:val="0"/>
              <w:spacing w:before="0" w:after="283"/>
              <w:jc w:val="left"/>
              <w:rPr/>
            </w:pPr>
            <w:r>
              <w:rPr/>
              <w:t> </w:t>
            </w:r>
          </w:p>
        </w:tc>
        <w:tc>
          <w:tcPr>
            <w:tcW w:w="1671" w:type="dxa"/>
            <w:tcBorders>
              <w:bottom w:val="single" w:sz="8" w:space="0" w:color="000000"/>
            </w:tcBorders>
            <w:tcMar>
              <w:bottom w:w="28" w:type="dxa"/>
            </w:tcMar>
            <w:vAlign w:val="center"/>
          </w:tcPr>
          <w:p>
            <w:pPr>
              <w:pStyle w:val="TableContents"/>
              <w:bidi w:val="0"/>
              <w:spacing w:before="0" w:after="283"/>
              <w:jc w:val="right"/>
              <w:rPr/>
            </w:pPr>
            <w:r>
              <w:rPr/>
              <w:t>8,104</w:t>
            </w:r>
          </w:p>
        </w:tc>
        <w:tc>
          <w:tcPr>
            <w:tcW w:w="75" w:type="dxa"/>
            <w:tcBorders/>
            <w:vAlign w:val="center"/>
          </w:tcPr>
          <w:p>
            <w:pPr>
              <w:pStyle w:val="TableContents"/>
              <w:bidi w:val="0"/>
              <w:spacing w:before="0" w:after="283"/>
              <w:jc w:val="left"/>
              <w:rPr/>
            </w:pPr>
            <w:r>
              <w:rPr/>
              <w:t> </w:t>
            </w:r>
          </w:p>
        </w:tc>
      </w:tr>
      <w:tr>
        <w:trPr/>
        <w:tc>
          <w:tcPr>
            <w:tcW w:w="1070" w:type="dxa"/>
            <w:tcBorders/>
            <w:shd w:fill="CCEEFF" w:val="clear"/>
            <w:vAlign w:val="center"/>
          </w:tcPr>
          <w:p>
            <w:pPr>
              <w:pStyle w:val="TableContents"/>
              <w:bidi w:val="0"/>
              <w:spacing w:before="0" w:after="283"/>
              <w:jc w:val="left"/>
              <w:rPr/>
            </w:pPr>
            <w:r>
              <w:rPr/>
              <w:t>Totals</w:t>
            </w:r>
          </w:p>
        </w:tc>
        <w:tc>
          <w:tcPr>
            <w:tcW w:w="60" w:type="dxa"/>
            <w:tcBorders/>
            <w:shd w:fill="CCEEFF" w:val="clear"/>
            <w:vAlign w:val="center"/>
          </w:tcPr>
          <w:p>
            <w:pPr>
              <w:pStyle w:val="TableContents"/>
              <w:bidi w:val="0"/>
              <w:spacing w:before="0" w:after="283"/>
              <w:jc w:val="left"/>
              <w:rPr/>
            </w:pPr>
            <w:r>
              <w:rPr/>
              <w:t> </w:t>
            </w:r>
          </w:p>
        </w:tc>
        <w:tc>
          <w:tcPr>
            <w:tcW w:w="228"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11" w:type="dxa"/>
            <w:tcBorders>
              <w:bottom w:val="single" w:sz="8" w:space="0" w:color="000000"/>
            </w:tcBorders>
            <w:shd w:fill="CCEEFF" w:val="clear"/>
            <w:tcMar>
              <w:bottom w:w="28" w:type="dxa"/>
            </w:tcMar>
            <w:vAlign w:val="center"/>
          </w:tcPr>
          <w:p>
            <w:pPr>
              <w:pStyle w:val="TableContents"/>
              <w:bidi w:val="0"/>
              <w:spacing w:before="0" w:after="283"/>
              <w:jc w:val="right"/>
              <w:rPr/>
            </w:pPr>
            <w:r>
              <w:rPr/>
              <w:t>56,488</w:t>
            </w:r>
          </w:p>
        </w:tc>
        <w:tc>
          <w:tcPr>
            <w:tcW w:w="7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43"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671" w:type="dxa"/>
            <w:tcBorders>
              <w:bottom w:val="single" w:sz="8" w:space="0" w:color="000000"/>
            </w:tcBorders>
            <w:shd w:fill="CCEEFF" w:val="clear"/>
            <w:tcMar>
              <w:bottom w:w="28" w:type="dxa"/>
            </w:tcMar>
            <w:vAlign w:val="center"/>
          </w:tcPr>
          <w:p>
            <w:pPr>
              <w:pStyle w:val="TableContents"/>
              <w:bidi w:val="0"/>
              <w:spacing w:before="0" w:after="283"/>
              <w:jc w:val="right"/>
              <w:rPr/>
            </w:pPr>
            <w:r>
              <w:rPr/>
              <w:t>14,834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Benefit Plans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allocation of plan assets at December 31, 2023 and 2022 by asset category is as follows:</w:t>
      </w:r>
    </w:p>
    <w:p>
      <w:pPr>
        <w:pStyle w:val="TextBody"/>
        <w:bidi w:val="0"/>
        <w:spacing w:before="0" w:after="0"/>
        <w:ind w:left="0" w:right="0" w:hanging="0"/>
        <w:jc w:val="left"/>
        <w:rPr>
          <w:caps w:val="false"/>
          <w:smallCaps w:val="false"/>
        </w:rPr>
      </w:pPr>
      <w:r>
        <w:rPr>
          <w:caps w:val="false"/>
          <w:smallCaps w:val="false"/>
        </w:rPr>
        <w:t> </w:t>
      </w:r>
    </w:p>
    <w:tbl>
      <w:tblPr>
        <w:tblW w:w="7835" w:type="dxa"/>
        <w:jc w:val="left"/>
        <w:tblInd w:w="0" w:type="dxa"/>
        <w:tblLayout w:type="fixed"/>
        <w:tblCellMar>
          <w:top w:w="0" w:type="dxa"/>
          <w:left w:w="0" w:type="dxa"/>
          <w:bottom w:w="0" w:type="dxa"/>
          <w:right w:w="0" w:type="dxa"/>
        </w:tblCellMar>
      </w:tblPr>
      <w:tblGrid>
        <w:gridCol w:w="2420"/>
        <w:gridCol w:w="60"/>
        <w:gridCol w:w="60"/>
        <w:gridCol w:w="755"/>
        <w:gridCol w:w="60"/>
        <w:gridCol w:w="60"/>
        <w:gridCol w:w="60"/>
        <w:gridCol w:w="755"/>
        <w:gridCol w:w="60"/>
        <w:gridCol w:w="60"/>
        <w:gridCol w:w="133"/>
        <w:gridCol w:w="577"/>
        <w:gridCol w:w="60"/>
        <w:gridCol w:w="60"/>
        <w:gridCol w:w="60"/>
        <w:gridCol w:w="755"/>
        <w:gridCol w:w="60"/>
        <w:gridCol w:w="60"/>
        <w:gridCol w:w="60"/>
        <w:gridCol w:w="755"/>
        <w:gridCol w:w="60"/>
        <w:gridCol w:w="60"/>
        <w:gridCol w:w="133"/>
        <w:gridCol w:w="577"/>
        <w:gridCol w:w="75"/>
      </w:tblGrid>
      <w:tr>
        <w:trPr/>
        <w:tc>
          <w:tcPr>
            <w:tcW w:w="24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80" w:type="dxa"/>
            <w:gridSpan w:val="10"/>
            <w:tcBorders/>
            <w:vAlign w:val="center"/>
          </w:tcPr>
          <w:p>
            <w:pPr>
              <w:pStyle w:val="TableContents"/>
              <w:bidi w:val="0"/>
              <w:spacing w:before="0" w:after="283"/>
              <w:jc w:val="center"/>
              <w:rPr>
                <w:b/>
              </w:rPr>
            </w:pPr>
            <w:r>
              <w:rPr>
                <w:b/>
              </w:rPr>
              <w:t>Pension Plan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80" w:type="dxa"/>
            <w:gridSpan w:val="10"/>
            <w:tcBorders/>
            <w:vAlign w:val="center"/>
          </w:tcPr>
          <w:p>
            <w:pPr>
              <w:pStyle w:val="TableContents"/>
              <w:bidi w:val="0"/>
              <w:spacing w:before="0" w:after="283"/>
              <w:jc w:val="center"/>
              <w:rPr>
                <w:b/>
              </w:rPr>
            </w:pPr>
            <w:r>
              <w:rPr>
                <w:b/>
              </w:rPr>
              <w:t>Other Benefits Plan</w:t>
            </w:r>
          </w:p>
        </w:tc>
        <w:tc>
          <w:tcPr>
            <w:tcW w:w="75" w:type="dxa"/>
            <w:tcBorders/>
            <w:vAlign w:val="center"/>
          </w:tcPr>
          <w:p>
            <w:pPr>
              <w:pStyle w:val="TableContents"/>
              <w:bidi w:val="0"/>
              <w:spacing w:before="0" w:after="283"/>
              <w:jc w:val="left"/>
              <w:rPr/>
            </w:pPr>
            <w:r>
              <w:rPr/>
              <w:t> </w:t>
            </w:r>
          </w:p>
        </w:tc>
      </w:tr>
      <w:tr>
        <w:trPr/>
        <w:tc>
          <w:tcPr>
            <w:tcW w:w="2420" w:type="dxa"/>
            <w:tcBorders/>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Asset Category</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Target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Target</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420" w:type="dxa"/>
            <w:tcBorders/>
            <w:shd w:fill="CCEEFF" w:val="clear"/>
            <w:vAlign w:val="center"/>
          </w:tcPr>
          <w:p>
            <w:pPr>
              <w:pStyle w:val="TableContents"/>
              <w:bidi w:val="0"/>
              <w:spacing w:before="0" w:after="283"/>
              <w:jc w:val="left"/>
              <w:rPr/>
            </w:pPr>
            <w:r>
              <w:rPr/>
              <w:t>Equity Securities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577" w:type="dxa"/>
            <w:tcBorders/>
            <w:shd w:fill="CCEEFF" w:val="clear"/>
            <w:vAlign w:val="center"/>
          </w:tcPr>
          <w:p>
            <w:pPr>
              <w:pStyle w:val="TableContents"/>
              <w:bidi w:val="0"/>
              <w:spacing w:before="0" w:after="283"/>
              <w:jc w:val="right"/>
              <w:rPr/>
            </w:pPr>
            <w:r>
              <w:rPr/>
              <w:t>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577" w:type="dxa"/>
            <w:tcBorders/>
            <w:shd w:fill="CCEEFF" w:val="clear"/>
            <w:vAlign w:val="center"/>
          </w:tcPr>
          <w:p>
            <w:pPr>
              <w:pStyle w:val="TableContents"/>
              <w:bidi w:val="0"/>
              <w:spacing w:before="0" w:after="283"/>
              <w:jc w:val="right"/>
              <w:rPr/>
            </w:pPr>
            <w:r>
              <w:rPr/>
              <w:t>43%</w:t>
            </w:r>
          </w:p>
        </w:tc>
        <w:tc>
          <w:tcPr>
            <w:tcW w:w="75" w:type="dxa"/>
            <w:tcBorders/>
            <w:shd w:fill="CCEEFF" w:val="clear"/>
            <w:vAlign w:val="center"/>
          </w:tcPr>
          <w:p>
            <w:pPr>
              <w:pStyle w:val="TableContents"/>
              <w:bidi w:val="0"/>
              <w:spacing w:before="0" w:after="283"/>
              <w:jc w:val="left"/>
              <w:rPr/>
            </w:pPr>
            <w:r>
              <w:rPr/>
              <w:t> </w:t>
            </w:r>
          </w:p>
        </w:tc>
      </w:tr>
      <w:tr>
        <w:trPr/>
        <w:tc>
          <w:tcPr>
            <w:tcW w:w="2420" w:type="dxa"/>
            <w:tcBorders/>
            <w:vAlign w:val="center"/>
          </w:tcPr>
          <w:p>
            <w:pPr>
              <w:pStyle w:val="TableContents"/>
              <w:bidi w:val="0"/>
              <w:spacing w:before="0" w:after="283"/>
              <w:jc w:val="left"/>
              <w:rPr/>
            </w:pPr>
            <w:r>
              <w:rPr/>
              <w:t>Debt Securities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39.6%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40.9%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577" w:type="dxa"/>
            <w:tcBorders/>
            <w:vAlign w:val="center"/>
          </w:tcPr>
          <w:p>
            <w:pPr>
              <w:pStyle w:val="TableContents"/>
              <w:bidi w:val="0"/>
              <w:spacing w:before="0" w:after="283"/>
              <w:jc w:val="right"/>
              <w:rPr/>
            </w:pPr>
            <w:r>
              <w:rPr/>
              <w:t>38%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36.1%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24.7%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577" w:type="dxa"/>
            <w:tcBorders/>
            <w:vAlign w:val="center"/>
          </w:tcPr>
          <w:p>
            <w:pPr>
              <w:pStyle w:val="TableContents"/>
              <w:bidi w:val="0"/>
              <w:spacing w:before="0" w:after="283"/>
              <w:jc w:val="right"/>
              <w:rPr/>
            </w:pPr>
            <w:r>
              <w:rPr/>
              <w:t>50%</w:t>
            </w:r>
          </w:p>
        </w:tc>
        <w:tc>
          <w:tcPr>
            <w:tcW w:w="75" w:type="dxa"/>
            <w:tcBorders/>
            <w:vAlign w:val="center"/>
          </w:tcPr>
          <w:p>
            <w:pPr>
              <w:pStyle w:val="TableContents"/>
              <w:bidi w:val="0"/>
              <w:spacing w:before="0" w:after="283"/>
              <w:jc w:val="left"/>
              <w:rPr/>
            </w:pPr>
            <w:r>
              <w:rPr/>
              <w:t> </w:t>
            </w:r>
          </w:p>
        </w:tc>
      </w:tr>
      <w:tr>
        <w:trPr/>
        <w:tc>
          <w:tcPr>
            <w:tcW w:w="2420" w:type="dxa"/>
            <w:tcBorders/>
            <w:shd w:fill="CCEEFF" w:val="clear"/>
            <w:vAlign w:val="center"/>
          </w:tcPr>
          <w:p>
            <w:pPr>
              <w:pStyle w:val="TableContents"/>
              <w:bidi w:val="0"/>
              <w:spacing w:before="0" w:after="283"/>
              <w:jc w:val="left"/>
              <w:rPr/>
            </w:pPr>
            <w:r>
              <w:rPr/>
              <w:t>Cash</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577" w:type="dxa"/>
            <w:tcBorders/>
            <w:shd w:fill="CCEEFF" w:val="clear"/>
            <w:vAlign w:val="center"/>
          </w:tcPr>
          <w:p>
            <w:pPr>
              <w:pStyle w:val="TableContents"/>
              <w:bidi w:val="0"/>
              <w:spacing w:before="0" w:after="283"/>
              <w:jc w:val="right"/>
              <w:rPr/>
            </w:pPr>
            <w:r>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577" w:type="dxa"/>
            <w:tcBorders/>
            <w:shd w:fill="CCEEFF" w:val="clear"/>
            <w:vAlign w:val="center"/>
          </w:tcPr>
          <w:p>
            <w:pPr>
              <w:pStyle w:val="TableContents"/>
              <w:bidi w:val="0"/>
              <w:spacing w:before="0" w:after="283"/>
              <w:jc w:val="right"/>
              <w:rPr/>
            </w:pPr>
            <w:r>
              <w:rPr/>
              <w:t>2%</w:t>
            </w:r>
          </w:p>
        </w:tc>
        <w:tc>
          <w:tcPr>
            <w:tcW w:w="75" w:type="dxa"/>
            <w:tcBorders/>
            <w:shd w:fill="CCEEFF" w:val="clear"/>
            <w:vAlign w:val="center"/>
          </w:tcPr>
          <w:p>
            <w:pPr>
              <w:pStyle w:val="TableContents"/>
              <w:bidi w:val="0"/>
              <w:spacing w:before="0" w:after="283"/>
              <w:jc w:val="left"/>
              <w:rPr/>
            </w:pPr>
            <w:r>
              <w:rPr/>
              <w:t> </w:t>
            </w:r>
          </w:p>
        </w:tc>
      </w:tr>
      <w:tr>
        <w:trPr/>
        <w:tc>
          <w:tcPr>
            <w:tcW w:w="2420" w:type="dxa"/>
            <w:tcBorders/>
            <w:vAlign w:val="center"/>
          </w:tcPr>
          <w:p>
            <w:pPr>
              <w:pStyle w:val="TableContents"/>
              <w:bidi w:val="0"/>
              <w:spacing w:before="0" w:after="283"/>
              <w:jc w:val="left"/>
              <w:rPr/>
            </w:pPr>
            <w:r>
              <w:rPr/>
              <w:t>Real Estate/Commodities</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tcMar>
              <w:bottom w:w="28" w:type="dxa"/>
            </w:tcMar>
            <w:vAlign w:val="center"/>
          </w:tcPr>
          <w:p>
            <w:pPr>
              <w:pStyle w:val="TableContents"/>
              <w:bidi w:val="0"/>
              <w:spacing w:before="0" w:after="283"/>
              <w:jc w:val="right"/>
              <w:rPr/>
            </w:pPr>
            <w:r>
              <w:rPr/>
              <w:t>1.6%</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tcMar>
              <w:bottom w:w="28" w:type="dxa"/>
            </w:tcMar>
            <w:vAlign w:val="center"/>
          </w:tcPr>
          <w:p>
            <w:pPr>
              <w:pStyle w:val="TableContents"/>
              <w:bidi w:val="0"/>
              <w:spacing w:before="0" w:after="283"/>
              <w:jc w:val="right"/>
              <w:rPr/>
            </w:pPr>
            <w:r>
              <w:rPr/>
              <w:t>1.6%</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577" w:type="dxa"/>
            <w:tcBorders/>
            <w:vAlign w:val="center"/>
          </w:tcPr>
          <w:p>
            <w:pPr>
              <w:pStyle w:val="TableContents"/>
              <w:bidi w:val="0"/>
              <w:spacing w:before="0" w:after="283"/>
              <w:jc w:val="right"/>
              <w:rPr/>
            </w:pPr>
            <w:r>
              <w:rPr/>
              <w:t>5%</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tcMar>
              <w:bottom w:w="28" w:type="dxa"/>
            </w:tcMar>
            <w:vAlign w:val="center"/>
          </w:tcPr>
          <w:p>
            <w:pPr>
              <w:pStyle w:val="TableContents"/>
              <w:bidi w:val="0"/>
              <w:spacing w:before="0" w:after="283"/>
              <w:jc w:val="right"/>
              <w:rPr/>
            </w:pPr>
            <w:r>
              <w:rPr/>
              <w:t>0.0%</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tcMar>
              <w:bottom w:w="28" w:type="dxa"/>
            </w:tcMar>
            <w:vAlign w:val="center"/>
          </w:tcPr>
          <w:p>
            <w:pPr>
              <w:pStyle w:val="TableContents"/>
              <w:bidi w:val="0"/>
              <w:spacing w:before="0" w:after="283"/>
              <w:jc w:val="right"/>
              <w:rPr/>
            </w:pPr>
            <w:r>
              <w:rPr/>
              <w:t>0.0%</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577" w:type="dxa"/>
            <w:tcBorders/>
            <w:vAlign w:val="center"/>
          </w:tcPr>
          <w:p>
            <w:pPr>
              <w:pStyle w:val="TableContents"/>
              <w:bidi w:val="0"/>
              <w:spacing w:before="0" w:after="283"/>
              <w:jc w:val="right"/>
              <w:rPr/>
            </w:pPr>
            <w:r>
              <w:rPr/>
              <w:t>5%</w:t>
            </w:r>
          </w:p>
        </w:tc>
        <w:tc>
          <w:tcPr>
            <w:tcW w:w="75" w:type="dxa"/>
            <w:tcBorders/>
            <w:vAlign w:val="center"/>
          </w:tcPr>
          <w:p>
            <w:pPr>
              <w:pStyle w:val="TableContents"/>
              <w:bidi w:val="0"/>
              <w:spacing w:before="0" w:after="283"/>
              <w:jc w:val="left"/>
              <w:rPr/>
            </w:pPr>
            <w:r>
              <w:rPr/>
              <w:t> </w:t>
            </w:r>
          </w:p>
        </w:tc>
      </w:tr>
      <w:tr>
        <w:trPr/>
        <w:tc>
          <w:tcPr>
            <w:tcW w:w="2420" w:type="dxa"/>
            <w:tcBorders/>
            <w:shd w:fill="CCEEFF" w:val="clear"/>
            <w:vAlign w:val="center"/>
          </w:tcPr>
          <w:p>
            <w:pPr>
              <w:pStyle w:val="TableContents"/>
              <w:bidi w:val="0"/>
              <w:spacing w:before="0" w:after="283"/>
              <w:jc w:val="left"/>
              <w:rPr/>
            </w:pPr>
            <w:r>
              <w:rPr/>
              <w:t>Total</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100.0%</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100.0%</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577" w:type="dxa"/>
            <w:tcBorders/>
            <w:shd w:fill="CCEEFF" w:val="clear"/>
            <w:vAlign w:val="center"/>
          </w:tcPr>
          <w:p>
            <w:pPr>
              <w:pStyle w:val="TableContents"/>
              <w:bidi w:val="0"/>
              <w:spacing w:before="0" w:after="283"/>
              <w:jc w:val="righ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100.0%</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100.0%</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57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Two outside investment firms each manage a portion of the Pension Plan asset portfolio. One of those investment firms also manages the Other Benefits Plan asset portfolio. Quarterly meetings are held between the Company’s Pension Committee of the Board of Directors and the investment managers to review their performance and asset allocation. If the actual asset allocation is outside the targeted range, the Pension Committee reviews current market conditions and advice provided by the investment managers to determine the appropriateness of rebalancing the portfolio.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objective of the Company is to maximize the long-term return on retirement plan assets, relative to a reasonable level of risk, maintain a diversified investment portfolio and maintain compliance with the Employee Retirement Income Security Act of 1974. The expected long-term rate of return is based on the various asset categories in which plan assets are invested and the current expectations and historical performance for these categories.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Accounting guidance provides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are described as follows: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67 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Level 1 – Inputs to the valuation methodology are unadjusted quoted market prices for identical assets or liabilities in accessible active markets.</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Level 2 – Inputs to the valuation methodology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 If the asset or liability has a specified contractual term, the Level 2 input must be observable for substantially the full term of the asset or liability.</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Level 3 – Inputs to the valuation methodology are unobservable and significant to the fair value measurement.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investments in cash and cash equivalents, equity securities, and commodities are valued based on quoted market prices in active markets and are classified as Level 1 investments. Certain investments in cash and cash equivalents, equity securities and fixed income securities are valued using prices received from pricing vendors that utilize observable inputs and are therefore classified as Level 2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present Middlesex’s Pension Plan assets measured and recorded at fair value within the fair value hierarchy:</w:t>
      </w:r>
    </w:p>
    <w:p>
      <w:pPr>
        <w:pStyle w:val="TextBody"/>
        <w:bidi w:val="0"/>
        <w:spacing w:before="0" w:after="0"/>
        <w:ind w:left="0" w:right="0" w:hanging="0"/>
        <w:jc w:val="center"/>
        <w:rPr>
          <w:caps w:val="false"/>
          <w:smallCaps w:val="false"/>
        </w:rPr>
      </w:pPr>
      <w:r>
        <w:rPr>
          <w:caps w:val="false"/>
          <w:smallCaps w:val="false"/>
        </w:rPr>
        <w:t> </w:t>
      </w:r>
    </w:p>
    <w:tbl>
      <w:tblPr>
        <w:tblW w:w="6228" w:type="dxa"/>
        <w:jc w:val="left"/>
        <w:tblInd w:w="0" w:type="dxa"/>
        <w:tblLayout w:type="fixed"/>
        <w:tblCellMar>
          <w:top w:w="0" w:type="dxa"/>
          <w:left w:w="0" w:type="dxa"/>
          <w:bottom w:w="0" w:type="dxa"/>
          <w:right w:w="0" w:type="dxa"/>
        </w:tblCellMar>
      </w:tblPr>
      <w:tblGrid>
        <w:gridCol w:w="2585"/>
        <w:gridCol w:w="60"/>
        <w:gridCol w:w="140"/>
        <w:gridCol w:w="680"/>
        <w:gridCol w:w="60"/>
        <w:gridCol w:w="60"/>
        <w:gridCol w:w="263"/>
        <w:gridCol w:w="491"/>
        <w:gridCol w:w="60"/>
        <w:gridCol w:w="60"/>
        <w:gridCol w:w="263"/>
        <w:gridCol w:w="491"/>
        <w:gridCol w:w="60"/>
        <w:gridCol w:w="60"/>
        <w:gridCol w:w="140"/>
        <w:gridCol w:w="680"/>
        <w:gridCol w:w="75"/>
      </w:tblGrid>
      <w:tr>
        <w:trPr/>
        <w:tc>
          <w:tcPr>
            <w:tcW w:w="25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508" w:type="dxa"/>
            <w:gridSpan w:val="14"/>
            <w:tcBorders/>
            <w:vAlign w:val="center"/>
          </w:tcPr>
          <w:p>
            <w:pPr>
              <w:pStyle w:val="TableContents"/>
              <w:bidi w:val="0"/>
              <w:spacing w:before="0" w:after="283"/>
              <w:jc w:val="center"/>
              <w:rPr>
                <w:b/>
              </w:rPr>
            </w:pPr>
            <w:r>
              <w:rPr>
                <w:b/>
              </w:rPr>
              <w:t>(Thousands of Dollars)</w:t>
            </w:r>
          </w:p>
        </w:tc>
        <w:tc>
          <w:tcPr>
            <w:tcW w:w="75" w:type="dxa"/>
            <w:tcBorders/>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508" w:type="dxa"/>
            <w:gridSpan w:val="14"/>
            <w:tcBorders/>
            <w:vAlign w:val="center"/>
          </w:tcPr>
          <w:p>
            <w:pPr>
              <w:pStyle w:val="TableContents"/>
              <w:bidi w:val="0"/>
              <w:spacing w:before="0" w:after="283"/>
              <w:jc w:val="center"/>
              <w:rPr>
                <w:b/>
              </w:rPr>
            </w:pPr>
            <w:r>
              <w:rPr>
                <w:b/>
              </w:rPr>
              <w:t>As of December 31, 2023</w:t>
            </w:r>
          </w:p>
        </w:tc>
        <w:tc>
          <w:tcPr>
            <w:tcW w:w="75" w:type="dxa"/>
            <w:tcBorders/>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center"/>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1</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2</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3</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283"/>
              <w:jc w:val="left"/>
              <w:rPr/>
            </w:pPr>
            <w:r>
              <w:rPr/>
              <w:t>Mutual Funds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71,236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w:t>
            </w:r>
          </w:p>
        </w:tc>
        <w:tc>
          <w:tcPr>
            <w:tcW w:w="491"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w:t>
            </w:r>
          </w:p>
        </w:tc>
        <w:tc>
          <w:tcPr>
            <w:tcW w:w="491"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71,236</w:t>
            </w:r>
          </w:p>
        </w:tc>
        <w:tc>
          <w:tcPr>
            <w:tcW w:w="75" w:type="dxa"/>
            <w:tcBorders/>
            <w:shd w:fill="CCEEFF" w:val="clear"/>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pPr>
            <w:r>
              <w:rPr/>
              <w:t>Money Market Funds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663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left"/>
              <w:rPr/>
            </w:pPr>
            <w:r>
              <w:rPr/>
              <w:t> </w:t>
            </w:r>
          </w:p>
        </w:tc>
        <w:tc>
          <w:tcPr>
            <w:tcW w:w="491"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left"/>
              <w:rPr/>
            </w:pPr>
            <w:r>
              <w:rPr/>
              <w:t> </w:t>
            </w:r>
          </w:p>
        </w:tc>
        <w:tc>
          <w:tcPr>
            <w:tcW w:w="491"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663</w:t>
            </w:r>
          </w:p>
        </w:tc>
        <w:tc>
          <w:tcPr>
            <w:tcW w:w="75" w:type="dxa"/>
            <w:tcBorders/>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283"/>
              <w:jc w:val="left"/>
              <w:rPr/>
            </w:pPr>
            <w:r>
              <w:rPr/>
              <w:t>Common Equity Securities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12,544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12,544</w:t>
            </w:r>
          </w:p>
        </w:tc>
        <w:tc>
          <w:tcPr>
            <w:tcW w:w="75" w:type="dxa"/>
            <w:tcBorders/>
            <w:shd w:fill="CCEEFF" w:val="clear"/>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pPr>
            <w:r>
              <w:rPr/>
              <w:t>Corporate Bonds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5,091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left"/>
              <w:rPr/>
            </w:pPr>
            <w:r>
              <w:rPr/>
              <w:t> </w:t>
            </w:r>
          </w:p>
        </w:tc>
        <w:tc>
          <w:tcPr>
            <w:tcW w:w="491"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left"/>
              <w:rPr/>
            </w:pPr>
            <w:r>
              <w:rPr/>
              <w:t> </w:t>
            </w:r>
          </w:p>
        </w:tc>
        <w:tc>
          <w:tcPr>
            <w:tcW w:w="491"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5,091</w:t>
            </w:r>
          </w:p>
        </w:tc>
        <w:tc>
          <w:tcPr>
            <w:tcW w:w="75" w:type="dxa"/>
            <w:tcBorders/>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283"/>
              <w:jc w:val="left"/>
              <w:rPr/>
            </w:pPr>
            <w:r>
              <w:rPr/>
              <w:t>Agency/US Debt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1,854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1,854</w:t>
            </w:r>
          </w:p>
        </w:tc>
        <w:tc>
          <w:tcPr>
            <w:tcW w:w="75" w:type="dxa"/>
            <w:tcBorders/>
            <w:shd w:fill="CCEEFF" w:val="clear"/>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pPr>
            <w:r>
              <w:rPr/>
              <w:t>Sovereign/Non-US Debt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tcMar>
              <w:bottom w:w="28" w:type="dxa"/>
            </w:tcMar>
            <w:vAlign w:val="center"/>
          </w:tcPr>
          <w:p>
            <w:pPr>
              <w:pStyle w:val="TableContents"/>
              <w:bidi w:val="0"/>
              <w:spacing w:before="0" w:after="283"/>
              <w:jc w:val="right"/>
              <w:rPr/>
            </w:pPr>
            <w:r>
              <w:rPr/>
              <w:t>958</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63" w:type="dxa"/>
            <w:tcBorders>
              <w:bottom w:val="single" w:sz="8" w:space="0" w:color="000000"/>
            </w:tcBorders>
            <w:tcMar>
              <w:bottom w:w="28" w:type="dxa"/>
            </w:tcMar>
            <w:vAlign w:val="center"/>
          </w:tcPr>
          <w:p>
            <w:pPr>
              <w:pStyle w:val="TableContents"/>
              <w:bidi w:val="0"/>
              <w:spacing w:before="0" w:after="283"/>
              <w:jc w:val="left"/>
              <w:rPr/>
            </w:pPr>
            <w:r>
              <w:rPr/>
              <w:t> </w:t>
            </w:r>
          </w:p>
        </w:tc>
        <w:tc>
          <w:tcPr>
            <w:tcW w:w="491" w:type="dxa"/>
            <w:tcBorders>
              <w:bottom w:val="single" w:sz="8" w:space="0" w:color="000000"/>
            </w:tcBorders>
            <w:tcMar>
              <w:bottom w:w="28" w:type="dxa"/>
            </w:tcMar>
            <w:vAlign w:val="center"/>
          </w:tcPr>
          <w:p>
            <w:pPr>
              <w:pStyle w:val="TableContents"/>
              <w:bidi w:val="0"/>
              <w:spacing w:before="0" w:after="0"/>
              <w:jc w:val="right"/>
              <w:rPr/>
            </w:pPr>
            <w:r>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63" w:type="dxa"/>
            <w:tcBorders>
              <w:bottom w:val="single" w:sz="8" w:space="0" w:color="000000"/>
            </w:tcBorders>
            <w:tcMar>
              <w:bottom w:w="28" w:type="dxa"/>
            </w:tcMar>
            <w:vAlign w:val="center"/>
          </w:tcPr>
          <w:p>
            <w:pPr>
              <w:pStyle w:val="TableContents"/>
              <w:bidi w:val="0"/>
              <w:spacing w:before="0" w:after="283"/>
              <w:jc w:val="left"/>
              <w:rPr/>
            </w:pPr>
            <w:r>
              <w:rPr/>
              <w:t> </w:t>
            </w:r>
          </w:p>
        </w:tc>
        <w:tc>
          <w:tcPr>
            <w:tcW w:w="491" w:type="dxa"/>
            <w:tcBorders>
              <w:bottom w:val="single" w:sz="8" w:space="0" w:color="000000"/>
            </w:tcBorders>
            <w:tcMar>
              <w:bottom w:w="28" w:type="dxa"/>
            </w:tcMar>
            <w:vAlign w:val="center"/>
          </w:tcPr>
          <w:p>
            <w:pPr>
              <w:pStyle w:val="TableContents"/>
              <w:bidi w:val="0"/>
              <w:spacing w:before="0" w:after="0"/>
              <w:jc w:val="right"/>
              <w:rPr/>
            </w:pPr>
            <w:r>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tcMar>
              <w:bottom w:w="28" w:type="dxa"/>
            </w:tcMar>
            <w:vAlign w:val="center"/>
          </w:tcPr>
          <w:p>
            <w:pPr>
              <w:pStyle w:val="TableContents"/>
              <w:bidi w:val="0"/>
              <w:spacing w:before="0" w:after="283"/>
              <w:jc w:val="right"/>
              <w:rPr/>
            </w:pPr>
            <w:r>
              <w:rPr/>
              <w:t>958</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283"/>
              <w:jc w:val="left"/>
              <w:rPr/>
            </w:pPr>
            <w:r>
              <w:rPr/>
              <w:t>Total Investments</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92,346</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63"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491"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63"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491"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92,346</w:t>
            </w:r>
          </w:p>
        </w:tc>
        <w:tc>
          <w:tcPr>
            <w:tcW w:w="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6228" w:type="dxa"/>
        <w:jc w:val="left"/>
        <w:tblInd w:w="0" w:type="dxa"/>
        <w:tblLayout w:type="fixed"/>
        <w:tblCellMar>
          <w:top w:w="0" w:type="dxa"/>
          <w:left w:w="0" w:type="dxa"/>
          <w:bottom w:w="0" w:type="dxa"/>
          <w:right w:w="0" w:type="dxa"/>
        </w:tblCellMar>
      </w:tblPr>
      <w:tblGrid>
        <w:gridCol w:w="2585"/>
        <w:gridCol w:w="60"/>
        <w:gridCol w:w="140"/>
        <w:gridCol w:w="680"/>
        <w:gridCol w:w="60"/>
        <w:gridCol w:w="60"/>
        <w:gridCol w:w="263"/>
        <w:gridCol w:w="491"/>
        <w:gridCol w:w="60"/>
        <w:gridCol w:w="60"/>
        <w:gridCol w:w="263"/>
        <w:gridCol w:w="491"/>
        <w:gridCol w:w="60"/>
        <w:gridCol w:w="60"/>
        <w:gridCol w:w="140"/>
        <w:gridCol w:w="680"/>
        <w:gridCol w:w="75"/>
      </w:tblGrid>
      <w:tr>
        <w:trPr/>
        <w:tc>
          <w:tcPr>
            <w:tcW w:w="25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508" w:type="dxa"/>
            <w:gridSpan w:val="14"/>
            <w:tcBorders/>
            <w:vAlign w:val="center"/>
          </w:tcPr>
          <w:p>
            <w:pPr>
              <w:pStyle w:val="TableContents"/>
              <w:bidi w:val="0"/>
              <w:spacing w:before="0" w:after="283"/>
              <w:jc w:val="center"/>
              <w:rPr>
                <w:b/>
              </w:rPr>
            </w:pPr>
            <w:r>
              <w:rPr>
                <w:b/>
              </w:rPr>
              <w:t>(Thousands of Dollars)</w:t>
            </w:r>
          </w:p>
        </w:tc>
        <w:tc>
          <w:tcPr>
            <w:tcW w:w="75" w:type="dxa"/>
            <w:tcBorders/>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508" w:type="dxa"/>
            <w:gridSpan w:val="14"/>
            <w:tcBorders/>
            <w:vAlign w:val="center"/>
          </w:tcPr>
          <w:p>
            <w:pPr>
              <w:pStyle w:val="TableContents"/>
              <w:bidi w:val="0"/>
              <w:spacing w:before="0" w:after="283"/>
              <w:jc w:val="center"/>
              <w:rPr>
                <w:b/>
              </w:rPr>
            </w:pPr>
            <w:r>
              <w:rPr>
                <w:b/>
              </w:rPr>
              <w:t>As of December 31, 2022</w:t>
            </w:r>
          </w:p>
        </w:tc>
        <w:tc>
          <w:tcPr>
            <w:tcW w:w="75" w:type="dxa"/>
            <w:tcBorders/>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center"/>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1</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2</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3</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283"/>
              <w:jc w:val="left"/>
              <w:rPr/>
            </w:pPr>
            <w:r>
              <w:rPr/>
              <w:t>Mutual Funds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71,559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w:t>
            </w:r>
          </w:p>
        </w:tc>
        <w:tc>
          <w:tcPr>
            <w:tcW w:w="491"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w:t>
            </w:r>
          </w:p>
        </w:tc>
        <w:tc>
          <w:tcPr>
            <w:tcW w:w="491"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71,559</w:t>
            </w:r>
          </w:p>
        </w:tc>
        <w:tc>
          <w:tcPr>
            <w:tcW w:w="75" w:type="dxa"/>
            <w:tcBorders/>
            <w:shd w:fill="CCEEFF" w:val="clear"/>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pPr>
            <w:r>
              <w:rPr/>
              <w:t>Money Market Funds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3,271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left"/>
              <w:rPr/>
            </w:pPr>
            <w:r>
              <w:rPr/>
              <w:t> </w:t>
            </w:r>
          </w:p>
        </w:tc>
        <w:tc>
          <w:tcPr>
            <w:tcW w:w="491"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left"/>
              <w:rPr/>
            </w:pPr>
            <w:r>
              <w:rPr/>
              <w:t> </w:t>
            </w:r>
          </w:p>
        </w:tc>
        <w:tc>
          <w:tcPr>
            <w:tcW w:w="491"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3,271</w:t>
            </w:r>
          </w:p>
        </w:tc>
        <w:tc>
          <w:tcPr>
            <w:tcW w:w="75" w:type="dxa"/>
            <w:tcBorders/>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283"/>
              <w:jc w:val="left"/>
              <w:rPr/>
            </w:pPr>
            <w:r>
              <w:rPr/>
              <w:t>Common Equity Securities</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9,998</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91"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91"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9,998</w:t>
            </w:r>
          </w:p>
        </w:tc>
        <w:tc>
          <w:tcPr>
            <w:tcW w:w="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pPr>
            <w:r>
              <w:rPr/>
              <w:t>Total Investments</w:t>
            </w:r>
          </w:p>
        </w:tc>
        <w:tc>
          <w:tcPr>
            <w:tcW w:w="60" w:type="dxa"/>
            <w:tcBorders>
              <w:bottom w:val="double" w:sz="6" w:space="0" w:color="000000"/>
            </w:tcBorders>
            <w:tcMar>
              <w:bottom w:w="28" w:type="dxa"/>
            </w:tcMar>
            <w:vAlign w:val="center"/>
          </w:tcPr>
          <w:p>
            <w:pPr>
              <w:pStyle w:val="TableContents"/>
              <w:bidi w:val="0"/>
              <w:spacing w:before="0" w:after="283"/>
              <w:jc w:val="left"/>
              <w:rPr/>
            </w:pPr>
            <w:r>
              <w:rPr/>
              <w:t> </w:t>
            </w:r>
          </w:p>
        </w:tc>
        <w:tc>
          <w:tcPr>
            <w:tcW w:w="140" w:type="dxa"/>
            <w:tcBorders>
              <w:bottom w:val="double" w:sz="6" w:space="0" w:color="000000"/>
            </w:tcBorders>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tcMar>
              <w:bottom w:w="28" w:type="dxa"/>
            </w:tcMar>
            <w:vAlign w:val="center"/>
          </w:tcPr>
          <w:p>
            <w:pPr>
              <w:pStyle w:val="TableContents"/>
              <w:bidi w:val="0"/>
              <w:spacing w:before="0" w:after="283"/>
              <w:jc w:val="right"/>
              <w:rPr/>
            </w:pPr>
            <w:r>
              <w:rPr/>
              <w:t>84,828</w:t>
            </w:r>
          </w:p>
        </w:tc>
        <w:tc>
          <w:tcPr>
            <w:tcW w:w="60" w:type="dxa"/>
            <w:tcBorders>
              <w:bottom w:val="double" w:sz="6" w:space="0" w:color="000000"/>
            </w:tcBorders>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tcMar>
              <w:bottom w:w="28" w:type="dxa"/>
            </w:tcMar>
            <w:vAlign w:val="center"/>
          </w:tcPr>
          <w:p>
            <w:pPr>
              <w:pStyle w:val="TableContents"/>
              <w:bidi w:val="0"/>
              <w:spacing w:before="0" w:after="283"/>
              <w:jc w:val="left"/>
              <w:rPr/>
            </w:pPr>
            <w:r>
              <w:rPr/>
              <w:t> </w:t>
            </w:r>
          </w:p>
        </w:tc>
        <w:tc>
          <w:tcPr>
            <w:tcW w:w="263" w:type="dxa"/>
            <w:tcBorders>
              <w:bottom w:val="double" w:sz="6" w:space="0" w:color="000000"/>
            </w:tcBorders>
            <w:tcMar>
              <w:bottom w:w="28" w:type="dxa"/>
            </w:tcMar>
            <w:vAlign w:val="center"/>
          </w:tcPr>
          <w:p>
            <w:pPr>
              <w:pStyle w:val="TableContents"/>
              <w:bidi w:val="0"/>
              <w:spacing w:before="0" w:after="283"/>
              <w:jc w:val="left"/>
              <w:rPr/>
            </w:pPr>
            <w:r>
              <w:rPr/>
              <w:t>$</w:t>
            </w:r>
          </w:p>
        </w:tc>
        <w:tc>
          <w:tcPr>
            <w:tcW w:w="491" w:type="dxa"/>
            <w:tcBorders>
              <w:bottom w:val="double" w:sz="6" w:space="0" w:color="000000"/>
            </w:tcBorders>
            <w:tcMar>
              <w:bottom w:w="28" w:type="dxa"/>
            </w:tcMar>
            <w:vAlign w:val="center"/>
          </w:tcPr>
          <w:p>
            <w:pPr>
              <w:pStyle w:val="TableContents"/>
              <w:bidi w:val="0"/>
              <w:spacing w:before="0" w:after="0"/>
              <w:jc w:val="right"/>
              <w:rPr/>
            </w:pPr>
            <w:r>
              <w:rPr/>
              <w:t>—</w:t>
            </w:r>
          </w:p>
        </w:tc>
        <w:tc>
          <w:tcPr>
            <w:tcW w:w="60" w:type="dxa"/>
            <w:tcBorders>
              <w:bottom w:val="double" w:sz="6" w:space="0" w:color="000000"/>
            </w:tcBorders>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tcMar>
              <w:bottom w:w="28" w:type="dxa"/>
            </w:tcMar>
            <w:vAlign w:val="center"/>
          </w:tcPr>
          <w:p>
            <w:pPr>
              <w:pStyle w:val="TableContents"/>
              <w:bidi w:val="0"/>
              <w:spacing w:before="0" w:after="283"/>
              <w:jc w:val="left"/>
              <w:rPr/>
            </w:pPr>
            <w:r>
              <w:rPr/>
              <w:t> </w:t>
            </w:r>
          </w:p>
        </w:tc>
        <w:tc>
          <w:tcPr>
            <w:tcW w:w="263" w:type="dxa"/>
            <w:tcBorders>
              <w:bottom w:val="double" w:sz="6" w:space="0" w:color="000000"/>
            </w:tcBorders>
            <w:tcMar>
              <w:bottom w:w="28" w:type="dxa"/>
            </w:tcMar>
            <w:vAlign w:val="center"/>
          </w:tcPr>
          <w:p>
            <w:pPr>
              <w:pStyle w:val="TableContents"/>
              <w:bidi w:val="0"/>
              <w:spacing w:before="0" w:after="283"/>
              <w:jc w:val="left"/>
              <w:rPr/>
            </w:pPr>
            <w:r>
              <w:rPr/>
              <w:t>$</w:t>
            </w:r>
          </w:p>
        </w:tc>
        <w:tc>
          <w:tcPr>
            <w:tcW w:w="491" w:type="dxa"/>
            <w:tcBorders>
              <w:bottom w:val="double" w:sz="6" w:space="0" w:color="000000"/>
            </w:tcBorders>
            <w:tcMar>
              <w:bottom w:w="28" w:type="dxa"/>
            </w:tcMar>
            <w:vAlign w:val="center"/>
          </w:tcPr>
          <w:p>
            <w:pPr>
              <w:pStyle w:val="TableContents"/>
              <w:bidi w:val="0"/>
              <w:spacing w:before="0" w:after="0"/>
              <w:jc w:val="right"/>
              <w:rPr/>
            </w:pPr>
            <w:r>
              <w:rPr/>
              <w:t>—</w:t>
            </w:r>
          </w:p>
        </w:tc>
        <w:tc>
          <w:tcPr>
            <w:tcW w:w="60" w:type="dxa"/>
            <w:tcBorders>
              <w:bottom w:val="double" w:sz="6" w:space="0" w:color="000000"/>
            </w:tcBorders>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tcMar>
              <w:bottom w:w="28" w:type="dxa"/>
            </w:tcMar>
            <w:vAlign w:val="center"/>
          </w:tcPr>
          <w:p>
            <w:pPr>
              <w:pStyle w:val="TableContents"/>
              <w:bidi w:val="0"/>
              <w:spacing w:before="0" w:after="283"/>
              <w:jc w:val="left"/>
              <w:rPr/>
            </w:pPr>
            <w:r>
              <w:rPr/>
              <w:t> </w:t>
            </w:r>
          </w:p>
        </w:tc>
        <w:tc>
          <w:tcPr>
            <w:tcW w:w="140" w:type="dxa"/>
            <w:tcBorders>
              <w:bottom w:val="double" w:sz="6" w:space="0" w:color="000000"/>
            </w:tcBorders>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tcMar>
              <w:bottom w:w="28" w:type="dxa"/>
            </w:tcMar>
            <w:vAlign w:val="center"/>
          </w:tcPr>
          <w:p>
            <w:pPr>
              <w:pStyle w:val="TableContents"/>
              <w:bidi w:val="0"/>
              <w:spacing w:before="0" w:after="283"/>
              <w:jc w:val="right"/>
              <w:rPr/>
            </w:pPr>
            <w:r>
              <w:rPr/>
              <w:t>84,828</w:t>
            </w:r>
          </w:p>
        </w:tc>
        <w:tc>
          <w:tcPr>
            <w:tcW w:w="75" w:type="dxa"/>
            <w:tcBorders>
              <w:bottom w:val="doub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68 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present Middlesex’s Other Benefits Plan assets measured and recorded at fair value within the fair value hierarchy:</w:t>
      </w:r>
    </w:p>
    <w:p>
      <w:pPr>
        <w:pStyle w:val="TextBody"/>
        <w:bidi w:val="0"/>
        <w:spacing w:before="0" w:after="0"/>
        <w:ind w:left="0" w:right="0" w:hanging="0"/>
        <w:jc w:val="left"/>
        <w:rPr>
          <w:caps w:val="false"/>
          <w:smallCaps w:val="false"/>
        </w:rPr>
      </w:pPr>
      <w:r>
        <w:rPr>
          <w:caps w:val="false"/>
          <w:smallCaps w:val="false"/>
        </w:rPr>
        <w:t> </w:t>
      </w:r>
    </w:p>
    <w:tbl>
      <w:tblPr>
        <w:tblW w:w="6939" w:type="dxa"/>
        <w:jc w:val="left"/>
        <w:tblInd w:w="0" w:type="dxa"/>
        <w:tblLayout w:type="fixed"/>
        <w:tblCellMar>
          <w:top w:w="0" w:type="dxa"/>
          <w:left w:w="0" w:type="dxa"/>
          <w:bottom w:w="0" w:type="dxa"/>
          <w:right w:w="0" w:type="dxa"/>
        </w:tblCellMar>
      </w:tblPr>
      <w:tblGrid>
        <w:gridCol w:w="3230"/>
        <w:gridCol w:w="60"/>
        <w:gridCol w:w="140"/>
        <w:gridCol w:w="680"/>
        <w:gridCol w:w="60"/>
        <w:gridCol w:w="60"/>
        <w:gridCol w:w="140"/>
        <w:gridCol w:w="680"/>
        <w:gridCol w:w="60"/>
        <w:gridCol w:w="60"/>
        <w:gridCol w:w="263"/>
        <w:gridCol w:w="491"/>
        <w:gridCol w:w="60"/>
        <w:gridCol w:w="60"/>
        <w:gridCol w:w="140"/>
        <w:gridCol w:w="680"/>
        <w:gridCol w:w="75"/>
      </w:tblGrid>
      <w:tr>
        <w:trPr/>
        <w:tc>
          <w:tcPr>
            <w:tcW w:w="32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574" w:type="dxa"/>
            <w:gridSpan w:val="14"/>
            <w:tcBorders/>
            <w:vAlign w:val="center"/>
          </w:tcPr>
          <w:p>
            <w:pPr>
              <w:pStyle w:val="TableContents"/>
              <w:bidi w:val="0"/>
              <w:spacing w:before="0" w:after="283"/>
              <w:jc w:val="center"/>
              <w:rPr>
                <w:b/>
              </w:rPr>
            </w:pPr>
            <w:r>
              <w:rPr>
                <w:b/>
              </w:rPr>
              <w:t>(Thousands of Dollars)</w:t>
            </w:r>
          </w:p>
        </w:tc>
        <w:tc>
          <w:tcPr>
            <w:tcW w:w="75" w:type="dxa"/>
            <w:tcBorders/>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574" w:type="dxa"/>
            <w:gridSpan w:val="14"/>
            <w:tcBorders/>
            <w:vAlign w:val="center"/>
          </w:tcPr>
          <w:p>
            <w:pPr>
              <w:pStyle w:val="TableContents"/>
              <w:bidi w:val="0"/>
              <w:spacing w:before="0" w:after="283"/>
              <w:jc w:val="center"/>
              <w:rPr>
                <w:b/>
              </w:rPr>
            </w:pPr>
            <w:r>
              <w:rPr>
                <w:b/>
              </w:rPr>
              <w:t>As of December 31, 2023</w:t>
            </w:r>
          </w:p>
        </w:tc>
        <w:tc>
          <w:tcPr>
            <w:tcW w:w="75" w:type="dxa"/>
            <w:tcBorders/>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center"/>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1</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2</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3</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283"/>
              <w:jc w:val="left"/>
              <w:rPr/>
            </w:pPr>
            <w:r>
              <w:rPr/>
              <w:t>Mutual Funds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29,437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w:t>
            </w:r>
          </w:p>
        </w:tc>
        <w:tc>
          <w:tcPr>
            <w:tcW w:w="491"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29,437</w:t>
            </w:r>
          </w:p>
        </w:tc>
        <w:tc>
          <w:tcPr>
            <w:tcW w:w="75" w:type="dxa"/>
            <w:tcBorders/>
            <w:shd w:fill="CCEEFF" w:val="clear"/>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pPr>
            <w:r>
              <w:rPr/>
              <w:t>Money Market Funds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1,429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left"/>
              <w:rPr/>
            </w:pPr>
            <w:r>
              <w:rPr/>
              <w:t> </w:t>
            </w:r>
          </w:p>
        </w:tc>
        <w:tc>
          <w:tcPr>
            <w:tcW w:w="491"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1,429</w:t>
            </w:r>
          </w:p>
        </w:tc>
        <w:tc>
          <w:tcPr>
            <w:tcW w:w="75"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283"/>
              <w:jc w:val="left"/>
              <w:rPr/>
            </w:pPr>
            <w:r>
              <w:rPr/>
              <w:t>Agency/US/State/Municipal Debt</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17,486</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91"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17,486</w:t>
            </w:r>
          </w:p>
        </w:tc>
        <w:tc>
          <w:tcPr>
            <w:tcW w:w="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pPr>
            <w:r>
              <w:rPr/>
              <w:t>Total Investments</w:t>
            </w:r>
          </w:p>
        </w:tc>
        <w:tc>
          <w:tcPr>
            <w:tcW w:w="60" w:type="dxa"/>
            <w:tcBorders>
              <w:bottom w:val="double" w:sz="6" w:space="0" w:color="000000"/>
            </w:tcBorders>
            <w:tcMar>
              <w:bottom w:w="28" w:type="dxa"/>
            </w:tcMar>
            <w:vAlign w:val="center"/>
          </w:tcPr>
          <w:p>
            <w:pPr>
              <w:pStyle w:val="TableContents"/>
              <w:bidi w:val="0"/>
              <w:spacing w:before="0" w:after="283"/>
              <w:jc w:val="left"/>
              <w:rPr/>
            </w:pPr>
            <w:r>
              <w:rPr/>
              <w:t> </w:t>
            </w:r>
          </w:p>
        </w:tc>
        <w:tc>
          <w:tcPr>
            <w:tcW w:w="140" w:type="dxa"/>
            <w:tcBorders>
              <w:bottom w:val="double" w:sz="6" w:space="0" w:color="000000"/>
            </w:tcBorders>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tcMar>
              <w:bottom w:w="28" w:type="dxa"/>
            </w:tcMar>
            <w:vAlign w:val="center"/>
          </w:tcPr>
          <w:p>
            <w:pPr>
              <w:pStyle w:val="TableContents"/>
              <w:bidi w:val="0"/>
              <w:spacing w:before="0" w:after="283"/>
              <w:jc w:val="right"/>
              <w:rPr/>
            </w:pPr>
            <w:r>
              <w:rPr/>
              <w:t>30,866</w:t>
            </w:r>
          </w:p>
        </w:tc>
        <w:tc>
          <w:tcPr>
            <w:tcW w:w="60" w:type="dxa"/>
            <w:tcBorders>
              <w:bottom w:val="double" w:sz="6" w:space="0" w:color="000000"/>
            </w:tcBorders>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tcMar>
              <w:bottom w:w="28" w:type="dxa"/>
            </w:tcMar>
            <w:vAlign w:val="center"/>
          </w:tcPr>
          <w:p>
            <w:pPr>
              <w:pStyle w:val="TableContents"/>
              <w:bidi w:val="0"/>
              <w:spacing w:before="0" w:after="283"/>
              <w:jc w:val="left"/>
              <w:rPr/>
            </w:pPr>
            <w:r>
              <w:rPr/>
              <w:t> </w:t>
            </w:r>
          </w:p>
        </w:tc>
        <w:tc>
          <w:tcPr>
            <w:tcW w:w="140" w:type="dxa"/>
            <w:tcBorders>
              <w:bottom w:val="double" w:sz="6" w:space="0" w:color="000000"/>
            </w:tcBorders>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tcMar>
              <w:bottom w:w="28" w:type="dxa"/>
            </w:tcMar>
            <w:vAlign w:val="center"/>
          </w:tcPr>
          <w:p>
            <w:pPr>
              <w:pStyle w:val="TableContents"/>
              <w:bidi w:val="0"/>
              <w:spacing w:before="0" w:after="283"/>
              <w:jc w:val="right"/>
              <w:rPr/>
            </w:pPr>
            <w:r>
              <w:rPr/>
              <w:t>17,486</w:t>
            </w:r>
          </w:p>
        </w:tc>
        <w:tc>
          <w:tcPr>
            <w:tcW w:w="60" w:type="dxa"/>
            <w:tcBorders>
              <w:bottom w:val="double" w:sz="6" w:space="0" w:color="000000"/>
            </w:tcBorders>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tcMar>
              <w:bottom w:w="28" w:type="dxa"/>
            </w:tcMar>
            <w:vAlign w:val="center"/>
          </w:tcPr>
          <w:p>
            <w:pPr>
              <w:pStyle w:val="TableContents"/>
              <w:bidi w:val="0"/>
              <w:spacing w:before="0" w:after="283"/>
              <w:jc w:val="left"/>
              <w:rPr/>
            </w:pPr>
            <w:r>
              <w:rPr/>
              <w:t> </w:t>
            </w:r>
          </w:p>
        </w:tc>
        <w:tc>
          <w:tcPr>
            <w:tcW w:w="263" w:type="dxa"/>
            <w:tcBorders>
              <w:bottom w:val="double" w:sz="6" w:space="0" w:color="000000"/>
            </w:tcBorders>
            <w:tcMar>
              <w:bottom w:w="28" w:type="dxa"/>
            </w:tcMar>
            <w:vAlign w:val="center"/>
          </w:tcPr>
          <w:p>
            <w:pPr>
              <w:pStyle w:val="TableContents"/>
              <w:bidi w:val="0"/>
              <w:spacing w:before="0" w:after="283"/>
              <w:jc w:val="left"/>
              <w:rPr/>
            </w:pPr>
            <w:r>
              <w:rPr/>
              <w:t>$</w:t>
            </w:r>
          </w:p>
        </w:tc>
        <w:tc>
          <w:tcPr>
            <w:tcW w:w="491" w:type="dxa"/>
            <w:tcBorders>
              <w:bottom w:val="double" w:sz="6" w:space="0" w:color="000000"/>
            </w:tcBorders>
            <w:tcMar>
              <w:bottom w:w="28" w:type="dxa"/>
            </w:tcMar>
            <w:vAlign w:val="center"/>
          </w:tcPr>
          <w:p>
            <w:pPr>
              <w:pStyle w:val="TableContents"/>
              <w:bidi w:val="0"/>
              <w:spacing w:before="0" w:after="0"/>
              <w:jc w:val="right"/>
              <w:rPr/>
            </w:pPr>
            <w:r>
              <w:rPr/>
              <w:t>—</w:t>
            </w:r>
          </w:p>
        </w:tc>
        <w:tc>
          <w:tcPr>
            <w:tcW w:w="60" w:type="dxa"/>
            <w:tcBorders>
              <w:bottom w:val="double" w:sz="6" w:space="0" w:color="000000"/>
            </w:tcBorders>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tcMar>
              <w:bottom w:w="28" w:type="dxa"/>
            </w:tcMar>
            <w:vAlign w:val="center"/>
          </w:tcPr>
          <w:p>
            <w:pPr>
              <w:pStyle w:val="TableContents"/>
              <w:bidi w:val="0"/>
              <w:spacing w:before="0" w:after="283"/>
              <w:jc w:val="left"/>
              <w:rPr/>
            </w:pPr>
            <w:r>
              <w:rPr/>
              <w:t> </w:t>
            </w:r>
          </w:p>
        </w:tc>
        <w:tc>
          <w:tcPr>
            <w:tcW w:w="140" w:type="dxa"/>
            <w:tcBorders>
              <w:bottom w:val="double" w:sz="6" w:space="0" w:color="000000"/>
            </w:tcBorders>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tcMar>
              <w:bottom w:w="28" w:type="dxa"/>
            </w:tcMar>
            <w:vAlign w:val="center"/>
          </w:tcPr>
          <w:p>
            <w:pPr>
              <w:pStyle w:val="TableContents"/>
              <w:bidi w:val="0"/>
              <w:spacing w:before="0" w:after="283"/>
              <w:jc w:val="right"/>
              <w:rPr/>
            </w:pPr>
            <w:r>
              <w:rPr/>
              <w:t>48,352</w:t>
            </w:r>
          </w:p>
        </w:tc>
        <w:tc>
          <w:tcPr>
            <w:tcW w:w="75" w:type="dxa"/>
            <w:tcBorders>
              <w:bottom w:val="doub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720" w:right="0" w:hanging="0"/>
        <w:jc w:val="left"/>
        <w:rPr>
          <w:caps w:val="false"/>
          <w:smallCaps w:val="false"/>
        </w:rPr>
      </w:pPr>
      <w:r>
        <w:rPr>
          <w:caps w:val="false"/>
          <w:smallCaps w:val="false"/>
        </w:rPr>
        <w:t>  </w:t>
      </w:r>
    </w:p>
    <w:tbl>
      <w:tblPr>
        <w:tblW w:w="6939" w:type="dxa"/>
        <w:jc w:val="left"/>
        <w:tblInd w:w="0" w:type="dxa"/>
        <w:tblLayout w:type="fixed"/>
        <w:tblCellMar>
          <w:top w:w="0" w:type="dxa"/>
          <w:left w:w="0" w:type="dxa"/>
          <w:bottom w:w="0" w:type="dxa"/>
          <w:right w:w="0" w:type="dxa"/>
        </w:tblCellMar>
      </w:tblPr>
      <w:tblGrid>
        <w:gridCol w:w="3230"/>
        <w:gridCol w:w="60"/>
        <w:gridCol w:w="140"/>
        <w:gridCol w:w="680"/>
        <w:gridCol w:w="60"/>
        <w:gridCol w:w="60"/>
        <w:gridCol w:w="140"/>
        <w:gridCol w:w="680"/>
        <w:gridCol w:w="60"/>
        <w:gridCol w:w="60"/>
        <w:gridCol w:w="263"/>
        <w:gridCol w:w="491"/>
        <w:gridCol w:w="60"/>
        <w:gridCol w:w="60"/>
        <w:gridCol w:w="140"/>
        <w:gridCol w:w="680"/>
        <w:gridCol w:w="75"/>
      </w:tblGrid>
      <w:tr>
        <w:trPr/>
        <w:tc>
          <w:tcPr>
            <w:tcW w:w="32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574" w:type="dxa"/>
            <w:gridSpan w:val="14"/>
            <w:tcBorders/>
            <w:vAlign w:val="center"/>
          </w:tcPr>
          <w:p>
            <w:pPr>
              <w:pStyle w:val="TableContents"/>
              <w:bidi w:val="0"/>
              <w:spacing w:before="0" w:after="283"/>
              <w:jc w:val="center"/>
              <w:rPr>
                <w:b/>
              </w:rPr>
            </w:pPr>
            <w:r>
              <w:rPr>
                <w:b/>
              </w:rPr>
              <w:t>(Thousands of Dollars)</w:t>
            </w:r>
          </w:p>
        </w:tc>
        <w:tc>
          <w:tcPr>
            <w:tcW w:w="75" w:type="dxa"/>
            <w:tcBorders/>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574" w:type="dxa"/>
            <w:gridSpan w:val="14"/>
            <w:tcBorders/>
            <w:vAlign w:val="center"/>
          </w:tcPr>
          <w:p>
            <w:pPr>
              <w:pStyle w:val="TableContents"/>
              <w:bidi w:val="0"/>
              <w:spacing w:before="0" w:after="283"/>
              <w:jc w:val="center"/>
              <w:rPr>
                <w:b/>
              </w:rPr>
            </w:pPr>
            <w:r>
              <w:rPr>
                <w:b/>
              </w:rPr>
              <w:t>As of December 31, 2022</w:t>
            </w:r>
          </w:p>
        </w:tc>
        <w:tc>
          <w:tcPr>
            <w:tcW w:w="75" w:type="dxa"/>
            <w:tcBorders/>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center"/>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1</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2</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3</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283"/>
              <w:jc w:val="left"/>
              <w:rPr/>
            </w:pPr>
            <w:r>
              <w:rPr/>
              <w:t>Mutual Funds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23,660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w:t>
            </w:r>
          </w:p>
        </w:tc>
        <w:tc>
          <w:tcPr>
            <w:tcW w:w="491"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23,660</w:t>
            </w:r>
          </w:p>
        </w:tc>
        <w:tc>
          <w:tcPr>
            <w:tcW w:w="75" w:type="dxa"/>
            <w:tcBorders/>
            <w:shd w:fill="CCEEFF" w:val="clear"/>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pPr>
            <w:r>
              <w:rPr/>
              <w:t>Money Market Funds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8,623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left"/>
              <w:rPr/>
            </w:pPr>
            <w:r>
              <w:rPr/>
              <w:t> </w:t>
            </w:r>
          </w:p>
        </w:tc>
        <w:tc>
          <w:tcPr>
            <w:tcW w:w="491"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8,623</w:t>
            </w:r>
          </w:p>
        </w:tc>
        <w:tc>
          <w:tcPr>
            <w:tcW w:w="75"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283"/>
              <w:jc w:val="left"/>
              <w:rPr/>
            </w:pPr>
            <w:r>
              <w:rPr/>
              <w:t>Agency/US/State/Municipal Debt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10,592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10,592</w:t>
            </w:r>
          </w:p>
        </w:tc>
        <w:tc>
          <w:tcPr>
            <w:tcW w:w="75" w:type="dxa"/>
            <w:tcBorders/>
            <w:shd w:fill="CCEEFF" w:val="clear"/>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pPr>
            <w:r>
              <w:rPr/>
              <w:t>Other</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tcMar>
              <w:bottom w:w="28" w:type="dxa"/>
            </w:tcMar>
            <w:vAlign w:val="center"/>
          </w:tcPr>
          <w:p>
            <w:pPr>
              <w:pStyle w:val="TableContents"/>
              <w:bidi w:val="0"/>
              <w:spacing w:before="0" w:after="283"/>
              <w:jc w:val="right"/>
              <w:rPr/>
            </w:pPr>
            <w:r>
              <w:rPr/>
              <w:t>1,154</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tcMar>
              <w:bottom w:w="28" w:type="dxa"/>
            </w:tcMar>
            <w:vAlign w:val="center"/>
          </w:tcPr>
          <w:p>
            <w:pPr>
              <w:pStyle w:val="TableContents"/>
              <w:bidi w:val="0"/>
              <w:spacing w:before="0" w:after="0"/>
              <w:jc w:val="right"/>
              <w:rPr/>
            </w:pPr>
            <w:r>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63" w:type="dxa"/>
            <w:tcBorders>
              <w:bottom w:val="single" w:sz="8" w:space="0" w:color="000000"/>
            </w:tcBorders>
            <w:tcMar>
              <w:bottom w:w="28" w:type="dxa"/>
            </w:tcMar>
            <w:vAlign w:val="center"/>
          </w:tcPr>
          <w:p>
            <w:pPr>
              <w:pStyle w:val="TableContents"/>
              <w:bidi w:val="0"/>
              <w:spacing w:before="0" w:after="283"/>
              <w:jc w:val="left"/>
              <w:rPr/>
            </w:pPr>
            <w:r>
              <w:rPr/>
              <w:t> </w:t>
            </w:r>
          </w:p>
        </w:tc>
        <w:tc>
          <w:tcPr>
            <w:tcW w:w="491" w:type="dxa"/>
            <w:tcBorders>
              <w:bottom w:val="single" w:sz="8" w:space="0" w:color="000000"/>
            </w:tcBorders>
            <w:tcMar>
              <w:bottom w:w="28" w:type="dxa"/>
            </w:tcMar>
            <w:vAlign w:val="center"/>
          </w:tcPr>
          <w:p>
            <w:pPr>
              <w:pStyle w:val="TableContents"/>
              <w:bidi w:val="0"/>
              <w:spacing w:before="0" w:after="0"/>
              <w:jc w:val="right"/>
              <w:rPr/>
            </w:pPr>
            <w:r>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tcMar>
              <w:bottom w:w="28" w:type="dxa"/>
            </w:tcMar>
            <w:vAlign w:val="center"/>
          </w:tcPr>
          <w:p>
            <w:pPr>
              <w:pStyle w:val="TableContents"/>
              <w:bidi w:val="0"/>
              <w:spacing w:before="0" w:after="283"/>
              <w:jc w:val="right"/>
              <w:rPr/>
            </w:pPr>
            <w:r>
              <w:rPr/>
              <w:t>1,154</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283"/>
              <w:jc w:val="left"/>
              <w:rPr/>
            </w:pPr>
            <w:r>
              <w:rPr/>
              <w:t>Total Investments</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33,437</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10,592</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26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491" w:type="dxa"/>
            <w:tcBorders>
              <w:bottom w:val="double" w:sz="6"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44,029</w:t>
            </w:r>
          </w:p>
        </w:tc>
        <w:tc>
          <w:tcPr>
            <w:tcW w:w="7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Benefit Plans Contributions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Pension Plan, Middlesex made total cash contributions of $0.4 million in 2023 and expects to make cash contributions of approximately $0.9 million in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Other Benefits Plan, Middlesex made cash contributions of $0.9 million in 2023 and expects to make approximately $0.9 million of cash contributions in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401(k)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a 401(k) defined contribution plan, which covers substantially all employees with more than 1,000 hours of service. Under the terms of the Plan, the Company matches 100% of a participant’s contributions, which do not exceed 1% of a participant’s compensation, plus 50% of a participant’s contributions exceeding 1%, but not more than 6%. The Company’s matching contribution was $0.8 million, $0.7 million and $0.7 million for the years ended December 31, 2023, 2022 and 2021,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Employees hired after March 31, 2007 are not eligible to participate in the Pension Plan and are generally eligible to participate in a discretionary profit sharing plan administered through the 401(k) plan. In December each year, the Board of Directors may approve that a stated percentage of eligible compensation be contributed to the account of the employee participant in the first quarter of the following year. For those employees still actively employed on December 31, 2023 or retired during the current year, the Company will fund a discretionary contribution of $0.9 million before April 1, 2024, which represents 5.0% of eligible 2023 compensation. For the years ended December 31, 2022 and 2021, the Company made qualifying discretionary contributions totaling $0.9 million and $0.8 million,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maintains a long-term incentive compensation plan for certain management employees where awards are made in the form of restricted common stock. Shares of restricted stock issued under the plan are subject to forfeiture by the employee in the event of termination of employment for any reason within five years of the award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69 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as a result of retirement at normal retirement age, death, disability or change in control. The maximum number of shares authorized for award under the plan is 300,000 shares, of which approximately 75% remain available for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recognizes compensation expense at fair value for the plan awards in accordance with ASC 718, </w:t>
      </w:r>
      <w:r>
        <w:rPr>
          <w:rFonts w:ascii="Times New Roman;Times;Serif" w:hAnsi="Times New Roman;Times;Serif"/>
          <w:b w:val="false"/>
          <w:i/>
          <w:caps w:val="false"/>
          <w:smallCaps w:val="false"/>
          <w:sz w:val="20"/>
        </w:rPr>
        <w:t>Compensation – Stock Compensation</w:t>
      </w:r>
      <w:r>
        <w:rPr>
          <w:rFonts w:ascii="Times New Roman;Times;Serif" w:hAnsi="Times New Roman;Times;Serif"/>
          <w:b w:val="false"/>
          <w:i w:val="false"/>
          <w:caps w:val="false"/>
          <w:smallCaps w:val="false"/>
          <w:sz w:val="20"/>
        </w:rPr>
        <w:t>. Compensation expense is determined by the market value of the stock on the date of the award and is being amortized over the expected vesting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awarded but not yet vested share information for the plan:</w:t>
      </w:r>
    </w:p>
    <w:p>
      <w:pPr>
        <w:pStyle w:val="TextBody"/>
        <w:bidi w:val="0"/>
        <w:spacing w:before="0" w:after="0"/>
        <w:ind w:left="0" w:right="0" w:hanging="0"/>
        <w:jc w:val="left"/>
        <w:rPr>
          <w:caps w:val="false"/>
          <w:smallCaps w:val="false"/>
        </w:rPr>
      </w:pPr>
      <w:r>
        <w:rPr>
          <w:caps w:val="false"/>
          <w:smallCaps w:val="false"/>
        </w:rPr>
        <w:t> </w:t>
      </w:r>
    </w:p>
    <w:tbl>
      <w:tblPr>
        <w:tblW w:w="9522" w:type="dxa"/>
        <w:jc w:val="left"/>
        <w:tblInd w:w="0" w:type="dxa"/>
        <w:tblLayout w:type="fixed"/>
        <w:tblCellMar>
          <w:top w:w="0" w:type="dxa"/>
          <w:left w:w="0" w:type="dxa"/>
          <w:bottom w:w="28" w:type="dxa"/>
          <w:right w:w="0" w:type="dxa"/>
        </w:tblCellMar>
      </w:tblPr>
      <w:tblGrid>
        <w:gridCol w:w="3785"/>
        <w:gridCol w:w="60"/>
        <w:gridCol w:w="287"/>
        <w:gridCol w:w="1607"/>
        <w:gridCol w:w="95"/>
        <w:gridCol w:w="60"/>
        <w:gridCol w:w="279"/>
        <w:gridCol w:w="1270"/>
        <w:gridCol w:w="95"/>
        <w:gridCol w:w="60"/>
        <w:gridCol w:w="314"/>
        <w:gridCol w:w="1535"/>
        <w:gridCol w:w="75"/>
      </w:tblGrid>
      <w:tr>
        <w:trPr/>
        <w:tc>
          <w:tcPr>
            <w:tcW w:w="3785" w:type="dxa"/>
            <w:tcBorders>
              <w:bottom w:val="single" w:sz="8" w:space="0" w:color="000000"/>
            </w:tcBorders>
            <w:vAlign w:val="center"/>
          </w:tcPr>
          <w:p>
            <w:pPr>
              <w:pStyle w:val="TableContents"/>
              <w:bidi w:val="0"/>
              <w:spacing w:before="0" w:after="283"/>
              <w:jc w:val="center"/>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1894" w:type="dxa"/>
            <w:gridSpan w:val="2"/>
            <w:tcBorders>
              <w:bottom w:val="single" w:sz="8" w:space="0" w:color="000000"/>
            </w:tcBorders>
            <w:vAlign w:val="center"/>
          </w:tcPr>
          <w:p>
            <w:pPr>
              <w:pStyle w:val="TableContents"/>
              <w:bidi w:val="0"/>
              <w:spacing w:before="0" w:after="283"/>
              <w:jc w:val="center"/>
              <w:rPr>
                <w:b/>
              </w:rPr>
            </w:pPr>
            <w:r>
              <w:rPr>
                <w:b/>
              </w:rPr>
              <w:t>Shares(thousands)</w:t>
            </w:r>
          </w:p>
        </w:tc>
        <w:tc>
          <w:tcPr>
            <w:tcW w:w="95"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1549" w:type="dxa"/>
            <w:gridSpan w:val="2"/>
            <w:tcBorders>
              <w:bottom w:val="single" w:sz="8" w:space="0" w:color="000000"/>
            </w:tcBorders>
            <w:vAlign w:val="center"/>
          </w:tcPr>
          <w:p>
            <w:pPr>
              <w:pStyle w:val="TableContents"/>
              <w:bidi w:val="0"/>
              <w:spacing w:before="0" w:after="283"/>
              <w:jc w:val="center"/>
              <w:rPr>
                <w:b/>
              </w:rPr>
            </w:pPr>
            <w:r>
              <w:rPr>
                <w:b/>
              </w:rPr>
              <w:t>Unearned</w:t>
              <w:br/>
              <w:t xml:space="preserve">Compensation </w:t>
              <w:br/>
              <w:t>(thousands)</w:t>
            </w:r>
          </w:p>
        </w:tc>
        <w:tc>
          <w:tcPr>
            <w:tcW w:w="9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49" w:type="dxa"/>
            <w:gridSpan w:val="2"/>
            <w:tcBorders/>
            <w:tcMar>
              <w:bottom w:w="0" w:type="dxa"/>
            </w:tcMar>
            <w:vAlign w:val="center"/>
          </w:tcPr>
          <w:p>
            <w:pPr>
              <w:pStyle w:val="TableContents"/>
              <w:bidi w:val="0"/>
              <w:spacing w:before="0" w:after="283"/>
              <w:jc w:val="center"/>
              <w:rPr>
                <w:b/>
              </w:rPr>
            </w:pPr>
            <w:r>
              <w:rPr>
                <w:b/>
              </w:rPr>
              <w:t xml:space="preserve">Weighted </w:t>
              <w:br/>
              <w:t xml:space="preserve">Average Granted </w:t>
              <w:br/>
              <w:t>Price</w:t>
            </w:r>
          </w:p>
        </w:tc>
        <w:tc>
          <w:tcPr>
            <w:tcW w:w="75" w:type="dxa"/>
            <w:tcBorders/>
            <w:tcMar>
              <w:bottom w:w="0" w:type="dxa"/>
            </w:tcMar>
            <w:vAlign w:val="center"/>
          </w:tcPr>
          <w:p>
            <w:pPr>
              <w:pStyle w:val="TableContents"/>
              <w:bidi w:val="0"/>
              <w:spacing w:before="0" w:after="283"/>
              <w:jc w:val="left"/>
              <w:rPr/>
            </w:pPr>
            <w:r>
              <w:rPr/>
              <w:t> </w:t>
            </w:r>
          </w:p>
        </w:tc>
      </w:tr>
      <w:tr>
        <w:trPr/>
        <w:tc>
          <w:tcPr>
            <w:tcW w:w="3785" w:type="dxa"/>
            <w:tcBorders>
              <w:bottom w:val="single" w:sz="8" w:space="0" w:color="000000"/>
            </w:tcBorders>
            <w:shd w:fill="CCEEFF" w:val="clear"/>
            <w:vAlign w:val="center"/>
          </w:tcPr>
          <w:p>
            <w:pPr>
              <w:pStyle w:val="TableContents"/>
              <w:bidi w:val="0"/>
              <w:spacing w:before="0" w:after="283"/>
              <w:jc w:val="left"/>
              <w:rPr/>
            </w:pPr>
            <w:r>
              <w:rPr/>
              <w:t>Balance, January 1, 2021</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287" w:type="dxa"/>
            <w:tcBorders>
              <w:bottom w:val="single" w:sz="8" w:space="0" w:color="000000"/>
            </w:tcBorders>
            <w:shd w:fill="CCEEFF" w:val="clear"/>
            <w:vAlign w:val="center"/>
          </w:tcPr>
          <w:p>
            <w:pPr>
              <w:pStyle w:val="TableContents"/>
              <w:bidi w:val="0"/>
              <w:spacing w:before="0" w:after="283"/>
              <w:jc w:val="left"/>
              <w:rPr/>
            </w:pPr>
            <w:r>
              <w:rPr/>
              <w:t> </w:t>
            </w:r>
          </w:p>
        </w:tc>
        <w:tc>
          <w:tcPr>
            <w:tcW w:w="1607" w:type="dxa"/>
            <w:tcBorders>
              <w:bottom w:val="single" w:sz="8" w:space="0" w:color="000000"/>
            </w:tcBorders>
            <w:shd w:fill="CCEEFF" w:val="clear"/>
            <w:vAlign w:val="center"/>
          </w:tcPr>
          <w:p>
            <w:pPr>
              <w:pStyle w:val="TableContents"/>
              <w:bidi w:val="0"/>
              <w:spacing w:before="0" w:after="283"/>
              <w:jc w:val="right"/>
              <w:rPr/>
            </w:pPr>
            <w:r>
              <w:rPr/>
              <w:t>86</w:t>
            </w:r>
          </w:p>
        </w:tc>
        <w:tc>
          <w:tcPr>
            <w:tcW w:w="95"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279" w:type="dxa"/>
            <w:tcBorders>
              <w:bottom w:val="single" w:sz="8" w:space="0" w:color="000000"/>
            </w:tcBorders>
            <w:shd w:fill="CCEEFF" w:val="clear"/>
            <w:vAlign w:val="center"/>
          </w:tcPr>
          <w:p>
            <w:pPr>
              <w:pStyle w:val="TableContents"/>
              <w:bidi w:val="0"/>
              <w:spacing w:before="0" w:after="283"/>
              <w:jc w:val="left"/>
              <w:rPr/>
            </w:pPr>
            <w:r>
              <w:rPr/>
              <w:t>$</w:t>
            </w:r>
          </w:p>
        </w:tc>
        <w:tc>
          <w:tcPr>
            <w:tcW w:w="1270" w:type="dxa"/>
            <w:tcBorders>
              <w:bottom w:val="single" w:sz="8" w:space="0" w:color="000000"/>
            </w:tcBorders>
            <w:shd w:fill="CCEEFF" w:val="clear"/>
            <w:vAlign w:val="center"/>
          </w:tcPr>
          <w:p>
            <w:pPr>
              <w:pStyle w:val="TableContents"/>
              <w:bidi w:val="0"/>
              <w:spacing w:before="0" w:after="283"/>
              <w:jc w:val="right"/>
              <w:rPr/>
            </w:pPr>
            <w:r>
              <w:rPr/>
              <w:t>1,837</w:t>
            </w:r>
          </w:p>
        </w:tc>
        <w:tc>
          <w:tcPr>
            <w:tcW w:w="95"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4" w:type="dxa"/>
            <w:tcBorders/>
            <w:shd w:fill="CCEEFF" w:val="clear"/>
            <w:tcMar>
              <w:bottom w:w="0" w:type="dxa"/>
            </w:tcMar>
            <w:vAlign w:val="center"/>
          </w:tcPr>
          <w:p>
            <w:pPr>
              <w:pStyle w:val="TableContents"/>
              <w:bidi w:val="0"/>
              <w:spacing w:before="0" w:after="283"/>
              <w:jc w:val="left"/>
              <w:rPr/>
            </w:pPr>
            <w:r>
              <w:rPr/>
              <w:t> </w:t>
            </w:r>
          </w:p>
        </w:tc>
        <w:tc>
          <w:tcPr>
            <w:tcW w:w="1535"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785" w:type="dxa"/>
            <w:tcBorders/>
            <w:tcMar>
              <w:bottom w:w="0" w:type="dxa"/>
            </w:tcMar>
            <w:vAlign w:val="center"/>
          </w:tcPr>
          <w:p>
            <w:pPr>
              <w:pStyle w:val="TableContents"/>
              <w:bidi w:val="0"/>
              <w:spacing w:before="0" w:after="283"/>
              <w:jc w:val="left"/>
              <w:rPr/>
            </w:pPr>
            <w:r>
              <w:rPr/>
              <w:t>Granted</w:t>
            </w:r>
          </w:p>
        </w:tc>
        <w:tc>
          <w:tcPr>
            <w:tcW w:w="60" w:type="dxa"/>
            <w:tcBorders/>
            <w:tcMar>
              <w:bottom w:w="0" w:type="dxa"/>
            </w:tcMar>
            <w:vAlign w:val="center"/>
          </w:tcPr>
          <w:p>
            <w:pPr>
              <w:pStyle w:val="TableContents"/>
              <w:bidi w:val="0"/>
              <w:spacing w:before="0" w:after="283"/>
              <w:jc w:val="left"/>
              <w:rPr/>
            </w:pPr>
            <w:r>
              <w:rPr/>
              <w:t> </w:t>
            </w:r>
          </w:p>
        </w:tc>
        <w:tc>
          <w:tcPr>
            <w:tcW w:w="287" w:type="dxa"/>
            <w:tcBorders/>
            <w:tcMar>
              <w:bottom w:w="0" w:type="dxa"/>
            </w:tcMar>
            <w:vAlign w:val="center"/>
          </w:tcPr>
          <w:p>
            <w:pPr>
              <w:pStyle w:val="TableContents"/>
              <w:bidi w:val="0"/>
              <w:spacing w:before="0" w:after="283"/>
              <w:jc w:val="left"/>
              <w:rPr/>
            </w:pPr>
            <w:r>
              <w:rPr/>
              <w:t> </w:t>
            </w:r>
          </w:p>
        </w:tc>
        <w:tc>
          <w:tcPr>
            <w:tcW w:w="1607" w:type="dxa"/>
            <w:tcBorders/>
            <w:tcMar>
              <w:bottom w:w="0" w:type="dxa"/>
            </w:tcMar>
            <w:vAlign w:val="center"/>
          </w:tcPr>
          <w:p>
            <w:pPr>
              <w:pStyle w:val="TableContents"/>
              <w:bidi w:val="0"/>
              <w:spacing w:before="0" w:after="283"/>
              <w:jc w:val="right"/>
              <w:rPr/>
            </w:pPr>
            <w:r>
              <w:rPr/>
              <w:t>15</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79" w:type="dxa"/>
            <w:tcBorders/>
            <w:tcMar>
              <w:bottom w:w="0" w:type="dxa"/>
            </w:tcMar>
            <w:vAlign w:val="center"/>
          </w:tcPr>
          <w:p>
            <w:pPr>
              <w:pStyle w:val="TableContents"/>
              <w:bidi w:val="0"/>
              <w:spacing w:before="0" w:after="283"/>
              <w:jc w:val="left"/>
              <w:rPr/>
            </w:pPr>
            <w:r>
              <w:rPr/>
              <w:t> </w:t>
            </w:r>
          </w:p>
        </w:tc>
        <w:tc>
          <w:tcPr>
            <w:tcW w:w="1270" w:type="dxa"/>
            <w:tcBorders/>
            <w:tcMar>
              <w:bottom w:w="0" w:type="dxa"/>
            </w:tcMar>
            <w:vAlign w:val="center"/>
          </w:tcPr>
          <w:p>
            <w:pPr>
              <w:pStyle w:val="TableContents"/>
              <w:bidi w:val="0"/>
              <w:spacing w:before="0" w:after="283"/>
              <w:jc w:val="right"/>
              <w:rPr/>
            </w:pPr>
            <w:r>
              <w:rPr/>
              <w:t>1,151</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14" w:type="dxa"/>
            <w:tcBorders/>
            <w:tcMar>
              <w:bottom w:w="0" w:type="dxa"/>
            </w:tcMar>
            <w:vAlign w:val="center"/>
          </w:tcPr>
          <w:p>
            <w:pPr>
              <w:pStyle w:val="TableContents"/>
              <w:bidi w:val="0"/>
              <w:spacing w:before="0" w:after="283"/>
              <w:jc w:val="left"/>
              <w:rPr/>
            </w:pPr>
            <w:r>
              <w:rPr/>
              <w:t>$</w:t>
            </w:r>
          </w:p>
        </w:tc>
        <w:tc>
          <w:tcPr>
            <w:tcW w:w="1535" w:type="dxa"/>
            <w:tcBorders/>
            <w:tcMar>
              <w:bottom w:w="0" w:type="dxa"/>
            </w:tcMar>
            <w:vAlign w:val="center"/>
          </w:tcPr>
          <w:p>
            <w:pPr>
              <w:pStyle w:val="TableContents"/>
              <w:bidi w:val="0"/>
              <w:spacing w:before="0" w:after="283"/>
              <w:jc w:val="right"/>
              <w:rPr/>
            </w:pPr>
            <w:r>
              <w:rPr/>
              <w:t>79.02</w:t>
            </w:r>
          </w:p>
        </w:tc>
        <w:tc>
          <w:tcPr>
            <w:tcW w:w="75" w:type="dxa"/>
            <w:tcBorders/>
            <w:tcMar>
              <w:bottom w:w="0" w:type="dxa"/>
            </w:tcMar>
            <w:vAlign w:val="center"/>
          </w:tcPr>
          <w:p>
            <w:pPr>
              <w:pStyle w:val="TableContents"/>
              <w:bidi w:val="0"/>
              <w:spacing w:before="0" w:after="283"/>
              <w:jc w:val="left"/>
              <w:rPr/>
            </w:pPr>
            <w:r>
              <w:rPr/>
              <w:t> </w:t>
            </w:r>
          </w:p>
        </w:tc>
      </w:tr>
      <w:tr>
        <w:trPr/>
        <w:tc>
          <w:tcPr>
            <w:tcW w:w="3785" w:type="dxa"/>
            <w:tcBorders/>
            <w:shd w:fill="CCEEFF" w:val="clear"/>
            <w:tcMar>
              <w:bottom w:w="0" w:type="dxa"/>
            </w:tcMar>
            <w:vAlign w:val="center"/>
          </w:tcPr>
          <w:p>
            <w:pPr>
              <w:pStyle w:val="TableContents"/>
              <w:bidi w:val="0"/>
              <w:spacing w:before="0" w:after="283"/>
              <w:jc w:val="left"/>
              <w:rPr/>
            </w:pPr>
            <w:r>
              <w:rPr/>
              <w:t>Vested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7" w:type="dxa"/>
            <w:tcBorders/>
            <w:shd w:fill="CCEEFF" w:val="clear"/>
            <w:tcMar>
              <w:bottom w:w="0" w:type="dxa"/>
            </w:tcMar>
            <w:vAlign w:val="center"/>
          </w:tcPr>
          <w:p>
            <w:pPr>
              <w:pStyle w:val="TableContents"/>
              <w:bidi w:val="0"/>
              <w:spacing w:before="0" w:after="283"/>
              <w:jc w:val="left"/>
              <w:rPr/>
            </w:pPr>
            <w:r>
              <w:rPr/>
              <w:t> </w:t>
            </w:r>
          </w:p>
        </w:tc>
        <w:tc>
          <w:tcPr>
            <w:tcW w:w="1607" w:type="dxa"/>
            <w:tcBorders/>
            <w:shd w:fill="CCEEFF" w:val="clear"/>
            <w:tcMar>
              <w:bottom w:w="0" w:type="dxa"/>
            </w:tcMar>
            <w:vAlign w:val="center"/>
          </w:tcPr>
          <w:p>
            <w:pPr>
              <w:pStyle w:val="TableContents"/>
              <w:bidi w:val="0"/>
              <w:spacing w:before="0" w:after="283"/>
              <w:jc w:val="right"/>
              <w:rPr/>
            </w:pPr>
            <w:r>
              <w:rPr/>
              <w:t>(18</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9" w:type="dxa"/>
            <w:tcBorders/>
            <w:shd w:fill="CCEEFF" w:val="clear"/>
            <w:tcMar>
              <w:bottom w:w="0" w:type="dxa"/>
            </w:tcMar>
            <w:vAlign w:val="center"/>
          </w:tcPr>
          <w:p>
            <w:pPr>
              <w:pStyle w:val="TableContents"/>
              <w:bidi w:val="0"/>
              <w:spacing w:before="0" w:after="283"/>
              <w:jc w:val="left"/>
              <w:rPr/>
            </w:pPr>
            <w:r>
              <w:rPr/>
              <w:t> </w:t>
            </w:r>
          </w:p>
        </w:tc>
        <w:tc>
          <w:tcPr>
            <w:tcW w:w="1270" w:type="dxa"/>
            <w:tcBorders/>
            <w:shd w:fill="CCEEFF" w:val="clear"/>
            <w:tcMar>
              <w:bottom w:w="0" w:type="dxa"/>
            </w:tcMar>
            <w:vAlign w:val="center"/>
          </w:tcPr>
          <w:p>
            <w:pPr>
              <w:pStyle w:val="TableContents"/>
              <w:bidi w:val="0"/>
              <w:spacing w:before="0" w:after="0"/>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4" w:type="dxa"/>
            <w:tcBorders/>
            <w:shd w:fill="CCEEFF" w:val="clear"/>
            <w:tcMar>
              <w:bottom w:w="0" w:type="dxa"/>
            </w:tcMar>
            <w:vAlign w:val="center"/>
          </w:tcPr>
          <w:p>
            <w:pPr>
              <w:pStyle w:val="TableContents"/>
              <w:bidi w:val="0"/>
              <w:spacing w:before="0" w:after="283"/>
              <w:jc w:val="left"/>
              <w:rPr/>
            </w:pPr>
            <w:r>
              <w:rPr/>
              <w:t> </w:t>
            </w:r>
          </w:p>
        </w:tc>
        <w:tc>
          <w:tcPr>
            <w:tcW w:w="1535"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785" w:type="dxa"/>
            <w:tcBorders>
              <w:bottom w:val="single" w:sz="8" w:space="0" w:color="000000"/>
            </w:tcBorders>
            <w:vAlign w:val="center"/>
          </w:tcPr>
          <w:p>
            <w:pPr>
              <w:pStyle w:val="TableContents"/>
              <w:bidi w:val="0"/>
              <w:spacing w:before="0" w:after="283"/>
              <w:jc w:val="left"/>
              <w:rPr/>
            </w:pPr>
            <w:r>
              <w:rPr/>
              <w:t>Amortization of Compensation expense</w:t>
            </w:r>
          </w:p>
        </w:tc>
        <w:tc>
          <w:tcPr>
            <w:tcW w:w="60" w:type="dxa"/>
            <w:tcBorders>
              <w:bottom w:val="single" w:sz="8" w:space="0" w:color="000000"/>
            </w:tcBorders>
            <w:vAlign w:val="center"/>
          </w:tcPr>
          <w:p>
            <w:pPr>
              <w:pStyle w:val="TableContents"/>
              <w:bidi w:val="0"/>
              <w:spacing w:before="0" w:after="283"/>
              <w:jc w:val="left"/>
              <w:rPr/>
            </w:pPr>
            <w:r>
              <w:rPr/>
              <w:t> </w:t>
            </w:r>
          </w:p>
        </w:tc>
        <w:tc>
          <w:tcPr>
            <w:tcW w:w="287" w:type="dxa"/>
            <w:tcBorders>
              <w:bottom w:val="single" w:sz="8" w:space="0" w:color="000000"/>
            </w:tcBorders>
            <w:vAlign w:val="center"/>
          </w:tcPr>
          <w:p>
            <w:pPr>
              <w:pStyle w:val="TableContents"/>
              <w:bidi w:val="0"/>
              <w:spacing w:before="0" w:after="283"/>
              <w:jc w:val="left"/>
              <w:rPr/>
            </w:pPr>
            <w:r>
              <w:rPr/>
              <w:t> </w:t>
            </w:r>
          </w:p>
        </w:tc>
        <w:tc>
          <w:tcPr>
            <w:tcW w:w="1607" w:type="dxa"/>
            <w:tcBorders>
              <w:bottom w:val="single" w:sz="8" w:space="0" w:color="000000"/>
            </w:tcBorders>
            <w:vAlign w:val="center"/>
          </w:tcPr>
          <w:p>
            <w:pPr>
              <w:pStyle w:val="TableContents"/>
              <w:bidi w:val="0"/>
              <w:spacing w:before="0" w:after="0"/>
              <w:jc w:val="right"/>
              <w:rPr/>
            </w:pPr>
            <w:r>
              <w:rPr/>
              <w:t>—</w:t>
            </w:r>
          </w:p>
        </w:tc>
        <w:tc>
          <w:tcPr>
            <w:tcW w:w="95"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279" w:type="dxa"/>
            <w:tcBorders>
              <w:bottom w:val="single" w:sz="8" w:space="0" w:color="000000"/>
            </w:tcBorders>
            <w:vAlign w:val="center"/>
          </w:tcPr>
          <w:p>
            <w:pPr>
              <w:pStyle w:val="TableContents"/>
              <w:bidi w:val="0"/>
              <w:spacing w:before="0" w:after="283"/>
              <w:jc w:val="left"/>
              <w:rPr/>
            </w:pPr>
            <w:r>
              <w:rPr/>
              <w:t> </w:t>
            </w:r>
          </w:p>
        </w:tc>
        <w:tc>
          <w:tcPr>
            <w:tcW w:w="1270" w:type="dxa"/>
            <w:tcBorders>
              <w:bottom w:val="single" w:sz="8" w:space="0" w:color="000000"/>
            </w:tcBorders>
            <w:vAlign w:val="center"/>
          </w:tcPr>
          <w:p>
            <w:pPr>
              <w:pStyle w:val="TableContents"/>
              <w:bidi w:val="0"/>
              <w:spacing w:before="0" w:after="283"/>
              <w:jc w:val="right"/>
              <w:rPr/>
            </w:pPr>
            <w:r>
              <w:rPr/>
              <w:t>(1,057</w:t>
            </w:r>
          </w:p>
        </w:tc>
        <w:tc>
          <w:tcPr>
            <w:tcW w:w="95" w:type="dxa"/>
            <w:tcBorders>
              <w:bottom w:val="single" w:sz="8" w:space="0" w:color="000000"/>
            </w:tcBorders>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314"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righ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3785" w:type="dxa"/>
            <w:tcBorders>
              <w:bottom w:val="single" w:sz="8" w:space="0" w:color="000000"/>
            </w:tcBorders>
            <w:shd w:fill="CCEEFF" w:val="clear"/>
            <w:vAlign w:val="center"/>
          </w:tcPr>
          <w:p>
            <w:pPr>
              <w:pStyle w:val="TableContents"/>
              <w:bidi w:val="0"/>
              <w:spacing w:before="0" w:after="283"/>
              <w:jc w:val="left"/>
              <w:rPr/>
            </w:pPr>
            <w:r>
              <w:rPr/>
              <w:t>Balance, December 31, 2021</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287" w:type="dxa"/>
            <w:tcBorders>
              <w:bottom w:val="single" w:sz="8" w:space="0" w:color="000000"/>
            </w:tcBorders>
            <w:shd w:fill="CCEEFF" w:val="clear"/>
            <w:vAlign w:val="center"/>
          </w:tcPr>
          <w:p>
            <w:pPr>
              <w:pStyle w:val="TableContents"/>
              <w:bidi w:val="0"/>
              <w:spacing w:before="0" w:after="283"/>
              <w:jc w:val="left"/>
              <w:rPr/>
            </w:pPr>
            <w:r>
              <w:rPr/>
              <w:t> </w:t>
            </w:r>
          </w:p>
        </w:tc>
        <w:tc>
          <w:tcPr>
            <w:tcW w:w="1607" w:type="dxa"/>
            <w:tcBorders>
              <w:bottom w:val="single" w:sz="8" w:space="0" w:color="000000"/>
            </w:tcBorders>
            <w:shd w:fill="CCEEFF" w:val="clear"/>
            <w:vAlign w:val="center"/>
          </w:tcPr>
          <w:p>
            <w:pPr>
              <w:pStyle w:val="TableContents"/>
              <w:bidi w:val="0"/>
              <w:spacing w:before="0" w:after="283"/>
              <w:jc w:val="right"/>
              <w:rPr/>
            </w:pPr>
            <w:r>
              <w:rPr/>
              <w:t>83</w:t>
            </w:r>
          </w:p>
        </w:tc>
        <w:tc>
          <w:tcPr>
            <w:tcW w:w="95"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279" w:type="dxa"/>
            <w:tcBorders>
              <w:bottom w:val="single" w:sz="8" w:space="0" w:color="000000"/>
            </w:tcBorders>
            <w:shd w:fill="CCEEFF" w:val="clear"/>
            <w:vAlign w:val="center"/>
          </w:tcPr>
          <w:p>
            <w:pPr>
              <w:pStyle w:val="TableContents"/>
              <w:bidi w:val="0"/>
              <w:spacing w:before="0" w:after="283"/>
              <w:jc w:val="left"/>
              <w:rPr/>
            </w:pPr>
            <w:r>
              <w:rPr/>
              <w:t> </w:t>
            </w:r>
          </w:p>
        </w:tc>
        <w:tc>
          <w:tcPr>
            <w:tcW w:w="1270" w:type="dxa"/>
            <w:tcBorders>
              <w:bottom w:val="single" w:sz="8" w:space="0" w:color="000000"/>
            </w:tcBorders>
            <w:shd w:fill="CCEEFF" w:val="clear"/>
            <w:vAlign w:val="center"/>
          </w:tcPr>
          <w:p>
            <w:pPr>
              <w:pStyle w:val="TableContents"/>
              <w:bidi w:val="0"/>
              <w:spacing w:before="0" w:after="283"/>
              <w:jc w:val="right"/>
              <w:rPr/>
            </w:pPr>
            <w:r>
              <w:rPr/>
              <w:t>1,931</w:t>
            </w:r>
          </w:p>
        </w:tc>
        <w:tc>
          <w:tcPr>
            <w:tcW w:w="95"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4" w:type="dxa"/>
            <w:tcBorders/>
            <w:shd w:fill="CCEEFF" w:val="clear"/>
            <w:tcMar>
              <w:bottom w:w="0" w:type="dxa"/>
            </w:tcMar>
            <w:vAlign w:val="center"/>
          </w:tcPr>
          <w:p>
            <w:pPr>
              <w:pStyle w:val="TableContents"/>
              <w:bidi w:val="0"/>
              <w:spacing w:before="0" w:after="283"/>
              <w:jc w:val="left"/>
              <w:rPr/>
            </w:pPr>
            <w:r>
              <w:rPr/>
              <w:t> </w:t>
            </w:r>
          </w:p>
        </w:tc>
        <w:tc>
          <w:tcPr>
            <w:tcW w:w="1535"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785" w:type="dxa"/>
            <w:tcBorders/>
            <w:tcMar>
              <w:bottom w:w="0" w:type="dxa"/>
            </w:tcMar>
            <w:vAlign w:val="center"/>
          </w:tcPr>
          <w:p>
            <w:pPr>
              <w:pStyle w:val="TableContents"/>
              <w:bidi w:val="0"/>
              <w:spacing w:before="0" w:after="283"/>
              <w:jc w:val="left"/>
              <w:rPr/>
            </w:pPr>
            <w:r>
              <w:rPr/>
              <w:t>Granted</w:t>
            </w:r>
          </w:p>
        </w:tc>
        <w:tc>
          <w:tcPr>
            <w:tcW w:w="60" w:type="dxa"/>
            <w:tcBorders/>
            <w:tcMar>
              <w:bottom w:w="0" w:type="dxa"/>
            </w:tcMar>
            <w:vAlign w:val="center"/>
          </w:tcPr>
          <w:p>
            <w:pPr>
              <w:pStyle w:val="TableContents"/>
              <w:bidi w:val="0"/>
              <w:spacing w:before="0" w:after="283"/>
              <w:jc w:val="left"/>
              <w:rPr/>
            </w:pPr>
            <w:r>
              <w:rPr/>
              <w:t> </w:t>
            </w:r>
          </w:p>
        </w:tc>
        <w:tc>
          <w:tcPr>
            <w:tcW w:w="287" w:type="dxa"/>
            <w:tcBorders/>
            <w:tcMar>
              <w:bottom w:w="0" w:type="dxa"/>
            </w:tcMar>
            <w:vAlign w:val="center"/>
          </w:tcPr>
          <w:p>
            <w:pPr>
              <w:pStyle w:val="TableContents"/>
              <w:bidi w:val="0"/>
              <w:spacing w:before="0" w:after="283"/>
              <w:jc w:val="left"/>
              <w:rPr/>
            </w:pPr>
            <w:r>
              <w:rPr/>
              <w:t> </w:t>
            </w:r>
          </w:p>
        </w:tc>
        <w:tc>
          <w:tcPr>
            <w:tcW w:w="1607" w:type="dxa"/>
            <w:tcBorders/>
            <w:tcMar>
              <w:bottom w:w="0" w:type="dxa"/>
            </w:tcMar>
            <w:vAlign w:val="center"/>
          </w:tcPr>
          <w:p>
            <w:pPr>
              <w:pStyle w:val="TableContents"/>
              <w:bidi w:val="0"/>
              <w:spacing w:before="0" w:after="283"/>
              <w:jc w:val="right"/>
              <w:rPr/>
            </w:pPr>
            <w:r>
              <w:rPr/>
              <w:t>11</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79" w:type="dxa"/>
            <w:tcBorders/>
            <w:tcMar>
              <w:bottom w:w="0" w:type="dxa"/>
            </w:tcMar>
            <w:vAlign w:val="center"/>
          </w:tcPr>
          <w:p>
            <w:pPr>
              <w:pStyle w:val="TableContents"/>
              <w:bidi w:val="0"/>
              <w:spacing w:before="0" w:after="283"/>
              <w:jc w:val="left"/>
              <w:rPr/>
            </w:pPr>
            <w:r>
              <w:rPr/>
              <w:t> </w:t>
            </w:r>
          </w:p>
        </w:tc>
        <w:tc>
          <w:tcPr>
            <w:tcW w:w="1270" w:type="dxa"/>
            <w:tcBorders/>
            <w:tcMar>
              <w:bottom w:w="0" w:type="dxa"/>
            </w:tcMar>
            <w:vAlign w:val="center"/>
          </w:tcPr>
          <w:p>
            <w:pPr>
              <w:pStyle w:val="TableContents"/>
              <w:bidi w:val="0"/>
              <w:spacing w:before="0" w:after="283"/>
              <w:jc w:val="right"/>
              <w:rPr/>
            </w:pPr>
            <w:r>
              <w:rPr/>
              <w:t>1,151</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14" w:type="dxa"/>
            <w:tcBorders/>
            <w:tcMar>
              <w:bottom w:w="0" w:type="dxa"/>
            </w:tcMar>
            <w:vAlign w:val="center"/>
          </w:tcPr>
          <w:p>
            <w:pPr>
              <w:pStyle w:val="TableContents"/>
              <w:bidi w:val="0"/>
              <w:spacing w:before="0" w:after="283"/>
              <w:jc w:val="left"/>
              <w:rPr/>
            </w:pPr>
            <w:r>
              <w:rPr/>
              <w:t>$</w:t>
            </w:r>
          </w:p>
        </w:tc>
        <w:tc>
          <w:tcPr>
            <w:tcW w:w="1535" w:type="dxa"/>
            <w:tcBorders/>
            <w:tcMar>
              <w:bottom w:w="0" w:type="dxa"/>
            </w:tcMar>
            <w:vAlign w:val="center"/>
          </w:tcPr>
          <w:p>
            <w:pPr>
              <w:pStyle w:val="TableContents"/>
              <w:bidi w:val="0"/>
              <w:spacing w:before="0" w:after="283"/>
              <w:jc w:val="right"/>
              <w:rPr/>
            </w:pPr>
            <w:r>
              <w:rPr/>
              <w:t>105.17</w:t>
            </w:r>
          </w:p>
        </w:tc>
        <w:tc>
          <w:tcPr>
            <w:tcW w:w="75" w:type="dxa"/>
            <w:tcBorders/>
            <w:tcMar>
              <w:bottom w:w="0" w:type="dxa"/>
            </w:tcMar>
            <w:vAlign w:val="center"/>
          </w:tcPr>
          <w:p>
            <w:pPr>
              <w:pStyle w:val="TableContents"/>
              <w:bidi w:val="0"/>
              <w:spacing w:before="0" w:after="283"/>
              <w:jc w:val="left"/>
              <w:rPr/>
            </w:pPr>
            <w:r>
              <w:rPr/>
              <w:t> </w:t>
            </w:r>
          </w:p>
        </w:tc>
      </w:tr>
      <w:tr>
        <w:trPr/>
        <w:tc>
          <w:tcPr>
            <w:tcW w:w="3785" w:type="dxa"/>
            <w:tcBorders/>
            <w:shd w:fill="CCEEFF" w:val="clear"/>
            <w:tcMar>
              <w:bottom w:w="0" w:type="dxa"/>
            </w:tcMar>
            <w:vAlign w:val="center"/>
          </w:tcPr>
          <w:p>
            <w:pPr>
              <w:pStyle w:val="TableContents"/>
              <w:bidi w:val="0"/>
              <w:spacing w:before="0" w:after="283"/>
              <w:jc w:val="left"/>
              <w:rPr/>
            </w:pPr>
            <w:r>
              <w:rPr/>
              <w:t>Vested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7" w:type="dxa"/>
            <w:tcBorders/>
            <w:shd w:fill="CCEEFF" w:val="clear"/>
            <w:tcMar>
              <w:bottom w:w="0" w:type="dxa"/>
            </w:tcMar>
            <w:vAlign w:val="center"/>
          </w:tcPr>
          <w:p>
            <w:pPr>
              <w:pStyle w:val="TableContents"/>
              <w:bidi w:val="0"/>
              <w:spacing w:before="0" w:after="283"/>
              <w:jc w:val="left"/>
              <w:rPr/>
            </w:pPr>
            <w:r>
              <w:rPr/>
              <w:t> </w:t>
            </w:r>
          </w:p>
        </w:tc>
        <w:tc>
          <w:tcPr>
            <w:tcW w:w="1607" w:type="dxa"/>
            <w:tcBorders/>
            <w:shd w:fill="CCEEFF" w:val="clear"/>
            <w:tcMar>
              <w:bottom w:w="0" w:type="dxa"/>
            </w:tcMar>
            <w:vAlign w:val="center"/>
          </w:tcPr>
          <w:p>
            <w:pPr>
              <w:pStyle w:val="TableContents"/>
              <w:bidi w:val="0"/>
              <w:spacing w:before="0" w:after="283"/>
              <w:jc w:val="right"/>
              <w:rPr/>
            </w:pPr>
            <w:r>
              <w:rPr/>
              <w:t>(17</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9" w:type="dxa"/>
            <w:tcBorders/>
            <w:shd w:fill="CCEEFF" w:val="clear"/>
            <w:tcMar>
              <w:bottom w:w="0" w:type="dxa"/>
            </w:tcMar>
            <w:vAlign w:val="center"/>
          </w:tcPr>
          <w:p>
            <w:pPr>
              <w:pStyle w:val="TableContents"/>
              <w:bidi w:val="0"/>
              <w:spacing w:before="0" w:after="283"/>
              <w:jc w:val="left"/>
              <w:rPr/>
            </w:pPr>
            <w:r>
              <w:rPr/>
              <w:t> </w:t>
            </w:r>
          </w:p>
        </w:tc>
        <w:tc>
          <w:tcPr>
            <w:tcW w:w="1270" w:type="dxa"/>
            <w:tcBorders/>
            <w:shd w:fill="CCEEFF" w:val="clear"/>
            <w:tcMar>
              <w:bottom w:w="0" w:type="dxa"/>
            </w:tcMar>
            <w:vAlign w:val="center"/>
          </w:tcPr>
          <w:p>
            <w:pPr>
              <w:pStyle w:val="TableContents"/>
              <w:bidi w:val="0"/>
              <w:spacing w:before="0" w:after="0"/>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4" w:type="dxa"/>
            <w:tcBorders/>
            <w:shd w:fill="CCEEFF" w:val="clear"/>
            <w:tcMar>
              <w:bottom w:w="0" w:type="dxa"/>
            </w:tcMar>
            <w:vAlign w:val="center"/>
          </w:tcPr>
          <w:p>
            <w:pPr>
              <w:pStyle w:val="TableContents"/>
              <w:bidi w:val="0"/>
              <w:spacing w:before="0" w:after="283"/>
              <w:jc w:val="left"/>
              <w:rPr/>
            </w:pPr>
            <w:r>
              <w:rPr/>
              <w:t> </w:t>
            </w:r>
          </w:p>
        </w:tc>
        <w:tc>
          <w:tcPr>
            <w:tcW w:w="1535"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785" w:type="dxa"/>
            <w:tcBorders>
              <w:bottom w:val="single" w:sz="8" w:space="0" w:color="000000"/>
            </w:tcBorders>
            <w:vAlign w:val="center"/>
          </w:tcPr>
          <w:p>
            <w:pPr>
              <w:pStyle w:val="TableContents"/>
              <w:bidi w:val="0"/>
              <w:spacing w:before="0" w:after="283"/>
              <w:jc w:val="left"/>
              <w:rPr/>
            </w:pPr>
            <w:r>
              <w:rPr/>
              <w:t>Amortization of Compensation expense</w:t>
            </w:r>
          </w:p>
        </w:tc>
        <w:tc>
          <w:tcPr>
            <w:tcW w:w="60" w:type="dxa"/>
            <w:tcBorders>
              <w:bottom w:val="single" w:sz="8" w:space="0" w:color="000000"/>
            </w:tcBorders>
            <w:vAlign w:val="center"/>
          </w:tcPr>
          <w:p>
            <w:pPr>
              <w:pStyle w:val="TableContents"/>
              <w:bidi w:val="0"/>
              <w:spacing w:before="0" w:after="283"/>
              <w:jc w:val="left"/>
              <w:rPr/>
            </w:pPr>
            <w:r>
              <w:rPr/>
              <w:t> </w:t>
            </w:r>
          </w:p>
        </w:tc>
        <w:tc>
          <w:tcPr>
            <w:tcW w:w="287" w:type="dxa"/>
            <w:tcBorders>
              <w:bottom w:val="single" w:sz="8" w:space="0" w:color="000000"/>
            </w:tcBorders>
            <w:vAlign w:val="center"/>
          </w:tcPr>
          <w:p>
            <w:pPr>
              <w:pStyle w:val="TableContents"/>
              <w:bidi w:val="0"/>
              <w:spacing w:before="0" w:after="283"/>
              <w:jc w:val="left"/>
              <w:rPr/>
            </w:pPr>
            <w:r>
              <w:rPr/>
              <w:t> </w:t>
            </w:r>
          </w:p>
        </w:tc>
        <w:tc>
          <w:tcPr>
            <w:tcW w:w="1607" w:type="dxa"/>
            <w:tcBorders>
              <w:bottom w:val="single" w:sz="8" w:space="0" w:color="000000"/>
            </w:tcBorders>
            <w:vAlign w:val="center"/>
          </w:tcPr>
          <w:p>
            <w:pPr>
              <w:pStyle w:val="TableContents"/>
              <w:bidi w:val="0"/>
              <w:spacing w:before="0" w:after="0"/>
              <w:jc w:val="right"/>
              <w:rPr/>
            </w:pPr>
            <w:r>
              <w:rPr/>
              <w:t>—</w:t>
            </w:r>
          </w:p>
        </w:tc>
        <w:tc>
          <w:tcPr>
            <w:tcW w:w="95"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279" w:type="dxa"/>
            <w:tcBorders>
              <w:bottom w:val="single" w:sz="8" w:space="0" w:color="000000"/>
            </w:tcBorders>
            <w:vAlign w:val="center"/>
          </w:tcPr>
          <w:p>
            <w:pPr>
              <w:pStyle w:val="TableContents"/>
              <w:bidi w:val="0"/>
              <w:spacing w:before="0" w:after="283"/>
              <w:jc w:val="left"/>
              <w:rPr/>
            </w:pPr>
            <w:r>
              <w:rPr/>
              <w:t> </w:t>
            </w:r>
          </w:p>
        </w:tc>
        <w:tc>
          <w:tcPr>
            <w:tcW w:w="1270" w:type="dxa"/>
            <w:tcBorders>
              <w:bottom w:val="single" w:sz="8" w:space="0" w:color="000000"/>
            </w:tcBorders>
            <w:vAlign w:val="center"/>
          </w:tcPr>
          <w:p>
            <w:pPr>
              <w:pStyle w:val="TableContents"/>
              <w:bidi w:val="0"/>
              <w:spacing w:before="0" w:after="283"/>
              <w:jc w:val="right"/>
              <w:rPr/>
            </w:pPr>
            <w:r>
              <w:rPr/>
              <w:t>(1,350</w:t>
            </w:r>
          </w:p>
        </w:tc>
        <w:tc>
          <w:tcPr>
            <w:tcW w:w="95" w:type="dxa"/>
            <w:tcBorders>
              <w:bottom w:val="single" w:sz="8" w:space="0" w:color="000000"/>
            </w:tcBorders>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314"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righ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3785" w:type="dxa"/>
            <w:tcBorders>
              <w:bottom w:val="single" w:sz="8" w:space="0" w:color="000000"/>
            </w:tcBorders>
            <w:shd w:fill="CCEEFF" w:val="clear"/>
            <w:vAlign w:val="center"/>
          </w:tcPr>
          <w:p>
            <w:pPr>
              <w:pStyle w:val="TableContents"/>
              <w:bidi w:val="0"/>
              <w:spacing w:before="0" w:after="283"/>
              <w:jc w:val="left"/>
              <w:rPr/>
            </w:pPr>
            <w:r>
              <w:rPr/>
              <w:t>Balance, December 31, 2022</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287" w:type="dxa"/>
            <w:tcBorders>
              <w:bottom w:val="single" w:sz="8" w:space="0" w:color="000000"/>
            </w:tcBorders>
            <w:shd w:fill="CCEEFF" w:val="clear"/>
            <w:vAlign w:val="center"/>
          </w:tcPr>
          <w:p>
            <w:pPr>
              <w:pStyle w:val="TableContents"/>
              <w:bidi w:val="0"/>
              <w:spacing w:before="0" w:after="283"/>
              <w:jc w:val="left"/>
              <w:rPr/>
            </w:pPr>
            <w:r>
              <w:rPr/>
              <w:t> </w:t>
            </w:r>
          </w:p>
        </w:tc>
        <w:tc>
          <w:tcPr>
            <w:tcW w:w="1607" w:type="dxa"/>
            <w:tcBorders>
              <w:bottom w:val="single" w:sz="8" w:space="0" w:color="000000"/>
            </w:tcBorders>
            <w:shd w:fill="CCEEFF" w:val="clear"/>
            <w:vAlign w:val="center"/>
          </w:tcPr>
          <w:p>
            <w:pPr>
              <w:pStyle w:val="TableContents"/>
              <w:bidi w:val="0"/>
              <w:spacing w:before="0" w:after="283"/>
              <w:jc w:val="right"/>
              <w:rPr/>
            </w:pPr>
            <w:r>
              <w:rPr/>
              <w:t>77</w:t>
            </w:r>
          </w:p>
        </w:tc>
        <w:tc>
          <w:tcPr>
            <w:tcW w:w="95"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279" w:type="dxa"/>
            <w:tcBorders>
              <w:bottom w:val="single" w:sz="8" w:space="0" w:color="000000"/>
            </w:tcBorders>
            <w:shd w:fill="CCEEFF" w:val="clear"/>
            <w:vAlign w:val="center"/>
          </w:tcPr>
          <w:p>
            <w:pPr>
              <w:pStyle w:val="TableContents"/>
              <w:bidi w:val="0"/>
              <w:spacing w:before="0" w:after="283"/>
              <w:jc w:val="left"/>
              <w:rPr/>
            </w:pPr>
            <w:r>
              <w:rPr/>
              <w:t> </w:t>
            </w:r>
          </w:p>
        </w:tc>
        <w:tc>
          <w:tcPr>
            <w:tcW w:w="1270" w:type="dxa"/>
            <w:tcBorders>
              <w:bottom w:val="single" w:sz="8" w:space="0" w:color="000000"/>
            </w:tcBorders>
            <w:shd w:fill="CCEEFF" w:val="clear"/>
            <w:vAlign w:val="center"/>
          </w:tcPr>
          <w:p>
            <w:pPr>
              <w:pStyle w:val="TableContents"/>
              <w:bidi w:val="0"/>
              <w:spacing w:before="0" w:after="283"/>
              <w:jc w:val="right"/>
              <w:rPr/>
            </w:pPr>
            <w:r>
              <w:rPr/>
              <w:t>1,732</w:t>
            </w:r>
          </w:p>
        </w:tc>
        <w:tc>
          <w:tcPr>
            <w:tcW w:w="95"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4" w:type="dxa"/>
            <w:tcBorders/>
            <w:shd w:fill="CCEEFF" w:val="clear"/>
            <w:tcMar>
              <w:bottom w:w="0" w:type="dxa"/>
            </w:tcMar>
            <w:vAlign w:val="center"/>
          </w:tcPr>
          <w:p>
            <w:pPr>
              <w:pStyle w:val="TableContents"/>
              <w:bidi w:val="0"/>
              <w:spacing w:before="0" w:after="283"/>
              <w:jc w:val="left"/>
              <w:rPr/>
            </w:pPr>
            <w:r>
              <w:rPr/>
              <w:t> </w:t>
            </w:r>
          </w:p>
        </w:tc>
        <w:tc>
          <w:tcPr>
            <w:tcW w:w="1535"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785" w:type="dxa"/>
            <w:tcBorders/>
            <w:tcMar>
              <w:bottom w:w="0" w:type="dxa"/>
            </w:tcMar>
            <w:vAlign w:val="center"/>
          </w:tcPr>
          <w:p>
            <w:pPr>
              <w:pStyle w:val="TableContents"/>
              <w:bidi w:val="0"/>
              <w:spacing w:before="0" w:after="283"/>
              <w:jc w:val="left"/>
              <w:rPr/>
            </w:pPr>
            <w:r>
              <w:rPr/>
              <w:t>Granted</w:t>
            </w:r>
          </w:p>
        </w:tc>
        <w:tc>
          <w:tcPr>
            <w:tcW w:w="60" w:type="dxa"/>
            <w:tcBorders/>
            <w:tcMar>
              <w:bottom w:w="0" w:type="dxa"/>
            </w:tcMar>
            <w:vAlign w:val="center"/>
          </w:tcPr>
          <w:p>
            <w:pPr>
              <w:pStyle w:val="TableContents"/>
              <w:bidi w:val="0"/>
              <w:spacing w:before="0" w:after="283"/>
              <w:jc w:val="left"/>
              <w:rPr/>
            </w:pPr>
            <w:r>
              <w:rPr/>
              <w:t> </w:t>
            </w:r>
          </w:p>
        </w:tc>
        <w:tc>
          <w:tcPr>
            <w:tcW w:w="287" w:type="dxa"/>
            <w:tcBorders/>
            <w:tcMar>
              <w:bottom w:w="0" w:type="dxa"/>
            </w:tcMar>
            <w:vAlign w:val="center"/>
          </w:tcPr>
          <w:p>
            <w:pPr>
              <w:pStyle w:val="TableContents"/>
              <w:bidi w:val="0"/>
              <w:spacing w:before="0" w:after="283"/>
              <w:jc w:val="left"/>
              <w:rPr/>
            </w:pPr>
            <w:r>
              <w:rPr/>
              <w:t> </w:t>
            </w:r>
          </w:p>
        </w:tc>
        <w:tc>
          <w:tcPr>
            <w:tcW w:w="1607" w:type="dxa"/>
            <w:tcBorders/>
            <w:tcMar>
              <w:bottom w:w="0" w:type="dxa"/>
            </w:tcMar>
            <w:vAlign w:val="center"/>
          </w:tcPr>
          <w:p>
            <w:pPr>
              <w:pStyle w:val="TableContents"/>
              <w:bidi w:val="0"/>
              <w:spacing w:before="0" w:after="283"/>
              <w:jc w:val="right"/>
              <w:rPr/>
            </w:pPr>
            <w:r>
              <w:rPr/>
              <w:t>15</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79" w:type="dxa"/>
            <w:tcBorders/>
            <w:tcMar>
              <w:bottom w:w="0" w:type="dxa"/>
            </w:tcMar>
            <w:vAlign w:val="center"/>
          </w:tcPr>
          <w:p>
            <w:pPr>
              <w:pStyle w:val="TableContents"/>
              <w:bidi w:val="0"/>
              <w:spacing w:before="0" w:after="283"/>
              <w:jc w:val="left"/>
              <w:rPr/>
            </w:pPr>
            <w:r>
              <w:rPr/>
              <w:t> </w:t>
            </w:r>
          </w:p>
        </w:tc>
        <w:tc>
          <w:tcPr>
            <w:tcW w:w="1270" w:type="dxa"/>
            <w:tcBorders/>
            <w:tcMar>
              <w:bottom w:w="0" w:type="dxa"/>
            </w:tcMar>
            <w:vAlign w:val="center"/>
          </w:tcPr>
          <w:p>
            <w:pPr>
              <w:pStyle w:val="TableContents"/>
              <w:bidi w:val="0"/>
              <w:spacing w:before="0" w:after="283"/>
              <w:jc w:val="right"/>
              <w:rPr/>
            </w:pPr>
            <w:r>
              <w:rPr/>
              <w:t>1,165</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14" w:type="dxa"/>
            <w:tcBorders/>
            <w:tcMar>
              <w:bottom w:w="0" w:type="dxa"/>
            </w:tcMar>
            <w:vAlign w:val="center"/>
          </w:tcPr>
          <w:p>
            <w:pPr>
              <w:pStyle w:val="TableContents"/>
              <w:bidi w:val="0"/>
              <w:spacing w:before="0" w:after="283"/>
              <w:jc w:val="left"/>
              <w:rPr/>
            </w:pPr>
            <w:r>
              <w:rPr/>
              <w:t>$</w:t>
            </w:r>
          </w:p>
        </w:tc>
        <w:tc>
          <w:tcPr>
            <w:tcW w:w="1535" w:type="dxa"/>
            <w:tcBorders/>
            <w:tcMar>
              <w:bottom w:w="0" w:type="dxa"/>
            </w:tcMar>
            <w:vAlign w:val="center"/>
          </w:tcPr>
          <w:p>
            <w:pPr>
              <w:pStyle w:val="TableContents"/>
              <w:bidi w:val="0"/>
              <w:spacing w:before="0" w:after="283"/>
              <w:jc w:val="right"/>
              <w:rPr/>
            </w:pPr>
            <w:r>
              <w:rPr/>
              <w:t>77.63</w:t>
            </w:r>
          </w:p>
        </w:tc>
        <w:tc>
          <w:tcPr>
            <w:tcW w:w="75" w:type="dxa"/>
            <w:tcBorders/>
            <w:tcMar>
              <w:bottom w:w="0" w:type="dxa"/>
            </w:tcMar>
            <w:vAlign w:val="center"/>
          </w:tcPr>
          <w:p>
            <w:pPr>
              <w:pStyle w:val="TableContents"/>
              <w:bidi w:val="0"/>
              <w:spacing w:before="0" w:after="283"/>
              <w:jc w:val="left"/>
              <w:rPr/>
            </w:pPr>
            <w:r>
              <w:rPr/>
              <w:t> </w:t>
            </w:r>
          </w:p>
        </w:tc>
      </w:tr>
      <w:tr>
        <w:trPr/>
        <w:tc>
          <w:tcPr>
            <w:tcW w:w="3785" w:type="dxa"/>
            <w:tcBorders/>
            <w:shd w:fill="CCEEFF" w:val="clear"/>
            <w:tcMar>
              <w:bottom w:w="0" w:type="dxa"/>
            </w:tcMar>
            <w:vAlign w:val="center"/>
          </w:tcPr>
          <w:p>
            <w:pPr>
              <w:pStyle w:val="TableContents"/>
              <w:bidi w:val="0"/>
              <w:spacing w:before="0" w:after="283"/>
              <w:jc w:val="left"/>
              <w:rPr/>
            </w:pPr>
            <w:r>
              <w:rPr/>
              <w:t>Vested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7" w:type="dxa"/>
            <w:tcBorders/>
            <w:shd w:fill="CCEEFF" w:val="clear"/>
            <w:tcMar>
              <w:bottom w:w="0" w:type="dxa"/>
            </w:tcMar>
            <w:vAlign w:val="center"/>
          </w:tcPr>
          <w:p>
            <w:pPr>
              <w:pStyle w:val="TableContents"/>
              <w:bidi w:val="0"/>
              <w:spacing w:before="0" w:after="283"/>
              <w:jc w:val="left"/>
              <w:rPr/>
            </w:pPr>
            <w:r>
              <w:rPr/>
              <w:t> </w:t>
            </w:r>
          </w:p>
        </w:tc>
        <w:tc>
          <w:tcPr>
            <w:tcW w:w="1607" w:type="dxa"/>
            <w:tcBorders/>
            <w:shd w:fill="CCEEFF" w:val="clear"/>
            <w:tcMar>
              <w:bottom w:w="0" w:type="dxa"/>
            </w:tcMar>
            <w:vAlign w:val="center"/>
          </w:tcPr>
          <w:p>
            <w:pPr>
              <w:pStyle w:val="TableContents"/>
              <w:bidi w:val="0"/>
              <w:spacing w:before="0" w:after="283"/>
              <w:jc w:val="right"/>
              <w:rPr/>
            </w:pPr>
            <w:r>
              <w:rPr/>
              <w:t>(18</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9" w:type="dxa"/>
            <w:tcBorders/>
            <w:shd w:fill="CCEEFF" w:val="clear"/>
            <w:tcMar>
              <w:bottom w:w="0" w:type="dxa"/>
            </w:tcMar>
            <w:vAlign w:val="center"/>
          </w:tcPr>
          <w:p>
            <w:pPr>
              <w:pStyle w:val="TableContents"/>
              <w:bidi w:val="0"/>
              <w:spacing w:before="0" w:after="283"/>
              <w:jc w:val="left"/>
              <w:rPr/>
            </w:pPr>
            <w:r>
              <w:rPr/>
              <w:t> </w:t>
            </w:r>
          </w:p>
        </w:tc>
        <w:tc>
          <w:tcPr>
            <w:tcW w:w="1270" w:type="dxa"/>
            <w:tcBorders/>
            <w:shd w:fill="CCEEFF" w:val="clear"/>
            <w:tcMar>
              <w:bottom w:w="0" w:type="dxa"/>
            </w:tcMar>
            <w:vAlign w:val="center"/>
          </w:tcPr>
          <w:p>
            <w:pPr>
              <w:pStyle w:val="TableContents"/>
              <w:bidi w:val="0"/>
              <w:spacing w:before="0" w:after="0"/>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4" w:type="dxa"/>
            <w:tcBorders/>
            <w:shd w:fill="CCEEFF" w:val="clear"/>
            <w:tcMar>
              <w:bottom w:w="0" w:type="dxa"/>
            </w:tcMar>
            <w:vAlign w:val="center"/>
          </w:tcPr>
          <w:p>
            <w:pPr>
              <w:pStyle w:val="TableContents"/>
              <w:bidi w:val="0"/>
              <w:spacing w:before="0" w:after="283"/>
              <w:jc w:val="left"/>
              <w:rPr/>
            </w:pPr>
            <w:r>
              <w:rPr/>
              <w:t> </w:t>
            </w:r>
          </w:p>
        </w:tc>
        <w:tc>
          <w:tcPr>
            <w:tcW w:w="1535"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785" w:type="dxa"/>
            <w:tcBorders>
              <w:bottom w:val="single" w:sz="8" w:space="0" w:color="000000"/>
            </w:tcBorders>
            <w:vAlign w:val="center"/>
          </w:tcPr>
          <w:p>
            <w:pPr>
              <w:pStyle w:val="TableContents"/>
              <w:bidi w:val="0"/>
              <w:spacing w:before="0" w:after="283"/>
              <w:jc w:val="left"/>
              <w:rPr/>
            </w:pPr>
            <w:r>
              <w:rPr/>
              <w:t>Amortization of Compensation expense</w:t>
            </w:r>
          </w:p>
        </w:tc>
        <w:tc>
          <w:tcPr>
            <w:tcW w:w="60" w:type="dxa"/>
            <w:tcBorders>
              <w:bottom w:val="single" w:sz="8" w:space="0" w:color="000000"/>
            </w:tcBorders>
            <w:vAlign w:val="center"/>
          </w:tcPr>
          <w:p>
            <w:pPr>
              <w:pStyle w:val="TableContents"/>
              <w:bidi w:val="0"/>
              <w:spacing w:before="0" w:after="283"/>
              <w:jc w:val="left"/>
              <w:rPr/>
            </w:pPr>
            <w:r>
              <w:rPr/>
              <w:t> </w:t>
            </w:r>
          </w:p>
        </w:tc>
        <w:tc>
          <w:tcPr>
            <w:tcW w:w="287" w:type="dxa"/>
            <w:tcBorders>
              <w:bottom w:val="single" w:sz="8" w:space="0" w:color="000000"/>
            </w:tcBorders>
            <w:vAlign w:val="center"/>
          </w:tcPr>
          <w:p>
            <w:pPr>
              <w:pStyle w:val="TableContents"/>
              <w:bidi w:val="0"/>
              <w:spacing w:before="0" w:after="283"/>
              <w:jc w:val="left"/>
              <w:rPr/>
            </w:pPr>
            <w:r>
              <w:rPr/>
              <w:t> </w:t>
            </w:r>
          </w:p>
        </w:tc>
        <w:tc>
          <w:tcPr>
            <w:tcW w:w="1607" w:type="dxa"/>
            <w:tcBorders>
              <w:bottom w:val="single" w:sz="8" w:space="0" w:color="000000"/>
            </w:tcBorders>
            <w:vAlign w:val="center"/>
          </w:tcPr>
          <w:p>
            <w:pPr>
              <w:pStyle w:val="TableContents"/>
              <w:bidi w:val="0"/>
              <w:spacing w:before="0" w:after="0"/>
              <w:jc w:val="right"/>
              <w:rPr/>
            </w:pPr>
            <w:r>
              <w:rPr/>
              <w:t>—</w:t>
            </w:r>
          </w:p>
        </w:tc>
        <w:tc>
          <w:tcPr>
            <w:tcW w:w="95"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279" w:type="dxa"/>
            <w:tcBorders>
              <w:bottom w:val="single" w:sz="8" w:space="0" w:color="000000"/>
            </w:tcBorders>
            <w:vAlign w:val="center"/>
          </w:tcPr>
          <w:p>
            <w:pPr>
              <w:pStyle w:val="TableContents"/>
              <w:bidi w:val="0"/>
              <w:spacing w:before="0" w:after="283"/>
              <w:jc w:val="left"/>
              <w:rPr/>
            </w:pPr>
            <w:r>
              <w:rPr/>
              <w:t> </w:t>
            </w:r>
          </w:p>
        </w:tc>
        <w:tc>
          <w:tcPr>
            <w:tcW w:w="1270" w:type="dxa"/>
            <w:tcBorders>
              <w:bottom w:val="single" w:sz="8" w:space="0" w:color="000000"/>
            </w:tcBorders>
            <w:vAlign w:val="center"/>
          </w:tcPr>
          <w:p>
            <w:pPr>
              <w:pStyle w:val="TableContents"/>
              <w:bidi w:val="0"/>
              <w:spacing w:before="0" w:after="283"/>
              <w:jc w:val="right"/>
              <w:rPr/>
            </w:pPr>
            <w:r>
              <w:rPr/>
              <w:t>(1,854</w:t>
            </w:r>
          </w:p>
        </w:tc>
        <w:tc>
          <w:tcPr>
            <w:tcW w:w="95" w:type="dxa"/>
            <w:tcBorders>
              <w:bottom w:val="single" w:sz="8" w:space="0" w:color="000000"/>
            </w:tcBorders>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314"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righ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3785" w:type="dxa"/>
            <w:tcBorders>
              <w:bottom w:val="double" w:sz="6" w:space="0" w:color="000000"/>
            </w:tcBorders>
            <w:shd w:fill="CCEEFF" w:val="clear"/>
            <w:vAlign w:val="center"/>
          </w:tcPr>
          <w:p>
            <w:pPr>
              <w:pStyle w:val="TableContents"/>
              <w:bidi w:val="0"/>
              <w:spacing w:before="0" w:after="283"/>
              <w:jc w:val="left"/>
              <w:rPr/>
            </w:pPr>
            <w:r>
              <w:rPr/>
              <w:t>Balance, December 31, 2023</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287" w:type="dxa"/>
            <w:tcBorders>
              <w:bottom w:val="double" w:sz="6" w:space="0" w:color="000000"/>
            </w:tcBorders>
            <w:shd w:fill="CCEEFF" w:val="clear"/>
            <w:vAlign w:val="center"/>
          </w:tcPr>
          <w:p>
            <w:pPr>
              <w:pStyle w:val="TableContents"/>
              <w:bidi w:val="0"/>
              <w:spacing w:before="0" w:after="283"/>
              <w:jc w:val="left"/>
              <w:rPr/>
            </w:pPr>
            <w:r>
              <w:rPr/>
              <w:t> </w:t>
            </w:r>
          </w:p>
        </w:tc>
        <w:tc>
          <w:tcPr>
            <w:tcW w:w="1607" w:type="dxa"/>
            <w:tcBorders>
              <w:bottom w:val="double" w:sz="6" w:space="0" w:color="000000"/>
            </w:tcBorders>
            <w:shd w:fill="CCEEFF" w:val="clear"/>
            <w:vAlign w:val="center"/>
          </w:tcPr>
          <w:p>
            <w:pPr>
              <w:pStyle w:val="TableContents"/>
              <w:bidi w:val="0"/>
              <w:spacing w:before="0" w:after="283"/>
              <w:jc w:val="right"/>
              <w:rPr>
                <w:b/>
              </w:rPr>
            </w:pPr>
            <w:r>
              <w:rPr>
                <w:b/>
              </w:rPr>
              <w:t>74</w:t>
            </w:r>
          </w:p>
        </w:tc>
        <w:tc>
          <w:tcPr>
            <w:tcW w:w="95"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279" w:type="dxa"/>
            <w:tcBorders>
              <w:bottom w:val="double" w:sz="6" w:space="0" w:color="000000"/>
            </w:tcBorders>
            <w:shd w:fill="CCEEFF" w:val="clear"/>
            <w:vAlign w:val="center"/>
          </w:tcPr>
          <w:p>
            <w:pPr>
              <w:pStyle w:val="TableContents"/>
              <w:bidi w:val="0"/>
              <w:spacing w:before="0" w:after="283"/>
              <w:jc w:val="left"/>
              <w:rPr>
                <w:b/>
              </w:rPr>
            </w:pPr>
            <w:r>
              <w:rPr>
                <w:b/>
              </w:rPr>
              <w:t>$</w:t>
            </w:r>
          </w:p>
        </w:tc>
        <w:tc>
          <w:tcPr>
            <w:tcW w:w="1270" w:type="dxa"/>
            <w:tcBorders>
              <w:bottom w:val="double" w:sz="6" w:space="0" w:color="000000"/>
            </w:tcBorders>
            <w:shd w:fill="CCEEFF" w:val="clear"/>
            <w:vAlign w:val="center"/>
          </w:tcPr>
          <w:p>
            <w:pPr>
              <w:pStyle w:val="TableContents"/>
              <w:bidi w:val="0"/>
              <w:spacing w:before="0" w:after="283"/>
              <w:jc w:val="right"/>
              <w:rPr>
                <w:b/>
              </w:rPr>
            </w:pPr>
            <w:r>
              <w:rPr>
                <w:b/>
              </w:rPr>
              <w:t>1,043</w:t>
            </w:r>
          </w:p>
        </w:tc>
        <w:tc>
          <w:tcPr>
            <w:tcW w:w="95"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4" w:type="dxa"/>
            <w:tcBorders/>
            <w:shd w:fill="CCEEFF" w:val="clear"/>
            <w:tcMar>
              <w:bottom w:w="0" w:type="dxa"/>
            </w:tcMar>
            <w:vAlign w:val="center"/>
          </w:tcPr>
          <w:p>
            <w:pPr>
              <w:pStyle w:val="TableContents"/>
              <w:bidi w:val="0"/>
              <w:spacing w:before="0" w:after="283"/>
              <w:jc w:val="left"/>
              <w:rPr/>
            </w:pPr>
            <w:r>
              <w:rPr/>
              <w:t> </w:t>
            </w:r>
          </w:p>
        </w:tc>
        <w:tc>
          <w:tcPr>
            <w:tcW w:w="1535"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8 – Business Segment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identified two reportable segments. One is the regulated business of collecting, treating and distributing water on a retail and wholesale basis to residential, commercial, industrial and fire protection customers in parts of New Jersey and Delaware. This segment also includes regulated wastewater systems in New Jersey and Delaware. The Company is subject to regulations as to its rates, services and other matters by the states of New Jersey and Delaware with respect to utility service within these states. The other segment is primarily comprised of non-regulated contract services for the operation and maintenance of municipal and private water and wastewater systems in New Jersey and Delaware.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Inter-segment transactions relating to operational costs are treated as pass-through expenses. Finance charges on inter-segment loan activities are based on interest rates that are below what would normally be charged by a third party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70 </w:t>
      </w:r>
    </w:p>
    <w:p>
      <w:pPr>
        <w:pStyle w:val="TextBody"/>
        <w:bidi w:val="0"/>
        <w:spacing w:before="0" w:after="0"/>
        <w:ind w:left="0" w:right="0" w:hanging="0"/>
        <w:jc w:val="left"/>
        <w:rPr>
          <w:caps w:val="false"/>
          <w:smallCaps w:val="false"/>
        </w:rPr>
      </w:pPr>
      <w:r>
        <w:rPr>
          <w:caps w:val="false"/>
          <w:smallCaps w:val="false"/>
        </w:rPr>
        <w:t> </w:t>
      </w:r>
    </w:p>
    <w:tbl>
      <w:tblPr>
        <w:tblW w:w="6410" w:type="dxa"/>
        <w:jc w:val="left"/>
        <w:tblInd w:w="0" w:type="dxa"/>
        <w:tblLayout w:type="fixed"/>
        <w:tblCellMar>
          <w:top w:w="0" w:type="dxa"/>
          <w:left w:w="0" w:type="dxa"/>
          <w:bottom w:w="0" w:type="dxa"/>
          <w:right w:w="0" w:type="dxa"/>
        </w:tblCellMar>
      </w:tblPr>
      <w:tblGrid>
        <w:gridCol w:w="3110"/>
        <w:gridCol w:w="60"/>
        <w:gridCol w:w="140"/>
        <w:gridCol w:w="800"/>
        <w:gridCol w:w="95"/>
        <w:gridCol w:w="60"/>
        <w:gridCol w:w="140"/>
        <w:gridCol w:w="800"/>
        <w:gridCol w:w="95"/>
        <w:gridCol w:w="60"/>
        <w:gridCol w:w="140"/>
        <w:gridCol w:w="800"/>
        <w:gridCol w:w="110"/>
      </w:tblGrid>
      <w:tr>
        <w:trPr/>
        <w:tc>
          <w:tcPr>
            <w:tcW w:w="31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130" w:type="dxa"/>
            <w:gridSpan w:val="10"/>
            <w:tcBorders/>
            <w:vAlign w:val="center"/>
          </w:tcPr>
          <w:p>
            <w:pPr>
              <w:pStyle w:val="TableContents"/>
              <w:bidi w:val="0"/>
              <w:spacing w:before="0" w:after="283"/>
              <w:jc w:val="center"/>
              <w:rPr>
                <w:b/>
              </w:rPr>
            </w:pPr>
            <w:r>
              <w:rPr>
                <w:b/>
              </w:rPr>
              <w:t>(Thousands of Dollars)</w:t>
            </w:r>
          </w:p>
        </w:tc>
        <w:tc>
          <w:tcPr>
            <w:tcW w:w="110" w:type="dxa"/>
            <w:tcBorders/>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130" w:type="dxa"/>
            <w:gridSpan w:val="10"/>
            <w:tcBorders/>
            <w:vAlign w:val="center"/>
          </w:tcPr>
          <w:p>
            <w:pPr>
              <w:pStyle w:val="TableContents"/>
              <w:bidi w:val="0"/>
              <w:spacing w:before="0" w:after="283"/>
              <w:jc w:val="center"/>
              <w:rPr>
                <w:b/>
              </w:rPr>
            </w:pPr>
            <w:r>
              <w:rPr>
                <w:b/>
              </w:rPr>
              <w:t>Years Ended December 31,</w:t>
            </w:r>
          </w:p>
        </w:tc>
        <w:tc>
          <w:tcPr>
            <w:tcW w:w="110" w:type="dxa"/>
            <w:tcBorders/>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left"/>
              <w:rPr>
                <w:b/>
              </w:rPr>
            </w:pPr>
            <w:r>
              <w:rPr>
                <w:b/>
              </w:rPr>
              <w:t>Operation by Segments</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center"/>
              <w:rPr>
                <w:b/>
              </w:rPr>
            </w:pPr>
            <w:r>
              <w:rPr>
                <w:b/>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center"/>
              <w:rPr>
                <w:b/>
              </w:rPr>
            </w:pPr>
            <w:r>
              <w:rPr>
                <w:b/>
              </w:rPr>
              <w:t>2021</w:t>
            </w:r>
          </w:p>
        </w:tc>
        <w:tc>
          <w:tcPr>
            <w:tcW w:w="110" w:type="dxa"/>
            <w:tcBorders/>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283"/>
              <w:jc w:val="left"/>
              <w:rPr/>
            </w:pPr>
            <w:r>
              <w:rPr/>
              <w:t>Revenues: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left"/>
              <w:rPr/>
            </w:pPr>
            <w:r>
              <w:rPr/>
              <w:t>Regulated</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154,617</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151,117</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131,531</w:t>
            </w:r>
          </w:p>
        </w:tc>
        <w:tc>
          <w:tcPr>
            <w:tcW w:w="110" w:type="dxa"/>
            <w:tcBorders/>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283"/>
              <w:jc w:val="left"/>
              <w:rPr/>
            </w:pPr>
            <w:r>
              <w:rPr/>
              <w:t>Non – Regulated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12,773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12,446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12,818</w:t>
            </w:r>
          </w:p>
        </w:tc>
        <w:tc>
          <w:tcPr>
            <w:tcW w:w="110" w:type="dxa"/>
            <w:tcBorders/>
            <w:shd w:fill="CCEEFF" w:val="clear"/>
            <w:vAlign w:val="center"/>
          </w:tcPr>
          <w:p>
            <w:pPr>
              <w:pStyle w:val="TableContents"/>
              <w:bidi w:val="0"/>
              <w:spacing w:before="0" w:after="283"/>
              <w:jc w:val="left"/>
              <w:rPr/>
            </w:pPr>
            <w:r>
              <w:rPr/>
              <w:t> </w:t>
            </w:r>
          </w:p>
        </w:tc>
      </w:tr>
      <w:tr>
        <w:trPr/>
        <w:tc>
          <w:tcPr>
            <w:tcW w:w="3110" w:type="dxa"/>
            <w:tcBorders>
              <w:bottom w:val="single" w:sz="8" w:space="0" w:color="000000"/>
            </w:tcBorders>
            <w:tcMar>
              <w:bottom w:w="28" w:type="dxa"/>
            </w:tcMar>
            <w:vAlign w:val="center"/>
          </w:tcPr>
          <w:p>
            <w:pPr>
              <w:pStyle w:val="TableContents"/>
              <w:bidi w:val="0"/>
              <w:spacing w:before="0" w:after="283"/>
              <w:jc w:val="left"/>
              <w:rPr/>
            </w:pPr>
            <w:r>
              <w:rPr/>
              <w:t>Inter-segment Elimination</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right"/>
              <w:rPr/>
            </w:pPr>
            <w:r>
              <w:rPr/>
              <w:t>(1,116</w:t>
            </w:r>
          </w:p>
        </w:tc>
        <w:tc>
          <w:tcPr>
            <w:tcW w:w="95" w:type="dxa"/>
            <w:tcBorders>
              <w:bottom w:val="single" w:sz="8" w:space="0" w:color="000000"/>
            </w:tcBorders>
            <w:tcMar>
              <w:bottom w:w="28" w:type="dxa"/>
            </w:tcMar>
            <w:vAlign w:val="center"/>
          </w:tcPr>
          <w:p>
            <w:pPr>
              <w:pStyle w:val="TableContents"/>
              <w:bidi w:val="0"/>
              <w:spacing w:before="0" w:after="283"/>
              <w:jc w:val="left"/>
              <w:rPr/>
            </w:pPr>
            <w:r>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right"/>
              <w:rPr/>
            </w:pPr>
            <w:r>
              <w:rPr/>
              <w:t>(1,129</w:t>
            </w:r>
          </w:p>
        </w:tc>
        <w:tc>
          <w:tcPr>
            <w:tcW w:w="95" w:type="dxa"/>
            <w:tcBorders>
              <w:bottom w:val="single" w:sz="8" w:space="0" w:color="000000"/>
            </w:tcBorders>
            <w:tcMar>
              <w:bottom w:w="28" w:type="dxa"/>
            </w:tcMar>
            <w:vAlign w:val="center"/>
          </w:tcPr>
          <w:p>
            <w:pPr>
              <w:pStyle w:val="TableContents"/>
              <w:bidi w:val="0"/>
              <w:spacing w:before="0" w:after="283"/>
              <w:jc w:val="left"/>
              <w:rPr/>
            </w:pPr>
            <w:r>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right"/>
              <w:rPr/>
            </w:pPr>
            <w:r>
              <w:rPr/>
              <w:t>(1,208</w:t>
            </w:r>
          </w:p>
        </w:tc>
        <w:tc>
          <w:tcPr>
            <w:tcW w:w="110" w:type="dxa"/>
            <w:tcBorders>
              <w:bottom w:val="single" w:sz="8" w:space="0" w:color="000000"/>
            </w:tcBorders>
            <w:tcMar>
              <w:bottom w:w="28" w:type="dxa"/>
            </w:tcMar>
            <w:vAlign w:val="center"/>
          </w:tcPr>
          <w:p>
            <w:pPr>
              <w:pStyle w:val="TableContents"/>
              <w:bidi w:val="0"/>
              <w:spacing w:before="0" w:after="283"/>
              <w:jc w:val="left"/>
              <w:rPr/>
            </w:pPr>
            <w:r>
              <w:rPr/>
              <w:t>)</w:t>
            </w:r>
          </w:p>
        </w:tc>
      </w:tr>
      <w:tr>
        <w:trPr/>
        <w:tc>
          <w:tcPr>
            <w:tcW w:w="3110" w:type="dxa"/>
            <w:tcBorders>
              <w:bottom w:val="single" w:sz="8" w:space="0" w:color="000000"/>
            </w:tcBorders>
            <w:shd w:fill="CCEEFF" w:val="clear"/>
            <w:tcMar>
              <w:bottom w:w="28" w:type="dxa"/>
            </w:tcMar>
            <w:vAlign w:val="center"/>
          </w:tcPr>
          <w:p>
            <w:pPr>
              <w:pStyle w:val="TableContents"/>
              <w:bidi w:val="0"/>
              <w:spacing w:before="0" w:after="283"/>
              <w:jc w:val="left"/>
              <w:rPr/>
            </w:pPr>
            <w:r>
              <w:rPr/>
              <w:t>Consolidated Revenues</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166,274</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162,434</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143,141</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283"/>
              <w:jc w:val="left"/>
              <w:rPr/>
            </w:pPr>
            <w:r>
              <w:rPr/>
              <w:t>Operating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left"/>
              <w:rPr/>
            </w:pPr>
            <w:r>
              <w:rPr/>
              <w:t>Regulated</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35,820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44,257</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29,577</w:t>
            </w:r>
          </w:p>
        </w:tc>
        <w:tc>
          <w:tcPr>
            <w:tcW w:w="110" w:type="dxa"/>
            <w:tcBorders/>
            <w:vAlign w:val="center"/>
          </w:tcPr>
          <w:p>
            <w:pPr>
              <w:pStyle w:val="TableContents"/>
              <w:bidi w:val="0"/>
              <w:spacing w:before="0" w:after="283"/>
              <w:jc w:val="left"/>
              <w:rPr/>
            </w:pPr>
            <w:r>
              <w:rPr/>
              <w:t> </w:t>
            </w:r>
          </w:p>
        </w:tc>
      </w:tr>
      <w:tr>
        <w:trPr/>
        <w:tc>
          <w:tcPr>
            <w:tcW w:w="3110" w:type="dxa"/>
            <w:tcBorders>
              <w:bottom w:val="single" w:sz="8" w:space="0" w:color="000000"/>
            </w:tcBorders>
            <w:shd w:fill="CCEEFF" w:val="clear"/>
            <w:tcMar>
              <w:bottom w:w="28" w:type="dxa"/>
            </w:tcMar>
            <w:vAlign w:val="center"/>
          </w:tcPr>
          <w:p>
            <w:pPr>
              <w:pStyle w:val="TableContents"/>
              <w:bidi w:val="0"/>
              <w:spacing w:before="0" w:after="283"/>
              <w:jc w:val="left"/>
              <w:rPr/>
            </w:pPr>
            <w:r>
              <w:rPr/>
              <w:t>Non – Regulated</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3,403</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3,076</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3,634</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3110" w:type="dxa"/>
            <w:tcBorders>
              <w:bottom w:val="single" w:sz="8" w:space="0" w:color="000000"/>
            </w:tcBorders>
            <w:tcMar>
              <w:bottom w:w="28" w:type="dxa"/>
            </w:tcMar>
            <w:vAlign w:val="center"/>
          </w:tcPr>
          <w:p>
            <w:pPr>
              <w:pStyle w:val="TableContents"/>
              <w:bidi w:val="0"/>
              <w:spacing w:before="0" w:after="283"/>
              <w:jc w:val="left"/>
              <w:rPr/>
            </w:pPr>
            <w:r>
              <w:rPr/>
              <w:t>Consolidated Operating Income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w:t>
            </w:r>
          </w:p>
        </w:tc>
        <w:tc>
          <w:tcPr>
            <w:tcW w:w="800" w:type="dxa"/>
            <w:tcBorders>
              <w:bottom w:val="single" w:sz="8" w:space="0" w:color="000000"/>
            </w:tcBorders>
            <w:tcMar>
              <w:bottom w:w="28" w:type="dxa"/>
            </w:tcMar>
            <w:vAlign w:val="center"/>
          </w:tcPr>
          <w:p>
            <w:pPr>
              <w:pStyle w:val="TableContents"/>
              <w:bidi w:val="0"/>
              <w:spacing w:before="0" w:after="283"/>
              <w:jc w:val="right"/>
              <w:rPr/>
            </w:pPr>
            <w:r>
              <w:rPr/>
              <w:t>39,223</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w:t>
            </w:r>
          </w:p>
        </w:tc>
        <w:tc>
          <w:tcPr>
            <w:tcW w:w="800" w:type="dxa"/>
            <w:tcBorders>
              <w:bottom w:val="single" w:sz="8" w:space="0" w:color="000000"/>
            </w:tcBorders>
            <w:tcMar>
              <w:bottom w:w="28" w:type="dxa"/>
            </w:tcMar>
            <w:vAlign w:val="center"/>
          </w:tcPr>
          <w:p>
            <w:pPr>
              <w:pStyle w:val="TableContents"/>
              <w:bidi w:val="0"/>
              <w:spacing w:before="0" w:after="283"/>
              <w:jc w:val="right"/>
              <w:rPr/>
            </w:pPr>
            <w:r>
              <w:rPr/>
              <w:t>47,333</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w:t>
            </w:r>
          </w:p>
        </w:tc>
        <w:tc>
          <w:tcPr>
            <w:tcW w:w="800" w:type="dxa"/>
            <w:tcBorders>
              <w:bottom w:val="single" w:sz="8" w:space="0" w:color="000000"/>
            </w:tcBorders>
            <w:tcMar>
              <w:bottom w:w="28" w:type="dxa"/>
            </w:tcMar>
            <w:vAlign w:val="center"/>
          </w:tcPr>
          <w:p>
            <w:pPr>
              <w:pStyle w:val="TableContents"/>
              <w:bidi w:val="0"/>
              <w:spacing w:before="0" w:after="283"/>
              <w:jc w:val="right"/>
              <w:rPr/>
            </w:pPr>
            <w:r>
              <w:rPr/>
              <w:t>33,211</w:t>
            </w:r>
          </w:p>
        </w:tc>
        <w:tc>
          <w:tcPr>
            <w:tcW w:w="11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left"/>
              <w:rPr/>
            </w:pPr>
            <w:r>
              <w:rPr/>
              <w:t>Depreciation:</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283"/>
              <w:jc w:val="left"/>
              <w:rPr/>
            </w:pPr>
            <w:r>
              <w:rPr/>
              <w:t>Regulated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24,931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22,783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20,897</w:t>
            </w:r>
          </w:p>
        </w:tc>
        <w:tc>
          <w:tcPr>
            <w:tcW w:w="110" w:type="dxa"/>
            <w:tcBorders/>
            <w:shd w:fill="CCEEFF" w:val="clear"/>
            <w:vAlign w:val="center"/>
          </w:tcPr>
          <w:p>
            <w:pPr>
              <w:pStyle w:val="TableContents"/>
              <w:bidi w:val="0"/>
              <w:spacing w:before="0" w:after="283"/>
              <w:jc w:val="left"/>
              <w:rPr/>
            </w:pPr>
            <w:r>
              <w:rPr/>
              <w:t> </w:t>
            </w:r>
          </w:p>
        </w:tc>
      </w:tr>
      <w:tr>
        <w:trPr/>
        <w:tc>
          <w:tcPr>
            <w:tcW w:w="3110" w:type="dxa"/>
            <w:tcBorders>
              <w:bottom w:val="single" w:sz="8" w:space="0" w:color="000000"/>
            </w:tcBorders>
            <w:tcMar>
              <w:bottom w:w="28" w:type="dxa"/>
            </w:tcMar>
            <w:vAlign w:val="center"/>
          </w:tcPr>
          <w:p>
            <w:pPr>
              <w:pStyle w:val="TableContents"/>
              <w:bidi w:val="0"/>
              <w:spacing w:before="0" w:after="283"/>
              <w:jc w:val="left"/>
              <w:rPr/>
            </w:pPr>
            <w:r>
              <w:rPr/>
              <w:t>Non – Regulated</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right"/>
              <w:rPr/>
            </w:pPr>
            <w:r>
              <w:rPr/>
              <w:t>263</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right"/>
              <w:rPr/>
            </w:pPr>
            <w:r>
              <w:rPr/>
              <w:t>246</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right"/>
              <w:rPr/>
            </w:pPr>
            <w:r>
              <w:rPr/>
              <w:t>212</w:t>
            </w:r>
          </w:p>
        </w:tc>
        <w:tc>
          <w:tcPr>
            <w:tcW w:w="11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110" w:type="dxa"/>
            <w:tcBorders>
              <w:bottom w:val="single" w:sz="8" w:space="0" w:color="000000"/>
            </w:tcBorders>
            <w:shd w:fill="CCEEFF" w:val="clear"/>
            <w:tcMar>
              <w:bottom w:w="28" w:type="dxa"/>
            </w:tcMar>
            <w:vAlign w:val="center"/>
          </w:tcPr>
          <w:p>
            <w:pPr>
              <w:pStyle w:val="TableContents"/>
              <w:bidi w:val="0"/>
              <w:spacing w:before="0" w:after="283"/>
              <w:jc w:val="left"/>
              <w:rPr/>
            </w:pPr>
            <w:r>
              <w:rPr/>
              <w:t>Consolidated Depreciation</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25,194</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23,029</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21,109</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283"/>
              <w:jc w:val="left"/>
              <w:rPr/>
            </w:pPr>
            <w:r>
              <w:rPr/>
              <w:t>Other Income,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left"/>
              <w:rPr/>
            </w:pPr>
            <w:r>
              <w:rPr/>
              <w:t>Regulated</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6,637</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7,898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6,112</w:t>
            </w:r>
          </w:p>
        </w:tc>
        <w:tc>
          <w:tcPr>
            <w:tcW w:w="110" w:type="dxa"/>
            <w:tcBorders/>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283"/>
              <w:jc w:val="left"/>
              <w:rPr/>
            </w:pPr>
            <w:r>
              <w:rPr/>
              <w:t>Non – Regulated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279</w:t>
            </w:r>
          </w:p>
        </w:tc>
        <w:tc>
          <w:tcPr>
            <w:tcW w:w="110" w:type="dxa"/>
            <w:tcBorders/>
            <w:shd w:fill="CCEEFF" w:val="clear"/>
            <w:vAlign w:val="center"/>
          </w:tcPr>
          <w:p>
            <w:pPr>
              <w:pStyle w:val="TableContents"/>
              <w:bidi w:val="0"/>
              <w:spacing w:before="0" w:after="283"/>
              <w:jc w:val="left"/>
              <w:rPr/>
            </w:pPr>
            <w:r>
              <w:rPr/>
              <w:t> </w:t>
            </w:r>
          </w:p>
        </w:tc>
      </w:tr>
      <w:tr>
        <w:trPr/>
        <w:tc>
          <w:tcPr>
            <w:tcW w:w="3110" w:type="dxa"/>
            <w:tcBorders>
              <w:bottom w:val="single" w:sz="8" w:space="0" w:color="000000"/>
            </w:tcBorders>
            <w:tcMar>
              <w:bottom w:w="28" w:type="dxa"/>
            </w:tcMar>
            <w:vAlign w:val="center"/>
          </w:tcPr>
          <w:p>
            <w:pPr>
              <w:pStyle w:val="TableContents"/>
              <w:bidi w:val="0"/>
              <w:spacing w:before="0" w:after="283"/>
              <w:jc w:val="left"/>
              <w:rPr/>
            </w:pPr>
            <w:r>
              <w:rPr/>
              <w:t>Inter-segment Elimination</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right"/>
              <w:rPr/>
            </w:pPr>
            <w:r>
              <w:rPr/>
              <w:t>(366</w:t>
            </w:r>
          </w:p>
        </w:tc>
        <w:tc>
          <w:tcPr>
            <w:tcW w:w="95" w:type="dxa"/>
            <w:tcBorders>
              <w:bottom w:val="single" w:sz="8" w:space="0" w:color="000000"/>
            </w:tcBorders>
            <w:tcMar>
              <w:bottom w:w="28" w:type="dxa"/>
            </w:tcMar>
            <w:vAlign w:val="center"/>
          </w:tcPr>
          <w:p>
            <w:pPr>
              <w:pStyle w:val="TableContents"/>
              <w:bidi w:val="0"/>
              <w:spacing w:before="0" w:after="283"/>
              <w:jc w:val="left"/>
              <w:rPr/>
            </w:pPr>
            <w:r>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right"/>
              <w:rPr/>
            </w:pPr>
            <w:r>
              <w:rPr/>
              <w:t>(474</w:t>
            </w:r>
          </w:p>
        </w:tc>
        <w:tc>
          <w:tcPr>
            <w:tcW w:w="95" w:type="dxa"/>
            <w:tcBorders>
              <w:bottom w:val="single" w:sz="8" w:space="0" w:color="000000"/>
            </w:tcBorders>
            <w:tcMar>
              <w:bottom w:w="28" w:type="dxa"/>
            </w:tcMar>
            <w:vAlign w:val="center"/>
          </w:tcPr>
          <w:p>
            <w:pPr>
              <w:pStyle w:val="TableContents"/>
              <w:bidi w:val="0"/>
              <w:spacing w:before="0" w:after="283"/>
              <w:jc w:val="left"/>
              <w:rPr/>
            </w:pPr>
            <w:r>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right"/>
              <w:rPr/>
            </w:pPr>
            <w:r>
              <w:rPr/>
              <w:t>(433</w:t>
            </w:r>
          </w:p>
        </w:tc>
        <w:tc>
          <w:tcPr>
            <w:tcW w:w="110" w:type="dxa"/>
            <w:tcBorders>
              <w:bottom w:val="single" w:sz="8" w:space="0" w:color="000000"/>
            </w:tcBorders>
            <w:tcMar>
              <w:bottom w:w="28" w:type="dxa"/>
            </w:tcMar>
            <w:vAlign w:val="center"/>
          </w:tcPr>
          <w:p>
            <w:pPr>
              <w:pStyle w:val="TableContents"/>
              <w:bidi w:val="0"/>
              <w:spacing w:before="0" w:after="283"/>
              <w:jc w:val="left"/>
              <w:rPr/>
            </w:pPr>
            <w:r>
              <w:rPr/>
              <w:t>)</w:t>
            </w:r>
          </w:p>
        </w:tc>
      </w:tr>
      <w:tr>
        <w:trPr/>
        <w:tc>
          <w:tcPr>
            <w:tcW w:w="3110" w:type="dxa"/>
            <w:tcBorders>
              <w:bottom w:val="single" w:sz="8" w:space="0" w:color="000000"/>
            </w:tcBorders>
            <w:shd w:fill="CCEEFF" w:val="clear"/>
            <w:tcMar>
              <w:bottom w:w="28" w:type="dxa"/>
            </w:tcMar>
            <w:vAlign w:val="center"/>
          </w:tcPr>
          <w:p>
            <w:pPr>
              <w:pStyle w:val="TableContents"/>
              <w:bidi w:val="0"/>
              <w:spacing w:before="0" w:after="283"/>
              <w:jc w:val="left"/>
              <w:rPr/>
            </w:pPr>
            <w:r>
              <w:rPr/>
              <w:t>Consolidated Other Income, Net</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6,485</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7,703</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5,958</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left"/>
              <w:rPr/>
            </w:pPr>
            <w:r>
              <w:rPr/>
              <w:t>Regulated</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13,508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9,833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8,529</w:t>
            </w:r>
          </w:p>
        </w:tc>
        <w:tc>
          <w:tcPr>
            <w:tcW w:w="110" w:type="dxa"/>
            <w:tcBorders/>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283"/>
              <w:jc w:val="left"/>
              <w:rPr/>
            </w:pPr>
            <w:r>
              <w:rPr/>
              <w:t>Non – Regulated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17</w:t>
            </w:r>
          </w:p>
        </w:tc>
        <w:tc>
          <w:tcPr>
            <w:tcW w:w="110" w:type="dxa"/>
            <w:tcBorders/>
            <w:shd w:fill="CCEEFF" w:val="clear"/>
            <w:vAlign w:val="center"/>
          </w:tcPr>
          <w:p>
            <w:pPr>
              <w:pStyle w:val="TableContents"/>
              <w:bidi w:val="0"/>
              <w:spacing w:before="0" w:after="283"/>
              <w:jc w:val="left"/>
              <w:rPr/>
            </w:pPr>
            <w:r>
              <w:rPr/>
              <w:t> </w:t>
            </w:r>
          </w:p>
        </w:tc>
      </w:tr>
      <w:tr>
        <w:trPr/>
        <w:tc>
          <w:tcPr>
            <w:tcW w:w="3110" w:type="dxa"/>
            <w:tcBorders>
              <w:bottom w:val="single" w:sz="8" w:space="0" w:color="000000"/>
            </w:tcBorders>
            <w:tcMar>
              <w:bottom w:w="28" w:type="dxa"/>
            </w:tcMar>
            <w:vAlign w:val="center"/>
          </w:tcPr>
          <w:p>
            <w:pPr>
              <w:pStyle w:val="TableContents"/>
              <w:bidi w:val="0"/>
              <w:spacing w:before="0" w:after="283"/>
              <w:jc w:val="left"/>
              <w:rPr/>
            </w:pPr>
            <w:r>
              <w:rPr/>
              <w:t>Inter-segment Elimination</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right"/>
              <w:rPr/>
            </w:pPr>
            <w:r>
              <w:rPr/>
              <w:t>(365</w:t>
            </w:r>
          </w:p>
        </w:tc>
        <w:tc>
          <w:tcPr>
            <w:tcW w:w="95" w:type="dxa"/>
            <w:tcBorders>
              <w:bottom w:val="single" w:sz="8" w:space="0" w:color="000000"/>
            </w:tcBorders>
            <w:tcMar>
              <w:bottom w:w="28" w:type="dxa"/>
            </w:tcMar>
            <w:vAlign w:val="center"/>
          </w:tcPr>
          <w:p>
            <w:pPr>
              <w:pStyle w:val="TableContents"/>
              <w:bidi w:val="0"/>
              <w:spacing w:before="0" w:after="283"/>
              <w:jc w:val="left"/>
              <w:rPr/>
            </w:pPr>
            <w:r>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right"/>
              <w:rPr/>
            </w:pPr>
            <w:r>
              <w:rPr/>
              <w:t>(473</w:t>
            </w:r>
          </w:p>
        </w:tc>
        <w:tc>
          <w:tcPr>
            <w:tcW w:w="95" w:type="dxa"/>
            <w:tcBorders>
              <w:bottom w:val="single" w:sz="8" w:space="0" w:color="000000"/>
            </w:tcBorders>
            <w:tcMar>
              <w:bottom w:w="28" w:type="dxa"/>
            </w:tcMar>
            <w:vAlign w:val="center"/>
          </w:tcPr>
          <w:p>
            <w:pPr>
              <w:pStyle w:val="TableContents"/>
              <w:bidi w:val="0"/>
              <w:spacing w:before="0" w:after="283"/>
              <w:jc w:val="left"/>
              <w:rPr/>
            </w:pPr>
            <w:r>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right"/>
              <w:rPr/>
            </w:pPr>
            <w:r>
              <w:rPr/>
              <w:t>(432</w:t>
            </w:r>
          </w:p>
        </w:tc>
        <w:tc>
          <w:tcPr>
            <w:tcW w:w="110" w:type="dxa"/>
            <w:tcBorders>
              <w:bottom w:val="single" w:sz="8" w:space="0" w:color="000000"/>
            </w:tcBorders>
            <w:tcMar>
              <w:bottom w:w="28" w:type="dxa"/>
            </w:tcMar>
            <w:vAlign w:val="center"/>
          </w:tcPr>
          <w:p>
            <w:pPr>
              <w:pStyle w:val="TableContents"/>
              <w:bidi w:val="0"/>
              <w:spacing w:before="0" w:after="283"/>
              <w:jc w:val="left"/>
              <w:rPr/>
            </w:pPr>
            <w:r>
              <w:rPr/>
              <w:t>)</w:t>
            </w:r>
          </w:p>
        </w:tc>
      </w:tr>
      <w:tr>
        <w:trPr/>
        <w:tc>
          <w:tcPr>
            <w:tcW w:w="3110" w:type="dxa"/>
            <w:tcBorders>
              <w:bottom w:val="single" w:sz="8" w:space="0" w:color="000000"/>
            </w:tcBorders>
            <w:shd w:fill="CCEEFF" w:val="clear"/>
            <w:tcMar>
              <w:bottom w:w="28" w:type="dxa"/>
            </w:tcMar>
            <w:vAlign w:val="center"/>
          </w:tcPr>
          <w:p>
            <w:pPr>
              <w:pStyle w:val="TableContents"/>
              <w:bidi w:val="0"/>
              <w:spacing w:before="0" w:after="283"/>
              <w:jc w:val="left"/>
              <w:rPr/>
            </w:pPr>
            <w:r>
              <w:rPr/>
              <w:t>Consolidated Interest Expense</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13,143</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9,367</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8,114</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283"/>
              <w:jc w:val="left"/>
              <w:rPr/>
            </w:pPr>
            <w:r>
              <w:rPr/>
              <w:t>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left"/>
              <w:rPr/>
            </w:pPr>
            <w:r>
              <w:rPr/>
              <w:t>Regulated</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(146</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2,084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(6,723</w:t>
            </w:r>
          </w:p>
        </w:tc>
        <w:tc>
          <w:tcPr>
            <w:tcW w:w="110" w:type="dxa"/>
            <w:tcBorders/>
            <w:vAlign w:val="center"/>
          </w:tcPr>
          <w:p>
            <w:pPr>
              <w:pStyle w:val="TableContents"/>
              <w:bidi w:val="0"/>
              <w:spacing w:before="0" w:after="283"/>
              <w:jc w:val="left"/>
              <w:rPr/>
            </w:pPr>
            <w:r>
              <w:rPr/>
              <w:t>)</w:t>
            </w:r>
          </w:p>
        </w:tc>
      </w:tr>
      <w:tr>
        <w:trPr/>
        <w:tc>
          <w:tcPr>
            <w:tcW w:w="3110" w:type="dxa"/>
            <w:tcBorders>
              <w:bottom w:val="single" w:sz="8" w:space="0" w:color="000000"/>
            </w:tcBorders>
            <w:shd w:fill="CCEEFF" w:val="clear"/>
            <w:tcMar>
              <w:bottom w:w="28" w:type="dxa"/>
            </w:tcMar>
            <w:vAlign w:val="center"/>
          </w:tcPr>
          <w:p>
            <w:pPr>
              <w:pStyle w:val="TableContents"/>
              <w:bidi w:val="0"/>
              <w:spacing w:before="0" w:after="283"/>
              <w:jc w:val="left"/>
              <w:rPr/>
            </w:pPr>
            <w:r>
              <w:rPr/>
              <w:t>Non – Regulated</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1,187</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1,156</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1,235</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3110" w:type="dxa"/>
            <w:tcBorders>
              <w:bottom w:val="single" w:sz="8" w:space="0" w:color="000000"/>
            </w:tcBorders>
            <w:tcMar>
              <w:bottom w:w="28" w:type="dxa"/>
            </w:tcMar>
            <w:vAlign w:val="center"/>
          </w:tcPr>
          <w:p>
            <w:pPr>
              <w:pStyle w:val="TableContents"/>
              <w:bidi w:val="0"/>
              <w:spacing w:before="0" w:after="283"/>
              <w:jc w:val="left"/>
              <w:rPr/>
            </w:pPr>
            <w:r>
              <w:rPr/>
              <w:t>Consolidated Income Taxes</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w:t>
            </w:r>
          </w:p>
        </w:tc>
        <w:tc>
          <w:tcPr>
            <w:tcW w:w="800" w:type="dxa"/>
            <w:tcBorders>
              <w:bottom w:val="single" w:sz="8" w:space="0" w:color="000000"/>
            </w:tcBorders>
            <w:tcMar>
              <w:bottom w:w="28" w:type="dxa"/>
            </w:tcMar>
            <w:vAlign w:val="center"/>
          </w:tcPr>
          <w:p>
            <w:pPr>
              <w:pStyle w:val="TableContents"/>
              <w:bidi w:val="0"/>
              <w:spacing w:before="0" w:after="283"/>
              <w:jc w:val="right"/>
              <w:rPr/>
            </w:pPr>
            <w:r>
              <w:rPr/>
              <w:t>1,041</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w:t>
            </w:r>
          </w:p>
        </w:tc>
        <w:tc>
          <w:tcPr>
            <w:tcW w:w="800" w:type="dxa"/>
            <w:tcBorders>
              <w:bottom w:val="single" w:sz="8" w:space="0" w:color="000000"/>
            </w:tcBorders>
            <w:tcMar>
              <w:bottom w:w="28" w:type="dxa"/>
            </w:tcMar>
            <w:vAlign w:val="center"/>
          </w:tcPr>
          <w:p>
            <w:pPr>
              <w:pStyle w:val="TableContents"/>
              <w:bidi w:val="0"/>
              <w:spacing w:before="0" w:after="283"/>
              <w:jc w:val="right"/>
              <w:rPr/>
            </w:pPr>
            <w:r>
              <w:rPr/>
              <w:t>3,240</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w:t>
            </w:r>
          </w:p>
        </w:tc>
        <w:tc>
          <w:tcPr>
            <w:tcW w:w="800" w:type="dxa"/>
            <w:tcBorders>
              <w:bottom w:val="single" w:sz="8" w:space="0" w:color="000000"/>
            </w:tcBorders>
            <w:tcMar>
              <w:bottom w:w="28" w:type="dxa"/>
            </w:tcMar>
            <w:vAlign w:val="center"/>
          </w:tcPr>
          <w:p>
            <w:pPr>
              <w:pStyle w:val="TableContents"/>
              <w:bidi w:val="0"/>
              <w:spacing w:before="0" w:after="283"/>
              <w:jc w:val="right"/>
              <w:rPr/>
            </w:pPr>
            <w:r>
              <w:rPr/>
              <w:t>(5,488</w:t>
            </w:r>
          </w:p>
        </w:tc>
        <w:tc>
          <w:tcPr>
            <w:tcW w:w="110" w:type="dxa"/>
            <w:tcBorders>
              <w:bottom w:val="single" w:sz="8" w:space="0" w:color="000000"/>
            </w:tcBorders>
            <w:tcMar>
              <w:bottom w:w="28" w:type="dxa"/>
            </w:tcMar>
            <w:vAlign w:val="center"/>
          </w:tcPr>
          <w:p>
            <w:pPr>
              <w:pStyle w:val="TableContents"/>
              <w:bidi w:val="0"/>
              <w:spacing w:before="0" w:after="283"/>
              <w:jc w:val="left"/>
              <w:rPr/>
            </w:pPr>
            <w:r>
              <w:rPr/>
              <w:t>)</w:t>
            </w:r>
          </w:p>
        </w:tc>
      </w:tr>
      <w:tr>
        <w:trPr/>
        <w:tc>
          <w:tcPr>
            <w:tcW w:w="31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left"/>
              <w:rPr/>
            </w:pPr>
            <w:r>
              <w:rPr/>
              <w:t>Net Income: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283"/>
              <w:jc w:val="left"/>
              <w:rPr/>
            </w:pPr>
            <w:r>
              <w:rPr/>
              <w:t>Regulated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29,094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40,229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33,849</w:t>
            </w:r>
          </w:p>
        </w:tc>
        <w:tc>
          <w:tcPr>
            <w:tcW w:w="110" w:type="dxa"/>
            <w:tcBorders/>
            <w:shd w:fill="CCEEFF" w:val="clear"/>
            <w:vAlign w:val="center"/>
          </w:tcPr>
          <w:p>
            <w:pPr>
              <w:pStyle w:val="TableContents"/>
              <w:bidi w:val="0"/>
              <w:spacing w:before="0" w:after="283"/>
              <w:jc w:val="left"/>
              <w:rPr/>
            </w:pPr>
            <w:r>
              <w:rPr/>
              <w:t> </w:t>
            </w:r>
          </w:p>
        </w:tc>
      </w:tr>
      <w:tr>
        <w:trPr/>
        <w:tc>
          <w:tcPr>
            <w:tcW w:w="3110" w:type="dxa"/>
            <w:tcBorders>
              <w:bottom w:val="single" w:sz="8" w:space="0" w:color="000000"/>
            </w:tcBorders>
            <w:tcMar>
              <w:bottom w:w="28" w:type="dxa"/>
            </w:tcMar>
            <w:vAlign w:val="center"/>
          </w:tcPr>
          <w:p>
            <w:pPr>
              <w:pStyle w:val="TableContents"/>
              <w:bidi w:val="0"/>
              <w:spacing w:before="0" w:after="283"/>
              <w:jc w:val="left"/>
              <w:rPr/>
            </w:pPr>
            <w:r>
              <w:rPr/>
              <w:t>Non – Regulated</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right"/>
              <w:rPr/>
            </w:pPr>
            <w:r>
              <w:rPr/>
              <w:t>2,430</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right"/>
              <w:rPr/>
            </w:pPr>
            <w:r>
              <w:rPr/>
              <w:t>2,200</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right"/>
              <w:rPr/>
            </w:pPr>
            <w:r>
              <w:rPr/>
              <w:t>2,694</w:t>
            </w:r>
          </w:p>
        </w:tc>
        <w:tc>
          <w:tcPr>
            <w:tcW w:w="11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110" w:type="dxa"/>
            <w:tcBorders>
              <w:bottom w:val="single" w:sz="8" w:space="0" w:color="000000"/>
            </w:tcBorders>
            <w:shd w:fill="CCEEFF" w:val="clear"/>
            <w:tcMar>
              <w:bottom w:w="28" w:type="dxa"/>
            </w:tcMar>
            <w:vAlign w:val="center"/>
          </w:tcPr>
          <w:p>
            <w:pPr>
              <w:pStyle w:val="TableContents"/>
              <w:bidi w:val="0"/>
              <w:spacing w:before="0" w:after="283"/>
              <w:jc w:val="left"/>
              <w:rPr/>
            </w:pPr>
            <w:r>
              <w:rPr/>
              <w:t>Consolidated Net Income</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31,524</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42,429</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36,543</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283"/>
              <w:jc w:val="left"/>
              <w:rPr/>
            </w:pPr>
            <w:r>
              <w:rPr/>
              <w:t>Capital Expenditures: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left"/>
              <w:rPr/>
            </w:pPr>
            <w:r>
              <w:rPr/>
              <w:t>Regulated</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90,047</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91,054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79,195</w:t>
            </w:r>
          </w:p>
        </w:tc>
        <w:tc>
          <w:tcPr>
            <w:tcW w:w="110" w:type="dxa"/>
            <w:tcBorders/>
            <w:vAlign w:val="center"/>
          </w:tcPr>
          <w:p>
            <w:pPr>
              <w:pStyle w:val="TableContents"/>
              <w:bidi w:val="0"/>
              <w:spacing w:before="0" w:after="283"/>
              <w:jc w:val="left"/>
              <w:rPr/>
            </w:pPr>
            <w:r>
              <w:rPr/>
              <w:t> </w:t>
            </w:r>
          </w:p>
        </w:tc>
      </w:tr>
      <w:tr>
        <w:trPr/>
        <w:tc>
          <w:tcPr>
            <w:tcW w:w="3110" w:type="dxa"/>
            <w:tcBorders>
              <w:bottom w:val="single" w:sz="8" w:space="0" w:color="000000"/>
            </w:tcBorders>
            <w:shd w:fill="CCEEFF" w:val="clear"/>
            <w:tcMar>
              <w:bottom w:w="28" w:type="dxa"/>
            </w:tcMar>
            <w:vAlign w:val="center"/>
          </w:tcPr>
          <w:p>
            <w:pPr>
              <w:pStyle w:val="TableContents"/>
              <w:bidi w:val="0"/>
              <w:spacing w:before="0" w:after="283"/>
              <w:jc w:val="left"/>
              <w:rPr/>
            </w:pPr>
            <w:r>
              <w:rPr/>
              <w:t>Non – Regulated</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132</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281</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183</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3110" w:type="dxa"/>
            <w:tcBorders>
              <w:bottom w:val="single" w:sz="8" w:space="0" w:color="000000"/>
            </w:tcBorders>
            <w:tcMar>
              <w:bottom w:w="28" w:type="dxa"/>
            </w:tcMar>
            <w:vAlign w:val="center"/>
          </w:tcPr>
          <w:p>
            <w:pPr>
              <w:pStyle w:val="TableContents"/>
              <w:bidi w:val="0"/>
              <w:spacing w:before="0" w:after="283"/>
              <w:jc w:val="left"/>
              <w:rPr/>
            </w:pPr>
            <w:r>
              <w:rPr/>
              <w:t>Total Capital Expenditures</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w:t>
            </w:r>
          </w:p>
        </w:tc>
        <w:tc>
          <w:tcPr>
            <w:tcW w:w="800" w:type="dxa"/>
            <w:tcBorders>
              <w:bottom w:val="single" w:sz="8" w:space="0" w:color="000000"/>
            </w:tcBorders>
            <w:tcMar>
              <w:bottom w:w="28" w:type="dxa"/>
            </w:tcMar>
            <w:vAlign w:val="center"/>
          </w:tcPr>
          <w:p>
            <w:pPr>
              <w:pStyle w:val="TableContents"/>
              <w:bidi w:val="0"/>
              <w:spacing w:before="0" w:after="283"/>
              <w:jc w:val="right"/>
              <w:rPr/>
            </w:pPr>
            <w:r>
              <w:rPr/>
              <w:t>90,179</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w:t>
            </w:r>
          </w:p>
        </w:tc>
        <w:tc>
          <w:tcPr>
            <w:tcW w:w="800" w:type="dxa"/>
            <w:tcBorders>
              <w:bottom w:val="single" w:sz="8" w:space="0" w:color="000000"/>
            </w:tcBorders>
            <w:tcMar>
              <w:bottom w:w="28" w:type="dxa"/>
            </w:tcMar>
            <w:vAlign w:val="center"/>
          </w:tcPr>
          <w:p>
            <w:pPr>
              <w:pStyle w:val="TableContents"/>
              <w:bidi w:val="0"/>
              <w:spacing w:before="0" w:after="283"/>
              <w:jc w:val="right"/>
              <w:rPr/>
            </w:pPr>
            <w:r>
              <w:rPr/>
              <w:t>91,335</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w:t>
            </w:r>
          </w:p>
        </w:tc>
        <w:tc>
          <w:tcPr>
            <w:tcW w:w="800" w:type="dxa"/>
            <w:tcBorders>
              <w:bottom w:val="single" w:sz="8" w:space="0" w:color="000000"/>
            </w:tcBorders>
            <w:tcMar>
              <w:bottom w:w="28" w:type="dxa"/>
            </w:tcMar>
            <w:vAlign w:val="center"/>
          </w:tcPr>
          <w:p>
            <w:pPr>
              <w:pStyle w:val="TableContents"/>
              <w:bidi w:val="0"/>
              <w:spacing w:before="0" w:after="283"/>
              <w:jc w:val="right"/>
              <w:rPr/>
            </w:pPr>
            <w:r>
              <w:rPr/>
              <w:t>79,378</w:t>
            </w:r>
          </w:p>
        </w:tc>
        <w:tc>
          <w:tcPr>
            <w:tcW w:w="110"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71 </w:t>
      </w:r>
    </w:p>
    <w:p>
      <w:pPr>
        <w:pStyle w:val="TextBody"/>
        <w:bidi w:val="0"/>
        <w:spacing w:before="0" w:after="0"/>
        <w:ind w:left="0" w:right="0" w:hanging="0"/>
        <w:jc w:val="left"/>
        <w:rPr>
          <w:caps w:val="false"/>
          <w:smallCaps w:val="false"/>
        </w:rPr>
      </w:pPr>
      <w:r>
        <w:rPr>
          <w:caps w:val="false"/>
          <w:smallCaps w:val="false"/>
        </w:rPr>
        <w:t> </w:t>
      </w:r>
    </w:p>
    <w:tbl>
      <w:tblPr>
        <w:tblW w:w="6713" w:type="dxa"/>
        <w:jc w:val="left"/>
        <w:tblInd w:w="0" w:type="dxa"/>
        <w:tblLayout w:type="fixed"/>
        <w:tblCellMar>
          <w:top w:w="0" w:type="dxa"/>
          <w:left w:w="0" w:type="dxa"/>
          <w:bottom w:w="0" w:type="dxa"/>
          <w:right w:w="0" w:type="dxa"/>
        </w:tblCellMar>
      </w:tblPr>
      <w:tblGrid>
        <w:gridCol w:w="2480"/>
        <w:gridCol w:w="60"/>
        <w:gridCol w:w="244"/>
        <w:gridCol w:w="1710"/>
        <w:gridCol w:w="95"/>
        <w:gridCol w:w="60"/>
        <w:gridCol w:w="244"/>
        <w:gridCol w:w="1710"/>
        <w:gridCol w:w="110"/>
      </w:tblGrid>
      <w:tr>
        <w:trPr/>
        <w:tc>
          <w:tcPr>
            <w:tcW w:w="24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063" w:type="dxa"/>
            <w:gridSpan w:val="6"/>
            <w:tcBorders/>
            <w:vAlign w:val="center"/>
          </w:tcPr>
          <w:p>
            <w:pPr>
              <w:pStyle w:val="TableContents"/>
              <w:bidi w:val="0"/>
              <w:spacing w:before="0" w:after="283"/>
              <w:jc w:val="center"/>
              <w:rPr>
                <w:b/>
              </w:rPr>
            </w:pPr>
            <w:r>
              <w:rPr>
                <w:b/>
              </w:rPr>
              <w:t>(Thousands of Dollars)</w:t>
            </w:r>
          </w:p>
        </w:tc>
        <w:tc>
          <w:tcPr>
            <w:tcW w:w="110" w:type="dxa"/>
            <w:tcBorders/>
            <w:vAlign w:val="center"/>
          </w:tcPr>
          <w:p>
            <w:pPr>
              <w:pStyle w:val="TableContents"/>
              <w:bidi w:val="0"/>
              <w:spacing w:before="0" w:after="283"/>
              <w:jc w:val="left"/>
              <w:rPr/>
            </w:pPr>
            <w:r>
              <w:rPr/>
              <w:t> </w:t>
            </w:r>
          </w:p>
        </w:tc>
      </w:tr>
      <w:tr>
        <w:trPr/>
        <w:tc>
          <w:tcPr>
            <w:tcW w:w="24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vAlign w:val="center"/>
          </w:tcPr>
          <w:p>
            <w:pPr>
              <w:pStyle w:val="TableContents"/>
              <w:bidi w:val="0"/>
              <w:spacing w:before="0" w:after="283"/>
              <w:jc w:val="center"/>
              <w:rPr>
                <w:b/>
              </w:rPr>
            </w:pPr>
            <w:r>
              <w:rPr>
                <w:b/>
              </w:rPr>
              <w:t>As of</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vAlign w:val="center"/>
          </w:tcPr>
          <w:p>
            <w:pPr>
              <w:pStyle w:val="TableContents"/>
              <w:bidi w:val="0"/>
              <w:spacing w:before="0" w:after="283"/>
              <w:jc w:val="center"/>
              <w:rPr>
                <w:b/>
              </w:rPr>
            </w:pPr>
            <w:r>
              <w:rPr>
                <w:b/>
              </w:rPr>
              <w:t>As of</w:t>
            </w:r>
          </w:p>
        </w:tc>
        <w:tc>
          <w:tcPr>
            <w:tcW w:w="110" w:type="dxa"/>
            <w:tcBorders/>
            <w:vAlign w:val="center"/>
          </w:tcPr>
          <w:p>
            <w:pPr>
              <w:pStyle w:val="TableContents"/>
              <w:bidi w:val="0"/>
              <w:spacing w:before="0" w:after="283"/>
              <w:jc w:val="left"/>
              <w:rPr/>
            </w:pPr>
            <w:r>
              <w:rPr/>
              <w:t> </w:t>
            </w:r>
          </w:p>
        </w:tc>
      </w:tr>
      <w:tr>
        <w:trPr/>
        <w:tc>
          <w:tcPr>
            <w:tcW w:w="2480" w:type="dxa"/>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2023</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2022</w:t>
            </w:r>
          </w:p>
        </w:tc>
        <w:tc>
          <w:tcPr>
            <w:tcW w:w="11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283"/>
              <w:jc w:val="left"/>
              <w:rPr/>
            </w:pPr>
            <w:r>
              <w:rPr/>
              <w:t>Assets:</w:t>
            </w:r>
          </w:p>
        </w:tc>
        <w:tc>
          <w:tcPr>
            <w:tcW w:w="60" w:type="dxa"/>
            <w:tcBorders/>
            <w:shd w:fill="CCEEFF" w:val="clear"/>
            <w:vAlign w:val="center"/>
          </w:tcPr>
          <w:p>
            <w:pPr>
              <w:pStyle w:val="TableContents"/>
              <w:bidi w:val="0"/>
              <w:spacing w:before="0" w:after="283"/>
              <w:jc w:val="left"/>
              <w:rPr/>
            </w:pPr>
            <w:r>
              <w:rPr/>
              <w:t> </w:t>
            </w:r>
          </w:p>
        </w:tc>
        <w:tc>
          <w:tcPr>
            <w:tcW w:w="1954" w:type="dxa"/>
            <w:gridSpan w:val="2"/>
            <w:tcBorders/>
            <w:shd w:fill="CCEEFF" w:val="clear"/>
            <w:vAlign w:val="center"/>
          </w:tcPr>
          <w:p>
            <w:pPr>
              <w:pStyle w:val="TableContents"/>
              <w:bidi w:val="0"/>
              <w:spacing w:before="0" w:after="283"/>
              <w:jc w:val="center"/>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4" w:type="dxa"/>
            <w:gridSpan w:val="2"/>
            <w:tcBorders/>
            <w:shd w:fill="CCEEFF" w:val="clear"/>
            <w:vAlign w:val="center"/>
          </w:tcPr>
          <w:p>
            <w:pPr>
              <w:pStyle w:val="TableContents"/>
              <w:bidi w:val="0"/>
              <w:spacing w:before="0" w:after="283"/>
              <w:jc w:val="center"/>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2480" w:type="dxa"/>
            <w:tcBorders/>
            <w:vAlign w:val="center"/>
          </w:tcPr>
          <w:p>
            <w:pPr>
              <w:pStyle w:val="TableContents"/>
              <w:bidi w:val="0"/>
              <w:spacing w:before="0" w:after="283"/>
              <w:jc w:val="left"/>
              <w:rPr/>
            </w:pPr>
            <w:r>
              <w:rPr/>
              <w:t>Regulated</w:t>
            </w:r>
          </w:p>
        </w:tc>
        <w:tc>
          <w:tcPr>
            <w:tcW w:w="60"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 </w:t>
            </w:r>
          </w:p>
        </w:tc>
        <w:tc>
          <w:tcPr>
            <w:tcW w:w="1710" w:type="dxa"/>
            <w:tcBorders/>
            <w:vAlign w:val="center"/>
          </w:tcPr>
          <w:p>
            <w:pPr>
              <w:pStyle w:val="TableContents"/>
              <w:bidi w:val="0"/>
              <w:spacing w:before="0" w:after="283"/>
              <w:jc w:val="right"/>
              <w:rPr/>
            </w:pPr>
            <w:r>
              <w:rPr/>
              <w:t>1,235,549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w:t>
            </w:r>
          </w:p>
        </w:tc>
        <w:tc>
          <w:tcPr>
            <w:tcW w:w="1710" w:type="dxa"/>
            <w:tcBorders/>
            <w:vAlign w:val="center"/>
          </w:tcPr>
          <w:p>
            <w:pPr>
              <w:pStyle w:val="TableContents"/>
              <w:bidi w:val="0"/>
              <w:spacing w:before="0" w:after="283"/>
              <w:jc w:val="right"/>
              <w:rPr/>
            </w:pPr>
            <w:r>
              <w:rPr/>
              <w:t>1,079,180</w:t>
            </w:r>
          </w:p>
        </w:tc>
        <w:tc>
          <w:tcPr>
            <w:tcW w:w="110" w:type="dxa"/>
            <w:tcBorders/>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283"/>
              <w:jc w:val="left"/>
              <w:rPr/>
            </w:pPr>
            <w:r>
              <w:rPr/>
              <w:t>Non – Regulated</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710" w:type="dxa"/>
            <w:tcBorders/>
            <w:shd w:fill="CCEEFF" w:val="clear"/>
            <w:vAlign w:val="center"/>
          </w:tcPr>
          <w:p>
            <w:pPr>
              <w:pStyle w:val="TableContents"/>
              <w:bidi w:val="0"/>
              <w:spacing w:before="0" w:after="283"/>
              <w:jc w:val="right"/>
              <w:rPr/>
            </w:pPr>
            <w:r>
              <w:rPr/>
              <w:t>8,068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710" w:type="dxa"/>
            <w:tcBorders/>
            <w:shd w:fill="CCEEFF" w:val="clear"/>
            <w:vAlign w:val="center"/>
          </w:tcPr>
          <w:p>
            <w:pPr>
              <w:pStyle w:val="TableContents"/>
              <w:bidi w:val="0"/>
              <w:spacing w:before="0" w:after="283"/>
              <w:jc w:val="right"/>
              <w:rPr/>
            </w:pPr>
            <w:r>
              <w:rPr/>
              <w:t>6,999</w:t>
            </w:r>
          </w:p>
        </w:tc>
        <w:tc>
          <w:tcPr>
            <w:tcW w:w="110" w:type="dxa"/>
            <w:tcBorders/>
            <w:shd w:fill="CCEEFF" w:val="clear"/>
            <w:vAlign w:val="center"/>
          </w:tcPr>
          <w:p>
            <w:pPr>
              <w:pStyle w:val="TableContents"/>
              <w:bidi w:val="0"/>
              <w:spacing w:before="0" w:after="283"/>
              <w:jc w:val="left"/>
              <w:rPr/>
            </w:pPr>
            <w:r>
              <w:rPr/>
              <w:t> </w:t>
            </w:r>
          </w:p>
        </w:tc>
      </w:tr>
      <w:tr>
        <w:trPr/>
        <w:tc>
          <w:tcPr>
            <w:tcW w:w="2480" w:type="dxa"/>
            <w:tcBorders>
              <w:bottom w:val="single" w:sz="8" w:space="0" w:color="000000"/>
            </w:tcBorders>
            <w:tcMar>
              <w:bottom w:w="28" w:type="dxa"/>
            </w:tcMar>
            <w:vAlign w:val="center"/>
          </w:tcPr>
          <w:p>
            <w:pPr>
              <w:pStyle w:val="TableContents"/>
              <w:bidi w:val="0"/>
              <w:spacing w:before="0" w:after="283"/>
              <w:jc w:val="left"/>
              <w:rPr/>
            </w:pPr>
            <w:r>
              <w:rPr/>
              <w:t>Inter-segment Elimination</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44" w:type="dxa"/>
            <w:tcBorders>
              <w:bottom w:val="single" w:sz="8" w:space="0" w:color="000000"/>
            </w:tcBorders>
            <w:tcMar>
              <w:bottom w:w="28" w:type="dxa"/>
            </w:tcMar>
            <w:vAlign w:val="center"/>
          </w:tcPr>
          <w:p>
            <w:pPr>
              <w:pStyle w:val="TableContents"/>
              <w:bidi w:val="0"/>
              <w:spacing w:before="0" w:after="283"/>
              <w:jc w:val="left"/>
              <w:rPr/>
            </w:pPr>
            <w:r>
              <w:rPr/>
              <w:t> </w:t>
            </w:r>
          </w:p>
        </w:tc>
        <w:tc>
          <w:tcPr>
            <w:tcW w:w="1710" w:type="dxa"/>
            <w:tcBorders>
              <w:bottom w:val="single" w:sz="8" w:space="0" w:color="000000"/>
            </w:tcBorders>
            <w:tcMar>
              <w:bottom w:w="28" w:type="dxa"/>
            </w:tcMar>
            <w:vAlign w:val="center"/>
          </w:tcPr>
          <w:p>
            <w:pPr>
              <w:pStyle w:val="TableContents"/>
              <w:bidi w:val="0"/>
              <w:spacing w:before="0" w:after="283"/>
              <w:jc w:val="right"/>
              <w:rPr/>
            </w:pPr>
            <w:r>
              <w:rPr/>
              <w:t>(7,565</w:t>
            </w:r>
          </w:p>
        </w:tc>
        <w:tc>
          <w:tcPr>
            <w:tcW w:w="95" w:type="dxa"/>
            <w:tcBorders>
              <w:bottom w:val="single" w:sz="8" w:space="0" w:color="000000"/>
            </w:tcBorders>
            <w:tcMar>
              <w:bottom w:w="28" w:type="dxa"/>
            </w:tcMar>
            <w:vAlign w:val="center"/>
          </w:tcPr>
          <w:p>
            <w:pPr>
              <w:pStyle w:val="TableContents"/>
              <w:bidi w:val="0"/>
              <w:spacing w:before="0" w:after="283"/>
              <w:jc w:val="left"/>
              <w:rPr/>
            </w:pPr>
            <w:r>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44" w:type="dxa"/>
            <w:tcBorders>
              <w:bottom w:val="single" w:sz="8" w:space="0" w:color="000000"/>
            </w:tcBorders>
            <w:tcMar>
              <w:bottom w:w="28" w:type="dxa"/>
            </w:tcMar>
            <w:vAlign w:val="center"/>
          </w:tcPr>
          <w:p>
            <w:pPr>
              <w:pStyle w:val="TableContents"/>
              <w:bidi w:val="0"/>
              <w:spacing w:before="0" w:after="283"/>
              <w:jc w:val="left"/>
              <w:rPr/>
            </w:pPr>
            <w:r>
              <w:rPr/>
              <w:t> </w:t>
            </w:r>
          </w:p>
        </w:tc>
        <w:tc>
          <w:tcPr>
            <w:tcW w:w="1710" w:type="dxa"/>
            <w:tcBorders>
              <w:bottom w:val="single" w:sz="8" w:space="0" w:color="000000"/>
            </w:tcBorders>
            <w:tcMar>
              <w:bottom w:w="28" w:type="dxa"/>
            </w:tcMar>
            <w:vAlign w:val="center"/>
          </w:tcPr>
          <w:p>
            <w:pPr>
              <w:pStyle w:val="TableContents"/>
              <w:bidi w:val="0"/>
              <w:spacing w:before="0" w:after="283"/>
              <w:jc w:val="right"/>
              <w:rPr/>
            </w:pPr>
            <w:r>
              <w:rPr/>
              <w:t>(11,729</w:t>
            </w:r>
          </w:p>
        </w:tc>
        <w:tc>
          <w:tcPr>
            <w:tcW w:w="110" w:type="dxa"/>
            <w:tcBorders>
              <w:bottom w:val="single" w:sz="8" w:space="0" w:color="000000"/>
            </w:tcBorders>
            <w:tcMar>
              <w:bottom w:w="28" w:type="dxa"/>
            </w:tcMar>
            <w:vAlign w:val="center"/>
          </w:tcPr>
          <w:p>
            <w:pPr>
              <w:pStyle w:val="TableContents"/>
              <w:bidi w:val="0"/>
              <w:spacing w:before="0" w:after="283"/>
              <w:jc w:val="left"/>
              <w:rPr/>
            </w:pPr>
            <w:r>
              <w:rPr/>
              <w:t>)</w:t>
            </w:r>
          </w:p>
        </w:tc>
      </w:tr>
      <w:tr>
        <w:trPr/>
        <w:tc>
          <w:tcPr>
            <w:tcW w:w="2480" w:type="dxa"/>
            <w:tcBorders>
              <w:bottom w:val="single" w:sz="8" w:space="0" w:color="000000"/>
            </w:tcBorders>
            <w:shd w:fill="CCEEFF" w:val="clear"/>
            <w:tcMar>
              <w:bottom w:w="28" w:type="dxa"/>
            </w:tcMar>
            <w:vAlign w:val="center"/>
          </w:tcPr>
          <w:p>
            <w:pPr>
              <w:pStyle w:val="TableContents"/>
              <w:bidi w:val="0"/>
              <w:spacing w:before="0" w:after="283"/>
              <w:jc w:val="left"/>
              <w:rPr/>
            </w:pPr>
            <w:r>
              <w:rPr/>
              <w:t>Consolidated Assets</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44"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710" w:type="dxa"/>
            <w:tcBorders>
              <w:bottom w:val="single" w:sz="8" w:space="0" w:color="000000"/>
            </w:tcBorders>
            <w:shd w:fill="CCEEFF" w:val="clear"/>
            <w:tcMar>
              <w:bottom w:w="28" w:type="dxa"/>
            </w:tcMar>
            <w:vAlign w:val="center"/>
          </w:tcPr>
          <w:p>
            <w:pPr>
              <w:pStyle w:val="TableContents"/>
              <w:bidi w:val="0"/>
              <w:spacing w:before="0" w:after="283"/>
              <w:jc w:val="right"/>
              <w:rPr/>
            </w:pPr>
            <w:r>
              <w:rPr/>
              <w:t>1,236,052</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44"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710" w:type="dxa"/>
            <w:tcBorders>
              <w:bottom w:val="single" w:sz="8" w:space="0" w:color="000000"/>
            </w:tcBorders>
            <w:shd w:fill="CCEEFF" w:val="clear"/>
            <w:tcMar>
              <w:bottom w:w="28" w:type="dxa"/>
            </w:tcMar>
            <w:vAlign w:val="center"/>
          </w:tcPr>
          <w:p>
            <w:pPr>
              <w:pStyle w:val="TableContents"/>
              <w:bidi w:val="0"/>
              <w:spacing w:before="0" w:after="283"/>
              <w:jc w:val="right"/>
              <w:rPr/>
            </w:pPr>
            <w:r>
              <w:rPr/>
              <w:t>1,074,450</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9 - Quarterly Data - Unaudited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information for each quarter of 2023 and 2022 is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25"/>
        <w:gridCol w:w="60"/>
        <w:gridCol w:w="140"/>
        <w:gridCol w:w="1341"/>
        <w:gridCol w:w="60"/>
        <w:gridCol w:w="60"/>
        <w:gridCol w:w="140"/>
        <w:gridCol w:w="1341"/>
        <w:gridCol w:w="60"/>
        <w:gridCol w:w="60"/>
        <w:gridCol w:w="140"/>
        <w:gridCol w:w="1341"/>
        <w:gridCol w:w="60"/>
        <w:gridCol w:w="60"/>
        <w:gridCol w:w="140"/>
        <w:gridCol w:w="1341"/>
        <w:gridCol w:w="60"/>
        <w:gridCol w:w="60"/>
        <w:gridCol w:w="140"/>
        <w:gridCol w:w="800"/>
        <w:gridCol w:w="76"/>
      </w:tblGrid>
      <w:tr>
        <w:trPr/>
        <w:tc>
          <w:tcPr>
            <w:tcW w:w="27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344" w:type="dxa"/>
            <w:gridSpan w:val="18"/>
            <w:tcBorders/>
            <w:vAlign w:val="center"/>
          </w:tcPr>
          <w:p>
            <w:pPr>
              <w:pStyle w:val="TableContents"/>
              <w:bidi w:val="0"/>
              <w:spacing w:before="0" w:after="283"/>
              <w:jc w:val="center"/>
              <w:rPr>
                <w:b/>
              </w:rPr>
            </w:pPr>
            <w:r>
              <w:rPr>
                <w:b/>
              </w:rPr>
              <w:t>(Thousands of Dollars, Except per Share Data)</w:t>
            </w:r>
          </w:p>
        </w:tc>
        <w:tc>
          <w:tcPr>
            <w:tcW w:w="76" w:type="dxa"/>
            <w:tcBorders/>
            <w:vAlign w:val="center"/>
          </w:tcPr>
          <w:p>
            <w:pPr>
              <w:pStyle w:val="TableContents"/>
              <w:bidi w:val="0"/>
              <w:spacing w:before="0" w:after="283"/>
              <w:jc w:val="left"/>
              <w:rPr/>
            </w:pPr>
            <w:r>
              <w:rPr/>
              <w:t> </w:t>
            </w:r>
          </w:p>
        </w:tc>
      </w:tr>
      <w:tr>
        <w:trPr/>
        <w:tc>
          <w:tcPr>
            <w:tcW w:w="2725" w:type="dxa"/>
            <w:tcBorders>
              <w:bottom w:val="single" w:sz="8" w:space="0" w:color="000000"/>
            </w:tcBorders>
            <w:tcMar>
              <w:bottom w:w="28" w:type="dxa"/>
            </w:tcMar>
            <w:vAlign w:val="center"/>
          </w:tcPr>
          <w:p>
            <w:pPr>
              <w:pStyle w:val="TableContents"/>
              <w:bidi w:val="0"/>
              <w:spacing w:before="0" w:after="283"/>
              <w:jc w:val="left"/>
              <w:rPr>
                <w:b/>
              </w:rPr>
            </w:pPr>
            <w:r>
              <w:rPr>
                <w:b/>
              </w:rPr>
              <w:t>2023</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81" w:type="dxa"/>
            <w:gridSpan w:val="2"/>
            <w:tcBorders>
              <w:bottom w:val="single" w:sz="8" w:space="0" w:color="000000"/>
            </w:tcBorders>
            <w:tcMar>
              <w:bottom w:w="28" w:type="dxa"/>
            </w:tcMar>
            <w:vAlign w:val="center"/>
          </w:tcPr>
          <w:p>
            <w:pPr>
              <w:pStyle w:val="TableContents"/>
              <w:bidi w:val="0"/>
              <w:spacing w:before="0" w:after="283"/>
              <w:jc w:val="center"/>
              <w:rPr>
                <w:b/>
                <w:i w:val="false"/>
                <w:caps w:val="false"/>
                <w:smallCaps w:val="false"/>
              </w:rPr>
            </w:pPr>
            <w:r>
              <w:rPr>
                <w:b/>
                <w:i w:val="false"/>
                <w:caps w:val="false"/>
                <w:smallCaps w:val="false"/>
              </w:rPr>
              <w:t>1</w:t>
            </w:r>
            <w:r>
              <w:rPr>
                <w:rFonts w:ascii="Times New Roman;Times;Serif" w:hAnsi="Times New Roman;Times;Serif"/>
                <w:b/>
                <w:i w:val="false"/>
                <w:caps w:val="false"/>
                <w:smallCaps w:val="false"/>
                <w:position w:val="7"/>
                <w:sz w:val="16"/>
                <w:sz w:val="20"/>
              </w:rPr>
              <w:t>st</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81" w:type="dxa"/>
            <w:gridSpan w:val="2"/>
            <w:tcBorders>
              <w:bottom w:val="single" w:sz="8" w:space="0" w:color="000000"/>
            </w:tcBorders>
            <w:tcMar>
              <w:bottom w:w="28" w:type="dxa"/>
            </w:tcMar>
            <w:vAlign w:val="center"/>
          </w:tcPr>
          <w:p>
            <w:pPr>
              <w:pStyle w:val="TableContents"/>
              <w:bidi w:val="0"/>
              <w:spacing w:before="0" w:after="283"/>
              <w:jc w:val="center"/>
              <w:rPr>
                <w:b/>
                <w:i w:val="false"/>
                <w:caps w:val="false"/>
                <w:smallCaps w:val="false"/>
              </w:rPr>
            </w:pPr>
            <w:r>
              <w:rPr>
                <w:b/>
                <w:i w:val="false"/>
                <w:caps w:val="false"/>
                <w:smallCaps w:val="false"/>
              </w:rPr>
              <w:t>2</w:t>
            </w:r>
            <w:r>
              <w:rPr>
                <w:rFonts w:ascii="Times New Roman;Times;Serif" w:hAnsi="Times New Roman;Times;Serif"/>
                <w:b/>
                <w:i w:val="false"/>
                <w:caps w:val="false"/>
                <w:smallCaps w:val="false"/>
                <w:position w:val="7"/>
                <w:sz w:val="16"/>
                <w:sz w:val="20"/>
              </w:rPr>
              <w:t>nd</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81" w:type="dxa"/>
            <w:gridSpan w:val="2"/>
            <w:tcBorders>
              <w:bottom w:val="single" w:sz="8" w:space="0" w:color="000000"/>
            </w:tcBorders>
            <w:tcMar>
              <w:bottom w:w="28" w:type="dxa"/>
            </w:tcMar>
            <w:vAlign w:val="center"/>
          </w:tcPr>
          <w:p>
            <w:pPr>
              <w:pStyle w:val="TableContents"/>
              <w:bidi w:val="0"/>
              <w:spacing w:before="0" w:after="283"/>
              <w:jc w:val="center"/>
              <w:rPr>
                <w:b/>
                <w:i w:val="false"/>
                <w:caps w:val="false"/>
                <w:smallCaps w:val="false"/>
              </w:rPr>
            </w:pPr>
            <w:r>
              <w:rPr>
                <w:b/>
                <w:i w:val="false"/>
                <w:caps w:val="false"/>
                <w:smallCaps w:val="false"/>
              </w:rPr>
              <w:t>3</w:t>
            </w:r>
            <w:r>
              <w:rPr>
                <w:rFonts w:ascii="Times New Roman;Times;Serif" w:hAnsi="Times New Roman;Times;Serif"/>
                <w:b/>
                <w:i w:val="false"/>
                <w:caps w:val="false"/>
                <w:smallCaps w:val="false"/>
                <w:position w:val="7"/>
                <w:sz w:val="16"/>
                <w:sz w:val="20"/>
              </w:rPr>
              <w:t>rd</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81" w:type="dxa"/>
            <w:gridSpan w:val="2"/>
            <w:tcBorders>
              <w:bottom w:val="single" w:sz="8" w:space="0" w:color="000000"/>
            </w:tcBorders>
            <w:tcMar>
              <w:bottom w:w="28" w:type="dxa"/>
            </w:tcMar>
            <w:vAlign w:val="center"/>
          </w:tcPr>
          <w:p>
            <w:pPr>
              <w:pStyle w:val="TableContents"/>
              <w:bidi w:val="0"/>
              <w:spacing w:before="0" w:after="283"/>
              <w:jc w:val="center"/>
              <w:rPr>
                <w:b/>
                <w:i w:val="false"/>
                <w:caps w:val="false"/>
                <w:smallCaps w:val="false"/>
              </w:rPr>
            </w:pPr>
            <w:r>
              <w:rPr>
                <w:b/>
                <w:i w:val="false"/>
                <w:caps w:val="false"/>
                <w:smallCaps w:val="false"/>
              </w:rPr>
              <w:t>4</w:t>
            </w:r>
            <w:r>
              <w:rPr>
                <w:rFonts w:ascii="Times New Roman;Times;Serif" w:hAnsi="Times New Roman;Times;Serif"/>
                <w:b/>
                <w:i w:val="false"/>
                <w:caps w:val="false"/>
                <w:smallCaps w:val="false"/>
                <w:position w:val="7"/>
                <w:sz w:val="16"/>
                <w:sz w:val="20"/>
              </w:rPr>
              <w:t>th</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76"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7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r>
      <w:tr>
        <w:trPr/>
        <w:tc>
          <w:tcPr>
            <w:tcW w:w="2725" w:type="dxa"/>
            <w:tcBorders/>
            <w:vAlign w:val="center"/>
          </w:tcPr>
          <w:p>
            <w:pPr>
              <w:pStyle w:val="TableContents"/>
              <w:bidi w:val="0"/>
              <w:spacing w:before="0" w:after="283"/>
              <w:jc w:val="left"/>
              <w:rPr/>
            </w:pPr>
            <w:r>
              <w:rPr/>
              <w:t>Operating Revenues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341" w:type="dxa"/>
            <w:tcBorders/>
            <w:vAlign w:val="center"/>
          </w:tcPr>
          <w:p>
            <w:pPr>
              <w:pStyle w:val="TableContents"/>
              <w:bidi w:val="0"/>
              <w:spacing w:before="0" w:after="283"/>
              <w:jc w:val="right"/>
              <w:rPr/>
            </w:pPr>
            <w:r>
              <w:rPr/>
              <w:t>38,156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341" w:type="dxa"/>
            <w:tcBorders/>
            <w:vAlign w:val="center"/>
          </w:tcPr>
          <w:p>
            <w:pPr>
              <w:pStyle w:val="TableContents"/>
              <w:bidi w:val="0"/>
              <w:spacing w:before="0" w:after="283"/>
              <w:jc w:val="right"/>
              <w:rPr/>
            </w:pPr>
            <w:r>
              <w:rPr/>
              <w:t>42,801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341" w:type="dxa"/>
            <w:tcBorders/>
            <w:vAlign w:val="center"/>
          </w:tcPr>
          <w:p>
            <w:pPr>
              <w:pStyle w:val="TableContents"/>
              <w:bidi w:val="0"/>
              <w:spacing w:before="0" w:after="283"/>
              <w:jc w:val="right"/>
              <w:rPr/>
            </w:pPr>
            <w:r>
              <w:rPr/>
              <w:t>46,715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341" w:type="dxa"/>
            <w:tcBorders/>
            <w:vAlign w:val="center"/>
          </w:tcPr>
          <w:p>
            <w:pPr>
              <w:pStyle w:val="TableContents"/>
              <w:bidi w:val="0"/>
              <w:spacing w:before="0" w:after="283"/>
              <w:jc w:val="right"/>
              <w:rPr/>
            </w:pPr>
            <w:r>
              <w:rPr/>
              <w:t>38,602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166,274</w:t>
            </w:r>
          </w:p>
        </w:tc>
        <w:tc>
          <w:tcPr>
            <w:tcW w:w="76" w:type="dxa"/>
            <w:tcBorders/>
            <w:vAlign w:val="center"/>
          </w:tcPr>
          <w:p>
            <w:pPr>
              <w:pStyle w:val="TableContents"/>
              <w:bidi w:val="0"/>
              <w:spacing w:before="0" w:after="283"/>
              <w:jc w:val="left"/>
              <w:rPr/>
            </w:pPr>
            <w:r>
              <w:rPr/>
              <w:t> </w:t>
            </w:r>
          </w:p>
        </w:tc>
      </w:tr>
      <w:tr>
        <w:trPr/>
        <w:tc>
          <w:tcPr>
            <w:tcW w:w="2725" w:type="dxa"/>
            <w:tcBorders/>
            <w:shd w:fill="CCEEFF" w:val="clear"/>
            <w:vAlign w:val="center"/>
          </w:tcPr>
          <w:p>
            <w:pPr>
              <w:pStyle w:val="TableContents"/>
              <w:bidi w:val="0"/>
              <w:spacing w:before="0" w:after="283"/>
              <w:jc w:val="left"/>
              <w:rPr/>
            </w:pPr>
            <w:r>
              <w:rPr/>
              <w:t>Operating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1" w:type="dxa"/>
            <w:tcBorders/>
            <w:shd w:fill="CCEEFF" w:val="clear"/>
            <w:vAlign w:val="center"/>
          </w:tcPr>
          <w:p>
            <w:pPr>
              <w:pStyle w:val="TableContents"/>
              <w:bidi w:val="0"/>
              <w:spacing w:before="0" w:after="283"/>
              <w:jc w:val="right"/>
              <w:rPr/>
            </w:pPr>
            <w:r>
              <w:rPr/>
              <w:t>7,490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1" w:type="dxa"/>
            <w:tcBorders/>
            <w:shd w:fill="CCEEFF" w:val="clear"/>
            <w:vAlign w:val="center"/>
          </w:tcPr>
          <w:p>
            <w:pPr>
              <w:pStyle w:val="TableContents"/>
              <w:bidi w:val="0"/>
              <w:spacing w:before="0" w:after="283"/>
              <w:jc w:val="right"/>
              <w:rPr/>
            </w:pPr>
            <w:r>
              <w:rPr/>
              <w:t>10,669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1" w:type="dxa"/>
            <w:tcBorders/>
            <w:shd w:fill="CCEEFF" w:val="clear"/>
            <w:vAlign w:val="center"/>
          </w:tcPr>
          <w:p>
            <w:pPr>
              <w:pStyle w:val="TableContents"/>
              <w:bidi w:val="0"/>
              <w:spacing w:before="0" w:after="283"/>
              <w:jc w:val="right"/>
              <w:rPr/>
            </w:pPr>
            <w:r>
              <w:rPr/>
              <w:t>12,822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1" w:type="dxa"/>
            <w:tcBorders/>
            <w:shd w:fill="CCEEFF" w:val="clear"/>
            <w:vAlign w:val="center"/>
          </w:tcPr>
          <w:p>
            <w:pPr>
              <w:pStyle w:val="TableContents"/>
              <w:bidi w:val="0"/>
              <w:spacing w:before="0" w:after="283"/>
              <w:jc w:val="right"/>
              <w:rPr/>
            </w:pPr>
            <w:r>
              <w:rPr/>
              <w:t>8,242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39,223</w:t>
            </w:r>
          </w:p>
        </w:tc>
        <w:tc>
          <w:tcPr>
            <w:tcW w:w="76" w:type="dxa"/>
            <w:tcBorders/>
            <w:shd w:fill="CCEEFF" w:val="clear"/>
            <w:vAlign w:val="center"/>
          </w:tcPr>
          <w:p>
            <w:pPr>
              <w:pStyle w:val="TableContents"/>
              <w:bidi w:val="0"/>
              <w:spacing w:before="0" w:after="283"/>
              <w:jc w:val="left"/>
              <w:rPr/>
            </w:pPr>
            <w:r>
              <w:rPr/>
              <w:t> </w:t>
            </w:r>
          </w:p>
        </w:tc>
      </w:tr>
      <w:tr>
        <w:trPr/>
        <w:tc>
          <w:tcPr>
            <w:tcW w:w="2725" w:type="dxa"/>
            <w:tcBorders/>
            <w:vAlign w:val="center"/>
          </w:tcPr>
          <w:p>
            <w:pPr>
              <w:pStyle w:val="TableContents"/>
              <w:bidi w:val="0"/>
              <w:spacing w:before="0" w:after="283"/>
              <w:jc w:val="left"/>
              <w:rPr/>
            </w:pPr>
            <w:r>
              <w:rPr/>
              <w:t>Net Income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341" w:type="dxa"/>
            <w:tcBorders/>
            <w:vAlign w:val="center"/>
          </w:tcPr>
          <w:p>
            <w:pPr>
              <w:pStyle w:val="TableContents"/>
              <w:bidi w:val="0"/>
              <w:spacing w:before="0" w:after="283"/>
              <w:jc w:val="right"/>
              <w:rPr/>
            </w:pPr>
            <w:r>
              <w:rPr/>
              <w:t>5,868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341" w:type="dxa"/>
            <w:tcBorders/>
            <w:vAlign w:val="center"/>
          </w:tcPr>
          <w:p>
            <w:pPr>
              <w:pStyle w:val="TableContents"/>
              <w:bidi w:val="0"/>
              <w:spacing w:before="0" w:after="283"/>
              <w:jc w:val="right"/>
              <w:rPr/>
            </w:pPr>
            <w:r>
              <w:rPr/>
              <w:t>9,901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341" w:type="dxa"/>
            <w:tcBorders/>
            <w:vAlign w:val="center"/>
          </w:tcPr>
          <w:p>
            <w:pPr>
              <w:pStyle w:val="TableContents"/>
              <w:bidi w:val="0"/>
              <w:spacing w:before="0" w:after="283"/>
              <w:jc w:val="right"/>
              <w:rPr/>
            </w:pPr>
            <w:r>
              <w:rPr/>
              <w:t>9,990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341" w:type="dxa"/>
            <w:tcBorders/>
            <w:vAlign w:val="center"/>
          </w:tcPr>
          <w:p>
            <w:pPr>
              <w:pStyle w:val="TableContents"/>
              <w:bidi w:val="0"/>
              <w:spacing w:before="0" w:after="283"/>
              <w:jc w:val="right"/>
              <w:rPr/>
            </w:pPr>
            <w:r>
              <w:rPr/>
              <w:t>5,765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31,524</w:t>
            </w:r>
          </w:p>
        </w:tc>
        <w:tc>
          <w:tcPr>
            <w:tcW w:w="76" w:type="dxa"/>
            <w:tcBorders/>
            <w:vAlign w:val="center"/>
          </w:tcPr>
          <w:p>
            <w:pPr>
              <w:pStyle w:val="TableContents"/>
              <w:bidi w:val="0"/>
              <w:spacing w:before="0" w:after="283"/>
              <w:jc w:val="left"/>
              <w:rPr/>
            </w:pPr>
            <w:r>
              <w:rPr/>
              <w:t> </w:t>
            </w:r>
          </w:p>
        </w:tc>
      </w:tr>
      <w:tr>
        <w:trPr/>
        <w:tc>
          <w:tcPr>
            <w:tcW w:w="2725" w:type="dxa"/>
            <w:tcBorders/>
            <w:shd w:fill="CCEEFF" w:val="clear"/>
            <w:vAlign w:val="center"/>
          </w:tcPr>
          <w:p>
            <w:pPr>
              <w:pStyle w:val="TableContents"/>
              <w:bidi w:val="0"/>
              <w:spacing w:before="0" w:after="283"/>
              <w:jc w:val="left"/>
              <w:rPr/>
            </w:pPr>
            <w:r>
              <w:rPr/>
              <w:t>Basic Earnings per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341" w:type="dxa"/>
            <w:tcBorders/>
            <w:shd w:fill="CCEEFF" w:val="clear"/>
            <w:vAlign w:val="center"/>
          </w:tcPr>
          <w:p>
            <w:pPr>
              <w:pStyle w:val="TableContents"/>
              <w:bidi w:val="0"/>
              <w:spacing w:before="0" w:after="283"/>
              <w:jc w:val="right"/>
              <w:rPr/>
            </w:pPr>
            <w:r>
              <w:rPr/>
              <w:t>0.33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341" w:type="dxa"/>
            <w:tcBorders/>
            <w:shd w:fill="CCEEFF" w:val="clear"/>
            <w:vAlign w:val="center"/>
          </w:tcPr>
          <w:p>
            <w:pPr>
              <w:pStyle w:val="TableContents"/>
              <w:bidi w:val="0"/>
              <w:spacing w:before="0" w:after="283"/>
              <w:jc w:val="right"/>
              <w:rPr/>
            </w:pPr>
            <w:r>
              <w:rPr/>
              <w:t>0.56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341" w:type="dxa"/>
            <w:tcBorders/>
            <w:shd w:fill="CCEEFF" w:val="clear"/>
            <w:vAlign w:val="center"/>
          </w:tcPr>
          <w:p>
            <w:pPr>
              <w:pStyle w:val="TableContents"/>
              <w:bidi w:val="0"/>
              <w:spacing w:before="0" w:after="283"/>
              <w:jc w:val="right"/>
              <w:rPr/>
            </w:pPr>
            <w:r>
              <w:rPr/>
              <w:t>0.56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341" w:type="dxa"/>
            <w:tcBorders/>
            <w:shd w:fill="CCEEFF" w:val="clear"/>
            <w:vAlign w:val="center"/>
          </w:tcPr>
          <w:p>
            <w:pPr>
              <w:pStyle w:val="TableContents"/>
              <w:bidi w:val="0"/>
              <w:spacing w:before="0" w:after="283"/>
              <w:jc w:val="right"/>
              <w:rPr/>
            </w:pPr>
            <w:r>
              <w:rPr/>
              <w:t>0.32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1.77</w:t>
            </w:r>
          </w:p>
        </w:tc>
        <w:tc>
          <w:tcPr>
            <w:tcW w:w="76" w:type="dxa"/>
            <w:tcBorders/>
            <w:shd w:fill="CCEEFF" w:val="clear"/>
            <w:vAlign w:val="center"/>
          </w:tcPr>
          <w:p>
            <w:pPr>
              <w:pStyle w:val="TableContents"/>
              <w:bidi w:val="0"/>
              <w:spacing w:before="0" w:after="283"/>
              <w:jc w:val="left"/>
              <w:rPr/>
            </w:pPr>
            <w:r>
              <w:rPr/>
              <w:t> </w:t>
            </w:r>
          </w:p>
        </w:tc>
      </w:tr>
      <w:tr>
        <w:trPr/>
        <w:tc>
          <w:tcPr>
            <w:tcW w:w="2725" w:type="dxa"/>
            <w:tcBorders/>
            <w:vAlign w:val="center"/>
          </w:tcPr>
          <w:p>
            <w:pPr>
              <w:pStyle w:val="TableContents"/>
              <w:bidi w:val="0"/>
              <w:spacing w:before="0" w:after="283"/>
              <w:jc w:val="left"/>
              <w:rPr/>
            </w:pPr>
            <w:r>
              <w:rPr/>
              <w:t>Diluted Earnings per Share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341" w:type="dxa"/>
            <w:tcBorders/>
            <w:vAlign w:val="center"/>
          </w:tcPr>
          <w:p>
            <w:pPr>
              <w:pStyle w:val="TableContents"/>
              <w:bidi w:val="0"/>
              <w:spacing w:before="0" w:after="283"/>
              <w:jc w:val="right"/>
              <w:rPr/>
            </w:pPr>
            <w:r>
              <w:rPr/>
              <w:t>0.33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341" w:type="dxa"/>
            <w:tcBorders/>
            <w:vAlign w:val="center"/>
          </w:tcPr>
          <w:p>
            <w:pPr>
              <w:pStyle w:val="TableContents"/>
              <w:bidi w:val="0"/>
              <w:spacing w:before="0" w:after="283"/>
              <w:jc w:val="right"/>
              <w:rPr/>
            </w:pPr>
            <w:r>
              <w:rPr/>
              <w:t>0.55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341" w:type="dxa"/>
            <w:tcBorders/>
            <w:vAlign w:val="center"/>
          </w:tcPr>
          <w:p>
            <w:pPr>
              <w:pStyle w:val="TableContents"/>
              <w:bidi w:val="0"/>
              <w:spacing w:before="0" w:after="283"/>
              <w:jc w:val="right"/>
              <w:rPr/>
            </w:pPr>
            <w:r>
              <w:rPr/>
              <w:t>0.56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341" w:type="dxa"/>
            <w:tcBorders/>
            <w:vAlign w:val="center"/>
          </w:tcPr>
          <w:p>
            <w:pPr>
              <w:pStyle w:val="TableContents"/>
              <w:bidi w:val="0"/>
              <w:spacing w:before="0" w:after="283"/>
              <w:jc w:val="right"/>
              <w:rPr/>
            </w:pPr>
            <w:r>
              <w:rPr/>
              <w:t>0.32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1.76</w:t>
            </w:r>
          </w:p>
        </w:tc>
        <w:tc>
          <w:tcPr>
            <w:tcW w:w="76" w:type="dxa"/>
            <w:tcBorders/>
            <w:vAlign w:val="center"/>
          </w:tcPr>
          <w:p>
            <w:pPr>
              <w:pStyle w:val="TableContents"/>
              <w:bidi w:val="0"/>
              <w:spacing w:before="0" w:after="283"/>
              <w:jc w:val="left"/>
              <w:rPr/>
            </w:pPr>
            <w:r>
              <w:rPr/>
              <w:t> </w:t>
            </w:r>
          </w:p>
        </w:tc>
      </w:tr>
      <w:tr>
        <w:trPr/>
        <w:tc>
          <w:tcPr>
            <w:tcW w:w="2725" w:type="dxa"/>
            <w:tcBorders/>
            <w:shd w:fill="CCEEFF" w:val="clear"/>
            <w:vAlign w:val="center"/>
          </w:tcPr>
          <w:p>
            <w:pPr>
              <w:pStyle w:val="TableContents"/>
              <w:bidi w:val="0"/>
              <w:spacing w:before="0" w:after="283"/>
              <w:jc w:val="left"/>
              <w:rPr/>
            </w:pPr>
            <w:r>
              <w:rPr/>
              <w:t>Common Dividend Per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341" w:type="dxa"/>
            <w:tcBorders/>
            <w:shd w:fill="CCEEFF" w:val="clear"/>
            <w:vAlign w:val="center"/>
          </w:tcPr>
          <w:p>
            <w:pPr>
              <w:pStyle w:val="TableContents"/>
              <w:bidi w:val="0"/>
              <w:spacing w:before="0" w:after="283"/>
              <w:jc w:val="right"/>
              <w:rPr/>
            </w:pPr>
            <w:r>
              <w:rPr/>
              <w:t>0.3125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341" w:type="dxa"/>
            <w:tcBorders/>
            <w:shd w:fill="CCEEFF" w:val="clear"/>
            <w:vAlign w:val="center"/>
          </w:tcPr>
          <w:p>
            <w:pPr>
              <w:pStyle w:val="TableContents"/>
              <w:bidi w:val="0"/>
              <w:spacing w:before="0" w:after="283"/>
              <w:jc w:val="right"/>
              <w:rPr/>
            </w:pPr>
            <w:r>
              <w:rPr/>
              <w:t>0.3125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341" w:type="dxa"/>
            <w:tcBorders/>
            <w:shd w:fill="CCEEFF" w:val="clear"/>
            <w:vAlign w:val="center"/>
          </w:tcPr>
          <w:p>
            <w:pPr>
              <w:pStyle w:val="TableContents"/>
              <w:bidi w:val="0"/>
              <w:spacing w:before="0" w:after="283"/>
              <w:jc w:val="right"/>
              <w:rPr/>
            </w:pPr>
            <w:r>
              <w:rPr/>
              <w:t>0.3125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341" w:type="dxa"/>
            <w:tcBorders/>
            <w:shd w:fill="CCEEFF" w:val="clear"/>
            <w:vAlign w:val="center"/>
          </w:tcPr>
          <w:p>
            <w:pPr>
              <w:pStyle w:val="TableContents"/>
              <w:bidi w:val="0"/>
              <w:spacing w:before="0" w:after="283"/>
              <w:jc w:val="right"/>
              <w:rPr/>
            </w:pPr>
            <w:r>
              <w:rPr/>
              <w:t>0.3250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1.2625</w:t>
            </w:r>
          </w:p>
        </w:tc>
        <w:tc>
          <w:tcPr>
            <w:tcW w:w="76" w:type="dxa"/>
            <w:tcBorders/>
            <w:shd w:fill="CCEEFF" w:val="clear"/>
            <w:vAlign w:val="center"/>
          </w:tcPr>
          <w:p>
            <w:pPr>
              <w:pStyle w:val="TableContents"/>
              <w:bidi w:val="0"/>
              <w:spacing w:before="0" w:after="283"/>
              <w:jc w:val="left"/>
              <w:rPr/>
            </w:pPr>
            <w:r>
              <w:rPr/>
              <w:t> </w:t>
            </w:r>
          </w:p>
        </w:tc>
      </w:tr>
      <w:tr>
        <w:trPr/>
        <w:tc>
          <w:tcPr>
            <w:tcW w:w="2725" w:type="dxa"/>
            <w:tcBorders/>
            <w:vAlign w:val="center"/>
          </w:tcPr>
          <w:p>
            <w:pPr>
              <w:pStyle w:val="TableContents"/>
              <w:bidi w:val="0"/>
              <w:spacing w:before="0" w:after="283"/>
              <w:jc w:val="left"/>
              <w:rPr/>
            </w:pPr>
            <w:r>
              <w:rPr/>
              <w:t>High/Low Common Stock Price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341" w:type="dxa"/>
            <w:tcBorders/>
            <w:vAlign w:val="center"/>
          </w:tcPr>
          <w:p>
            <w:pPr>
              <w:pStyle w:val="TableContents"/>
              <w:bidi w:val="0"/>
              <w:spacing w:before="0" w:after="283"/>
              <w:jc w:val="right"/>
              <w:rPr/>
            </w:pPr>
            <w:r>
              <w:rPr/>
              <w:t> </w:t>
            </w:r>
            <w:r>
              <w:rPr/>
              <w:t>$72.64/$90.56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341" w:type="dxa"/>
            <w:tcBorders/>
            <w:vAlign w:val="center"/>
          </w:tcPr>
          <w:p>
            <w:pPr>
              <w:pStyle w:val="TableContents"/>
              <w:bidi w:val="0"/>
              <w:spacing w:before="0" w:after="283"/>
              <w:jc w:val="right"/>
              <w:rPr/>
            </w:pPr>
            <w:r>
              <w:rPr/>
              <w:t> </w:t>
            </w:r>
            <w:r>
              <w:rPr/>
              <w:t>$66.51/$84.38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341" w:type="dxa"/>
            <w:tcBorders/>
            <w:vAlign w:val="center"/>
          </w:tcPr>
          <w:p>
            <w:pPr>
              <w:pStyle w:val="TableContents"/>
              <w:bidi w:val="0"/>
              <w:spacing w:before="0" w:after="283"/>
              <w:jc w:val="right"/>
              <w:rPr/>
            </w:pPr>
            <w:r>
              <w:rPr/>
              <w:t> </w:t>
            </w:r>
            <w:r>
              <w:rPr/>
              <w:t>$65.37/$84.35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341" w:type="dxa"/>
            <w:tcBorders/>
            <w:vAlign w:val="center"/>
          </w:tcPr>
          <w:p>
            <w:pPr>
              <w:pStyle w:val="TableContents"/>
              <w:bidi w:val="0"/>
              <w:spacing w:before="0" w:after="283"/>
              <w:jc w:val="right"/>
              <w:rPr/>
            </w:pPr>
            <w:r>
              <w:rPr/>
              <w:t> </w:t>
            </w:r>
            <w:r>
              <w:rPr/>
              <w:t>$61.34/$73.47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76" w:type="dxa"/>
            <w:tcBorders/>
            <w:vAlign w:val="center"/>
          </w:tcPr>
          <w:p>
            <w:pPr>
              <w:pStyle w:val="TableContents"/>
              <w:bidi w:val="0"/>
              <w:spacing w:before="0" w:after="283"/>
              <w:jc w:val="left"/>
              <w:rPr/>
            </w:pPr>
            <w:r>
              <w:rPr/>
              <w:t> </w:t>
            </w:r>
          </w:p>
        </w:tc>
      </w:tr>
      <w:tr>
        <w:trPr/>
        <w:tc>
          <w:tcPr>
            <w:tcW w:w="27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650"/>
        <w:gridCol w:w="60"/>
        <w:gridCol w:w="140"/>
        <w:gridCol w:w="1406"/>
        <w:gridCol w:w="60"/>
        <w:gridCol w:w="60"/>
        <w:gridCol w:w="140"/>
        <w:gridCol w:w="1406"/>
        <w:gridCol w:w="60"/>
        <w:gridCol w:w="60"/>
        <w:gridCol w:w="140"/>
        <w:gridCol w:w="1313"/>
        <w:gridCol w:w="60"/>
        <w:gridCol w:w="60"/>
        <w:gridCol w:w="140"/>
        <w:gridCol w:w="1313"/>
        <w:gridCol w:w="60"/>
        <w:gridCol w:w="60"/>
        <w:gridCol w:w="140"/>
        <w:gridCol w:w="800"/>
        <w:gridCol w:w="77"/>
      </w:tblGrid>
      <w:tr>
        <w:trPr/>
        <w:tc>
          <w:tcPr>
            <w:tcW w:w="2650" w:type="dxa"/>
            <w:tcBorders>
              <w:bottom w:val="single" w:sz="8" w:space="0" w:color="000000"/>
            </w:tcBorders>
            <w:vAlign w:val="center"/>
          </w:tcPr>
          <w:p>
            <w:pPr>
              <w:pStyle w:val="TableContents"/>
              <w:bidi w:val="0"/>
              <w:spacing w:before="0" w:after="283"/>
              <w:jc w:val="left"/>
              <w:rPr>
                <w:b/>
              </w:rPr>
            </w:pPr>
            <w:r>
              <w:rPr>
                <w:b/>
              </w:rPr>
              <w:t>2022</w:t>
            </w:r>
          </w:p>
        </w:tc>
        <w:tc>
          <w:tcPr>
            <w:tcW w:w="6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1546" w:type="dxa"/>
            <w:gridSpan w:val="2"/>
            <w:tcBorders>
              <w:bottom w:val="single" w:sz="8" w:space="0" w:color="000000"/>
            </w:tcBorders>
            <w:vAlign w:val="center"/>
          </w:tcPr>
          <w:p>
            <w:pPr>
              <w:pStyle w:val="TableContents"/>
              <w:bidi w:val="0"/>
              <w:spacing w:before="0" w:after="283"/>
              <w:jc w:val="center"/>
              <w:rPr>
                <w:b/>
                <w:i w:val="false"/>
                <w:caps w:val="false"/>
                <w:smallCaps w:val="false"/>
              </w:rPr>
            </w:pPr>
            <w:r>
              <w:rPr>
                <w:b/>
                <w:i w:val="false"/>
                <w:caps w:val="false"/>
                <w:smallCaps w:val="false"/>
              </w:rPr>
              <w:t>1</w:t>
            </w:r>
            <w:r>
              <w:rPr>
                <w:rFonts w:ascii="Times New Roman;Times;Serif" w:hAnsi="Times New Roman;Times;Serif"/>
                <w:b/>
                <w:i w:val="false"/>
                <w:caps w:val="false"/>
                <w:smallCaps w:val="false"/>
                <w:position w:val="7"/>
                <w:sz w:val="16"/>
                <w:sz w:val="20"/>
              </w:rPr>
              <w:t>st</w:t>
            </w:r>
          </w:p>
        </w:tc>
        <w:tc>
          <w:tcPr>
            <w:tcW w:w="6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1546" w:type="dxa"/>
            <w:gridSpan w:val="2"/>
            <w:tcBorders>
              <w:bottom w:val="single" w:sz="8" w:space="0" w:color="000000"/>
            </w:tcBorders>
            <w:vAlign w:val="center"/>
          </w:tcPr>
          <w:p>
            <w:pPr>
              <w:pStyle w:val="TableContents"/>
              <w:bidi w:val="0"/>
              <w:spacing w:before="0" w:after="283"/>
              <w:jc w:val="center"/>
              <w:rPr>
                <w:b/>
                <w:i w:val="false"/>
                <w:caps w:val="false"/>
                <w:smallCaps w:val="false"/>
              </w:rPr>
            </w:pPr>
            <w:r>
              <w:rPr>
                <w:b/>
                <w:i w:val="false"/>
                <w:caps w:val="false"/>
                <w:smallCaps w:val="false"/>
              </w:rPr>
              <w:t>2</w:t>
            </w:r>
            <w:r>
              <w:rPr>
                <w:rFonts w:ascii="Times New Roman;Times;Serif" w:hAnsi="Times New Roman;Times;Serif"/>
                <w:b/>
                <w:i w:val="false"/>
                <w:caps w:val="false"/>
                <w:smallCaps w:val="false"/>
                <w:position w:val="7"/>
                <w:sz w:val="16"/>
                <w:sz w:val="20"/>
              </w:rPr>
              <w:t>nd</w:t>
            </w:r>
          </w:p>
        </w:tc>
        <w:tc>
          <w:tcPr>
            <w:tcW w:w="6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1453" w:type="dxa"/>
            <w:gridSpan w:val="2"/>
            <w:tcBorders>
              <w:bottom w:val="single" w:sz="8" w:space="0" w:color="000000"/>
            </w:tcBorders>
            <w:vAlign w:val="center"/>
          </w:tcPr>
          <w:p>
            <w:pPr>
              <w:pStyle w:val="TableContents"/>
              <w:bidi w:val="0"/>
              <w:spacing w:before="0" w:after="283"/>
              <w:jc w:val="center"/>
              <w:rPr>
                <w:b/>
                <w:i w:val="false"/>
                <w:caps w:val="false"/>
                <w:smallCaps w:val="false"/>
              </w:rPr>
            </w:pPr>
            <w:r>
              <w:rPr>
                <w:b/>
                <w:i w:val="false"/>
                <w:caps w:val="false"/>
                <w:smallCaps w:val="false"/>
              </w:rPr>
              <w:t>3</w:t>
            </w:r>
            <w:r>
              <w:rPr>
                <w:rFonts w:ascii="Times New Roman;Times;Serif" w:hAnsi="Times New Roman;Times;Serif"/>
                <w:b/>
                <w:i w:val="false"/>
                <w:caps w:val="false"/>
                <w:smallCaps w:val="false"/>
                <w:position w:val="7"/>
                <w:sz w:val="16"/>
                <w:sz w:val="20"/>
              </w:rPr>
              <w:t>rd</w:t>
            </w:r>
          </w:p>
        </w:tc>
        <w:tc>
          <w:tcPr>
            <w:tcW w:w="6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1453" w:type="dxa"/>
            <w:gridSpan w:val="2"/>
            <w:tcBorders>
              <w:bottom w:val="single" w:sz="8" w:space="0" w:color="000000"/>
            </w:tcBorders>
            <w:vAlign w:val="center"/>
          </w:tcPr>
          <w:p>
            <w:pPr>
              <w:pStyle w:val="TableContents"/>
              <w:bidi w:val="0"/>
              <w:spacing w:before="0" w:after="283"/>
              <w:jc w:val="center"/>
              <w:rPr>
                <w:b/>
                <w:i w:val="false"/>
                <w:caps w:val="false"/>
                <w:smallCaps w:val="false"/>
              </w:rPr>
            </w:pPr>
            <w:r>
              <w:rPr>
                <w:b/>
                <w:i w:val="false"/>
                <w:caps w:val="false"/>
                <w:smallCaps w:val="false"/>
              </w:rPr>
              <w:t>4</w:t>
            </w:r>
            <w:r>
              <w:rPr>
                <w:rFonts w:ascii="Times New Roman;Times;Serif" w:hAnsi="Times New Roman;Times;Serif"/>
                <w:b/>
                <w:i w:val="false"/>
                <w:caps w:val="false"/>
                <w:smallCaps w:val="false"/>
                <w:position w:val="7"/>
                <w:sz w:val="16"/>
                <w:sz w:val="20"/>
              </w:rPr>
              <w:t>th</w:t>
            </w:r>
          </w:p>
        </w:tc>
        <w:tc>
          <w:tcPr>
            <w:tcW w:w="6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940" w:type="dxa"/>
            <w:gridSpan w:val="2"/>
            <w:tcBorders>
              <w:bottom w:val="single" w:sz="8" w:space="0" w:color="000000"/>
            </w:tcBorders>
            <w:vAlign w:val="center"/>
          </w:tcPr>
          <w:p>
            <w:pPr>
              <w:pStyle w:val="TableContents"/>
              <w:bidi w:val="0"/>
              <w:spacing w:before="0" w:after="283"/>
              <w:jc w:val="center"/>
              <w:rPr>
                <w:b/>
              </w:rPr>
            </w:pPr>
            <w:r>
              <w:rPr>
                <w:b/>
              </w:rPr>
              <w:t>Total</w:t>
            </w:r>
          </w:p>
        </w:tc>
        <w:tc>
          <w:tcPr>
            <w:tcW w:w="77" w:type="dxa"/>
            <w:tcBorders>
              <w:bottom w:val="single" w:sz="8" w:space="0" w:color="000000"/>
            </w:tcBorders>
            <w:vAlign w:val="center"/>
          </w:tcPr>
          <w:p>
            <w:pPr>
              <w:pStyle w:val="TableContents"/>
              <w:bidi w:val="0"/>
              <w:spacing w:before="0" w:after="283"/>
              <w:jc w:val="left"/>
              <w:rPr/>
            </w:pPr>
            <w:r>
              <w:rPr/>
              <w:t> </w:t>
            </w:r>
          </w:p>
        </w:tc>
      </w:tr>
      <w:tr>
        <w:trPr/>
        <w:tc>
          <w:tcPr>
            <w:tcW w:w="26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1406"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1406"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1313"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1313"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right"/>
              <w:rPr/>
            </w:pPr>
            <w:r>
              <w:rPr/>
              <w:t> </w:t>
            </w:r>
          </w:p>
        </w:tc>
        <w:tc>
          <w:tcPr>
            <w:tcW w:w="77" w:type="dxa"/>
            <w:tcBorders/>
            <w:tcMar>
              <w:bottom w:w="0" w:type="dxa"/>
            </w:tcMar>
            <w:vAlign w:val="center"/>
          </w:tcPr>
          <w:p>
            <w:pPr>
              <w:pStyle w:val="TableContents"/>
              <w:bidi w:val="0"/>
              <w:spacing w:before="0" w:after="283"/>
              <w:jc w:val="left"/>
              <w:rPr/>
            </w:pPr>
            <w:r>
              <w:rPr/>
              <w:t> </w:t>
            </w:r>
          </w:p>
        </w:tc>
      </w:tr>
      <w:tr>
        <w:trPr/>
        <w:tc>
          <w:tcPr>
            <w:tcW w:w="2650" w:type="dxa"/>
            <w:tcBorders/>
            <w:shd w:fill="CCEEFF" w:val="clear"/>
            <w:tcMar>
              <w:bottom w:w="0" w:type="dxa"/>
            </w:tcMar>
            <w:vAlign w:val="center"/>
          </w:tcPr>
          <w:p>
            <w:pPr>
              <w:pStyle w:val="TableContents"/>
              <w:bidi w:val="0"/>
              <w:spacing w:before="0" w:after="283"/>
              <w:jc w:val="left"/>
              <w:rPr/>
            </w:pPr>
            <w:r>
              <w:rPr/>
              <w:t>Operating Revenues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406" w:type="dxa"/>
            <w:tcBorders/>
            <w:shd w:fill="CCEEFF" w:val="clear"/>
            <w:tcMar>
              <w:bottom w:w="0" w:type="dxa"/>
            </w:tcMar>
            <w:vAlign w:val="center"/>
          </w:tcPr>
          <w:p>
            <w:pPr>
              <w:pStyle w:val="TableContents"/>
              <w:bidi w:val="0"/>
              <w:spacing w:before="0" w:after="283"/>
              <w:jc w:val="right"/>
              <w:rPr/>
            </w:pPr>
            <w:r>
              <w:rPr/>
              <w:t>36,196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406" w:type="dxa"/>
            <w:tcBorders/>
            <w:shd w:fill="CCEEFF" w:val="clear"/>
            <w:tcMar>
              <w:bottom w:w="0" w:type="dxa"/>
            </w:tcMar>
            <w:vAlign w:val="center"/>
          </w:tcPr>
          <w:p>
            <w:pPr>
              <w:pStyle w:val="TableContents"/>
              <w:bidi w:val="0"/>
              <w:spacing w:before="0" w:after="283"/>
              <w:jc w:val="right"/>
              <w:rPr/>
            </w:pPr>
            <w:r>
              <w:rPr/>
              <w:t>39,683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313" w:type="dxa"/>
            <w:tcBorders/>
            <w:shd w:fill="CCEEFF" w:val="clear"/>
            <w:tcMar>
              <w:bottom w:w="0" w:type="dxa"/>
            </w:tcMar>
            <w:vAlign w:val="center"/>
          </w:tcPr>
          <w:p>
            <w:pPr>
              <w:pStyle w:val="TableContents"/>
              <w:bidi w:val="0"/>
              <w:spacing w:before="0" w:after="283"/>
              <w:jc w:val="right"/>
              <w:rPr/>
            </w:pPr>
            <w:r>
              <w:rPr/>
              <w:t>47,732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313" w:type="dxa"/>
            <w:tcBorders/>
            <w:shd w:fill="CCEEFF" w:val="clear"/>
            <w:tcMar>
              <w:bottom w:w="0" w:type="dxa"/>
            </w:tcMar>
            <w:vAlign w:val="center"/>
          </w:tcPr>
          <w:p>
            <w:pPr>
              <w:pStyle w:val="TableContents"/>
              <w:bidi w:val="0"/>
              <w:spacing w:before="0" w:after="283"/>
              <w:jc w:val="right"/>
              <w:rPr/>
            </w:pPr>
            <w:r>
              <w:rPr/>
              <w:t>38,823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162,434</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2650" w:type="dxa"/>
            <w:tcBorders/>
            <w:tcMar>
              <w:bottom w:w="0" w:type="dxa"/>
            </w:tcMar>
            <w:vAlign w:val="center"/>
          </w:tcPr>
          <w:p>
            <w:pPr>
              <w:pStyle w:val="TableContents"/>
              <w:bidi w:val="0"/>
              <w:spacing w:before="0" w:after="283"/>
              <w:jc w:val="left"/>
              <w:rPr/>
            </w:pPr>
            <w:r>
              <w:rPr/>
              <w:t>Gain on Sale of Subsidiary</w:t>
            </w:r>
          </w:p>
        </w:tc>
        <w:tc>
          <w:tcPr>
            <w:tcW w:w="6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1406" w:type="dxa"/>
            <w:tcBorders/>
            <w:tcMar>
              <w:bottom w:w="0" w:type="dxa"/>
            </w:tcMar>
            <w:vAlign w:val="center"/>
          </w:tcPr>
          <w:p>
            <w:pPr>
              <w:pStyle w:val="TableContents"/>
              <w:bidi w:val="0"/>
              <w:spacing w:before="0" w:after="283"/>
              <w:jc w:val="right"/>
              <w:rPr/>
            </w:pPr>
            <w:r>
              <w:rPr/>
              <w:t>5,232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1406" w:type="dxa"/>
            <w:tcBorders/>
            <w:tcMar>
              <w:bottom w:w="0" w:type="dxa"/>
            </w:tcMar>
            <w:vAlign w:val="center"/>
          </w:tcPr>
          <w:p>
            <w:pPr>
              <w:pStyle w:val="TableContents"/>
              <w:bidi w:val="0"/>
              <w:spacing w:before="0" w:after="0"/>
              <w:jc w:val="right"/>
              <w:rPr/>
            </w:pPr>
            <w:r>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1313" w:type="dxa"/>
            <w:tcBorders/>
            <w:tcMar>
              <w:bottom w:w="0" w:type="dxa"/>
            </w:tcMar>
            <w:vAlign w:val="center"/>
          </w:tcPr>
          <w:p>
            <w:pPr>
              <w:pStyle w:val="TableContents"/>
              <w:bidi w:val="0"/>
              <w:spacing w:before="0" w:after="0"/>
              <w:jc w:val="right"/>
              <w:rPr/>
            </w:pPr>
            <w:r>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1313" w:type="dxa"/>
            <w:tcBorders/>
            <w:tcMar>
              <w:bottom w:w="0" w:type="dxa"/>
            </w:tcMar>
            <w:vAlign w:val="center"/>
          </w:tcPr>
          <w:p>
            <w:pPr>
              <w:pStyle w:val="TableContents"/>
              <w:bidi w:val="0"/>
              <w:spacing w:before="0" w:after="0"/>
              <w:jc w:val="right"/>
              <w:rPr/>
            </w:pPr>
            <w:r>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right"/>
              <w:rPr/>
            </w:pPr>
            <w:r>
              <w:rPr/>
              <w:t>5,232</w:t>
            </w:r>
          </w:p>
        </w:tc>
        <w:tc>
          <w:tcPr>
            <w:tcW w:w="77" w:type="dxa"/>
            <w:tcBorders/>
            <w:tcMar>
              <w:bottom w:w="0" w:type="dxa"/>
            </w:tcMar>
            <w:vAlign w:val="center"/>
          </w:tcPr>
          <w:p>
            <w:pPr>
              <w:pStyle w:val="TableContents"/>
              <w:bidi w:val="0"/>
              <w:spacing w:before="0" w:after="283"/>
              <w:jc w:val="left"/>
              <w:rPr/>
            </w:pPr>
            <w:r>
              <w:rPr/>
              <w:t> </w:t>
            </w:r>
          </w:p>
        </w:tc>
      </w:tr>
      <w:tr>
        <w:trPr/>
        <w:tc>
          <w:tcPr>
            <w:tcW w:w="2650" w:type="dxa"/>
            <w:tcBorders/>
            <w:shd w:fill="CCEEFF" w:val="clear"/>
            <w:tcMar>
              <w:bottom w:w="0" w:type="dxa"/>
            </w:tcMar>
            <w:vAlign w:val="center"/>
          </w:tcPr>
          <w:p>
            <w:pPr>
              <w:pStyle w:val="TableContents"/>
              <w:bidi w:val="0"/>
              <w:spacing w:before="0" w:after="283"/>
              <w:jc w:val="left"/>
              <w:rPr/>
            </w:pPr>
            <w:r>
              <w:rPr/>
              <w:t>Operating Income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406" w:type="dxa"/>
            <w:tcBorders/>
            <w:shd w:fill="CCEEFF" w:val="clear"/>
            <w:tcMar>
              <w:bottom w:w="0" w:type="dxa"/>
            </w:tcMar>
            <w:vAlign w:val="center"/>
          </w:tcPr>
          <w:p>
            <w:pPr>
              <w:pStyle w:val="TableContents"/>
              <w:bidi w:val="0"/>
              <w:spacing w:before="0" w:after="283"/>
              <w:jc w:val="right"/>
              <w:rPr/>
            </w:pPr>
            <w:r>
              <w:rPr/>
              <w:t>12,523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406" w:type="dxa"/>
            <w:tcBorders/>
            <w:shd w:fill="CCEEFF" w:val="clear"/>
            <w:tcMar>
              <w:bottom w:w="0" w:type="dxa"/>
            </w:tcMar>
            <w:vAlign w:val="center"/>
          </w:tcPr>
          <w:p>
            <w:pPr>
              <w:pStyle w:val="TableContents"/>
              <w:bidi w:val="0"/>
              <w:spacing w:before="0" w:after="283"/>
              <w:jc w:val="right"/>
              <w:rPr/>
            </w:pPr>
            <w:r>
              <w:rPr/>
              <w:t>10,088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313" w:type="dxa"/>
            <w:tcBorders/>
            <w:shd w:fill="CCEEFF" w:val="clear"/>
            <w:tcMar>
              <w:bottom w:w="0" w:type="dxa"/>
            </w:tcMar>
            <w:vAlign w:val="center"/>
          </w:tcPr>
          <w:p>
            <w:pPr>
              <w:pStyle w:val="TableContents"/>
              <w:bidi w:val="0"/>
              <w:spacing w:before="0" w:after="283"/>
              <w:jc w:val="right"/>
              <w:rPr/>
            </w:pPr>
            <w:r>
              <w:rPr/>
              <w:t>16,575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313" w:type="dxa"/>
            <w:tcBorders/>
            <w:shd w:fill="CCEEFF" w:val="clear"/>
            <w:tcMar>
              <w:bottom w:w="0" w:type="dxa"/>
            </w:tcMar>
            <w:vAlign w:val="center"/>
          </w:tcPr>
          <w:p>
            <w:pPr>
              <w:pStyle w:val="TableContents"/>
              <w:bidi w:val="0"/>
              <w:spacing w:before="0" w:after="283"/>
              <w:jc w:val="right"/>
              <w:rPr/>
            </w:pPr>
            <w:r>
              <w:rPr/>
              <w:t>8,147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47,333</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2650" w:type="dxa"/>
            <w:tcBorders/>
            <w:tcMar>
              <w:bottom w:w="0" w:type="dxa"/>
            </w:tcMar>
            <w:vAlign w:val="center"/>
          </w:tcPr>
          <w:p>
            <w:pPr>
              <w:pStyle w:val="TableContents"/>
              <w:bidi w:val="0"/>
              <w:spacing w:before="0" w:after="283"/>
              <w:jc w:val="left"/>
              <w:rPr/>
            </w:pPr>
            <w:r>
              <w:rPr/>
              <w:t>Net Income</w:t>
            </w:r>
          </w:p>
        </w:tc>
        <w:tc>
          <w:tcPr>
            <w:tcW w:w="6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1406" w:type="dxa"/>
            <w:tcBorders/>
            <w:tcMar>
              <w:bottom w:w="0" w:type="dxa"/>
            </w:tcMar>
            <w:vAlign w:val="center"/>
          </w:tcPr>
          <w:p>
            <w:pPr>
              <w:pStyle w:val="TableContents"/>
              <w:bidi w:val="0"/>
              <w:spacing w:before="0" w:after="283"/>
              <w:jc w:val="right"/>
              <w:rPr/>
            </w:pPr>
            <w:r>
              <w:rPr/>
              <w:t>12,100</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1406" w:type="dxa"/>
            <w:tcBorders/>
            <w:tcMar>
              <w:bottom w:w="0" w:type="dxa"/>
            </w:tcMar>
            <w:vAlign w:val="center"/>
          </w:tcPr>
          <w:p>
            <w:pPr>
              <w:pStyle w:val="TableContents"/>
              <w:bidi w:val="0"/>
              <w:spacing w:before="0" w:after="283"/>
              <w:jc w:val="right"/>
              <w:rPr/>
            </w:pPr>
            <w:r>
              <w:rPr/>
              <w:t>8,868</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1313" w:type="dxa"/>
            <w:tcBorders/>
            <w:tcMar>
              <w:bottom w:w="0" w:type="dxa"/>
            </w:tcMar>
            <w:vAlign w:val="center"/>
          </w:tcPr>
          <w:p>
            <w:pPr>
              <w:pStyle w:val="TableContents"/>
              <w:bidi w:val="0"/>
              <w:spacing w:before="0" w:after="283"/>
              <w:jc w:val="right"/>
              <w:rPr/>
            </w:pPr>
            <w:r>
              <w:rPr/>
              <w:t>14,291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1313" w:type="dxa"/>
            <w:tcBorders/>
            <w:tcMar>
              <w:bottom w:w="0" w:type="dxa"/>
            </w:tcMar>
            <w:vAlign w:val="center"/>
          </w:tcPr>
          <w:p>
            <w:pPr>
              <w:pStyle w:val="TableContents"/>
              <w:bidi w:val="0"/>
              <w:spacing w:before="0" w:after="283"/>
              <w:jc w:val="right"/>
              <w:rPr/>
            </w:pPr>
            <w:r>
              <w:rPr/>
              <w:t>7,170</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right"/>
              <w:rPr/>
            </w:pPr>
            <w:r>
              <w:rPr/>
              <w:t>42,429</w:t>
            </w:r>
          </w:p>
        </w:tc>
        <w:tc>
          <w:tcPr>
            <w:tcW w:w="77" w:type="dxa"/>
            <w:tcBorders/>
            <w:tcMar>
              <w:bottom w:w="0" w:type="dxa"/>
            </w:tcMar>
            <w:vAlign w:val="center"/>
          </w:tcPr>
          <w:p>
            <w:pPr>
              <w:pStyle w:val="TableContents"/>
              <w:bidi w:val="0"/>
              <w:spacing w:before="0" w:after="283"/>
              <w:jc w:val="left"/>
              <w:rPr/>
            </w:pPr>
            <w:r>
              <w:rPr/>
              <w:t> </w:t>
            </w:r>
          </w:p>
        </w:tc>
      </w:tr>
      <w:tr>
        <w:trPr/>
        <w:tc>
          <w:tcPr>
            <w:tcW w:w="2650" w:type="dxa"/>
            <w:tcBorders/>
            <w:shd w:fill="CCEEFF" w:val="clear"/>
            <w:tcMar>
              <w:bottom w:w="0" w:type="dxa"/>
            </w:tcMar>
            <w:vAlign w:val="center"/>
          </w:tcPr>
          <w:p>
            <w:pPr>
              <w:pStyle w:val="TableContents"/>
              <w:bidi w:val="0"/>
              <w:spacing w:before="0" w:after="283"/>
              <w:jc w:val="left"/>
              <w:rPr/>
            </w:pPr>
            <w:r>
              <w:rPr/>
              <w:t>Basic Earnings per Share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406" w:type="dxa"/>
            <w:tcBorders/>
            <w:shd w:fill="CCEEFF" w:val="clear"/>
            <w:tcMar>
              <w:bottom w:w="0" w:type="dxa"/>
            </w:tcMar>
            <w:vAlign w:val="center"/>
          </w:tcPr>
          <w:p>
            <w:pPr>
              <w:pStyle w:val="TableContents"/>
              <w:bidi w:val="0"/>
              <w:spacing w:before="0" w:after="283"/>
              <w:jc w:val="right"/>
              <w:rPr/>
            </w:pPr>
            <w:r>
              <w:rPr/>
              <w:t>0.69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406" w:type="dxa"/>
            <w:tcBorders/>
            <w:shd w:fill="CCEEFF" w:val="clear"/>
            <w:tcMar>
              <w:bottom w:w="0" w:type="dxa"/>
            </w:tcMar>
            <w:vAlign w:val="center"/>
          </w:tcPr>
          <w:p>
            <w:pPr>
              <w:pStyle w:val="TableContents"/>
              <w:bidi w:val="0"/>
              <w:spacing w:before="0" w:after="283"/>
              <w:jc w:val="right"/>
              <w:rPr/>
            </w:pPr>
            <w:r>
              <w:rPr/>
              <w:t>0.50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313" w:type="dxa"/>
            <w:tcBorders/>
            <w:shd w:fill="CCEEFF" w:val="clear"/>
            <w:tcMar>
              <w:bottom w:w="0" w:type="dxa"/>
            </w:tcMar>
            <w:vAlign w:val="center"/>
          </w:tcPr>
          <w:p>
            <w:pPr>
              <w:pStyle w:val="TableContents"/>
              <w:bidi w:val="0"/>
              <w:spacing w:before="0" w:after="283"/>
              <w:jc w:val="right"/>
              <w:rPr/>
            </w:pPr>
            <w:r>
              <w:rPr/>
              <w:t>0.81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313" w:type="dxa"/>
            <w:tcBorders/>
            <w:shd w:fill="CCEEFF" w:val="clear"/>
            <w:tcMar>
              <w:bottom w:w="0" w:type="dxa"/>
            </w:tcMar>
            <w:vAlign w:val="center"/>
          </w:tcPr>
          <w:p>
            <w:pPr>
              <w:pStyle w:val="TableContents"/>
              <w:bidi w:val="0"/>
              <w:spacing w:before="0" w:after="283"/>
              <w:jc w:val="right"/>
              <w:rPr/>
            </w:pPr>
            <w:r>
              <w:rPr/>
              <w:t>0.40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2.40</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2650" w:type="dxa"/>
            <w:tcBorders/>
            <w:tcMar>
              <w:bottom w:w="0" w:type="dxa"/>
            </w:tcMar>
            <w:vAlign w:val="center"/>
          </w:tcPr>
          <w:p>
            <w:pPr>
              <w:pStyle w:val="TableContents"/>
              <w:bidi w:val="0"/>
              <w:spacing w:before="0" w:after="283"/>
              <w:jc w:val="left"/>
              <w:rPr/>
            </w:pPr>
            <w:r>
              <w:rPr/>
              <w:t>Diluted Earnings per Share</w:t>
            </w:r>
          </w:p>
        </w:tc>
        <w:tc>
          <w:tcPr>
            <w:tcW w:w="6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w:t>
            </w:r>
          </w:p>
        </w:tc>
        <w:tc>
          <w:tcPr>
            <w:tcW w:w="1406" w:type="dxa"/>
            <w:tcBorders/>
            <w:tcMar>
              <w:bottom w:w="0" w:type="dxa"/>
            </w:tcMar>
            <w:vAlign w:val="center"/>
          </w:tcPr>
          <w:p>
            <w:pPr>
              <w:pStyle w:val="TableContents"/>
              <w:bidi w:val="0"/>
              <w:spacing w:before="0" w:after="283"/>
              <w:jc w:val="right"/>
              <w:rPr/>
            </w:pPr>
            <w:r>
              <w:rPr/>
              <w:t>0.68</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w:t>
            </w:r>
          </w:p>
        </w:tc>
        <w:tc>
          <w:tcPr>
            <w:tcW w:w="1406" w:type="dxa"/>
            <w:tcBorders/>
            <w:tcMar>
              <w:bottom w:w="0" w:type="dxa"/>
            </w:tcMar>
            <w:vAlign w:val="center"/>
          </w:tcPr>
          <w:p>
            <w:pPr>
              <w:pStyle w:val="TableContents"/>
              <w:bidi w:val="0"/>
              <w:spacing w:before="0" w:after="283"/>
              <w:jc w:val="right"/>
              <w:rPr/>
            </w:pPr>
            <w:r>
              <w:rPr/>
              <w:t>0.50</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w:t>
            </w:r>
          </w:p>
        </w:tc>
        <w:tc>
          <w:tcPr>
            <w:tcW w:w="1313" w:type="dxa"/>
            <w:tcBorders/>
            <w:tcMar>
              <w:bottom w:w="0" w:type="dxa"/>
            </w:tcMar>
            <w:vAlign w:val="center"/>
          </w:tcPr>
          <w:p>
            <w:pPr>
              <w:pStyle w:val="TableContents"/>
              <w:bidi w:val="0"/>
              <w:spacing w:before="0" w:after="283"/>
              <w:jc w:val="right"/>
              <w:rPr/>
            </w:pPr>
            <w:r>
              <w:rPr/>
              <w:t>0.81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w:t>
            </w:r>
          </w:p>
        </w:tc>
        <w:tc>
          <w:tcPr>
            <w:tcW w:w="1313" w:type="dxa"/>
            <w:tcBorders/>
            <w:tcMar>
              <w:bottom w:w="0" w:type="dxa"/>
            </w:tcMar>
            <w:vAlign w:val="center"/>
          </w:tcPr>
          <w:p>
            <w:pPr>
              <w:pStyle w:val="TableContents"/>
              <w:bidi w:val="0"/>
              <w:spacing w:before="0" w:after="283"/>
              <w:jc w:val="right"/>
              <w:rPr/>
            </w:pPr>
            <w:r>
              <w:rPr/>
              <w:t>0.40</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w:t>
            </w:r>
          </w:p>
        </w:tc>
        <w:tc>
          <w:tcPr>
            <w:tcW w:w="800" w:type="dxa"/>
            <w:tcBorders/>
            <w:tcMar>
              <w:bottom w:w="0" w:type="dxa"/>
            </w:tcMar>
            <w:vAlign w:val="center"/>
          </w:tcPr>
          <w:p>
            <w:pPr>
              <w:pStyle w:val="TableContents"/>
              <w:bidi w:val="0"/>
              <w:spacing w:before="0" w:after="283"/>
              <w:jc w:val="right"/>
              <w:rPr/>
            </w:pPr>
            <w:r>
              <w:rPr/>
              <w:t>2.39</w:t>
            </w:r>
          </w:p>
        </w:tc>
        <w:tc>
          <w:tcPr>
            <w:tcW w:w="77" w:type="dxa"/>
            <w:tcBorders/>
            <w:tcMar>
              <w:bottom w:w="0" w:type="dxa"/>
            </w:tcMar>
            <w:vAlign w:val="center"/>
          </w:tcPr>
          <w:p>
            <w:pPr>
              <w:pStyle w:val="TableContents"/>
              <w:bidi w:val="0"/>
              <w:spacing w:before="0" w:after="283"/>
              <w:jc w:val="left"/>
              <w:rPr/>
            </w:pPr>
            <w:r>
              <w:rPr/>
              <w:t> </w:t>
            </w:r>
          </w:p>
        </w:tc>
      </w:tr>
      <w:tr>
        <w:trPr/>
        <w:tc>
          <w:tcPr>
            <w:tcW w:w="2650" w:type="dxa"/>
            <w:tcBorders/>
            <w:shd w:fill="CCEEFF" w:val="clear"/>
            <w:tcMar>
              <w:bottom w:w="0" w:type="dxa"/>
            </w:tcMar>
            <w:vAlign w:val="center"/>
          </w:tcPr>
          <w:p>
            <w:pPr>
              <w:pStyle w:val="TableContents"/>
              <w:bidi w:val="0"/>
              <w:spacing w:before="0" w:after="283"/>
              <w:jc w:val="left"/>
              <w:rPr/>
            </w:pPr>
            <w:r>
              <w:rPr/>
              <w:t>Common Dividend Per Share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406" w:type="dxa"/>
            <w:tcBorders/>
            <w:shd w:fill="CCEEFF" w:val="clear"/>
            <w:tcMar>
              <w:bottom w:w="0" w:type="dxa"/>
            </w:tcMar>
            <w:vAlign w:val="center"/>
          </w:tcPr>
          <w:p>
            <w:pPr>
              <w:pStyle w:val="TableContents"/>
              <w:bidi w:val="0"/>
              <w:spacing w:before="0" w:after="283"/>
              <w:jc w:val="right"/>
              <w:rPr/>
            </w:pPr>
            <w:r>
              <w:rPr/>
              <w:t>0.2900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406" w:type="dxa"/>
            <w:tcBorders/>
            <w:shd w:fill="CCEEFF" w:val="clear"/>
            <w:tcMar>
              <w:bottom w:w="0" w:type="dxa"/>
            </w:tcMar>
            <w:vAlign w:val="center"/>
          </w:tcPr>
          <w:p>
            <w:pPr>
              <w:pStyle w:val="TableContents"/>
              <w:bidi w:val="0"/>
              <w:spacing w:before="0" w:after="283"/>
              <w:jc w:val="right"/>
              <w:rPr/>
            </w:pPr>
            <w:r>
              <w:rPr/>
              <w:t>0.2900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313" w:type="dxa"/>
            <w:tcBorders/>
            <w:shd w:fill="CCEEFF" w:val="clear"/>
            <w:tcMar>
              <w:bottom w:w="0" w:type="dxa"/>
            </w:tcMar>
            <w:vAlign w:val="center"/>
          </w:tcPr>
          <w:p>
            <w:pPr>
              <w:pStyle w:val="TableContents"/>
              <w:bidi w:val="0"/>
              <w:spacing w:before="0" w:after="283"/>
              <w:jc w:val="right"/>
              <w:rPr/>
            </w:pPr>
            <w:r>
              <w:rPr/>
              <w:t>0.2900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313" w:type="dxa"/>
            <w:tcBorders/>
            <w:shd w:fill="CCEEFF" w:val="clear"/>
            <w:tcMar>
              <w:bottom w:w="0" w:type="dxa"/>
            </w:tcMar>
            <w:vAlign w:val="center"/>
          </w:tcPr>
          <w:p>
            <w:pPr>
              <w:pStyle w:val="TableContents"/>
              <w:bidi w:val="0"/>
              <w:spacing w:before="0" w:after="283"/>
              <w:jc w:val="right"/>
              <w:rPr/>
            </w:pPr>
            <w:r>
              <w:rPr/>
              <w:t>0.3125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1.1825</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2650" w:type="dxa"/>
            <w:tcBorders/>
            <w:tcMar>
              <w:bottom w:w="0" w:type="dxa"/>
            </w:tcMar>
            <w:vAlign w:val="center"/>
          </w:tcPr>
          <w:p>
            <w:pPr>
              <w:pStyle w:val="TableContents"/>
              <w:bidi w:val="0"/>
              <w:spacing w:before="0" w:after="283"/>
              <w:jc w:val="left"/>
              <w:rPr/>
            </w:pPr>
            <w:r>
              <w:rPr/>
              <w:t>High/Low Common Stock Price</w:t>
            </w:r>
          </w:p>
        </w:tc>
        <w:tc>
          <w:tcPr>
            <w:tcW w:w="6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1406" w:type="dxa"/>
            <w:tcBorders/>
            <w:tcMar>
              <w:bottom w:w="0" w:type="dxa"/>
            </w:tcMar>
            <w:vAlign w:val="center"/>
          </w:tcPr>
          <w:p>
            <w:pPr>
              <w:pStyle w:val="TableContents"/>
              <w:bidi w:val="0"/>
              <w:spacing w:before="0" w:after="283"/>
              <w:jc w:val="right"/>
              <w:rPr/>
            </w:pPr>
            <w:r>
              <w:rPr/>
              <w:t> </w:t>
            </w:r>
            <w:r>
              <w:rPr/>
              <w:t>$94.56/$121.10</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1406" w:type="dxa"/>
            <w:tcBorders/>
            <w:tcMar>
              <w:bottom w:w="0" w:type="dxa"/>
            </w:tcMar>
            <w:vAlign w:val="center"/>
          </w:tcPr>
          <w:p>
            <w:pPr>
              <w:pStyle w:val="TableContents"/>
              <w:bidi w:val="0"/>
              <w:spacing w:before="0" w:after="283"/>
              <w:jc w:val="right"/>
              <w:rPr/>
            </w:pPr>
            <w:r>
              <w:rPr/>
              <w:t> </w:t>
            </w:r>
            <w:r>
              <w:rPr/>
              <w:t>$75.77/$108.27</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1313" w:type="dxa"/>
            <w:tcBorders/>
            <w:tcMar>
              <w:bottom w:w="0" w:type="dxa"/>
            </w:tcMar>
            <w:vAlign w:val="center"/>
          </w:tcPr>
          <w:p>
            <w:pPr>
              <w:pStyle w:val="TableContents"/>
              <w:bidi w:val="0"/>
              <w:spacing w:before="0" w:after="283"/>
              <w:jc w:val="right"/>
              <w:rPr/>
            </w:pPr>
            <w:r>
              <w:rPr/>
              <w:t> </w:t>
            </w:r>
            <w:r>
              <w:rPr/>
              <w:t>$77.08/$96.19</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1313" w:type="dxa"/>
            <w:tcBorders/>
            <w:tcMar>
              <w:bottom w:w="0" w:type="dxa"/>
            </w:tcMar>
            <w:vAlign w:val="center"/>
          </w:tcPr>
          <w:p>
            <w:pPr>
              <w:pStyle w:val="TableContents"/>
              <w:bidi w:val="0"/>
              <w:spacing w:before="0" w:after="283"/>
              <w:jc w:val="right"/>
              <w:rPr/>
            </w:pPr>
            <w:r>
              <w:rPr/>
              <w:t> </w:t>
            </w:r>
            <w:r>
              <w:rPr/>
              <w:t>$74.20/$95.82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right"/>
              <w:rPr/>
            </w:pPr>
            <w:r>
              <w:rPr/>
              <w:t> </w:t>
            </w:r>
          </w:p>
        </w:tc>
        <w:tc>
          <w:tcPr>
            <w:tcW w:w="77"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above, in the opinion of the Company, includes all adjustments consisting only of normal recurring accruals necessary for a fair presentation of such amounts. The business of the Company is subject to seasonal fluctuation with the peak period usually occurring during the summer months. The quarterly earnings per share amounts above may differ slightly from previous filings due to the effects of rounding.</w:t>
      </w:r>
    </w:p>
    <w:p>
      <w:pPr>
        <w:pStyle w:val="TextBody"/>
        <w:bidi w:val="0"/>
        <w:spacing w:before="0" w:after="0"/>
        <w:ind w:left="0" w:right="0" w:hanging="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8" w:name="a_025"/>
      <w:bookmarkStart w:id="39" w:name="a_025"/>
      <w:bookmarkEnd w:id="39"/>
    </w:p>
    <w:tbl>
      <w:tblPr>
        <w:tblW w:w="5000" w:type="pct"/>
        <w:jc w:val="left"/>
        <w:tblInd w:w="0" w:type="dxa"/>
        <w:tblLayout w:type="fixed"/>
        <w:tblCellMar>
          <w:top w:w="0" w:type="dxa"/>
          <w:left w:w="0" w:type="dxa"/>
          <w:bottom w:w="0" w:type="dxa"/>
          <w:right w:w="0" w:type="dxa"/>
        </w:tblCellMar>
      </w:tblPr>
      <w:tblGrid>
        <w:gridCol w:w="37"/>
        <w:gridCol w:w="823"/>
        <w:gridCol w:w="9345"/>
      </w:tblGrid>
      <w:tr>
        <w:trPr/>
        <w:tc>
          <w:tcPr>
            <w:tcW w:w="37"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b/>
              </w:rPr>
            </w:pPr>
            <w:r>
              <w:rPr>
                <w:b/>
              </w:rPr>
              <w:t>ITEM 9.</w:t>
            </w:r>
          </w:p>
        </w:tc>
        <w:tc>
          <w:tcPr>
            <w:tcW w:w="9345" w:type="dxa"/>
            <w:tcBorders/>
            <w:vAlign w:val="center"/>
          </w:tcPr>
          <w:p>
            <w:pPr>
              <w:pStyle w:val="TableContents"/>
              <w:bidi w:val="0"/>
              <w:spacing w:before="0" w:after="283"/>
              <w:jc w:val="both"/>
              <w:rPr>
                <w:b/>
              </w:rPr>
            </w:pPr>
            <w:r>
              <w:rPr>
                <w:b/>
              </w:rPr>
              <w:t>CHANGES IN AND DISAGREEMENTS WITH ACCOUNTANTS ON ACCOUNTING AND FINANCIAL DISCLOSURE</w:t>
            </w:r>
            <w:r>
              <w:rPr>
                <w:b/>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72 </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ind w:left="0" w:right="0" w:hanging="0"/>
        <w:jc w:val="left"/>
        <w:rPr>
          <w:sz w:val="4"/>
          <w:szCs w:val="4"/>
        </w:rPr>
      </w:pPr>
      <w:r>
        <w:rPr>
          <w:sz w:val="4"/>
          <w:szCs w:val="4"/>
        </w:rPr>
      </w:r>
      <w:bookmarkStart w:id="40" w:name="a_026"/>
      <w:bookmarkStart w:id="41" w:name="a_026"/>
      <w:bookmarkEnd w:id="41"/>
    </w:p>
    <w:tbl>
      <w:tblPr>
        <w:tblW w:w="5000" w:type="pct"/>
        <w:jc w:val="left"/>
        <w:tblInd w:w="0" w:type="dxa"/>
        <w:tblLayout w:type="fixed"/>
        <w:tblCellMar>
          <w:top w:w="0" w:type="dxa"/>
          <w:left w:w="0" w:type="dxa"/>
          <w:bottom w:w="0" w:type="dxa"/>
          <w:right w:w="0" w:type="dxa"/>
        </w:tblCellMar>
      </w:tblPr>
      <w:tblGrid>
        <w:gridCol w:w="79"/>
        <w:gridCol w:w="2270"/>
        <w:gridCol w:w="7856"/>
      </w:tblGrid>
      <w:tr>
        <w:trPr/>
        <w:tc>
          <w:tcPr>
            <w:tcW w:w="79" w:type="dxa"/>
            <w:tcBorders/>
            <w:vAlign w:val="center"/>
          </w:tcPr>
          <w:p>
            <w:pPr>
              <w:pStyle w:val="TableContents"/>
              <w:bidi w:val="0"/>
              <w:spacing w:before="0" w:after="283"/>
              <w:jc w:val="left"/>
              <w:rPr>
                <w:sz w:val="4"/>
                <w:szCs w:val="4"/>
              </w:rPr>
            </w:pPr>
            <w:r>
              <w:rPr>
                <w:sz w:val="4"/>
                <w:szCs w:val="4"/>
              </w:rPr>
            </w:r>
          </w:p>
        </w:tc>
        <w:tc>
          <w:tcPr>
            <w:tcW w:w="2270" w:type="dxa"/>
            <w:tcBorders/>
            <w:vAlign w:val="center"/>
          </w:tcPr>
          <w:p>
            <w:pPr>
              <w:pStyle w:val="TableContents"/>
              <w:bidi w:val="0"/>
              <w:spacing w:before="0" w:after="283"/>
              <w:jc w:val="left"/>
              <w:rPr>
                <w:b/>
              </w:rPr>
            </w:pPr>
            <w:r>
              <w:rPr>
                <w:b/>
              </w:rPr>
              <w:t>ITEM 9A.</w:t>
            </w:r>
          </w:p>
        </w:tc>
        <w:tc>
          <w:tcPr>
            <w:tcW w:w="7856" w:type="dxa"/>
            <w:tcBorders/>
            <w:vAlign w:val="center"/>
          </w:tcPr>
          <w:p>
            <w:pPr>
              <w:pStyle w:val="TableContents"/>
              <w:bidi w:val="0"/>
              <w:spacing w:before="0" w:after="283"/>
              <w:jc w:val="left"/>
              <w:rPr>
                <w:b/>
              </w:rPr>
            </w:pPr>
            <w:r>
              <w:rPr>
                <w:b/>
              </w:rPr>
              <w:t>CONTROLS AND PROCEDURES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Disclosure controls and procedures are controls and other procedures that are designed to ensure that information required to be disclosed in Company reports filed or submitted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in Company reports filed under the Exchange Act is accumulated and communicated to management, including the Company’s Chief Executive Officer and Chief Financial Officer as appropriate, to allow timely decisions regarding disclosure.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required by Rule 13a-15 under the Exchange Act, an evaluation of the effectiveness of the design and operation of the Company’s disclosure controls and procedures was conducted by the Company’s Chief Executive Officer along with the Company’s Chief Financial Officer for the year ended December 31, 2023. Based upon that evaluation, the Company’s Chief Executive Officer and the Company’s Chief Financial Officer concluded that:</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7"/>
        <w:gridCol w:w="10011"/>
      </w:tblGrid>
      <w:tr>
        <w:trPr/>
        <w:tc>
          <w:tcPr>
            <w:tcW w:w="3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pPr>
            <w:r>
              <w:rPr/>
              <w:t>a)</w:t>
            </w:r>
          </w:p>
        </w:tc>
        <w:tc>
          <w:tcPr>
            <w:tcW w:w="10011" w:type="dxa"/>
            <w:tcBorders/>
            <w:vAlign w:val="center"/>
          </w:tcPr>
          <w:p>
            <w:pPr>
              <w:pStyle w:val="TableContents"/>
              <w:bidi w:val="0"/>
              <w:spacing w:before="0" w:after="283"/>
              <w:jc w:val="both"/>
              <w:rPr/>
            </w:pPr>
            <w:r>
              <w:rPr/>
              <w:t>The following changes in internal control over financial reporting occurred during the year ended December 31, 2023 that has materially affected, or are reasonably likely to materially affect, internal control over financial reporting: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management implemented various auditing and monitoring solutions that provide greater transparency into changes made within our information technology (IT) systems. These control solutions are supported by a timely review process that focuses on the proper authorization and approval of IT system changes.</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6"/>
        <w:gridCol w:w="10012"/>
      </w:tblGrid>
      <w:tr>
        <w:trPr/>
        <w:tc>
          <w:tcPr>
            <w:tcW w:w="3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pPr>
            <w:r>
              <w:rPr/>
              <w:t>b)</w:t>
            </w:r>
          </w:p>
        </w:tc>
        <w:tc>
          <w:tcPr>
            <w:tcW w:w="10012" w:type="dxa"/>
            <w:tcBorders/>
            <w:vAlign w:val="center"/>
          </w:tcPr>
          <w:p>
            <w:pPr>
              <w:pStyle w:val="TableContents"/>
              <w:bidi w:val="0"/>
              <w:spacing w:before="0" w:after="283"/>
              <w:jc w:val="both"/>
              <w:rPr/>
            </w:pPr>
            <w:r>
              <w:rPr/>
              <w:t>Our disclosure controls and procedures were not effective as of December 31, 2023 due to the material weaknesses described below. 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IT material weakness was recently determined to exist, the remediation actions described in paragraph (1) a) above were completed in December 2023. However, the implemented controls did not operate over a sufficient time period to adequately test and validate the remediation and reassess other information technology general controls (ITGCs), which may require further remediation actions.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there were ineffective internal controls related to income tax accounting for a non-routine transaction.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has determined that such material weaknesses exist as of December 31, 2023.</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i w:val="false"/>
          <w:caps w:val="false"/>
          <w:smallCaps w:val="false"/>
          <w:sz w:val="20"/>
        </w:rPr>
        <w:t>Management’s Report on Internal Control Over Financial Reporting</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management of the Company is responsible for establishing and maintaining adequate internal control over financial reporting as defined in Exchange Act Rule 13A-15(f) and 15d-15(f). Middlesex’s internal control system was designed to provide reasonable assurance to the Company’s management and Board of Directors of adequate preparation and fair presentation of the published financial statements.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internal control systems, no matter how well designed, have inherent limitations. Therefore, even those systems determined to be effective can provide only reasonable assurance with respect to the adequacy of financial statement preparation and presentation. Middlesex’s management assessed the effectiveness of the Company’s internal control over financial reporting as of December 31, 2023. In making this assessment, management used the criteria set forth by the Committee of Sponsoring Organizations of the Treadway Commission (COSO) in </w:t>
      </w:r>
      <w:r>
        <w:rPr>
          <w:rFonts w:ascii="Times New Roman;Times;Serif" w:hAnsi="Times New Roman;Times;Serif"/>
          <w:b w:val="false"/>
          <w:i/>
          <w:caps w:val="false"/>
          <w:smallCaps w:val="false"/>
          <w:sz w:val="20"/>
        </w:rPr>
        <w:t>Internal Control-Integrated Framework</w:t>
      </w:r>
      <w:r>
        <w:rPr>
          <w:rFonts w:ascii="Times New Roman;Times;Serif" w:hAnsi="Times New Roman;Times;Serif"/>
          <w:b w:val="false"/>
          <w:i w:val="false"/>
          <w:caps w:val="false"/>
          <w:smallCaps w:val="false"/>
          <w:sz w:val="20"/>
        </w:rPr>
        <w:t xml:space="preserve"> (2013 framework).</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Subsequent to the issuance of the Company’s consolidated financial statements for the year ended December 31, 2022 which were included in Company’s Annual Report on Form 10-K for the fiscal year ended December 31, 2022, originally filed with the United States Securities and Exchange Commission on February 24, 2023, the Company’s independent registered public accounting firm, Baker Tilly US, LLP (Baker Tilly), conducted a routine internal quality review of its integrated audit of the Company’s 2022 consolidated financial statements and internal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73 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control over financial reporting as of December 31, 2022. As a result of this review, Baker Tilly re-examined the Company’s ITGCs in the areas of user access and change management over certain IT systems that support the Company’s financial reporting processes. Certain of those controls were found to be deficient because of a lack of sufficient IT control processes designed to prevent or detect unauthorized changes in applications and data in selected IT environments. It has therefore been concluded that automated and manual process controls dependent on ITGCs were not effective. These ineffective controls create a possibility that material misstatements in financial reporting processes and financial statement accounts in our consolidated financial statements will not be prevented or detected on a timely basis. As the material weakness was recently determined to exist, certain remediation actions were completed in December 2023. Various auditing and monitoring solutions have been implemented that provide greater transparency into changes made within our IT systems. These control solutions are supported by a timely review process that focuses on the proper authorization and approval of IT system changes. Due to the timing of the implementation of the solutions, the controls implemented did not operate over a sufficient time period to adequately test and validate the remediation and reassess other ITGCs, which may require further remediation 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there were ineffective internal controls related to income tax accounting for a non-routine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has determined that such material weaknesses exist as of December 31, 2023.</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identified material weakness referred to above, management, including our principal executive officer and principal financial officer, believe that the financial statements contained in the Company’s Annual Report on Form 10-K for the fiscal year ended December 31, 2023 fairly present, in all material respects, the financial condition, results of operations and cash flows of the Company for all periods presented in accordance with accounting principles generally accepted in the United States of America.</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Audit Committee of our Board of Directors and Company management will closely monitor the remediation efforts, until the remediation efforts discussed in this section are complete, tested and determined effective, we will not be able to conclude that the material weakness has been remediated.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Middlesex’s independent registered public accounting firm (PCAOB ID 23) has audited the effectiveness of our internal control over financial reporting as of December 31, 2023 as stated in their report dated as of February 29, 2024, which is included herein.</w:t>
      </w:r>
    </w:p>
    <w:p>
      <w:pPr>
        <w:pStyle w:val="TextBody"/>
        <w:bidi w:val="0"/>
        <w:spacing w:before="0" w:after="0"/>
        <w:ind w:left="0" w:right="0" w:hanging="0"/>
        <w:jc w:val="both"/>
        <w:rPr>
          <w:caps w:val="false"/>
          <w:smallCaps w:val="false"/>
        </w:rPr>
      </w:pPr>
      <w:r>
        <w:rPr>
          <w:caps w:val="false"/>
          <w:smallCaps w:val="false"/>
        </w:rPr>
        <w:t> </w:t>
      </w:r>
    </w:p>
    <w:tbl>
      <w:tblPr>
        <w:tblW w:w="5875" w:type="dxa"/>
        <w:jc w:val="left"/>
        <w:tblInd w:w="0" w:type="dxa"/>
        <w:tblLayout w:type="fixed"/>
        <w:tblCellMar>
          <w:top w:w="0" w:type="dxa"/>
          <w:left w:w="0" w:type="dxa"/>
          <w:bottom w:w="0" w:type="dxa"/>
          <w:right w:w="0" w:type="dxa"/>
        </w:tblCellMar>
      </w:tblPr>
      <w:tblGrid>
        <w:gridCol w:w="2300"/>
        <w:gridCol w:w="3575"/>
      </w:tblGrid>
      <w:tr>
        <w:trPr/>
        <w:tc>
          <w:tcPr>
            <w:tcW w:w="2300" w:type="dxa"/>
            <w:tcBorders/>
            <w:vAlign w:val="center"/>
          </w:tcPr>
          <w:p>
            <w:pPr>
              <w:pStyle w:val="TableContents"/>
              <w:bidi w:val="0"/>
              <w:spacing w:before="0" w:after="283"/>
              <w:jc w:val="both"/>
              <w:rPr/>
            </w:pPr>
            <w:r>
              <w:rPr/>
              <w:t> </w:t>
            </w:r>
            <w:r>
              <w:rPr>
                <w:u w:val="single"/>
              </w:rPr>
              <w:t> </w:t>
            </w:r>
            <w:r>
              <w:rPr>
                <w:u w:val="single"/>
              </w:rPr>
              <w:t>/s/ Dennis W. Doll</w:t>
            </w:r>
          </w:p>
        </w:tc>
        <w:tc>
          <w:tcPr>
            <w:tcW w:w="3575" w:type="dxa"/>
            <w:tcBorders/>
            <w:vAlign w:val="center"/>
          </w:tcPr>
          <w:p>
            <w:pPr>
              <w:pStyle w:val="TableContents"/>
              <w:bidi w:val="0"/>
              <w:spacing w:before="0" w:after="283"/>
              <w:jc w:val="both"/>
              <w:rPr>
                <w:u w:val="single"/>
              </w:rPr>
            </w:pPr>
            <w:r>
              <w:rPr>
                <w:u w:val="single"/>
              </w:rPr>
              <w:t>/s/ A. Bruce O’Connor</w:t>
            </w:r>
          </w:p>
        </w:tc>
      </w:tr>
      <w:tr>
        <w:trPr/>
        <w:tc>
          <w:tcPr>
            <w:tcW w:w="2300" w:type="dxa"/>
            <w:tcBorders/>
            <w:vAlign w:val="center"/>
          </w:tcPr>
          <w:p>
            <w:pPr>
              <w:pStyle w:val="TableContents"/>
              <w:bidi w:val="0"/>
              <w:spacing w:before="0" w:after="283"/>
              <w:jc w:val="left"/>
              <w:rPr/>
            </w:pPr>
            <w:r>
              <w:rPr/>
              <w:t>Dennis W. Doll</w:t>
            </w:r>
          </w:p>
        </w:tc>
        <w:tc>
          <w:tcPr>
            <w:tcW w:w="3575" w:type="dxa"/>
            <w:tcBorders/>
            <w:vAlign w:val="center"/>
          </w:tcPr>
          <w:p>
            <w:pPr>
              <w:pStyle w:val="TableContents"/>
              <w:bidi w:val="0"/>
              <w:spacing w:before="0" w:after="283"/>
              <w:jc w:val="left"/>
              <w:rPr/>
            </w:pPr>
            <w:r>
              <w:rPr/>
              <w:t>A. Bruce O’Connor</w:t>
            </w:r>
          </w:p>
        </w:tc>
      </w:tr>
      <w:tr>
        <w:trPr/>
        <w:tc>
          <w:tcPr>
            <w:tcW w:w="2300" w:type="dxa"/>
            <w:tcBorders/>
            <w:vAlign w:val="center"/>
          </w:tcPr>
          <w:p>
            <w:pPr>
              <w:pStyle w:val="TableContents"/>
              <w:bidi w:val="0"/>
              <w:spacing w:before="0" w:after="283"/>
              <w:jc w:val="left"/>
              <w:rPr/>
            </w:pPr>
            <w:r>
              <w:rPr/>
              <w:t>President and</w:t>
            </w:r>
          </w:p>
        </w:tc>
        <w:tc>
          <w:tcPr>
            <w:tcW w:w="3575" w:type="dxa"/>
            <w:tcBorders/>
            <w:vAlign w:val="center"/>
          </w:tcPr>
          <w:p>
            <w:pPr>
              <w:pStyle w:val="TableContents"/>
              <w:bidi w:val="0"/>
              <w:spacing w:before="0" w:after="283"/>
              <w:jc w:val="left"/>
              <w:rPr/>
            </w:pPr>
            <w:r>
              <w:rPr/>
              <w:t xml:space="preserve">Senior Vice President, Treasurer and </w:t>
            </w:r>
          </w:p>
        </w:tc>
      </w:tr>
      <w:tr>
        <w:trPr/>
        <w:tc>
          <w:tcPr>
            <w:tcW w:w="2300" w:type="dxa"/>
            <w:tcBorders/>
            <w:vAlign w:val="center"/>
          </w:tcPr>
          <w:p>
            <w:pPr>
              <w:pStyle w:val="TableContents"/>
              <w:bidi w:val="0"/>
              <w:spacing w:before="0" w:after="283"/>
              <w:jc w:val="left"/>
              <w:rPr/>
            </w:pPr>
            <w:r>
              <w:rPr/>
              <w:t>Chief Executive Officer</w:t>
            </w:r>
          </w:p>
        </w:tc>
        <w:tc>
          <w:tcPr>
            <w:tcW w:w="3575" w:type="dxa"/>
            <w:tcBorders/>
            <w:vAlign w:val="center"/>
          </w:tcPr>
          <w:p>
            <w:pPr>
              <w:pStyle w:val="TableContents"/>
              <w:bidi w:val="0"/>
              <w:spacing w:before="0" w:after="283"/>
              <w:jc w:val="left"/>
              <w:rPr/>
            </w:pPr>
            <w:r>
              <w:rPr/>
              <w:t>Chief Financial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Iselin, New Jersey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29, 2024</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42" w:name="a_027"/>
      <w:bookmarkStart w:id="43" w:name="a_027"/>
      <w:bookmarkEnd w:id="43"/>
    </w:p>
    <w:tbl>
      <w:tblPr>
        <w:tblW w:w="5000" w:type="pct"/>
        <w:jc w:val="left"/>
        <w:tblInd w:w="0" w:type="dxa"/>
        <w:tblLayout w:type="fixed"/>
        <w:tblCellMar>
          <w:top w:w="0" w:type="dxa"/>
          <w:left w:w="0" w:type="dxa"/>
          <w:bottom w:w="0" w:type="dxa"/>
          <w:right w:w="0" w:type="dxa"/>
        </w:tblCellMar>
      </w:tblPr>
      <w:tblGrid>
        <w:gridCol w:w="98"/>
        <w:gridCol w:w="2776"/>
        <w:gridCol w:w="7331"/>
      </w:tblGrid>
      <w:tr>
        <w:trPr/>
        <w:tc>
          <w:tcPr>
            <w:tcW w:w="98" w:type="dxa"/>
            <w:tcBorders/>
            <w:vAlign w:val="center"/>
          </w:tcPr>
          <w:p>
            <w:pPr>
              <w:pStyle w:val="TableContents"/>
              <w:bidi w:val="0"/>
              <w:spacing w:before="0" w:after="283"/>
              <w:jc w:val="left"/>
              <w:rPr>
                <w:sz w:val="4"/>
                <w:szCs w:val="4"/>
              </w:rPr>
            </w:pPr>
            <w:r>
              <w:rPr>
                <w:sz w:val="4"/>
                <w:szCs w:val="4"/>
              </w:rPr>
            </w:r>
          </w:p>
        </w:tc>
        <w:tc>
          <w:tcPr>
            <w:tcW w:w="2776" w:type="dxa"/>
            <w:tcBorders/>
            <w:vAlign w:val="center"/>
          </w:tcPr>
          <w:p>
            <w:pPr>
              <w:pStyle w:val="TableContents"/>
              <w:bidi w:val="0"/>
              <w:spacing w:before="0" w:after="283"/>
              <w:jc w:val="left"/>
              <w:rPr>
                <w:b/>
              </w:rPr>
            </w:pPr>
            <w:r>
              <w:rPr>
                <w:b/>
              </w:rPr>
              <w:t>ITEM 9B.</w:t>
            </w:r>
          </w:p>
        </w:tc>
        <w:tc>
          <w:tcPr>
            <w:tcW w:w="7331" w:type="dxa"/>
            <w:tcBorders/>
            <w:vAlign w:val="center"/>
          </w:tcPr>
          <w:p>
            <w:pPr>
              <w:pStyle w:val="TableContents"/>
              <w:bidi w:val="0"/>
              <w:spacing w:before="0" w:after="283"/>
              <w:jc w:val="left"/>
              <w:rPr>
                <w:b/>
              </w:rPr>
            </w:pPr>
            <w:r>
              <w:rPr>
                <w:b/>
              </w:rPr>
              <w:t>OTHER INFORMATION.</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5"/>
        <w:gridCol w:w="3008"/>
        <w:gridCol w:w="6782"/>
      </w:tblGrid>
      <w:tr>
        <w:trPr/>
        <w:tc>
          <w:tcPr>
            <w:tcW w:w="415" w:type="dxa"/>
            <w:tcBorders/>
            <w:vAlign w:val="center"/>
          </w:tcPr>
          <w:p>
            <w:pPr>
              <w:pStyle w:val="TableContents"/>
              <w:bidi w:val="0"/>
              <w:spacing w:before="0" w:after="283"/>
              <w:jc w:val="left"/>
              <w:rPr>
                <w:sz w:val="4"/>
                <w:szCs w:val="4"/>
              </w:rPr>
            </w:pPr>
            <w:r>
              <w:rPr>
                <w:sz w:val="4"/>
                <w:szCs w:val="4"/>
              </w:rPr>
            </w:r>
          </w:p>
        </w:tc>
        <w:tc>
          <w:tcPr>
            <w:tcW w:w="3008" w:type="dxa"/>
            <w:tcBorders/>
            <w:vAlign w:val="center"/>
          </w:tcPr>
          <w:p>
            <w:pPr>
              <w:pStyle w:val="TableContents"/>
              <w:bidi w:val="0"/>
              <w:spacing w:before="0" w:after="283"/>
              <w:jc w:val="left"/>
              <w:rPr/>
            </w:pPr>
            <w:r>
              <w:rPr/>
              <w:t>(a)</w:t>
            </w:r>
          </w:p>
        </w:tc>
        <w:tc>
          <w:tcPr>
            <w:tcW w:w="6782" w:type="dxa"/>
            <w:tcBorders/>
            <w:vAlign w:val="center"/>
          </w:tcPr>
          <w:p>
            <w:pPr>
              <w:pStyle w:val="TableContents"/>
              <w:bidi w:val="0"/>
              <w:spacing w:before="0" w:after="283"/>
              <w:jc w:val="left"/>
              <w:rPr/>
            </w:pPr>
            <w:r>
              <w:rPr/>
              <w:t>None.</w:t>
            </w:r>
          </w:p>
        </w:tc>
      </w:tr>
    </w:tbl>
    <w:p>
      <w:pPr>
        <w:pStyle w:val="TextBody"/>
        <w:bidi w:val="0"/>
        <w:spacing w:before="0" w:after="0"/>
        <w:ind w:left="36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8"/>
        <w:gridCol w:w="9930"/>
      </w:tblGrid>
      <w:tr>
        <w:trPr/>
        <w:tc>
          <w:tcPr>
            <w:tcW w:w="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(b)</w:t>
            </w:r>
          </w:p>
        </w:tc>
        <w:tc>
          <w:tcPr>
            <w:tcW w:w="9930" w:type="dxa"/>
            <w:tcBorders/>
            <w:vAlign w:val="center"/>
          </w:tcPr>
          <w:p>
            <w:pPr>
              <w:pStyle w:val="TableContents"/>
              <w:bidi w:val="0"/>
              <w:spacing w:before="0" w:after="283"/>
              <w:jc w:val="left"/>
              <w:rPr/>
            </w:pPr>
            <w:r>
              <w:rPr/>
              <w:t>Insider Trading Arrangements and Policies - During the three months ended December 31, 2023, no director or officer of the Company adopted or terminated a “Rule 10b5-1 trading arrangement” or “non-Rule 10b5-1 trading arrangement,” as each term is defined in Item 408(a) of Regulation S-K."</w:t>
            </w:r>
          </w:p>
        </w:tc>
      </w:tr>
    </w:tbl>
    <w:p>
      <w:pPr>
        <w:pStyle w:val="TextBody"/>
        <w:bidi w:val="0"/>
        <w:spacing w:before="0" w:after="0"/>
        <w:ind w:left="0" w:right="0" w:hanging="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44" w:name="a_028"/>
      <w:bookmarkStart w:id="45" w:name="a_028"/>
      <w:bookmarkEnd w:id="45"/>
    </w:p>
    <w:tbl>
      <w:tblPr>
        <w:tblW w:w="5000" w:type="pct"/>
        <w:jc w:val="left"/>
        <w:tblInd w:w="0" w:type="dxa"/>
        <w:tblLayout w:type="fixed"/>
        <w:tblCellMar>
          <w:top w:w="0" w:type="dxa"/>
          <w:left w:w="0" w:type="dxa"/>
          <w:bottom w:w="0" w:type="dxa"/>
          <w:right w:w="0" w:type="dxa"/>
        </w:tblCellMar>
      </w:tblPr>
      <w:tblGrid>
        <w:gridCol w:w="37"/>
        <w:gridCol w:w="1034"/>
        <w:gridCol w:w="9134"/>
      </w:tblGrid>
      <w:tr>
        <w:trPr/>
        <w:tc>
          <w:tcPr>
            <w:tcW w:w="37"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b/>
              </w:rPr>
            </w:pPr>
            <w:r>
              <w:rPr>
                <w:b/>
              </w:rPr>
              <w:t>ITEM 9C.</w:t>
            </w:r>
          </w:p>
        </w:tc>
        <w:tc>
          <w:tcPr>
            <w:tcW w:w="9134" w:type="dxa"/>
            <w:tcBorders/>
            <w:vAlign w:val="center"/>
          </w:tcPr>
          <w:p>
            <w:pPr>
              <w:pStyle w:val="TableContents"/>
              <w:bidi w:val="0"/>
              <w:spacing w:before="0" w:after="283"/>
              <w:jc w:val="left"/>
              <w:rPr>
                <w:b/>
              </w:rPr>
            </w:pPr>
            <w:r>
              <w:rPr>
                <w:b/>
              </w:rPr>
              <w:t>DISCLOSURE REGARDING FOREIGN JURISDICTIONS THAT PREVENT INSPECTIONS.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260" w:right="0" w:hanging="12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74 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6" w:name="a_029"/>
      <w:bookmarkEnd w:id="46"/>
      <w:r>
        <w:rPr>
          <w:rFonts w:ascii="Times New Roman;Times;Serif" w:hAnsi="Times New Roman;Times;Serif"/>
          <w:b/>
          <w:i w:val="false"/>
          <w:caps w:val="false"/>
          <w:smallCaps w:val="false"/>
          <w:sz w:val="20"/>
        </w:rPr>
        <w:t>PART III</w:t>
      </w:r>
    </w:p>
    <w:p>
      <w:pPr>
        <w:pStyle w:val="TextBody"/>
        <w:bidi w:val="0"/>
        <w:spacing w:before="0" w:after="0"/>
        <w:ind w:left="0" w:right="0" w:hanging="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47" w:name="a_030"/>
      <w:bookmarkStart w:id="48" w:name="a_030"/>
      <w:bookmarkEnd w:id="48"/>
    </w:p>
    <w:tbl>
      <w:tblPr>
        <w:tblW w:w="5000" w:type="pct"/>
        <w:jc w:val="left"/>
        <w:tblInd w:w="0" w:type="dxa"/>
        <w:tblLayout w:type="fixed"/>
        <w:tblCellMar>
          <w:top w:w="0" w:type="dxa"/>
          <w:left w:w="0" w:type="dxa"/>
          <w:bottom w:w="0" w:type="dxa"/>
          <w:right w:w="0" w:type="dxa"/>
        </w:tblCellMar>
      </w:tblPr>
      <w:tblGrid>
        <w:gridCol w:w="40"/>
        <w:gridCol w:w="1096"/>
        <w:gridCol w:w="9069"/>
      </w:tblGrid>
      <w:tr>
        <w:trPr/>
        <w:tc>
          <w:tcPr>
            <w:tcW w:w="40"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b/>
              </w:rPr>
            </w:pPr>
            <w:r>
              <w:rPr>
                <w:b/>
              </w:rPr>
              <w:t>ITEM 10.</w:t>
            </w:r>
          </w:p>
        </w:tc>
        <w:tc>
          <w:tcPr>
            <w:tcW w:w="9069" w:type="dxa"/>
            <w:tcBorders/>
            <w:vAlign w:val="center"/>
          </w:tcPr>
          <w:p>
            <w:pPr>
              <w:pStyle w:val="TableContents"/>
              <w:bidi w:val="0"/>
              <w:spacing w:before="0" w:after="283"/>
              <w:jc w:val="left"/>
              <w:rPr>
                <w:b/>
              </w:rPr>
            </w:pPr>
            <w:r>
              <w:rPr>
                <w:b/>
              </w:rPr>
              <w:t>DIRECTORS, EXECUTIVE OFFICERS AND CORPORATE GOVERNANCE.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with respect to Directors of Middlesex Water Company is included in Middlesex Water Company’s Proxy Statement for the 2024 Annual Meeting of Stockholders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regarding the Executive Officers of Middlesex Water Company is included under Item 1. in Part I of this Annual Report.</w:t>
      </w:r>
    </w:p>
    <w:p>
      <w:pPr>
        <w:pStyle w:val="TextBody"/>
        <w:bidi w:val="0"/>
        <w:spacing w:before="0" w:after="0"/>
        <w:ind w:left="0" w:right="0" w:hanging="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49" w:name="a_031"/>
      <w:bookmarkStart w:id="50" w:name="a_031"/>
      <w:bookmarkEnd w:id="50"/>
    </w:p>
    <w:tbl>
      <w:tblPr>
        <w:tblW w:w="5000" w:type="pct"/>
        <w:jc w:val="left"/>
        <w:tblInd w:w="0" w:type="dxa"/>
        <w:tblLayout w:type="fixed"/>
        <w:tblCellMar>
          <w:top w:w="0" w:type="dxa"/>
          <w:left w:w="0" w:type="dxa"/>
          <w:bottom w:w="0" w:type="dxa"/>
          <w:right w:w="0" w:type="dxa"/>
        </w:tblCellMar>
      </w:tblPr>
      <w:tblGrid>
        <w:gridCol w:w="82"/>
        <w:gridCol w:w="2227"/>
        <w:gridCol w:w="7896"/>
      </w:tblGrid>
      <w:tr>
        <w:trPr/>
        <w:tc>
          <w:tcPr>
            <w:tcW w:w="82" w:type="dxa"/>
            <w:tcBorders/>
            <w:vAlign w:val="center"/>
          </w:tcPr>
          <w:p>
            <w:pPr>
              <w:pStyle w:val="TableContents"/>
              <w:bidi w:val="0"/>
              <w:spacing w:before="0" w:after="283"/>
              <w:jc w:val="left"/>
              <w:rPr>
                <w:sz w:val="4"/>
                <w:szCs w:val="4"/>
              </w:rPr>
            </w:pPr>
            <w:r>
              <w:rPr>
                <w:sz w:val="4"/>
                <w:szCs w:val="4"/>
              </w:rPr>
            </w:r>
          </w:p>
        </w:tc>
        <w:tc>
          <w:tcPr>
            <w:tcW w:w="2227" w:type="dxa"/>
            <w:tcBorders/>
            <w:vAlign w:val="center"/>
          </w:tcPr>
          <w:p>
            <w:pPr>
              <w:pStyle w:val="TableContents"/>
              <w:bidi w:val="0"/>
              <w:spacing w:before="0" w:after="283"/>
              <w:jc w:val="left"/>
              <w:rPr>
                <w:b/>
              </w:rPr>
            </w:pPr>
            <w:r>
              <w:rPr>
                <w:b/>
              </w:rPr>
              <w:t>ITEM 11.</w:t>
            </w:r>
          </w:p>
        </w:tc>
        <w:tc>
          <w:tcPr>
            <w:tcW w:w="7896" w:type="dxa"/>
            <w:tcBorders/>
            <w:vAlign w:val="center"/>
          </w:tcPr>
          <w:p>
            <w:pPr>
              <w:pStyle w:val="TableContents"/>
              <w:bidi w:val="0"/>
              <w:spacing w:before="0" w:after="283"/>
              <w:jc w:val="left"/>
              <w:rPr>
                <w:b/>
              </w:rPr>
            </w:pPr>
            <w:r>
              <w:rPr>
                <w:b/>
              </w:rPr>
              <w:t>EXECUTIVE COMPENSATION.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Information for Middlesex Water Company is included in Middlesex Water Company’s Proxy Statement for the 2023 Annual Meeting of Stockholders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51" w:name="a_032"/>
      <w:bookmarkStart w:id="52" w:name="a_032"/>
      <w:bookmarkEnd w:id="52"/>
    </w:p>
    <w:tbl>
      <w:tblPr>
        <w:tblW w:w="5000" w:type="pct"/>
        <w:jc w:val="left"/>
        <w:tblInd w:w="0" w:type="dxa"/>
        <w:tblLayout w:type="fixed"/>
        <w:tblCellMar>
          <w:top w:w="0" w:type="dxa"/>
          <w:left w:w="0" w:type="dxa"/>
          <w:bottom w:w="0" w:type="dxa"/>
          <w:right w:w="0" w:type="dxa"/>
        </w:tblCellMar>
      </w:tblPr>
      <w:tblGrid>
        <w:gridCol w:w="37"/>
        <w:gridCol w:w="870"/>
        <w:gridCol w:w="9298"/>
      </w:tblGrid>
      <w:tr>
        <w:trPr/>
        <w:tc>
          <w:tcPr>
            <w:tcW w:w="37"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b/>
              </w:rPr>
            </w:pPr>
            <w:r>
              <w:rPr>
                <w:b/>
              </w:rPr>
              <w:t>ITEM 12.</w:t>
            </w:r>
          </w:p>
        </w:tc>
        <w:tc>
          <w:tcPr>
            <w:tcW w:w="9298" w:type="dxa"/>
            <w:tcBorders/>
            <w:vAlign w:val="center"/>
          </w:tcPr>
          <w:p>
            <w:pPr>
              <w:pStyle w:val="TableContents"/>
              <w:bidi w:val="0"/>
              <w:spacing w:before="0" w:after="283"/>
              <w:jc w:val="left"/>
              <w:rPr>
                <w:b/>
              </w:rPr>
            </w:pPr>
            <w:r>
              <w:rPr>
                <w:b/>
              </w:rPr>
              <w:t>SECURITY OWNERSHIP OF CERTAIN BENEFICIAL OWNERS AND MANAGEMENT AND RELATED STOCKHOLDER MATTERS.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information for Middlesex Water Company is included in Middlesex Water Company’s Proxy Statement for the 2024 Annual Meeting of Stockholders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53" w:name="a_033"/>
      <w:bookmarkStart w:id="54" w:name="a_033"/>
      <w:bookmarkEnd w:id="54"/>
    </w:p>
    <w:tbl>
      <w:tblPr>
        <w:tblW w:w="5000" w:type="pct"/>
        <w:jc w:val="left"/>
        <w:tblInd w:w="0" w:type="dxa"/>
        <w:tblLayout w:type="fixed"/>
        <w:tblCellMar>
          <w:top w:w="0" w:type="dxa"/>
          <w:left w:w="0" w:type="dxa"/>
          <w:bottom w:w="0" w:type="dxa"/>
          <w:right w:w="0" w:type="dxa"/>
        </w:tblCellMar>
      </w:tblPr>
      <w:tblGrid>
        <w:gridCol w:w="37"/>
        <w:gridCol w:w="945"/>
        <w:gridCol w:w="9223"/>
      </w:tblGrid>
      <w:tr>
        <w:trPr/>
        <w:tc>
          <w:tcPr>
            <w:tcW w:w="37"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b/>
              </w:rPr>
            </w:pPr>
            <w:r>
              <w:rPr>
                <w:b/>
              </w:rPr>
              <w:t>ITEM 13.</w:t>
            </w:r>
          </w:p>
        </w:tc>
        <w:tc>
          <w:tcPr>
            <w:tcW w:w="9223" w:type="dxa"/>
            <w:tcBorders/>
            <w:vAlign w:val="center"/>
          </w:tcPr>
          <w:p>
            <w:pPr>
              <w:pStyle w:val="TableContents"/>
              <w:bidi w:val="0"/>
              <w:spacing w:before="0" w:after="283"/>
              <w:jc w:val="left"/>
              <w:rPr>
                <w:b/>
              </w:rPr>
            </w:pPr>
            <w:r>
              <w:rPr>
                <w:b/>
              </w:rPr>
              <w:t>CERTAIN RELATIONSHIPS AND RELATED TRANSACTIONS, AND DIRECTOR INDEPENDENCE.</w:t>
            </w:r>
          </w:p>
        </w:tc>
      </w:tr>
    </w:tbl>
    <w:p>
      <w:pPr>
        <w:pStyle w:val="TextBody"/>
        <w:bidi w:val="0"/>
        <w:spacing w:before="0" w:after="0"/>
        <w:ind w:left="450" w:right="0" w:hanging="45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information for Middlesex Water Company is included in Middlesex Water Company’s Proxy Statement for the 2024 Annual Meeting of Stockholders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55" w:name="a_034"/>
      <w:bookmarkStart w:id="56" w:name="a_034"/>
      <w:bookmarkEnd w:id="56"/>
    </w:p>
    <w:tbl>
      <w:tblPr>
        <w:tblW w:w="5000" w:type="pct"/>
        <w:jc w:val="left"/>
        <w:tblInd w:w="0" w:type="dxa"/>
        <w:tblLayout w:type="fixed"/>
        <w:tblCellMar>
          <w:top w:w="0" w:type="dxa"/>
          <w:left w:w="0" w:type="dxa"/>
          <w:bottom w:w="0" w:type="dxa"/>
          <w:right w:w="0" w:type="dxa"/>
        </w:tblCellMar>
      </w:tblPr>
      <w:tblGrid>
        <w:gridCol w:w="55"/>
        <w:gridCol w:w="1512"/>
        <w:gridCol w:w="8638"/>
      </w:tblGrid>
      <w:tr>
        <w:trPr/>
        <w:tc>
          <w:tcPr>
            <w:tcW w:w="55"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b/>
              </w:rPr>
            </w:pPr>
            <w:r>
              <w:rPr>
                <w:b/>
              </w:rPr>
              <w:t>ITEM 14.</w:t>
            </w:r>
          </w:p>
        </w:tc>
        <w:tc>
          <w:tcPr>
            <w:tcW w:w="8638" w:type="dxa"/>
            <w:tcBorders/>
            <w:vAlign w:val="center"/>
          </w:tcPr>
          <w:p>
            <w:pPr>
              <w:pStyle w:val="TableContents"/>
              <w:bidi w:val="0"/>
              <w:spacing w:before="0" w:after="283"/>
              <w:jc w:val="left"/>
              <w:rPr>
                <w:b/>
              </w:rPr>
            </w:pPr>
            <w:r>
              <w:rPr>
                <w:b/>
              </w:rPr>
              <w:t>PRINCIPAL ACCOUNTANT FEES AND SERVICES.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information for Middlesex Water Company is included in Middlesex Water Company’s Proxy Statement for the 2024 Annual Meeting of Stockholders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7" w:name="a_035"/>
      <w:bookmarkEnd w:id="57"/>
      <w:r>
        <w:rPr>
          <w:rFonts w:ascii="Times New Roman;Times;Serif" w:hAnsi="Times New Roman;Times;Serif"/>
          <w:b/>
          <w:i w:val="false"/>
          <w:caps w:val="false"/>
          <w:smallCaps w:val="false"/>
          <w:sz w:val="20"/>
        </w:rPr>
        <w:t>PART IV</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58" w:name="a_036"/>
      <w:bookmarkStart w:id="59" w:name="a_036"/>
      <w:bookmarkEnd w:id="59"/>
    </w:p>
    <w:tbl>
      <w:tblPr>
        <w:tblW w:w="7533" w:type="dxa"/>
        <w:jc w:val="left"/>
        <w:tblInd w:w="0" w:type="dxa"/>
        <w:tblLayout w:type="fixed"/>
        <w:tblCellMar>
          <w:top w:w="0" w:type="dxa"/>
          <w:left w:w="0" w:type="dxa"/>
          <w:bottom w:w="0" w:type="dxa"/>
          <w:right w:w="0" w:type="dxa"/>
        </w:tblCellMar>
      </w:tblPr>
      <w:tblGrid>
        <w:gridCol w:w="38"/>
        <w:gridCol w:w="1025"/>
        <w:gridCol w:w="6470"/>
      </w:tblGrid>
      <w:tr>
        <w:trPr/>
        <w:tc>
          <w:tcPr>
            <w:tcW w:w="3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b/>
              </w:rPr>
            </w:pPr>
            <w:r>
              <w:rPr>
                <w:b/>
              </w:rPr>
              <w:t>ITEM 15.</w:t>
            </w:r>
          </w:p>
        </w:tc>
        <w:tc>
          <w:tcPr>
            <w:tcW w:w="6470" w:type="dxa"/>
            <w:tcBorders/>
            <w:vAlign w:val="center"/>
          </w:tcPr>
          <w:p>
            <w:pPr>
              <w:pStyle w:val="TableContents"/>
              <w:bidi w:val="0"/>
              <w:spacing w:before="0" w:after="283"/>
              <w:jc w:val="left"/>
              <w:rPr>
                <w:b/>
              </w:rPr>
            </w:pPr>
            <w:r>
              <w:rPr>
                <w:b/>
              </w:rPr>
              <w:t>EXHIBITS AND FINANCIAL STATEMENT SCHEDULES.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4"/>
        <w:gridCol w:w="9974"/>
      </w:tblGrid>
      <w:tr>
        <w:trPr/>
        <w:tc>
          <w:tcPr>
            <w:tcW w:w="3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pPr>
            <w:r>
              <w:rPr/>
              <w:t>1.</w:t>
            </w:r>
          </w:p>
        </w:tc>
        <w:tc>
          <w:tcPr>
            <w:tcW w:w="9974" w:type="dxa"/>
            <w:tcBorders/>
            <w:vAlign w:val="center"/>
          </w:tcPr>
          <w:p>
            <w:pPr>
              <w:pStyle w:val="TableContents"/>
              <w:bidi w:val="0"/>
              <w:spacing w:before="0" w:after="283"/>
              <w:jc w:val="left"/>
              <w:rPr/>
            </w:pPr>
            <w:r>
              <w:rPr/>
              <w:t>The following Financial Statements and Supplementary Data are included in Part II- Item 8. of this Annual Report:</w:t>
            </w:r>
          </w:p>
        </w:tc>
      </w:tr>
    </w:tbl>
    <w:p>
      <w:pPr>
        <w:pStyle w:val="TextBody"/>
        <w:bidi w:val="0"/>
        <w:spacing w:before="0" w:after="0"/>
        <w:ind w:left="994" w:right="0" w:hanging="0"/>
        <w:jc w:val="left"/>
        <w:rPr>
          <w:caps w:val="false"/>
          <w:smallCaps w:val="false"/>
        </w:rPr>
      </w:pPr>
      <w:r>
        <w:rPr>
          <w:caps w:val="false"/>
          <w:smallCaps w:val="false"/>
        </w:rPr>
        <w:t> </w:t>
      </w:r>
    </w:p>
    <w:p>
      <w:pPr>
        <w:pStyle w:val="TextBody"/>
        <w:bidi w:val="0"/>
        <w:spacing w:before="0" w:after="0"/>
        <w:ind w:left="994"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Consolidated Balance Sheets at December 31, 2023 and 2022.</w:t>
      </w:r>
    </w:p>
    <w:p>
      <w:pPr>
        <w:pStyle w:val="TextBody"/>
        <w:bidi w:val="0"/>
        <w:spacing w:before="0" w:after="0"/>
        <w:ind w:left="994" w:right="0" w:hanging="0"/>
        <w:jc w:val="left"/>
        <w:rPr>
          <w:caps w:val="false"/>
          <w:smallCaps w:val="false"/>
        </w:rPr>
      </w:pPr>
      <w:r>
        <w:rPr>
          <w:caps w:val="false"/>
          <w:smallCaps w:val="false"/>
        </w:rPr>
        <w:t> </w:t>
      </w:r>
    </w:p>
    <w:p>
      <w:pPr>
        <w:pStyle w:val="TextBody"/>
        <w:bidi w:val="0"/>
        <w:spacing w:before="0" w:after="0"/>
        <w:ind w:left="99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Consolidated Statements of Income for each of the three years in the period ended</w:t>
      </w:r>
    </w:p>
    <w:p>
      <w:pPr>
        <w:pStyle w:val="TextBody"/>
        <w:bidi w:val="0"/>
        <w:spacing w:before="0" w:after="0"/>
        <w:ind w:left="994"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 2023.</w:t>
      </w:r>
    </w:p>
    <w:p>
      <w:pPr>
        <w:pStyle w:val="TextBody"/>
        <w:bidi w:val="0"/>
        <w:spacing w:before="0" w:after="0"/>
        <w:ind w:left="994" w:right="0" w:hanging="0"/>
        <w:jc w:val="left"/>
        <w:rPr>
          <w:caps w:val="false"/>
          <w:smallCaps w:val="false"/>
        </w:rPr>
      </w:pPr>
      <w:r>
        <w:rPr>
          <w:caps w:val="false"/>
          <w:smallCaps w:val="false"/>
        </w:rPr>
        <w:t> </w:t>
      </w:r>
    </w:p>
    <w:p>
      <w:pPr>
        <w:pStyle w:val="TextBody"/>
        <w:bidi w:val="0"/>
        <w:spacing w:before="0" w:after="0"/>
        <w:ind w:left="99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Consolidated Statements of Cash Flows for each of the three years in the period ended</w:t>
      </w:r>
    </w:p>
    <w:p>
      <w:pPr>
        <w:pStyle w:val="TextBody"/>
        <w:bidi w:val="0"/>
        <w:spacing w:before="0" w:after="0"/>
        <w:ind w:left="994"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 2023.</w:t>
      </w:r>
    </w:p>
    <w:p>
      <w:pPr>
        <w:pStyle w:val="TextBody"/>
        <w:bidi w:val="0"/>
        <w:spacing w:before="0" w:after="0"/>
        <w:ind w:left="994" w:right="0" w:hanging="0"/>
        <w:jc w:val="left"/>
        <w:rPr>
          <w:caps w:val="false"/>
          <w:smallCaps w:val="false"/>
        </w:rPr>
      </w:pPr>
      <w:r>
        <w:rPr>
          <w:caps w:val="false"/>
          <w:smallCaps w:val="false"/>
        </w:rPr>
        <w:t> </w:t>
      </w:r>
    </w:p>
    <w:p>
      <w:pPr>
        <w:pStyle w:val="TextBody"/>
        <w:bidi w:val="0"/>
        <w:spacing w:before="0" w:after="0"/>
        <w:ind w:left="994"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Consolidated Statements of Capital Stock and Long-term Debt as of December 31, 2023 and 2022.</w:t>
      </w:r>
    </w:p>
    <w:p>
      <w:pPr>
        <w:pStyle w:val="TextBody"/>
        <w:bidi w:val="0"/>
        <w:spacing w:before="0" w:after="0"/>
        <w:ind w:left="994" w:right="0" w:hanging="0"/>
        <w:jc w:val="left"/>
        <w:rPr>
          <w:caps w:val="false"/>
          <w:smallCaps w:val="false"/>
        </w:rPr>
      </w:pPr>
      <w:r>
        <w:rPr>
          <w:caps w:val="false"/>
          <w:smallCaps w:val="false"/>
        </w:rPr>
        <w:t> </w:t>
      </w:r>
    </w:p>
    <w:p>
      <w:pPr>
        <w:pStyle w:val="TextBody"/>
        <w:bidi w:val="0"/>
        <w:spacing w:before="0" w:after="0"/>
        <w:ind w:left="994"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Consolidated Statements of Common Stockholders’ Equity for each of the three years in the period ended December 31, 2023.</w:t>
      </w:r>
    </w:p>
    <w:p>
      <w:pPr>
        <w:pStyle w:val="TextBody"/>
        <w:bidi w:val="0"/>
        <w:spacing w:before="0" w:after="0"/>
        <w:ind w:left="994" w:right="0" w:hanging="0"/>
        <w:jc w:val="left"/>
        <w:rPr>
          <w:caps w:val="false"/>
          <w:smallCaps w:val="false"/>
        </w:rPr>
      </w:pPr>
      <w:r>
        <w:rPr>
          <w:caps w:val="false"/>
          <w:smallCaps w:val="false"/>
        </w:rPr>
        <w:t> </w:t>
      </w:r>
    </w:p>
    <w:p>
      <w:pPr>
        <w:pStyle w:val="TextBody"/>
        <w:bidi w:val="0"/>
        <w:spacing w:before="0" w:after="0"/>
        <w:ind w:left="99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w:t>
      </w:r>
    </w:p>
    <w:p>
      <w:pPr>
        <w:pStyle w:val="TextBody"/>
        <w:bidi w:val="0"/>
        <w:spacing w:before="0" w:after="0"/>
        <w:ind w:left="0" w:right="0" w:hanging="0"/>
        <w:jc w:val="both"/>
        <w:rPr>
          <w:caps w:val="false"/>
          <w:smallCaps w:val="false"/>
        </w:rPr>
      </w:pPr>
      <w:r>
        <w:rPr>
          <w:caps w:val="false"/>
          <w:smallCaps w:val="false"/>
        </w:rPr>
        <w:t> </w:t>
      </w:r>
    </w:p>
    <w:tbl>
      <w:tblPr>
        <w:tblW w:w="3100" w:type="dxa"/>
        <w:jc w:val="left"/>
        <w:tblInd w:w="0" w:type="dxa"/>
        <w:tblLayout w:type="fixed"/>
        <w:tblCellMar>
          <w:top w:w="0" w:type="dxa"/>
          <w:left w:w="0" w:type="dxa"/>
          <w:bottom w:w="0" w:type="dxa"/>
          <w:right w:w="0" w:type="dxa"/>
        </w:tblCellMar>
      </w:tblPr>
      <w:tblGrid>
        <w:gridCol w:w="200"/>
        <w:gridCol w:w="2900"/>
      </w:tblGrid>
      <w:tr>
        <w:trPr/>
        <w:tc>
          <w:tcPr>
            <w:tcW w:w="200" w:type="dxa"/>
            <w:tcBorders/>
            <w:vAlign w:val="center"/>
          </w:tcPr>
          <w:p>
            <w:pPr>
              <w:pStyle w:val="TableContents"/>
              <w:bidi w:val="0"/>
              <w:spacing w:before="0" w:after="283"/>
              <w:jc w:val="left"/>
              <w:rPr/>
            </w:pPr>
            <w:r>
              <w:rPr/>
              <w:t>2.</w:t>
            </w:r>
          </w:p>
        </w:tc>
        <w:tc>
          <w:tcPr>
            <w:tcW w:w="2900" w:type="dxa"/>
            <w:tcBorders/>
            <w:vAlign w:val="center"/>
          </w:tcPr>
          <w:p>
            <w:pPr>
              <w:pStyle w:val="TableContents"/>
              <w:bidi w:val="0"/>
              <w:spacing w:before="0" w:after="283"/>
              <w:jc w:val="left"/>
              <w:rPr>
                <w:u w:val="single"/>
              </w:rPr>
            </w:pPr>
            <w:r>
              <w:rPr>
                <w:u w:val="single"/>
              </w:rPr>
              <w:t>Financial Statement Schedules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99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Schedules are omitted because of the absence of the conditions under which they are required or because the required information is shown in the financial statements or notes thereto.</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68"/>
        <w:gridCol w:w="1938"/>
        <w:gridCol w:w="7899"/>
      </w:tblGrid>
      <w:tr>
        <w:trPr/>
        <w:tc>
          <w:tcPr>
            <w:tcW w:w="368" w:type="dxa"/>
            <w:tcBorders/>
            <w:vAlign w:val="center"/>
          </w:tcPr>
          <w:p>
            <w:pPr>
              <w:pStyle w:val="TableContents"/>
              <w:bidi w:val="0"/>
              <w:spacing w:before="0" w:after="283"/>
              <w:jc w:val="left"/>
              <w:rPr>
                <w:sz w:val="4"/>
                <w:szCs w:val="4"/>
              </w:rPr>
            </w:pPr>
            <w:r>
              <w:rPr>
                <w:sz w:val="4"/>
                <w:szCs w:val="4"/>
              </w:rPr>
            </w:r>
          </w:p>
        </w:tc>
        <w:tc>
          <w:tcPr>
            <w:tcW w:w="1938" w:type="dxa"/>
            <w:tcBorders/>
            <w:vAlign w:val="center"/>
          </w:tcPr>
          <w:p>
            <w:pPr>
              <w:pStyle w:val="TableContents"/>
              <w:bidi w:val="0"/>
              <w:spacing w:before="0" w:after="283"/>
              <w:jc w:val="left"/>
              <w:rPr/>
            </w:pPr>
            <w:r>
              <w:rPr/>
              <w:t>3.</w:t>
            </w:r>
          </w:p>
        </w:tc>
        <w:tc>
          <w:tcPr>
            <w:tcW w:w="7899" w:type="dxa"/>
            <w:tcBorders/>
            <w:vAlign w:val="center"/>
          </w:tcPr>
          <w:p>
            <w:pPr>
              <w:pStyle w:val="TableContents"/>
              <w:bidi w:val="0"/>
              <w:spacing w:before="0" w:after="283"/>
              <w:jc w:val="left"/>
              <w:rPr>
                <w:u w:val="single"/>
              </w:rPr>
            </w:pPr>
            <w:r>
              <w:rPr>
                <w:u w:val="single"/>
              </w:rPr>
              <w:t>Exhibits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9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Exhibit listing immediately following the signature page.</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60" w:name="a_037"/>
      <w:bookmarkStart w:id="61" w:name="a_037"/>
      <w:bookmarkEnd w:id="61"/>
    </w:p>
    <w:tbl>
      <w:tblPr>
        <w:tblW w:w="3813" w:type="dxa"/>
        <w:jc w:val="left"/>
        <w:tblInd w:w="0" w:type="dxa"/>
        <w:tblLayout w:type="fixed"/>
        <w:tblCellMar>
          <w:top w:w="0" w:type="dxa"/>
          <w:left w:w="0" w:type="dxa"/>
          <w:bottom w:w="0" w:type="dxa"/>
          <w:right w:w="0" w:type="dxa"/>
        </w:tblCellMar>
      </w:tblPr>
      <w:tblGrid>
        <w:gridCol w:w="38"/>
        <w:gridCol w:w="1025"/>
        <w:gridCol w:w="2750"/>
      </w:tblGrid>
      <w:tr>
        <w:trPr/>
        <w:tc>
          <w:tcPr>
            <w:tcW w:w="3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b/>
              </w:rPr>
            </w:pPr>
            <w:r>
              <w:rPr>
                <w:b/>
              </w:rPr>
              <w:t>ITEM 16.</w:t>
            </w:r>
          </w:p>
        </w:tc>
        <w:tc>
          <w:tcPr>
            <w:tcW w:w="2750" w:type="dxa"/>
            <w:tcBorders/>
            <w:vAlign w:val="center"/>
          </w:tcPr>
          <w:p>
            <w:pPr>
              <w:pStyle w:val="TableContents"/>
              <w:bidi w:val="0"/>
              <w:spacing w:before="0" w:after="283"/>
              <w:jc w:val="left"/>
              <w:rPr>
                <w:b/>
              </w:rPr>
            </w:pPr>
            <w:r>
              <w:rPr>
                <w:b/>
              </w:rPr>
              <w:t>FORM 10-K SUMMARY.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2" w:name="a_038"/>
      <w:bookmarkEnd w:id="62"/>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Section 13 or 15(d) of the Securities and Exchange Act of 1934, the registrant has duly caused this report to be signed on its behalf by the undersigned, thereunto duly authorized.</w:t>
      </w:r>
    </w:p>
    <w:p>
      <w:pPr>
        <w:pStyle w:val="TextBody"/>
        <w:bidi w:val="0"/>
        <w:spacing w:before="0" w:after="0"/>
        <w:ind w:left="0" w:right="0" w:hanging="0"/>
        <w:jc w:val="both"/>
        <w:rPr>
          <w:caps w:val="false"/>
          <w:smallCaps w:val="false"/>
        </w:rPr>
      </w:pPr>
      <w:r>
        <w:rPr>
          <w:caps w:val="false"/>
          <w:smallCaps w:val="false"/>
        </w:rPr>
        <w:t> </w:t>
      </w:r>
    </w:p>
    <w:tbl>
      <w:tblPr>
        <w:tblW w:w="3739" w:type="dxa"/>
        <w:jc w:val="left"/>
        <w:tblInd w:w="0" w:type="dxa"/>
        <w:tblLayout w:type="fixed"/>
        <w:tblCellMar>
          <w:top w:w="0" w:type="dxa"/>
          <w:left w:w="0" w:type="dxa"/>
          <w:bottom w:w="0" w:type="dxa"/>
          <w:right w:w="0" w:type="dxa"/>
        </w:tblCellMar>
      </w:tblPr>
      <w:tblGrid>
        <w:gridCol w:w="485"/>
        <w:gridCol w:w="3179"/>
        <w:gridCol w:w="75"/>
      </w:tblGrid>
      <w:tr>
        <w:trPr/>
        <w:tc>
          <w:tcPr>
            <w:tcW w:w="3664" w:type="dxa"/>
            <w:gridSpan w:val="2"/>
            <w:tcBorders/>
            <w:vAlign w:val="center"/>
          </w:tcPr>
          <w:p>
            <w:pPr>
              <w:pStyle w:val="TableContents"/>
              <w:bidi w:val="0"/>
              <w:spacing w:before="0" w:after="283"/>
              <w:jc w:val="left"/>
              <w:rPr/>
            </w:pPr>
            <w:r>
              <w:rPr/>
              <w:t>MIDDLESEX WATER COMPANY</w:t>
            </w:r>
          </w:p>
        </w:tc>
        <w:tc>
          <w:tcPr>
            <w:tcW w:w="75" w:type="dxa"/>
            <w:tcBorders/>
            <w:vAlign w:val="center"/>
          </w:tcPr>
          <w:p>
            <w:pPr>
              <w:pStyle w:val="TableContents"/>
              <w:bidi w:val="0"/>
              <w:spacing w:before="0" w:after="283"/>
              <w:jc w:val="left"/>
              <w:rPr/>
            </w:pPr>
            <w:r>
              <w:rPr/>
              <w:t> </w:t>
            </w:r>
          </w:p>
        </w:tc>
      </w:tr>
      <w:tr>
        <w:trPr/>
        <w:tc>
          <w:tcPr>
            <w:tcW w:w="485" w:type="dxa"/>
            <w:tcBorders/>
            <w:vAlign w:val="center"/>
          </w:tcPr>
          <w:p>
            <w:pPr>
              <w:pStyle w:val="TableContents"/>
              <w:bidi w:val="0"/>
              <w:spacing w:before="0" w:after="283"/>
              <w:jc w:val="left"/>
              <w:rPr/>
            </w:pPr>
            <w:r>
              <w:rPr/>
              <w:t> </w:t>
            </w:r>
          </w:p>
        </w:tc>
        <w:tc>
          <w:tcPr>
            <w:tcW w:w="3179"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85" w:type="dxa"/>
            <w:tcBorders/>
            <w:vAlign w:val="center"/>
          </w:tcPr>
          <w:p>
            <w:pPr>
              <w:pStyle w:val="TableContents"/>
              <w:bidi w:val="0"/>
              <w:spacing w:before="0" w:after="283"/>
              <w:jc w:val="left"/>
              <w:rPr>
                <w:sz w:val="20"/>
              </w:rPr>
            </w:pPr>
            <w:r>
              <w:rPr>
                <w:sz w:val="20"/>
              </w:rPr>
              <w:t>By:</w:t>
            </w:r>
          </w:p>
        </w:tc>
        <w:tc>
          <w:tcPr>
            <w:tcW w:w="3179" w:type="dxa"/>
            <w:tcBorders>
              <w:bottom w:val="single" w:sz="8" w:space="0" w:color="000000"/>
            </w:tcBorders>
            <w:tcMar>
              <w:bottom w:w="28" w:type="dxa"/>
            </w:tcMar>
            <w:vAlign w:val="center"/>
          </w:tcPr>
          <w:p>
            <w:pPr>
              <w:pStyle w:val="TableContents"/>
              <w:bidi w:val="0"/>
              <w:spacing w:before="0" w:after="283"/>
              <w:jc w:val="left"/>
              <w:rPr>
                <w:sz w:val="20"/>
              </w:rPr>
            </w:pPr>
            <w:r>
              <w:rPr>
                <w:sz w:val="20"/>
              </w:rPr>
              <w:t>/s/ Dennis W. Doll</w:t>
            </w:r>
          </w:p>
        </w:tc>
        <w:tc>
          <w:tcPr>
            <w:tcW w:w="75" w:type="dxa"/>
            <w:tcBorders/>
            <w:vAlign w:val="center"/>
          </w:tcPr>
          <w:p>
            <w:pPr>
              <w:pStyle w:val="TableContents"/>
              <w:bidi w:val="0"/>
              <w:spacing w:before="0" w:after="283"/>
              <w:jc w:val="left"/>
              <w:rPr/>
            </w:pPr>
            <w:r>
              <w:rPr/>
              <w:t> </w:t>
            </w:r>
          </w:p>
        </w:tc>
      </w:tr>
      <w:tr>
        <w:trPr/>
        <w:tc>
          <w:tcPr>
            <w:tcW w:w="485" w:type="dxa"/>
            <w:tcBorders/>
            <w:vAlign w:val="center"/>
          </w:tcPr>
          <w:p>
            <w:pPr>
              <w:pStyle w:val="TableContents"/>
              <w:bidi w:val="0"/>
              <w:spacing w:before="0" w:after="283"/>
              <w:jc w:val="left"/>
              <w:rPr/>
            </w:pPr>
            <w:r>
              <w:rPr/>
              <w:t> </w:t>
            </w:r>
          </w:p>
        </w:tc>
        <w:tc>
          <w:tcPr>
            <w:tcW w:w="3179" w:type="dxa"/>
            <w:tcBorders/>
            <w:vAlign w:val="center"/>
          </w:tcPr>
          <w:p>
            <w:pPr>
              <w:pStyle w:val="TableContents"/>
              <w:bidi w:val="0"/>
              <w:spacing w:before="0" w:after="283"/>
              <w:jc w:val="left"/>
              <w:rPr>
                <w:sz w:val="20"/>
              </w:rPr>
            </w:pPr>
            <w:r>
              <w:rPr>
                <w:sz w:val="20"/>
              </w:rPr>
              <w:t>Dennis W. Doll</w:t>
            </w:r>
          </w:p>
        </w:tc>
        <w:tc>
          <w:tcPr>
            <w:tcW w:w="75" w:type="dxa"/>
            <w:tcBorders/>
            <w:vAlign w:val="center"/>
          </w:tcPr>
          <w:p>
            <w:pPr>
              <w:pStyle w:val="TableContents"/>
              <w:bidi w:val="0"/>
              <w:spacing w:before="0" w:after="283"/>
              <w:jc w:val="left"/>
              <w:rPr/>
            </w:pPr>
            <w:r>
              <w:rPr/>
              <w:t> </w:t>
            </w:r>
          </w:p>
        </w:tc>
      </w:tr>
      <w:tr>
        <w:trPr/>
        <w:tc>
          <w:tcPr>
            <w:tcW w:w="485" w:type="dxa"/>
            <w:tcBorders/>
            <w:vAlign w:val="center"/>
          </w:tcPr>
          <w:p>
            <w:pPr>
              <w:pStyle w:val="TableContents"/>
              <w:bidi w:val="0"/>
              <w:spacing w:before="0" w:after="283"/>
              <w:jc w:val="left"/>
              <w:rPr/>
            </w:pPr>
            <w:r>
              <w:rPr/>
              <w:t> </w:t>
            </w:r>
          </w:p>
        </w:tc>
        <w:tc>
          <w:tcPr>
            <w:tcW w:w="3179" w:type="dxa"/>
            <w:tcBorders/>
            <w:vAlign w:val="center"/>
          </w:tcPr>
          <w:p>
            <w:pPr>
              <w:pStyle w:val="TableContents"/>
              <w:bidi w:val="0"/>
              <w:spacing w:before="0" w:after="283"/>
              <w:jc w:val="left"/>
              <w:rPr>
                <w:sz w:val="20"/>
              </w:rPr>
            </w:pPr>
            <w:r>
              <w:rPr>
                <w:sz w:val="20"/>
              </w:rPr>
              <w:t>President and Chief Executive Officer</w:t>
            </w:r>
          </w:p>
        </w:tc>
        <w:tc>
          <w:tcPr>
            <w:tcW w:w="75" w:type="dxa"/>
            <w:tcBorders/>
            <w:vAlign w:val="center"/>
          </w:tcPr>
          <w:p>
            <w:pPr>
              <w:pStyle w:val="TableContents"/>
              <w:bidi w:val="0"/>
              <w:spacing w:before="0" w:after="283"/>
              <w:jc w:val="left"/>
              <w:rPr/>
            </w:pPr>
            <w:r>
              <w:rPr/>
              <w:t> </w:t>
            </w:r>
          </w:p>
        </w:tc>
      </w:tr>
      <w:tr>
        <w:trPr/>
        <w:tc>
          <w:tcPr>
            <w:tcW w:w="485" w:type="dxa"/>
            <w:tcBorders/>
            <w:vAlign w:val="center"/>
          </w:tcPr>
          <w:p>
            <w:pPr>
              <w:pStyle w:val="TableContents"/>
              <w:bidi w:val="0"/>
              <w:spacing w:before="0" w:after="283"/>
              <w:jc w:val="left"/>
              <w:rPr>
                <w:sz w:val="20"/>
              </w:rPr>
            </w:pPr>
            <w:r>
              <w:rPr>
                <w:sz w:val="20"/>
              </w:rPr>
              <w:t>Date:</w:t>
            </w:r>
          </w:p>
        </w:tc>
        <w:tc>
          <w:tcPr>
            <w:tcW w:w="3179" w:type="dxa"/>
            <w:tcBorders/>
            <w:vAlign w:val="center"/>
          </w:tcPr>
          <w:p>
            <w:pPr>
              <w:pStyle w:val="TableContents"/>
              <w:bidi w:val="0"/>
              <w:spacing w:before="0" w:after="283"/>
              <w:jc w:val="left"/>
              <w:rPr>
                <w:sz w:val="20"/>
              </w:rPr>
            </w:pPr>
            <w:r>
              <w:rPr>
                <w:sz w:val="20"/>
              </w:rPr>
              <w:t>February 29, 2024</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and Exchange Act of 1934, this report has been signed below by the following persons on behalf of the registrant and in the capacities indicated on February 29, 2024.</w:t>
      </w:r>
    </w:p>
    <w:p>
      <w:pPr>
        <w:pStyle w:val="TextBody"/>
        <w:bidi w:val="0"/>
        <w:spacing w:before="0" w:after="0"/>
        <w:ind w:left="0" w:right="0" w:hanging="0"/>
        <w:jc w:val="both"/>
        <w:rPr>
          <w:caps w:val="false"/>
          <w:smallCaps w:val="false"/>
        </w:rPr>
      </w:pPr>
      <w:r>
        <w:rPr>
          <w:caps w:val="false"/>
          <w:smallCaps w:val="false"/>
        </w:rPr>
        <w:t> </w:t>
      </w:r>
    </w:p>
    <w:tbl>
      <w:tblPr>
        <w:tblW w:w="6175" w:type="dxa"/>
        <w:jc w:val="left"/>
        <w:tblInd w:w="0" w:type="dxa"/>
        <w:tblLayout w:type="fixed"/>
        <w:tblCellMar>
          <w:top w:w="0" w:type="dxa"/>
          <w:left w:w="0" w:type="dxa"/>
          <w:bottom w:w="0" w:type="dxa"/>
          <w:right w:w="0" w:type="dxa"/>
        </w:tblCellMar>
      </w:tblPr>
      <w:tblGrid>
        <w:gridCol w:w="335"/>
        <w:gridCol w:w="5765"/>
        <w:gridCol w:w="75"/>
      </w:tblGrid>
      <w:tr>
        <w:trPr/>
        <w:tc>
          <w:tcPr>
            <w:tcW w:w="335" w:type="dxa"/>
            <w:tcBorders/>
            <w:vAlign w:val="center"/>
          </w:tcPr>
          <w:p>
            <w:pPr>
              <w:pStyle w:val="TableContents"/>
              <w:bidi w:val="0"/>
              <w:spacing w:before="0" w:after="283"/>
              <w:jc w:val="left"/>
              <w:rPr>
                <w:sz w:val="20"/>
              </w:rPr>
            </w:pPr>
            <w:r>
              <w:rPr>
                <w:sz w:val="20"/>
              </w:rPr>
              <w:t>By:</w:t>
            </w:r>
          </w:p>
        </w:tc>
        <w:tc>
          <w:tcPr>
            <w:tcW w:w="576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A. Bruce O’Connor</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765" w:type="dxa"/>
            <w:tcBorders/>
            <w:vAlign w:val="center"/>
          </w:tcPr>
          <w:p>
            <w:pPr>
              <w:pStyle w:val="TableContents"/>
              <w:bidi w:val="0"/>
              <w:spacing w:before="0" w:after="283"/>
              <w:jc w:val="left"/>
              <w:rPr>
                <w:sz w:val="20"/>
              </w:rPr>
            </w:pPr>
            <w:r>
              <w:rPr>
                <w:sz w:val="20"/>
              </w:rPr>
              <w:t>A. Bruce O’Connor</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765" w:type="dxa"/>
            <w:tcBorders/>
            <w:vAlign w:val="center"/>
          </w:tcPr>
          <w:p>
            <w:pPr>
              <w:pStyle w:val="TableContents"/>
              <w:bidi w:val="0"/>
              <w:spacing w:before="0" w:after="283"/>
              <w:jc w:val="left"/>
              <w:rPr>
                <w:sz w:val="20"/>
              </w:rPr>
            </w:pPr>
            <w:r>
              <w:rPr>
                <w:sz w:val="20"/>
              </w:rPr>
              <w:t>Senior Vice President, Treasurer and Chief Financial Officer</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765" w:type="dxa"/>
            <w:tcBorders/>
            <w:vAlign w:val="center"/>
          </w:tcPr>
          <w:p>
            <w:pPr>
              <w:pStyle w:val="TableContents"/>
              <w:bidi w:val="0"/>
              <w:spacing w:before="0" w:after="283"/>
              <w:jc w:val="left"/>
              <w:rPr>
                <w:sz w:val="20"/>
              </w:rPr>
            </w:pPr>
            <w:r>
              <w:rPr>
                <w:sz w:val="20"/>
              </w:rPr>
              <w:t>(Principal Financial Officer)</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76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sz w:val="20"/>
              </w:rPr>
            </w:pPr>
            <w:r>
              <w:rPr>
                <w:sz w:val="20"/>
              </w:rPr>
              <w:t>By:</w:t>
            </w:r>
          </w:p>
        </w:tc>
        <w:tc>
          <w:tcPr>
            <w:tcW w:w="576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Robert J. Capko</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765" w:type="dxa"/>
            <w:tcBorders/>
            <w:vAlign w:val="center"/>
          </w:tcPr>
          <w:p>
            <w:pPr>
              <w:pStyle w:val="TableContents"/>
              <w:bidi w:val="0"/>
              <w:spacing w:before="0" w:after="283"/>
              <w:jc w:val="left"/>
              <w:rPr>
                <w:sz w:val="20"/>
              </w:rPr>
            </w:pPr>
            <w:r>
              <w:rPr>
                <w:sz w:val="20"/>
              </w:rPr>
              <w:t>Robert J. Capko</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765" w:type="dxa"/>
            <w:tcBorders/>
            <w:vAlign w:val="center"/>
          </w:tcPr>
          <w:p>
            <w:pPr>
              <w:pStyle w:val="TableContents"/>
              <w:bidi w:val="0"/>
              <w:spacing w:before="0" w:after="283"/>
              <w:jc w:val="left"/>
              <w:rPr>
                <w:sz w:val="20"/>
              </w:rPr>
            </w:pPr>
            <w:r>
              <w:rPr>
                <w:sz w:val="20"/>
              </w:rPr>
              <w:t>Corporate Controller</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765" w:type="dxa"/>
            <w:tcBorders/>
            <w:vAlign w:val="center"/>
          </w:tcPr>
          <w:p>
            <w:pPr>
              <w:pStyle w:val="TableContents"/>
              <w:bidi w:val="0"/>
              <w:spacing w:before="0" w:after="283"/>
              <w:jc w:val="left"/>
              <w:rPr>
                <w:sz w:val="20"/>
              </w:rPr>
            </w:pPr>
            <w:r>
              <w:rPr>
                <w:sz w:val="20"/>
              </w:rPr>
              <w:t>(Principal Accounting Officer)</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76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sz w:val="20"/>
              </w:rPr>
            </w:pPr>
            <w:r>
              <w:rPr>
                <w:sz w:val="20"/>
              </w:rPr>
              <w:t>By:</w:t>
            </w:r>
          </w:p>
        </w:tc>
        <w:tc>
          <w:tcPr>
            <w:tcW w:w="576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Dennis W. Doll</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765" w:type="dxa"/>
            <w:tcBorders/>
            <w:vAlign w:val="center"/>
          </w:tcPr>
          <w:p>
            <w:pPr>
              <w:pStyle w:val="TableContents"/>
              <w:bidi w:val="0"/>
              <w:spacing w:before="0" w:after="283"/>
              <w:jc w:val="left"/>
              <w:rPr>
                <w:sz w:val="20"/>
              </w:rPr>
            </w:pPr>
            <w:r>
              <w:rPr>
                <w:sz w:val="20"/>
              </w:rPr>
              <w:t>Dennis W. Doll</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765" w:type="dxa"/>
            <w:tcBorders/>
            <w:vAlign w:val="center"/>
          </w:tcPr>
          <w:p>
            <w:pPr>
              <w:pStyle w:val="TableContents"/>
              <w:bidi w:val="0"/>
              <w:spacing w:before="0" w:after="283"/>
              <w:jc w:val="left"/>
              <w:rPr>
                <w:sz w:val="20"/>
              </w:rPr>
            </w:pPr>
            <w:r>
              <w:rPr>
                <w:sz w:val="20"/>
              </w:rPr>
              <w:t>Chairman of the Board, President, Chief Executive Officer and Director</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765" w:type="dxa"/>
            <w:tcBorders/>
            <w:vAlign w:val="center"/>
          </w:tcPr>
          <w:p>
            <w:pPr>
              <w:pStyle w:val="TableContents"/>
              <w:bidi w:val="0"/>
              <w:spacing w:before="0" w:after="283"/>
              <w:jc w:val="left"/>
              <w:rPr>
                <w:sz w:val="20"/>
              </w:rPr>
            </w:pPr>
            <w:r>
              <w:rPr>
                <w:sz w:val="20"/>
              </w:rPr>
              <w:t>(Principal Executive Officer)</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76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sz w:val="20"/>
              </w:rPr>
            </w:pPr>
            <w:r>
              <w:rPr>
                <w:sz w:val="20"/>
              </w:rPr>
              <w:t>By:</w:t>
            </w:r>
          </w:p>
        </w:tc>
        <w:tc>
          <w:tcPr>
            <w:tcW w:w="576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Joshua Bershad, M.D.</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765" w:type="dxa"/>
            <w:tcBorders/>
            <w:vAlign w:val="center"/>
          </w:tcPr>
          <w:p>
            <w:pPr>
              <w:pStyle w:val="TableContents"/>
              <w:bidi w:val="0"/>
              <w:spacing w:before="0" w:after="283"/>
              <w:jc w:val="left"/>
              <w:rPr>
                <w:sz w:val="20"/>
              </w:rPr>
            </w:pPr>
            <w:r>
              <w:rPr>
                <w:sz w:val="20"/>
              </w:rPr>
              <w:t>Joshua Bershad, M.D.</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765" w:type="dxa"/>
            <w:tcBorders/>
            <w:vAlign w:val="center"/>
          </w:tcPr>
          <w:p>
            <w:pPr>
              <w:pStyle w:val="TableContents"/>
              <w:bidi w:val="0"/>
              <w:spacing w:before="0" w:after="283"/>
              <w:jc w:val="left"/>
              <w:rPr>
                <w:sz w:val="20"/>
              </w:rPr>
            </w:pPr>
            <w:r>
              <w:rPr>
                <w:sz w:val="20"/>
              </w:rPr>
              <w:t>Director</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76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sz w:val="20"/>
              </w:rPr>
            </w:pPr>
            <w:r>
              <w:rPr>
                <w:sz w:val="20"/>
              </w:rPr>
              <w:t>By:</w:t>
            </w:r>
          </w:p>
        </w:tc>
        <w:tc>
          <w:tcPr>
            <w:tcW w:w="576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James F. Cosgrove Jr.</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765" w:type="dxa"/>
            <w:tcBorders/>
            <w:vAlign w:val="center"/>
          </w:tcPr>
          <w:p>
            <w:pPr>
              <w:pStyle w:val="TableContents"/>
              <w:bidi w:val="0"/>
              <w:spacing w:before="0" w:after="283"/>
              <w:jc w:val="left"/>
              <w:rPr>
                <w:sz w:val="20"/>
              </w:rPr>
            </w:pPr>
            <w:r>
              <w:rPr>
                <w:sz w:val="20"/>
              </w:rPr>
              <w:t>James F. Cosgrove Jr.</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765" w:type="dxa"/>
            <w:tcBorders/>
            <w:vAlign w:val="center"/>
          </w:tcPr>
          <w:p>
            <w:pPr>
              <w:pStyle w:val="TableContents"/>
              <w:bidi w:val="0"/>
              <w:spacing w:before="0" w:after="283"/>
              <w:jc w:val="left"/>
              <w:rPr>
                <w:sz w:val="20"/>
              </w:rPr>
            </w:pPr>
            <w:r>
              <w:rPr>
                <w:sz w:val="20"/>
              </w:rPr>
              <w:t>Director</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76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sz w:val="20"/>
              </w:rPr>
            </w:pPr>
            <w:r>
              <w:rPr>
                <w:sz w:val="20"/>
              </w:rPr>
              <w:t>By:</w:t>
            </w:r>
          </w:p>
        </w:tc>
        <w:tc>
          <w:tcPr>
            <w:tcW w:w="576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Kim C. Hanemann</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765" w:type="dxa"/>
            <w:tcBorders/>
            <w:vAlign w:val="center"/>
          </w:tcPr>
          <w:p>
            <w:pPr>
              <w:pStyle w:val="TableContents"/>
              <w:bidi w:val="0"/>
              <w:spacing w:before="0" w:after="283"/>
              <w:jc w:val="left"/>
              <w:rPr>
                <w:sz w:val="20"/>
              </w:rPr>
            </w:pPr>
            <w:r>
              <w:rPr>
                <w:sz w:val="20"/>
              </w:rPr>
              <w:t>Kim C. Hanemann</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765" w:type="dxa"/>
            <w:tcBorders/>
            <w:vAlign w:val="center"/>
          </w:tcPr>
          <w:p>
            <w:pPr>
              <w:pStyle w:val="TableContents"/>
              <w:bidi w:val="0"/>
              <w:spacing w:before="0" w:after="283"/>
              <w:jc w:val="left"/>
              <w:rPr>
                <w:sz w:val="20"/>
              </w:rPr>
            </w:pPr>
            <w:r>
              <w:rPr>
                <w:sz w:val="20"/>
              </w:rPr>
              <w:t>Director</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76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sz w:val="20"/>
              </w:rPr>
            </w:pPr>
            <w:r>
              <w:rPr>
                <w:sz w:val="20"/>
              </w:rPr>
              <w:t>By:</w:t>
            </w:r>
          </w:p>
        </w:tc>
        <w:tc>
          <w:tcPr>
            <w:tcW w:w="576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Steven M. Klein</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765" w:type="dxa"/>
            <w:tcBorders/>
            <w:vAlign w:val="center"/>
          </w:tcPr>
          <w:p>
            <w:pPr>
              <w:pStyle w:val="TableContents"/>
              <w:bidi w:val="0"/>
              <w:spacing w:before="0" w:after="283"/>
              <w:jc w:val="left"/>
              <w:rPr>
                <w:sz w:val="20"/>
              </w:rPr>
            </w:pPr>
            <w:r>
              <w:rPr>
                <w:sz w:val="20"/>
              </w:rPr>
              <w:t>Steven M. Klein</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765" w:type="dxa"/>
            <w:tcBorders/>
            <w:vAlign w:val="center"/>
          </w:tcPr>
          <w:p>
            <w:pPr>
              <w:pStyle w:val="TableContents"/>
              <w:bidi w:val="0"/>
              <w:spacing w:before="0" w:after="283"/>
              <w:jc w:val="left"/>
              <w:rPr>
                <w:sz w:val="20"/>
              </w:rPr>
            </w:pPr>
            <w:r>
              <w:rPr>
                <w:sz w:val="20"/>
              </w:rPr>
              <w:t>Director</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76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sz w:val="20"/>
              </w:rPr>
            </w:pPr>
            <w:r>
              <w:rPr>
                <w:sz w:val="20"/>
              </w:rPr>
              <w:t>By:</w:t>
            </w:r>
          </w:p>
        </w:tc>
        <w:tc>
          <w:tcPr>
            <w:tcW w:w="576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Amy B. Mansue</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765" w:type="dxa"/>
            <w:tcBorders/>
            <w:vAlign w:val="center"/>
          </w:tcPr>
          <w:p>
            <w:pPr>
              <w:pStyle w:val="TableContents"/>
              <w:bidi w:val="0"/>
              <w:spacing w:before="0" w:after="283"/>
              <w:jc w:val="left"/>
              <w:rPr>
                <w:sz w:val="20"/>
              </w:rPr>
            </w:pPr>
            <w:r>
              <w:rPr>
                <w:sz w:val="20"/>
              </w:rPr>
              <w:t>Amy B. Mansue</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765" w:type="dxa"/>
            <w:tcBorders/>
            <w:vAlign w:val="center"/>
          </w:tcPr>
          <w:p>
            <w:pPr>
              <w:pStyle w:val="TableContents"/>
              <w:bidi w:val="0"/>
              <w:spacing w:before="0" w:after="283"/>
              <w:jc w:val="left"/>
              <w:rPr>
                <w:sz w:val="20"/>
              </w:rPr>
            </w:pPr>
            <w:r>
              <w:rPr>
                <w:sz w:val="20"/>
              </w:rPr>
              <w:t>Director</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76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sz w:val="20"/>
              </w:rPr>
            </w:pPr>
            <w:r>
              <w:rPr>
                <w:sz w:val="20"/>
              </w:rPr>
              <w:t>By:</w:t>
            </w:r>
          </w:p>
        </w:tc>
        <w:tc>
          <w:tcPr>
            <w:tcW w:w="576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Vaughn L. McKoy</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765" w:type="dxa"/>
            <w:tcBorders/>
            <w:vAlign w:val="center"/>
          </w:tcPr>
          <w:p>
            <w:pPr>
              <w:pStyle w:val="TableContents"/>
              <w:bidi w:val="0"/>
              <w:spacing w:before="0" w:after="283"/>
              <w:jc w:val="left"/>
              <w:rPr>
                <w:sz w:val="20"/>
              </w:rPr>
            </w:pPr>
            <w:r>
              <w:rPr>
                <w:sz w:val="20"/>
              </w:rPr>
              <w:t>Vaughn L. McKoy</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765" w:type="dxa"/>
            <w:tcBorders/>
            <w:vAlign w:val="center"/>
          </w:tcPr>
          <w:p>
            <w:pPr>
              <w:pStyle w:val="TableContents"/>
              <w:bidi w:val="0"/>
              <w:spacing w:before="0" w:after="283"/>
              <w:jc w:val="left"/>
              <w:rPr>
                <w:sz w:val="20"/>
              </w:rPr>
            </w:pPr>
            <w:r>
              <w:rPr>
                <w:sz w:val="20"/>
              </w:rPr>
              <w:t>Director</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sz w:val="20"/>
              </w:rPr>
            </w:pPr>
            <w:r>
              <w:rPr>
                <w:sz w:val="20"/>
              </w:rPr>
              <w:t>By:</w:t>
            </w:r>
          </w:p>
        </w:tc>
        <w:tc>
          <w:tcPr>
            <w:tcW w:w="576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Ann L. Noble</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765" w:type="dxa"/>
            <w:tcBorders/>
            <w:vAlign w:val="center"/>
          </w:tcPr>
          <w:p>
            <w:pPr>
              <w:pStyle w:val="TableContents"/>
              <w:bidi w:val="0"/>
              <w:spacing w:before="0" w:after="283"/>
              <w:jc w:val="left"/>
              <w:rPr>
                <w:sz w:val="20"/>
              </w:rPr>
            </w:pPr>
            <w:r>
              <w:rPr>
                <w:sz w:val="20"/>
              </w:rPr>
              <w:t>Ann L. Noble</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765" w:type="dxa"/>
            <w:tcBorders/>
            <w:vAlign w:val="center"/>
          </w:tcPr>
          <w:p>
            <w:pPr>
              <w:pStyle w:val="TableContents"/>
              <w:bidi w:val="0"/>
              <w:spacing w:before="0" w:after="283"/>
              <w:jc w:val="left"/>
              <w:rPr>
                <w:sz w:val="20"/>
              </w:rPr>
            </w:pPr>
            <w:r>
              <w:rPr>
                <w:sz w:val="20"/>
              </w:rPr>
              <w:t>Director</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sz w:val="20"/>
              </w:rPr>
            </w:pPr>
            <w:r>
              <w:rPr>
                <w:sz w:val="20"/>
              </w:rPr>
              <w:t>By:</w:t>
            </w:r>
          </w:p>
        </w:tc>
        <w:tc>
          <w:tcPr>
            <w:tcW w:w="576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Walter G. Reinhard</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765" w:type="dxa"/>
            <w:tcBorders/>
            <w:vAlign w:val="center"/>
          </w:tcPr>
          <w:p>
            <w:pPr>
              <w:pStyle w:val="TableContents"/>
              <w:bidi w:val="0"/>
              <w:spacing w:before="0" w:after="283"/>
              <w:jc w:val="left"/>
              <w:rPr>
                <w:sz w:val="20"/>
              </w:rPr>
            </w:pPr>
            <w:r>
              <w:rPr>
                <w:sz w:val="20"/>
              </w:rPr>
              <w:t>Walter G. Reinhard</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765" w:type="dxa"/>
            <w:tcBorders/>
            <w:vAlign w:val="center"/>
          </w:tcPr>
          <w:p>
            <w:pPr>
              <w:pStyle w:val="TableContents"/>
              <w:bidi w:val="0"/>
              <w:spacing w:before="0" w:after="283"/>
              <w:jc w:val="left"/>
              <w:rPr>
                <w:sz w:val="20"/>
              </w:rPr>
            </w:pPr>
            <w:r>
              <w:rPr>
                <w:sz w:val="20"/>
              </w:rPr>
              <w:t>Director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77 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3" w:name="a_039"/>
      <w:bookmarkEnd w:id="63"/>
      <w:r>
        <w:rPr>
          <w:rFonts w:ascii="Times New Roman;Times;Serif" w:hAnsi="Times New Roman;Times;Serif"/>
          <w:b/>
          <w:i w:val="false"/>
          <w:caps w:val="false"/>
          <w:smallCaps w:val="false"/>
          <w:sz w:val="20"/>
        </w:rPr>
        <w:t>EXHIBIT INDEX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Exhibits designated with an asterisk (*) are filed herewith. The exhibits not so designated have heretofore been filed with the Commission and are incorporated herein by reference to the documents indicated in the previous filing columns following the description of such exhibits. Exhibits designated with a dagger (t) are management contracts or compensatory plans.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86"/>
        <w:gridCol w:w="7239"/>
        <w:gridCol w:w="1279"/>
        <w:gridCol w:w="801"/>
      </w:tblGrid>
      <w:tr>
        <w:trPr/>
        <w:tc>
          <w:tcPr>
            <w:tcW w:w="886" w:type="dxa"/>
            <w:tcBorders>
              <w:bottom w:val="single" w:sz="12" w:space="0" w:color="000000"/>
            </w:tcBorders>
            <w:vAlign w:val="center"/>
          </w:tcPr>
          <w:p>
            <w:pPr>
              <w:pStyle w:val="TableContents"/>
              <w:bidi w:val="0"/>
              <w:spacing w:before="0" w:after="283"/>
              <w:jc w:val="center"/>
              <w:rPr>
                <w:b/>
              </w:rPr>
            </w:pPr>
            <w:r>
              <w:rPr>
                <w:b/>
              </w:rPr>
              <w:t>Exhibit No.</w:t>
            </w:r>
          </w:p>
        </w:tc>
        <w:tc>
          <w:tcPr>
            <w:tcW w:w="7239" w:type="dxa"/>
            <w:tcBorders>
              <w:bottom w:val="single" w:sz="12" w:space="0" w:color="000000"/>
            </w:tcBorders>
            <w:vAlign w:val="center"/>
          </w:tcPr>
          <w:p>
            <w:pPr>
              <w:pStyle w:val="TableContents"/>
              <w:bidi w:val="0"/>
              <w:spacing w:before="0" w:after="283"/>
              <w:jc w:val="center"/>
              <w:rPr>
                <w:b/>
              </w:rPr>
            </w:pPr>
            <w:r>
              <w:rPr>
                <w:b/>
              </w:rPr>
              <w:t>Document Description</w:t>
            </w:r>
          </w:p>
        </w:tc>
        <w:tc>
          <w:tcPr>
            <w:tcW w:w="1279" w:type="dxa"/>
            <w:tcBorders>
              <w:bottom w:val="single" w:sz="12" w:space="0" w:color="000000"/>
            </w:tcBorders>
            <w:vAlign w:val="center"/>
          </w:tcPr>
          <w:p>
            <w:pPr>
              <w:pStyle w:val="TableContents"/>
              <w:bidi w:val="0"/>
              <w:spacing w:before="0" w:after="283"/>
              <w:jc w:val="center"/>
              <w:rPr>
                <w:b/>
              </w:rPr>
            </w:pPr>
            <w:r>
              <w:rPr>
                <w:b/>
              </w:rPr>
              <w:t xml:space="preserve">Previous </w:t>
              <w:br/>
              <w:t xml:space="preserve">Registration </w:t>
              <w:br/>
              <w:t>No.</w:t>
            </w:r>
          </w:p>
        </w:tc>
        <w:tc>
          <w:tcPr>
            <w:tcW w:w="801" w:type="dxa"/>
            <w:tcBorders>
              <w:bottom w:val="single" w:sz="12" w:space="0" w:color="000000"/>
            </w:tcBorders>
            <w:vAlign w:val="center"/>
          </w:tcPr>
          <w:p>
            <w:pPr>
              <w:pStyle w:val="TableContents"/>
              <w:bidi w:val="0"/>
              <w:spacing w:before="0" w:after="283"/>
              <w:jc w:val="center"/>
              <w:rPr>
                <w:b/>
              </w:rPr>
            </w:pPr>
            <w:r>
              <w:rPr>
                <w:b/>
              </w:rPr>
              <w:t>Filing’s</w:t>
              <w:br/>
              <w:t xml:space="preserve">Exhibit </w:t>
              <w:br/>
              <w:t>No.</w:t>
            </w:r>
          </w:p>
        </w:tc>
      </w:tr>
      <w:tr>
        <w:trPr/>
        <w:tc>
          <w:tcPr>
            <w:tcW w:w="886" w:type="dxa"/>
            <w:tcBorders/>
            <w:tcMar>
              <w:bottom w:w="0" w:type="dxa"/>
            </w:tcMar>
            <w:vAlign w:val="center"/>
          </w:tcPr>
          <w:p>
            <w:pPr>
              <w:pStyle w:val="TableContents"/>
              <w:bidi w:val="0"/>
              <w:spacing w:before="0" w:after="283"/>
              <w:jc w:val="center"/>
              <w:rPr/>
            </w:pPr>
            <w:r>
              <w:rPr/>
              <w:t>3.1</w:t>
            </w:r>
          </w:p>
        </w:tc>
        <w:tc>
          <w:tcPr>
            <w:tcW w:w="7239" w:type="dxa"/>
            <w:tcBorders/>
            <w:tcMar>
              <w:bottom w:w="0" w:type="dxa"/>
            </w:tcMar>
            <w:vAlign w:val="center"/>
          </w:tcPr>
          <w:p>
            <w:pPr>
              <w:pStyle w:val="TableContents"/>
              <w:bidi w:val="0"/>
              <w:spacing w:before="0" w:after="283"/>
              <w:jc w:val="both"/>
              <w:rPr/>
            </w:pPr>
            <w:hyperlink r:id="rId3">
              <w:r>
                <w:rPr>
                  <w:rStyle w:val="InternetLink"/>
                </w:rPr>
                <w:t>The Restated Certificate of Incorporation, filed as Exhibit 3.1 to the Company’s Annual Report on Form 10-K for the Year ended December 31, 1998.</w:t>
              </w:r>
            </w:hyperlink>
          </w:p>
        </w:tc>
        <w:tc>
          <w:tcPr>
            <w:tcW w:w="1279" w:type="dxa"/>
            <w:tcBorders/>
            <w:tcMar>
              <w:bottom w:w="0" w:type="dxa"/>
            </w:tcMar>
            <w:vAlign w:val="center"/>
          </w:tcPr>
          <w:p>
            <w:pPr>
              <w:pStyle w:val="TableContents"/>
              <w:bidi w:val="0"/>
              <w:spacing w:before="0" w:after="283"/>
              <w:jc w:val="center"/>
              <w:rPr/>
            </w:pPr>
            <w:r>
              <w:rPr/>
              <w:t> </w:t>
            </w:r>
          </w:p>
        </w:tc>
        <w:tc>
          <w:tcPr>
            <w:tcW w:w="801" w:type="dxa"/>
            <w:tcBorders/>
            <w:tcMar>
              <w:bottom w:w="0" w:type="dxa"/>
            </w:tcMar>
            <w:vAlign w:val="center"/>
          </w:tcPr>
          <w:p>
            <w:pPr>
              <w:pStyle w:val="TableContents"/>
              <w:bidi w:val="0"/>
              <w:spacing w:before="0" w:after="283"/>
              <w:jc w:val="left"/>
              <w:rPr/>
            </w:pPr>
            <w:r>
              <w:rPr/>
              <w:t> </w:t>
            </w:r>
          </w:p>
        </w:tc>
      </w:tr>
      <w:tr>
        <w:trPr/>
        <w:tc>
          <w:tcPr>
            <w:tcW w:w="886" w:type="dxa"/>
            <w:tcBorders/>
            <w:tcMar>
              <w:bottom w:w="0" w:type="dxa"/>
            </w:tcMar>
            <w:vAlign w:val="center"/>
          </w:tcPr>
          <w:p>
            <w:pPr>
              <w:pStyle w:val="TableContents"/>
              <w:bidi w:val="0"/>
              <w:spacing w:before="0" w:after="283"/>
              <w:jc w:val="center"/>
              <w:rPr/>
            </w:pPr>
            <w:r>
              <w:rPr/>
              <w:t>3.2</w:t>
            </w:r>
          </w:p>
        </w:tc>
        <w:tc>
          <w:tcPr>
            <w:tcW w:w="7239" w:type="dxa"/>
            <w:tcBorders/>
            <w:tcMar>
              <w:bottom w:w="0" w:type="dxa"/>
            </w:tcMar>
            <w:vAlign w:val="center"/>
          </w:tcPr>
          <w:p>
            <w:pPr>
              <w:pStyle w:val="TableContents"/>
              <w:bidi w:val="0"/>
              <w:spacing w:before="0" w:after="283"/>
              <w:jc w:val="both"/>
              <w:rPr/>
            </w:pPr>
            <w:hyperlink r:id="rId4">
              <w:r>
                <w:rPr>
                  <w:rStyle w:val="InternetLink"/>
                </w:rPr>
                <w:t>Certificate of Amendment to the Restated Certificate of Incorporation, filed with the State of New Jersey on June 20, 1997, filed as Exhibit 3.1 to the Company’s Annual Report on Form 10-K for the year ended December 31, 1997.</w:t>
              </w:r>
            </w:hyperlink>
          </w:p>
        </w:tc>
        <w:tc>
          <w:tcPr>
            <w:tcW w:w="1279" w:type="dxa"/>
            <w:tcBorders/>
            <w:tcMar>
              <w:bottom w:w="0" w:type="dxa"/>
            </w:tcMar>
            <w:vAlign w:val="center"/>
          </w:tcPr>
          <w:p>
            <w:pPr>
              <w:pStyle w:val="TableContents"/>
              <w:bidi w:val="0"/>
              <w:spacing w:before="0" w:after="283"/>
              <w:jc w:val="center"/>
              <w:rPr/>
            </w:pPr>
            <w:r>
              <w:rPr/>
              <w:t> </w:t>
            </w:r>
          </w:p>
        </w:tc>
        <w:tc>
          <w:tcPr>
            <w:tcW w:w="801" w:type="dxa"/>
            <w:tcBorders/>
            <w:tcMar>
              <w:bottom w:w="0" w:type="dxa"/>
            </w:tcMar>
            <w:vAlign w:val="center"/>
          </w:tcPr>
          <w:p>
            <w:pPr>
              <w:pStyle w:val="TableContents"/>
              <w:bidi w:val="0"/>
              <w:spacing w:before="0" w:after="283"/>
              <w:jc w:val="center"/>
              <w:rPr/>
            </w:pPr>
            <w:r>
              <w:rPr/>
              <w:t> </w:t>
            </w:r>
          </w:p>
        </w:tc>
      </w:tr>
      <w:tr>
        <w:trPr/>
        <w:tc>
          <w:tcPr>
            <w:tcW w:w="886" w:type="dxa"/>
            <w:tcBorders/>
            <w:tcMar>
              <w:bottom w:w="0" w:type="dxa"/>
            </w:tcMar>
            <w:vAlign w:val="center"/>
          </w:tcPr>
          <w:p>
            <w:pPr>
              <w:pStyle w:val="TableContents"/>
              <w:bidi w:val="0"/>
              <w:spacing w:before="0" w:after="283"/>
              <w:jc w:val="center"/>
              <w:rPr/>
            </w:pPr>
            <w:r>
              <w:rPr/>
              <w:t>3.3</w:t>
            </w:r>
          </w:p>
        </w:tc>
        <w:tc>
          <w:tcPr>
            <w:tcW w:w="7239" w:type="dxa"/>
            <w:tcBorders/>
            <w:tcMar>
              <w:bottom w:w="0" w:type="dxa"/>
            </w:tcMar>
            <w:vAlign w:val="center"/>
          </w:tcPr>
          <w:p>
            <w:pPr>
              <w:pStyle w:val="TableContents"/>
              <w:bidi w:val="0"/>
              <w:spacing w:before="0" w:after="283"/>
              <w:jc w:val="both"/>
              <w:rPr/>
            </w:pPr>
            <w:hyperlink r:id="rId5">
              <w:r>
                <w:rPr>
                  <w:rStyle w:val="InternetLink"/>
                </w:rPr>
                <w:t>Certificate of Amendment to the Restated Certificate of Incorporation, filed with the State of New Jersey on May 27, 1998, filed as Exhibit 3.1 to the Company’s Annual Report on Form 10-K for the year ended December 31, 1998.</w:t>
              </w:r>
            </w:hyperlink>
          </w:p>
        </w:tc>
        <w:tc>
          <w:tcPr>
            <w:tcW w:w="1279" w:type="dxa"/>
            <w:tcBorders/>
            <w:tcMar>
              <w:bottom w:w="0" w:type="dxa"/>
            </w:tcMar>
            <w:vAlign w:val="center"/>
          </w:tcPr>
          <w:p>
            <w:pPr>
              <w:pStyle w:val="TableContents"/>
              <w:bidi w:val="0"/>
              <w:spacing w:before="0" w:after="283"/>
              <w:jc w:val="center"/>
              <w:rPr/>
            </w:pPr>
            <w:r>
              <w:rPr/>
              <w:t> </w:t>
            </w:r>
          </w:p>
        </w:tc>
        <w:tc>
          <w:tcPr>
            <w:tcW w:w="801" w:type="dxa"/>
            <w:tcBorders/>
            <w:tcMar>
              <w:bottom w:w="0" w:type="dxa"/>
            </w:tcMar>
            <w:vAlign w:val="center"/>
          </w:tcPr>
          <w:p>
            <w:pPr>
              <w:pStyle w:val="TableContents"/>
              <w:bidi w:val="0"/>
              <w:spacing w:before="0" w:after="283"/>
              <w:jc w:val="center"/>
              <w:rPr/>
            </w:pPr>
            <w:r>
              <w:rPr/>
              <w:t> </w:t>
            </w:r>
          </w:p>
        </w:tc>
      </w:tr>
      <w:tr>
        <w:trPr/>
        <w:tc>
          <w:tcPr>
            <w:tcW w:w="886" w:type="dxa"/>
            <w:tcBorders/>
            <w:tcMar>
              <w:bottom w:w="0" w:type="dxa"/>
            </w:tcMar>
            <w:vAlign w:val="center"/>
          </w:tcPr>
          <w:p>
            <w:pPr>
              <w:pStyle w:val="TableContents"/>
              <w:bidi w:val="0"/>
              <w:spacing w:before="0" w:after="283"/>
              <w:ind w:left="0" w:right="0" w:hanging="0"/>
              <w:jc w:val="center"/>
              <w:rPr/>
            </w:pPr>
            <w:r>
              <w:rPr/>
              <w:t>3.4</w:t>
            </w:r>
          </w:p>
        </w:tc>
        <w:tc>
          <w:tcPr>
            <w:tcW w:w="7239" w:type="dxa"/>
            <w:tcBorders/>
            <w:tcMar>
              <w:bottom w:w="0" w:type="dxa"/>
            </w:tcMar>
            <w:vAlign w:val="center"/>
          </w:tcPr>
          <w:p>
            <w:pPr>
              <w:pStyle w:val="TableContents"/>
              <w:bidi w:val="0"/>
              <w:spacing w:before="0" w:after="283"/>
              <w:jc w:val="both"/>
              <w:rPr/>
            </w:pPr>
            <w:hyperlink r:id="rId6">
              <w:r>
                <w:rPr>
                  <w:rStyle w:val="InternetLink"/>
                </w:rPr>
                <w:t>Certificate of Amendment to the Restated Certificate of Incorporation, filed with the State of New Jersey on June 10, 1998, filed as Exhibit 3.1 to the Company’s Annual Report on Form 10-K for the year ended December 31, 1998.</w:t>
              </w:r>
            </w:hyperlink>
          </w:p>
        </w:tc>
        <w:tc>
          <w:tcPr>
            <w:tcW w:w="1279" w:type="dxa"/>
            <w:tcBorders/>
            <w:tcMar>
              <w:bottom w:w="0" w:type="dxa"/>
            </w:tcMar>
            <w:vAlign w:val="center"/>
          </w:tcPr>
          <w:p>
            <w:pPr>
              <w:pStyle w:val="TableContents"/>
              <w:bidi w:val="0"/>
              <w:spacing w:before="0" w:after="283"/>
              <w:jc w:val="center"/>
              <w:rPr/>
            </w:pPr>
            <w:r>
              <w:rPr/>
              <w:t> </w:t>
            </w:r>
          </w:p>
        </w:tc>
        <w:tc>
          <w:tcPr>
            <w:tcW w:w="801" w:type="dxa"/>
            <w:tcBorders/>
            <w:tcMar>
              <w:bottom w:w="0" w:type="dxa"/>
            </w:tcMar>
            <w:vAlign w:val="center"/>
          </w:tcPr>
          <w:p>
            <w:pPr>
              <w:pStyle w:val="TableContents"/>
              <w:bidi w:val="0"/>
              <w:spacing w:before="0" w:after="283"/>
              <w:jc w:val="center"/>
              <w:rPr/>
            </w:pPr>
            <w:r>
              <w:rPr/>
              <w:t> </w:t>
            </w:r>
          </w:p>
        </w:tc>
      </w:tr>
      <w:tr>
        <w:trPr/>
        <w:tc>
          <w:tcPr>
            <w:tcW w:w="886" w:type="dxa"/>
            <w:tcBorders/>
            <w:tcMar>
              <w:bottom w:w="0" w:type="dxa"/>
            </w:tcMar>
            <w:vAlign w:val="center"/>
          </w:tcPr>
          <w:p>
            <w:pPr>
              <w:pStyle w:val="TableContents"/>
              <w:bidi w:val="0"/>
              <w:spacing w:before="0" w:after="283"/>
              <w:ind w:left="0" w:right="0" w:hanging="0"/>
              <w:jc w:val="center"/>
              <w:rPr/>
            </w:pPr>
            <w:r>
              <w:rPr/>
              <w:t>3.5</w:t>
            </w:r>
          </w:p>
        </w:tc>
        <w:tc>
          <w:tcPr>
            <w:tcW w:w="7239" w:type="dxa"/>
            <w:tcBorders/>
            <w:tcMar>
              <w:bottom w:w="0" w:type="dxa"/>
            </w:tcMar>
            <w:vAlign w:val="center"/>
          </w:tcPr>
          <w:p>
            <w:pPr>
              <w:pStyle w:val="TableContents"/>
              <w:bidi w:val="0"/>
              <w:spacing w:before="0" w:after="283"/>
              <w:jc w:val="both"/>
              <w:rPr/>
            </w:pPr>
            <w:hyperlink r:id="rId7">
              <w:r>
                <w:rPr>
                  <w:rStyle w:val="InternetLink"/>
                </w:rPr>
                <w:t>Certificate of Correction of Middlesex Water Company filed with the State of New Jersey on April 30, 1999, filed as Exhibit 3.3 to the Company’s Annual Report on Form 10-K/A-2 for the year ended December 31, 2003.</w:t>
              </w:r>
            </w:hyperlink>
          </w:p>
        </w:tc>
        <w:tc>
          <w:tcPr>
            <w:tcW w:w="1279" w:type="dxa"/>
            <w:tcBorders/>
            <w:tcMar>
              <w:bottom w:w="0" w:type="dxa"/>
            </w:tcMar>
            <w:vAlign w:val="center"/>
          </w:tcPr>
          <w:p>
            <w:pPr>
              <w:pStyle w:val="TableContents"/>
              <w:bidi w:val="0"/>
              <w:spacing w:before="0" w:after="283"/>
              <w:jc w:val="center"/>
              <w:rPr/>
            </w:pPr>
            <w:r>
              <w:rPr/>
              <w:t> </w:t>
            </w:r>
          </w:p>
        </w:tc>
        <w:tc>
          <w:tcPr>
            <w:tcW w:w="801" w:type="dxa"/>
            <w:tcBorders/>
            <w:tcMar>
              <w:bottom w:w="0" w:type="dxa"/>
            </w:tcMar>
            <w:vAlign w:val="center"/>
          </w:tcPr>
          <w:p>
            <w:pPr>
              <w:pStyle w:val="TableContents"/>
              <w:bidi w:val="0"/>
              <w:spacing w:before="0" w:after="283"/>
              <w:jc w:val="center"/>
              <w:rPr/>
            </w:pPr>
            <w:r>
              <w:rPr/>
              <w:t> </w:t>
            </w:r>
          </w:p>
        </w:tc>
      </w:tr>
      <w:tr>
        <w:trPr/>
        <w:tc>
          <w:tcPr>
            <w:tcW w:w="886" w:type="dxa"/>
            <w:tcBorders/>
            <w:tcMar>
              <w:bottom w:w="0" w:type="dxa"/>
            </w:tcMar>
            <w:vAlign w:val="center"/>
          </w:tcPr>
          <w:p>
            <w:pPr>
              <w:pStyle w:val="TableContents"/>
              <w:bidi w:val="0"/>
              <w:spacing w:before="0" w:after="283"/>
              <w:ind w:left="0" w:right="0" w:hanging="0"/>
              <w:jc w:val="center"/>
              <w:rPr/>
            </w:pPr>
            <w:r>
              <w:rPr/>
              <w:t>3.6</w:t>
            </w:r>
          </w:p>
        </w:tc>
        <w:tc>
          <w:tcPr>
            <w:tcW w:w="7239" w:type="dxa"/>
            <w:tcBorders/>
            <w:tcMar>
              <w:bottom w:w="0" w:type="dxa"/>
            </w:tcMar>
            <w:vAlign w:val="center"/>
          </w:tcPr>
          <w:p>
            <w:pPr>
              <w:pStyle w:val="TableContents"/>
              <w:bidi w:val="0"/>
              <w:spacing w:before="0" w:after="283"/>
              <w:jc w:val="both"/>
              <w:rPr/>
            </w:pPr>
            <w:hyperlink r:id="rId8">
              <w:r>
                <w:rPr>
                  <w:rStyle w:val="InternetLink"/>
                </w:rPr>
                <w:t>Certificate of Amendment to the Restated Certificate of Incorporation of Middlesex Water Company, filed with the State of New Jersey on February 17, 2000, filed as Exhibit 3.4 to the Company’s Annual Report on Form 10-K/A-2 for the year ended December 31, 2003.</w:t>
              </w:r>
            </w:hyperlink>
          </w:p>
        </w:tc>
        <w:tc>
          <w:tcPr>
            <w:tcW w:w="1279" w:type="dxa"/>
            <w:tcBorders/>
            <w:tcMar>
              <w:bottom w:w="0" w:type="dxa"/>
            </w:tcMar>
            <w:vAlign w:val="center"/>
          </w:tcPr>
          <w:p>
            <w:pPr>
              <w:pStyle w:val="TableContents"/>
              <w:bidi w:val="0"/>
              <w:spacing w:before="0" w:after="283"/>
              <w:jc w:val="center"/>
              <w:rPr/>
            </w:pPr>
            <w:r>
              <w:rPr/>
              <w:t> </w:t>
            </w:r>
          </w:p>
        </w:tc>
        <w:tc>
          <w:tcPr>
            <w:tcW w:w="801" w:type="dxa"/>
            <w:tcBorders/>
            <w:tcMar>
              <w:bottom w:w="0" w:type="dxa"/>
            </w:tcMar>
            <w:vAlign w:val="center"/>
          </w:tcPr>
          <w:p>
            <w:pPr>
              <w:pStyle w:val="TableContents"/>
              <w:bidi w:val="0"/>
              <w:spacing w:before="0" w:after="283"/>
              <w:jc w:val="center"/>
              <w:rPr/>
            </w:pPr>
            <w:r>
              <w:rPr/>
              <w:t> </w:t>
            </w:r>
          </w:p>
        </w:tc>
      </w:tr>
      <w:tr>
        <w:trPr/>
        <w:tc>
          <w:tcPr>
            <w:tcW w:w="886" w:type="dxa"/>
            <w:tcBorders/>
            <w:tcMar>
              <w:bottom w:w="0" w:type="dxa"/>
            </w:tcMar>
            <w:vAlign w:val="center"/>
          </w:tcPr>
          <w:p>
            <w:pPr>
              <w:pStyle w:val="TableContents"/>
              <w:bidi w:val="0"/>
              <w:spacing w:before="0" w:after="283"/>
              <w:ind w:left="0" w:right="0" w:hanging="0"/>
              <w:jc w:val="center"/>
              <w:rPr/>
            </w:pPr>
            <w:r>
              <w:rPr/>
              <w:t>3.7</w:t>
            </w:r>
          </w:p>
        </w:tc>
        <w:tc>
          <w:tcPr>
            <w:tcW w:w="7239" w:type="dxa"/>
            <w:tcBorders/>
            <w:tcMar>
              <w:bottom w:w="0" w:type="dxa"/>
            </w:tcMar>
            <w:vAlign w:val="center"/>
          </w:tcPr>
          <w:p>
            <w:pPr>
              <w:pStyle w:val="TableContents"/>
              <w:bidi w:val="0"/>
              <w:spacing w:before="0" w:after="283"/>
              <w:jc w:val="both"/>
              <w:rPr/>
            </w:pPr>
            <w:hyperlink r:id="rId9">
              <w:r>
                <w:rPr>
                  <w:rStyle w:val="InternetLink"/>
                </w:rPr>
                <w:t>Certificate of Amendment to the Restated Certificate of Incorporation of Middlesex Water Company, filed with the State of New Jersey on June 5, 2002, filed as Exhibit 3.5 to the Company’s Annual Report on Form 10-K/A-2 for the year ended December 31, 2003.</w:t>
              </w:r>
            </w:hyperlink>
          </w:p>
        </w:tc>
        <w:tc>
          <w:tcPr>
            <w:tcW w:w="1279" w:type="dxa"/>
            <w:tcBorders/>
            <w:tcMar>
              <w:bottom w:w="0" w:type="dxa"/>
            </w:tcMar>
            <w:vAlign w:val="center"/>
          </w:tcPr>
          <w:p>
            <w:pPr>
              <w:pStyle w:val="TableContents"/>
              <w:bidi w:val="0"/>
              <w:spacing w:before="0" w:after="283"/>
              <w:jc w:val="center"/>
              <w:rPr/>
            </w:pPr>
            <w:r>
              <w:rPr/>
              <w:t> </w:t>
            </w:r>
          </w:p>
        </w:tc>
        <w:tc>
          <w:tcPr>
            <w:tcW w:w="801" w:type="dxa"/>
            <w:tcBorders/>
            <w:tcMar>
              <w:bottom w:w="0" w:type="dxa"/>
            </w:tcMar>
            <w:vAlign w:val="center"/>
          </w:tcPr>
          <w:p>
            <w:pPr>
              <w:pStyle w:val="TableContents"/>
              <w:bidi w:val="0"/>
              <w:spacing w:before="0" w:after="283"/>
              <w:jc w:val="center"/>
              <w:rPr/>
            </w:pPr>
            <w:r>
              <w:rPr/>
              <w:t> </w:t>
            </w:r>
          </w:p>
        </w:tc>
      </w:tr>
      <w:tr>
        <w:trPr/>
        <w:tc>
          <w:tcPr>
            <w:tcW w:w="886" w:type="dxa"/>
            <w:tcBorders/>
            <w:tcMar>
              <w:bottom w:w="0" w:type="dxa"/>
            </w:tcMar>
            <w:vAlign w:val="center"/>
          </w:tcPr>
          <w:p>
            <w:pPr>
              <w:pStyle w:val="TableContents"/>
              <w:bidi w:val="0"/>
              <w:spacing w:before="0" w:after="283"/>
              <w:jc w:val="center"/>
              <w:rPr/>
            </w:pPr>
            <w:r>
              <w:rPr/>
              <w:t>3.8</w:t>
            </w:r>
          </w:p>
        </w:tc>
        <w:tc>
          <w:tcPr>
            <w:tcW w:w="7239" w:type="dxa"/>
            <w:tcBorders/>
            <w:tcMar>
              <w:bottom w:w="0" w:type="dxa"/>
            </w:tcMar>
            <w:vAlign w:val="center"/>
          </w:tcPr>
          <w:p>
            <w:pPr>
              <w:pStyle w:val="TableContents"/>
              <w:bidi w:val="0"/>
              <w:spacing w:before="0" w:after="283"/>
              <w:jc w:val="both"/>
              <w:rPr/>
            </w:pPr>
            <w:hyperlink r:id="rId10">
              <w:r>
                <w:rPr>
                  <w:rStyle w:val="InternetLink"/>
                </w:rPr>
                <w:t>Certificate of Amendment to the Restated Certificate of Incorporation, filed with the State of New Jersey on June 19, 2007, filed as Exhibit 3.1 to the Company’s Current Report on Form 8-K filed April 30, 2010.</w:t>
              </w:r>
            </w:hyperlink>
          </w:p>
        </w:tc>
        <w:tc>
          <w:tcPr>
            <w:tcW w:w="1279" w:type="dxa"/>
            <w:tcBorders/>
            <w:tcMar>
              <w:bottom w:w="0" w:type="dxa"/>
            </w:tcMar>
            <w:vAlign w:val="center"/>
          </w:tcPr>
          <w:p>
            <w:pPr>
              <w:pStyle w:val="TableContents"/>
              <w:bidi w:val="0"/>
              <w:spacing w:before="0" w:after="283"/>
              <w:jc w:val="center"/>
              <w:rPr/>
            </w:pPr>
            <w:r>
              <w:rPr/>
              <w:t> </w:t>
            </w:r>
          </w:p>
        </w:tc>
        <w:tc>
          <w:tcPr>
            <w:tcW w:w="801" w:type="dxa"/>
            <w:tcBorders/>
            <w:tcMar>
              <w:bottom w:w="0" w:type="dxa"/>
            </w:tcMar>
            <w:vAlign w:val="center"/>
          </w:tcPr>
          <w:p>
            <w:pPr>
              <w:pStyle w:val="TableContents"/>
              <w:bidi w:val="0"/>
              <w:spacing w:before="0" w:after="283"/>
              <w:jc w:val="center"/>
              <w:rPr/>
            </w:pPr>
            <w:r>
              <w:rPr/>
              <w:t> </w:t>
            </w:r>
          </w:p>
        </w:tc>
      </w:tr>
      <w:tr>
        <w:trPr/>
        <w:tc>
          <w:tcPr>
            <w:tcW w:w="886" w:type="dxa"/>
            <w:tcBorders/>
            <w:tcMar>
              <w:bottom w:w="0" w:type="dxa"/>
            </w:tcMar>
            <w:vAlign w:val="center"/>
          </w:tcPr>
          <w:p>
            <w:pPr>
              <w:pStyle w:val="TableContents"/>
              <w:bidi w:val="0"/>
              <w:spacing w:before="0" w:after="283"/>
              <w:jc w:val="center"/>
              <w:rPr/>
            </w:pPr>
            <w:r>
              <w:rPr/>
              <w:t>3.9</w:t>
            </w:r>
          </w:p>
        </w:tc>
        <w:tc>
          <w:tcPr>
            <w:tcW w:w="7239" w:type="dxa"/>
            <w:tcBorders/>
            <w:tcMar>
              <w:bottom w:w="0" w:type="dxa"/>
            </w:tcMar>
            <w:vAlign w:val="center"/>
          </w:tcPr>
          <w:p>
            <w:pPr>
              <w:pStyle w:val="TableContents"/>
              <w:bidi w:val="0"/>
              <w:spacing w:before="0" w:after="283"/>
              <w:jc w:val="both"/>
              <w:rPr/>
            </w:pPr>
            <w:hyperlink r:id="rId11">
              <w:r>
                <w:rPr>
                  <w:rStyle w:val="InternetLink"/>
                </w:rPr>
                <w:t>Certificate of Amendment to the Restated Certificate of Incorporation, filed with the State of New Jersey on September 4, 2019, filed as Exhibit 3.1 to the Company’s Current Report on Form 8-K filed September 6, 2019.</w:t>
              </w:r>
            </w:hyperlink>
          </w:p>
        </w:tc>
        <w:tc>
          <w:tcPr>
            <w:tcW w:w="1279" w:type="dxa"/>
            <w:tcBorders/>
            <w:tcMar>
              <w:bottom w:w="0" w:type="dxa"/>
            </w:tcMar>
            <w:vAlign w:val="center"/>
          </w:tcPr>
          <w:p>
            <w:pPr>
              <w:pStyle w:val="TableContents"/>
              <w:bidi w:val="0"/>
              <w:spacing w:before="0" w:after="283"/>
              <w:jc w:val="center"/>
              <w:rPr/>
            </w:pPr>
            <w:r>
              <w:rPr/>
              <w:t> </w:t>
            </w:r>
          </w:p>
        </w:tc>
        <w:tc>
          <w:tcPr>
            <w:tcW w:w="801" w:type="dxa"/>
            <w:tcBorders/>
            <w:tcMar>
              <w:bottom w:w="0" w:type="dxa"/>
            </w:tcMar>
            <w:vAlign w:val="center"/>
          </w:tcPr>
          <w:p>
            <w:pPr>
              <w:pStyle w:val="TableContents"/>
              <w:bidi w:val="0"/>
              <w:spacing w:before="0" w:after="283"/>
              <w:jc w:val="center"/>
              <w:rPr/>
            </w:pPr>
            <w:r>
              <w:rPr/>
              <w:t> </w:t>
            </w:r>
          </w:p>
        </w:tc>
      </w:tr>
      <w:tr>
        <w:trPr/>
        <w:tc>
          <w:tcPr>
            <w:tcW w:w="886" w:type="dxa"/>
            <w:tcBorders/>
            <w:tcMar>
              <w:bottom w:w="0" w:type="dxa"/>
            </w:tcMar>
            <w:vAlign w:val="center"/>
          </w:tcPr>
          <w:p>
            <w:pPr>
              <w:pStyle w:val="TableContents"/>
              <w:bidi w:val="0"/>
              <w:spacing w:before="0" w:after="283"/>
              <w:ind w:left="0" w:right="0" w:hanging="0"/>
              <w:jc w:val="center"/>
              <w:rPr/>
            </w:pPr>
            <w:r>
              <w:rPr/>
              <w:t>3.10</w:t>
            </w:r>
          </w:p>
        </w:tc>
        <w:tc>
          <w:tcPr>
            <w:tcW w:w="7239" w:type="dxa"/>
            <w:tcBorders/>
            <w:tcMar>
              <w:bottom w:w="0" w:type="dxa"/>
            </w:tcMar>
            <w:vAlign w:val="center"/>
          </w:tcPr>
          <w:p>
            <w:pPr>
              <w:pStyle w:val="TableContents"/>
              <w:bidi w:val="0"/>
              <w:spacing w:before="0" w:after="283"/>
              <w:jc w:val="both"/>
              <w:rPr/>
            </w:pPr>
            <w:hyperlink r:id="rId12">
              <w:r>
                <w:rPr>
                  <w:rStyle w:val="InternetLink"/>
                </w:rPr>
                <w:t>Certificate of Amendment to the Restated Certificate of Incorporation, filed with the State of New Jersey on September 19, 2019, filed as Exhibit 3.1 to the Company’s Current Report on Form 8-K filed September 23, 2019.</w:t>
              </w:r>
            </w:hyperlink>
          </w:p>
        </w:tc>
        <w:tc>
          <w:tcPr>
            <w:tcW w:w="1279" w:type="dxa"/>
            <w:tcBorders/>
            <w:tcMar>
              <w:bottom w:w="0" w:type="dxa"/>
            </w:tcMar>
            <w:vAlign w:val="center"/>
          </w:tcPr>
          <w:p>
            <w:pPr>
              <w:pStyle w:val="TableContents"/>
              <w:bidi w:val="0"/>
              <w:spacing w:before="0" w:after="283"/>
              <w:jc w:val="center"/>
              <w:rPr/>
            </w:pPr>
            <w:r>
              <w:rPr/>
              <w:t> </w:t>
            </w:r>
          </w:p>
        </w:tc>
        <w:tc>
          <w:tcPr>
            <w:tcW w:w="801" w:type="dxa"/>
            <w:tcBorders/>
            <w:tcMar>
              <w:bottom w:w="0" w:type="dxa"/>
            </w:tcMar>
            <w:vAlign w:val="center"/>
          </w:tcPr>
          <w:p>
            <w:pPr>
              <w:pStyle w:val="TableContents"/>
              <w:bidi w:val="0"/>
              <w:spacing w:before="0" w:after="283"/>
              <w:jc w:val="center"/>
              <w:rPr/>
            </w:pPr>
            <w:r>
              <w:rPr/>
              <w:t> </w:t>
            </w:r>
          </w:p>
        </w:tc>
      </w:tr>
    </w:tbl>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78 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95"/>
        <w:gridCol w:w="7426"/>
        <w:gridCol w:w="1081"/>
        <w:gridCol w:w="803"/>
      </w:tblGrid>
      <w:tr>
        <w:trPr/>
        <w:tc>
          <w:tcPr>
            <w:tcW w:w="895" w:type="dxa"/>
            <w:tcBorders>
              <w:bottom w:val="single" w:sz="8" w:space="0" w:color="000000"/>
            </w:tcBorders>
            <w:vAlign w:val="center"/>
          </w:tcPr>
          <w:p>
            <w:pPr>
              <w:pStyle w:val="TableContents"/>
              <w:bidi w:val="0"/>
              <w:spacing w:before="0" w:after="283"/>
              <w:ind w:left="0" w:right="0" w:hanging="0"/>
              <w:jc w:val="center"/>
              <w:rPr>
                <w:b/>
              </w:rPr>
            </w:pPr>
            <w:r>
              <w:rPr>
                <w:b/>
              </w:rPr>
              <w:t>Exhibit No.</w:t>
            </w:r>
          </w:p>
        </w:tc>
        <w:tc>
          <w:tcPr>
            <w:tcW w:w="7426" w:type="dxa"/>
            <w:tcBorders>
              <w:bottom w:val="single" w:sz="8" w:space="0" w:color="000000"/>
            </w:tcBorders>
            <w:vAlign w:val="center"/>
          </w:tcPr>
          <w:p>
            <w:pPr>
              <w:pStyle w:val="TableContents"/>
              <w:bidi w:val="0"/>
              <w:spacing w:before="0" w:after="283"/>
              <w:ind w:left="0" w:right="0" w:hanging="0"/>
              <w:jc w:val="center"/>
              <w:rPr>
                <w:b/>
              </w:rPr>
            </w:pPr>
            <w:r>
              <w:rPr>
                <w:b/>
              </w:rPr>
              <w:t>Document Description</w:t>
            </w:r>
          </w:p>
        </w:tc>
        <w:tc>
          <w:tcPr>
            <w:tcW w:w="1081" w:type="dxa"/>
            <w:tcBorders>
              <w:bottom w:val="single" w:sz="8" w:space="0" w:color="000000"/>
            </w:tcBorders>
            <w:vAlign w:val="center"/>
          </w:tcPr>
          <w:p>
            <w:pPr>
              <w:pStyle w:val="TableContents"/>
              <w:bidi w:val="0"/>
              <w:spacing w:before="0" w:after="283"/>
              <w:ind w:left="0" w:right="0" w:hanging="0"/>
              <w:jc w:val="center"/>
              <w:rPr>
                <w:b/>
              </w:rPr>
            </w:pPr>
            <w:r>
              <w:rPr>
                <w:b/>
              </w:rPr>
              <w:t xml:space="preserve">Previous </w:t>
              <w:br/>
            </w:r>
            <w:r>
              <w:rPr>
                <w:b/>
                <w:sz w:val="20"/>
              </w:rPr>
              <w:t xml:space="preserve">Registration </w:t>
            </w:r>
            <w:r>
              <w:rPr>
                <w:b/>
              </w:rPr>
              <w:br/>
              <w:t>No.</w:t>
            </w:r>
          </w:p>
        </w:tc>
        <w:tc>
          <w:tcPr>
            <w:tcW w:w="803" w:type="dxa"/>
            <w:tcBorders>
              <w:bottom w:val="single" w:sz="8" w:space="0" w:color="000000"/>
            </w:tcBorders>
            <w:vAlign w:val="center"/>
          </w:tcPr>
          <w:p>
            <w:pPr>
              <w:pStyle w:val="TableContents"/>
              <w:bidi w:val="0"/>
              <w:spacing w:before="0" w:after="283"/>
              <w:ind w:left="0" w:right="0" w:hanging="0"/>
              <w:jc w:val="center"/>
              <w:rPr>
                <w:b/>
              </w:rPr>
            </w:pPr>
            <w:r>
              <w:rPr>
                <w:b/>
              </w:rPr>
              <w:t>Filing’s</w:t>
              <w:br/>
              <w:t xml:space="preserve">Exhibit </w:t>
              <w:br/>
              <w:t>No.</w:t>
            </w:r>
          </w:p>
        </w:tc>
      </w:tr>
      <w:tr>
        <w:trPr/>
        <w:tc>
          <w:tcPr>
            <w:tcW w:w="895" w:type="dxa"/>
            <w:tcBorders/>
            <w:tcMar>
              <w:bottom w:w="0" w:type="dxa"/>
            </w:tcMar>
            <w:vAlign w:val="center"/>
          </w:tcPr>
          <w:p>
            <w:pPr>
              <w:pStyle w:val="TableContents"/>
              <w:bidi w:val="0"/>
              <w:spacing w:before="0" w:after="283"/>
              <w:ind w:left="0" w:right="0" w:hanging="0"/>
              <w:jc w:val="center"/>
              <w:rPr/>
            </w:pPr>
            <w:r>
              <w:rPr/>
              <w:t>3.11</w:t>
            </w:r>
          </w:p>
        </w:tc>
        <w:tc>
          <w:tcPr>
            <w:tcW w:w="7426" w:type="dxa"/>
            <w:tcBorders/>
            <w:tcMar>
              <w:bottom w:w="0" w:type="dxa"/>
            </w:tcMar>
            <w:vAlign w:val="center"/>
          </w:tcPr>
          <w:p>
            <w:pPr>
              <w:pStyle w:val="TableContents"/>
              <w:bidi w:val="0"/>
              <w:spacing w:before="0" w:after="283"/>
              <w:ind w:left="0" w:right="0" w:hanging="0"/>
              <w:jc w:val="both"/>
              <w:rPr/>
            </w:pPr>
            <w:hyperlink r:id="rId13">
              <w:r>
                <w:rPr>
                  <w:rStyle w:val="InternetLink"/>
                </w:rPr>
                <w:t>By-laws of the Company, as amended, filed as Exhibit 4.10 to the Company’s Quarterly Report on Form 10-Q for the quarter ended June 30, 2010.</w:t>
              </w:r>
            </w:hyperlink>
          </w:p>
        </w:tc>
        <w:tc>
          <w:tcPr>
            <w:tcW w:w="1081" w:type="dxa"/>
            <w:tcBorders/>
            <w:tcMar>
              <w:bottom w:w="0" w:type="dxa"/>
            </w:tcMar>
            <w:vAlign w:val="center"/>
          </w:tcPr>
          <w:p>
            <w:pPr>
              <w:pStyle w:val="TableContents"/>
              <w:bidi w:val="0"/>
              <w:spacing w:before="0" w:after="283"/>
              <w:ind w:left="0" w:right="0" w:hanging="0"/>
              <w:jc w:val="center"/>
              <w:rPr/>
            </w:pPr>
            <w:r>
              <w:rPr/>
              <w:t> </w:t>
            </w:r>
          </w:p>
        </w:tc>
        <w:tc>
          <w:tcPr>
            <w:tcW w:w="803" w:type="dxa"/>
            <w:tcBorders/>
            <w:tcMar>
              <w:bottom w:w="0" w:type="dxa"/>
            </w:tcMar>
            <w:vAlign w:val="center"/>
          </w:tcPr>
          <w:p>
            <w:pPr>
              <w:pStyle w:val="TableContents"/>
              <w:bidi w:val="0"/>
              <w:spacing w:before="0" w:after="283"/>
              <w:ind w:left="0" w:right="0" w:hanging="0"/>
              <w:jc w:val="center"/>
              <w:rPr/>
            </w:pPr>
            <w:r>
              <w:rPr/>
              <w:t> </w:t>
            </w:r>
          </w:p>
        </w:tc>
      </w:tr>
      <w:tr>
        <w:trPr/>
        <w:tc>
          <w:tcPr>
            <w:tcW w:w="895" w:type="dxa"/>
            <w:tcBorders/>
            <w:tcMar>
              <w:bottom w:w="0" w:type="dxa"/>
            </w:tcMar>
            <w:vAlign w:val="center"/>
          </w:tcPr>
          <w:p>
            <w:pPr>
              <w:pStyle w:val="TableContents"/>
              <w:bidi w:val="0"/>
              <w:spacing w:before="0" w:after="283"/>
              <w:ind w:left="0" w:right="0" w:hanging="0"/>
              <w:jc w:val="center"/>
              <w:rPr/>
            </w:pPr>
            <w:r>
              <w:rPr/>
              <w:t>3.12</w:t>
            </w:r>
          </w:p>
        </w:tc>
        <w:tc>
          <w:tcPr>
            <w:tcW w:w="7426" w:type="dxa"/>
            <w:tcBorders/>
            <w:tcMar>
              <w:bottom w:w="0" w:type="dxa"/>
            </w:tcMar>
            <w:vAlign w:val="center"/>
          </w:tcPr>
          <w:p>
            <w:pPr>
              <w:pStyle w:val="TableContents"/>
              <w:bidi w:val="0"/>
              <w:spacing w:before="0" w:after="283"/>
              <w:ind w:left="0" w:right="0" w:hanging="0"/>
              <w:jc w:val="both"/>
              <w:rPr/>
            </w:pPr>
            <w:hyperlink r:id="rId14">
              <w:r>
                <w:rPr>
                  <w:rStyle w:val="InternetLink"/>
                </w:rPr>
                <w:t>Amendments to the by-laws of the Company, included as Exhibit 3(ii) to the Company’s Current Report on Form 8-K dated November 22, 2017.</w:t>
              </w:r>
            </w:hyperlink>
          </w:p>
        </w:tc>
        <w:tc>
          <w:tcPr>
            <w:tcW w:w="1081" w:type="dxa"/>
            <w:tcBorders/>
            <w:tcMar>
              <w:bottom w:w="0" w:type="dxa"/>
            </w:tcMar>
            <w:vAlign w:val="center"/>
          </w:tcPr>
          <w:p>
            <w:pPr>
              <w:pStyle w:val="TableContents"/>
              <w:bidi w:val="0"/>
              <w:spacing w:before="0" w:after="283"/>
              <w:ind w:left="0" w:right="0" w:hanging="0"/>
              <w:jc w:val="center"/>
              <w:rPr/>
            </w:pPr>
            <w:r>
              <w:rPr/>
              <w:t> </w:t>
            </w:r>
          </w:p>
        </w:tc>
        <w:tc>
          <w:tcPr>
            <w:tcW w:w="803" w:type="dxa"/>
            <w:tcBorders/>
            <w:tcMar>
              <w:bottom w:w="0" w:type="dxa"/>
            </w:tcMar>
            <w:vAlign w:val="center"/>
          </w:tcPr>
          <w:p>
            <w:pPr>
              <w:pStyle w:val="TableContents"/>
              <w:bidi w:val="0"/>
              <w:spacing w:before="0" w:after="283"/>
              <w:ind w:left="0" w:right="0" w:hanging="0"/>
              <w:jc w:val="center"/>
              <w:rPr/>
            </w:pPr>
            <w:r>
              <w:rPr/>
              <w:t> </w:t>
            </w:r>
          </w:p>
        </w:tc>
      </w:tr>
      <w:tr>
        <w:trPr/>
        <w:tc>
          <w:tcPr>
            <w:tcW w:w="895" w:type="dxa"/>
            <w:tcBorders/>
            <w:tcMar>
              <w:bottom w:w="0" w:type="dxa"/>
            </w:tcMar>
            <w:vAlign w:val="center"/>
          </w:tcPr>
          <w:p>
            <w:pPr>
              <w:pStyle w:val="TableContents"/>
              <w:bidi w:val="0"/>
              <w:spacing w:before="0" w:after="283"/>
              <w:ind w:left="0" w:right="0" w:hanging="0"/>
              <w:jc w:val="center"/>
              <w:rPr/>
            </w:pPr>
            <w:r>
              <w:rPr/>
              <w:t>4.1</w:t>
            </w:r>
          </w:p>
        </w:tc>
        <w:tc>
          <w:tcPr>
            <w:tcW w:w="7426" w:type="dxa"/>
            <w:tcBorders/>
            <w:tcMar>
              <w:bottom w:w="0" w:type="dxa"/>
            </w:tcMar>
            <w:vAlign w:val="center"/>
          </w:tcPr>
          <w:p>
            <w:pPr>
              <w:pStyle w:val="TableContents"/>
              <w:bidi w:val="0"/>
              <w:spacing w:before="0" w:after="283"/>
              <w:ind w:left="0" w:right="0" w:hanging="0"/>
              <w:jc w:val="both"/>
              <w:rPr/>
            </w:pPr>
            <w:r>
              <w:rPr/>
              <w:t>Form of Common Stock Certificate.</w:t>
            </w:r>
          </w:p>
        </w:tc>
        <w:tc>
          <w:tcPr>
            <w:tcW w:w="1081" w:type="dxa"/>
            <w:tcBorders/>
            <w:tcMar>
              <w:bottom w:w="0" w:type="dxa"/>
            </w:tcMar>
            <w:vAlign w:val="center"/>
          </w:tcPr>
          <w:p>
            <w:pPr>
              <w:pStyle w:val="TableContents"/>
              <w:bidi w:val="0"/>
              <w:spacing w:before="0" w:after="283"/>
              <w:ind w:left="0" w:right="0" w:hanging="0"/>
              <w:jc w:val="center"/>
              <w:rPr/>
            </w:pPr>
            <w:r>
              <w:rPr/>
              <w:t>2-55058</w:t>
            </w:r>
          </w:p>
        </w:tc>
        <w:tc>
          <w:tcPr>
            <w:tcW w:w="803" w:type="dxa"/>
            <w:tcBorders/>
            <w:tcMar>
              <w:bottom w:w="0" w:type="dxa"/>
            </w:tcMar>
            <w:vAlign w:val="center"/>
          </w:tcPr>
          <w:p>
            <w:pPr>
              <w:pStyle w:val="TableContents"/>
              <w:bidi w:val="0"/>
              <w:spacing w:before="0" w:after="283"/>
              <w:ind w:left="0" w:right="0" w:hanging="0"/>
              <w:jc w:val="center"/>
              <w:rPr/>
            </w:pPr>
            <w:r>
              <w:rPr/>
              <w:t>2(a)</w:t>
            </w:r>
          </w:p>
        </w:tc>
      </w:tr>
      <w:tr>
        <w:trPr/>
        <w:tc>
          <w:tcPr>
            <w:tcW w:w="895" w:type="dxa"/>
            <w:tcBorders/>
            <w:tcMar>
              <w:bottom w:w="0" w:type="dxa"/>
            </w:tcMar>
            <w:vAlign w:val="center"/>
          </w:tcPr>
          <w:p>
            <w:pPr>
              <w:pStyle w:val="TableContents"/>
              <w:bidi w:val="0"/>
              <w:spacing w:before="0" w:after="283"/>
              <w:ind w:left="0" w:right="0" w:hanging="0"/>
              <w:jc w:val="center"/>
              <w:rPr/>
            </w:pPr>
            <w:r>
              <w:rPr/>
              <w:t>10.1</w:t>
            </w:r>
          </w:p>
        </w:tc>
        <w:tc>
          <w:tcPr>
            <w:tcW w:w="7426" w:type="dxa"/>
            <w:tcBorders/>
            <w:tcMar>
              <w:bottom w:w="0" w:type="dxa"/>
            </w:tcMar>
            <w:vAlign w:val="center"/>
          </w:tcPr>
          <w:p>
            <w:pPr>
              <w:pStyle w:val="TableContents"/>
              <w:bidi w:val="0"/>
              <w:spacing w:before="0" w:after="283"/>
              <w:ind w:left="0" w:right="0" w:hanging="0"/>
              <w:jc w:val="both"/>
              <w:rPr/>
            </w:pPr>
            <w:hyperlink r:id="rId15">
              <w:r>
                <w:rPr>
                  <w:rStyle w:val="InternetLink"/>
                </w:rPr>
                <w:t>Water Service Agreement, dated February 28, 2006,  between the Company and Elizabethtown Water Company, filed as Exhibit 10 of the Company’s Quarterly Report on Form 10-Q for the quarter ended March 31, 2006.</w:t>
              </w:r>
            </w:hyperlink>
          </w:p>
        </w:tc>
        <w:tc>
          <w:tcPr>
            <w:tcW w:w="1081" w:type="dxa"/>
            <w:tcBorders/>
            <w:tcMar>
              <w:bottom w:w="0" w:type="dxa"/>
            </w:tcMar>
            <w:vAlign w:val="center"/>
          </w:tcPr>
          <w:p>
            <w:pPr>
              <w:pStyle w:val="TableContents"/>
              <w:bidi w:val="0"/>
              <w:spacing w:before="0" w:after="283"/>
              <w:ind w:left="0" w:right="0" w:hanging="0"/>
              <w:jc w:val="center"/>
              <w:rPr/>
            </w:pPr>
            <w:r>
              <w:rPr/>
              <w:t> </w:t>
            </w:r>
          </w:p>
        </w:tc>
        <w:tc>
          <w:tcPr>
            <w:tcW w:w="803" w:type="dxa"/>
            <w:tcBorders/>
            <w:tcMar>
              <w:bottom w:w="0" w:type="dxa"/>
            </w:tcMar>
            <w:vAlign w:val="center"/>
          </w:tcPr>
          <w:p>
            <w:pPr>
              <w:pStyle w:val="TableContents"/>
              <w:bidi w:val="0"/>
              <w:spacing w:before="0" w:after="283"/>
              <w:ind w:left="0" w:right="0" w:hanging="0"/>
              <w:jc w:val="center"/>
              <w:rPr/>
            </w:pPr>
            <w:r>
              <w:rPr/>
              <w:t> </w:t>
            </w:r>
          </w:p>
        </w:tc>
      </w:tr>
      <w:tr>
        <w:trPr/>
        <w:tc>
          <w:tcPr>
            <w:tcW w:w="895" w:type="dxa"/>
            <w:tcBorders/>
            <w:tcMar>
              <w:bottom w:w="0" w:type="dxa"/>
            </w:tcMar>
            <w:vAlign w:val="center"/>
          </w:tcPr>
          <w:p>
            <w:pPr>
              <w:pStyle w:val="TableContents"/>
              <w:bidi w:val="0"/>
              <w:spacing w:before="0" w:after="283"/>
              <w:ind w:left="0" w:right="0" w:hanging="0"/>
              <w:jc w:val="center"/>
              <w:rPr/>
            </w:pPr>
            <w:r>
              <w:rPr/>
              <w:t>10.2</w:t>
            </w:r>
          </w:p>
        </w:tc>
        <w:tc>
          <w:tcPr>
            <w:tcW w:w="7426" w:type="dxa"/>
            <w:tcBorders/>
            <w:tcMar>
              <w:bottom w:w="0" w:type="dxa"/>
            </w:tcMar>
            <w:vAlign w:val="center"/>
          </w:tcPr>
          <w:p>
            <w:pPr>
              <w:pStyle w:val="TableContents"/>
              <w:bidi w:val="0"/>
              <w:spacing w:before="0" w:after="283"/>
              <w:ind w:left="0" w:right="0" w:hanging="0"/>
              <w:jc w:val="both"/>
              <w:rPr/>
            </w:pPr>
            <w:r>
              <w:rPr/>
              <w:t>Mortgage, dated April 1, 1927, between the Company and Union County Trust Company, as Trustee, as supplemented by Supplemental Indentures, dated as of October 1, 1939 and April 1, 1949.</w:t>
            </w:r>
          </w:p>
        </w:tc>
        <w:tc>
          <w:tcPr>
            <w:tcW w:w="1081" w:type="dxa"/>
            <w:tcBorders/>
            <w:tcMar>
              <w:bottom w:w="0" w:type="dxa"/>
            </w:tcMar>
            <w:vAlign w:val="center"/>
          </w:tcPr>
          <w:p>
            <w:pPr>
              <w:pStyle w:val="TableContents"/>
              <w:bidi w:val="0"/>
              <w:spacing w:before="0" w:after="283"/>
              <w:ind w:left="0" w:right="0" w:hanging="0"/>
              <w:jc w:val="center"/>
              <w:rPr/>
            </w:pPr>
            <w:r>
              <w:rPr/>
              <w:t>2-15795</w:t>
            </w:r>
          </w:p>
        </w:tc>
        <w:tc>
          <w:tcPr>
            <w:tcW w:w="803" w:type="dxa"/>
            <w:tcBorders/>
            <w:tcMar>
              <w:bottom w:w="0" w:type="dxa"/>
            </w:tcMar>
            <w:vAlign w:val="center"/>
          </w:tcPr>
          <w:p>
            <w:pPr>
              <w:pStyle w:val="TableContents"/>
              <w:bidi w:val="0"/>
              <w:spacing w:before="0" w:after="283"/>
              <w:ind w:left="0" w:right="0" w:hanging="0"/>
              <w:jc w:val="center"/>
              <w:rPr/>
            </w:pPr>
            <w:r>
              <w:rPr/>
              <w:t>4(a)-4(f)</w:t>
            </w:r>
          </w:p>
        </w:tc>
      </w:tr>
      <w:tr>
        <w:trPr/>
        <w:tc>
          <w:tcPr>
            <w:tcW w:w="895" w:type="dxa"/>
            <w:tcBorders/>
            <w:tcMar>
              <w:bottom w:w="0" w:type="dxa"/>
            </w:tcMar>
            <w:vAlign w:val="center"/>
          </w:tcPr>
          <w:p>
            <w:pPr>
              <w:pStyle w:val="TableContents"/>
              <w:bidi w:val="0"/>
              <w:spacing w:before="0" w:after="283"/>
              <w:ind w:left="0" w:right="0" w:hanging="0"/>
              <w:jc w:val="center"/>
              <w:rPr/>
            </w:pPr>
            <w:r>
              <w:rPr/>
              <w:t>10.3</w:t>
            </w:r>
          </w:p>
        </w:tc>
        <w:tc>
          <w:tcPr>
            <w:tcW w:w="7426" w:type="dxa"/>
            <w:tcBorders/>
            <w:tcMar>
              <w:bottom w:w="0" w:type="dxa"/>
            </w:tcMar>
            <w:vAlign w:val="center"/>
          </w:tcPr>
          <w:p>
            <w:pPr>
              <w:pStyle w:val="TableContents"/>
              <w:bidi w:val="0"/>
              <w:spacing w:before="0" w:after="283"/>
              <w:ind w:left="0" w:right="0" w:hanging="0"/>
              <w:jc w:val="both"/>
              <w:rPr/>
            </w:pPr>
            <w:r>
              <w:rPr/>
              <w:t>Supplemental Indenture, dated as of July 1, 1964 and June 15, 1991, between the Company and Union County Trust Company, as Trustee.</w:t>
            </w:r>
          </w:p>
        </w:tc>
        <w:tc>
          <w:tcPr>
            <w:tcW w:w="1081" w:type="dxa"/>
            <w:tcBorders/>
            <w:tcMar>
              <w:bottom w:w="0" w:type="dxa"/>
            </w:tcMar>
            <w:vAlign w:val="center"/>
          </w:tcPr>
          <w:p>
            <w:pPr>
              <w:pStyle w:val="TableContents"/>
              <w:bidi w:val="0"/>
              <w:spacing w:before="0" w:after="283"/>
              <w:ind w:left="0" w:right="0" w:hanging="0"/>
              <w:jc w:val="center"/>
              <w:rPr/>
            </w:pPr>
            <w:r>
              <w:rPr/>
              <w:t>33-54922</w:t>
            </w:r>
          </w:p>
        </w:tc>
        <w:tc>
          <w:tcPr>
            <w:tcW w:w="803" w:type="dxa"/>
            <w:tcBorders/>
            <w:tcMar>
              <w:bottom w:w="0" w:type="dxa"/>
            </w:tcMar>
            <w:vAlign w:val="center"/>
          </w:tcPr>
          <w:p>
            <w:pPr>
              <w:pStyle w:val="TableContents"/>
              <w:bidi w:val="0"/>
              <w:spacing w:before="0" w:after="283"/>
              <w:ind w:left="0" w:right="0" w:hanging="0"/>
              <w:jc w:val="center"/>
              <w:rPr>
                <w:sz w:val="20"/>
              </w:rPr>
            </w:pPr>
            <w:r>
              <w:rPr>
                <w:sz w:val="20"/>
              </w:rPr>
              <w:t>10.4-10.9</w:t>
            </w:r>
          </w:p>
        </w:tc>
      </w:tr>
      <w:tr>
        <w:trPr/>
        <w:tc>
          <w:tcPr>
            <w:tcW w:w="895" w:type="dxa"/>
            <w:tcBorders/>
            <w:tcMar>
              <w:bottom w:w="0" w:type="dxa"/>
            </w:tcMar>
            <w:vAlign w:val="center"/>
          </w:tcPr>
          <w:p>
            <w:pPr>
              <w:pStyle w:val="TableContents"/>
              <w:bidi w:val="0"/>
              <w:spacing w:before="0" w:after="283"/>
              <w:ind w:left="0" w:right="0" w:hanging="0"/>
              <w:jc w:val="center"/>
              <w:rPr/>
            </w:pPr>
            <w:r>
              <w:rPr/>
              <w:t>10.4</w:t>
            </w:r>
          </w:p>
        </w:tc>
        <w:tc>
          <w:tcPr>
            <w:tcW w:w="7426" w:type="dxa"/>
            <w:tcBorders/>
            <w:tcMar>
              <w:bottom w:w="0" w:type="dxa"/>
            </w:tcMar>
            <w:vAlign w:val="center"/>
          </w:tcPr>
          <w:p>
            <w:pPr>
              <w:pStyle w:val="TableContents"/>
              <w:bidi w:val="0"/>
              <w:spacing w:before="0" w:after="283"/>
              <w:ind w:left="0" w:right="0" w:hanging="0"/>
              <w:jc w:val="both"/>
              <w:rPr/>
            </w:pPr>
            <w:hyperlink r:id="rId16">
              <w:r>
                <w:rPr>
                  <w:rStyle w:val="InternetLink"/>
                </w:rPr>
                <w:t>Agreement for a Supply of Water, dated as of July 27, 2011, between the Company and the Old Bridge Municipal Utilities Authority, filed as Exhibit No. 10.4 of the Company’s Quarterly Report on Form 10-Q for the quarter ended September 30, 2011.</w:t>
              </w:r>
            </w:hyperlink>
          </w:p>
        </w:tc>
        <w:tc>
          <w:tcPr>
            <w:tcW w:w="1081" w:type="dxa"/>
            <w:tcBorders/>
            <w:tcMar>
              <w:bottom w:w="0" w:type="dxa"/>
            </w:tcMar>
            <w:vAlign w:val="center"/>
          </w:tcPr>
          <w:p>
            <w:pPr>
              <w:pStyle w:val="TableContents"/>
              <w:bidi w:val="0"/>
              <w:spacing w:before="0" w:after="283"/>
              <w:ind w:left="0" w:right="0" w:hanging="0"/>
              <w:jc w:val="center"/>
              <w:rPr/>
            </w:pPr>
            <w:r>
              <w:rPr/>
              <w:t> </w:t>
            </w:r>
          </w:p>
        </w:tc>
        <w:tc>
          <w:tcPr>
            <w:tcW w:w="803" w:type="dxa"/>
            <w:tcBorders/>
            <w:tcMar>
              <w:bottom w:w="0" w:type="dxa"/>
            </w:tcMar>
            <w:vAlign w:val="center"/>
          </w:tcPr>
          <w:p>
            <w:pPr>
              <w:pStyle w:val="TableContents"/>
              <w:bidi w:val="0"/>
              <w:spacing w:before="0" w:after="283"/>
              <w:ind w:left="0" w:right="0" w:hanging="0"/>
              <w:jc w:val="center"/>
              <w:rPr/>
            </w:pPr>
            <w:r>
              <w:rPr/>
              <w:t> </w:t>
            </w:r>
          </w:p>
        </w:tc>
      </w:tr>
      <w:tr>
        <w:trPr/>
        <w:tc>
          <w:tcPr>
            <w:tcW w:w="895" w:type="dxa"/>
            <w:tcBorders/>
            <w:tcMar>
              <w:bottom w:w="0" w:type="dxa"/>
            </w:tcMar>
            <w:vAlign w:val="center"/>
          </w:tcPr>
          <w:p>
            <w:pPr>
              <w:pStyle w:val="TableContents"/>
              <w:bidi w:val="0"/>
              <w:spacing w:before="0" w:after="283"/>
              <w:ind w:left="0" w:right="0" w:hanging="0"/>
              <w:jc w:val="center"/>
              <w:rPr/>
            </w:pPr>
            <w:r>
              <w:rPr/>
              <w:t>10.5</w:t>
            </w:r>
          </w:p>
        </w:tc>
        <w:tc>
          <w:tcPr>
            <w:tcW w:w="7426" w:type="dxa"/>
            <w:tcBorders/>
            <w:tcMar>
              <w:bottom w:w="0" w:type="dxa"/>
            </w:tcMar>
            <w:vAlign w:val="center"/>
          </w:tcPr>
          <w:p>
            <w:pPr>
              <w:pStyle w:val="TableContents"/>
              <w:bidi w:val="0"/>
              <w:spacing w:before="0" w:after="283"/>
              <w:ind w:left="0" w:right="0" w:hanging="0"/>
              <w:jc w:val="both"/>
              <w:rPr/>
            </w:pPr>
            <w:r>
              <w:rPr/>
              <w:t>Water Supply Agreement, dated as of July 14, 1987, between the Company and the Marlboro Township Municipal Utilities Authority, as amended.</w:t>
            </w:r>
          </w:p>
        </w:tc>
        <w:tc>
          <w:tcPr>
            <w:tcW w:w="1081" w:type="dxa"/>
            <w:tcBorders/>
            <w:tcMar>
              <w:bottom w:w="0" w:type="dxa"/>
            </w:tcMar>
            <w:vAlign w:val="center"/>
          </w:tcPr>
          <w:p>
            <w:pPr>
              <w:pStyle w:val="TableContents"/>
              <w:bidi w:val="0"/>
              <w:spacing w:before="0" w:after="283"/>
              <w:ind w:left="0" w:right="0" w:hanging="0"/>
              <w:jc w:val="center"/>
              <w:rPr/>
            </w:pPr>
            <w:r>
              <w:rPr/>
              <w:t>33-31476</w:t>
            </w:r>
          </w:p>
        </w:tc>
        <w:tc>
          <w:tcPr>
            <w:tcW w:w="803" w:type="dxa"/>
            <w:tcBorders/>
            <w:tcMar>
              <w:bottom w:w="0" w:type="dxa"/>
            </w:tcMar>
            <w:vAlign w:val="center"/>
          </w:tcPr>
          <w:p>
            <w:pPr>
              <w:pStyle w:val="TableContents"/>
              <w:bidi w:val="0"/>
              <w:spacing w:before="0" w:after="283"/>
              <w:ind w:left="0" w:right="0" w:hanging="0"/>
              <w:jc w:val="center"/>
              <w:rPr/>
            </w:pPr>
            <w:r>
              <w:rPr/>
              <w:t>10.13</w:t>
            </w:r>
          </w:p>
        </w:tc>
      </w:tr>
      <w:tr>
        <w:trPr/>
        <w:tc>
          <w:tcPr>
            <w:tcW w:w="895" w:type="dxa"/>
            <w:tcBorders/>
            <w:tcMar>
              <w:bottom w:w="0" w:type="dxa"/>
            </w:tcMar>
            <w:vAlign w:val="center"/>
          </w:tcPr>
          <w:p>
            <w:pPr>
              <w:pStyle w:val="TableContents"/>
              <w:bidi w:val="0"/>
              <w:spacing w:before="0" w:after="283"/>
              <w:ind w:left="0" w:right="0" w:hanging="0"/>
              <w:jc w:val="center"/>
              <w:rPr/>
            </w:pPr>
            <w:r>
              <w:rPr/>
              <w:t>*10.6</w:t>
            </w:r>
          </w:p>
        </w:tc>
        <w:tc>
          <w:tcPr>
            <w:tcW w:w="7426" w:type="dxa"/>
            <w:tcBorders/>
            <w:tcMar>
              <w:bottom w:w="0" w:type="dxa"/>
            </w:tcMar>
            <w:vAlign w:val="center"/>
          </w:tcPr>
          <w:p>
            <w:pPr>
              <w:pStyle w:val="TableContents"/>
              <w:bidi w:val="0"/>
              <w:spacing w:before="0" w:after="283"/>
              <w:ind w:left="0" w:right="0" w:hanging="0"/>
              <w:jc w:val="both"/>
              <w:rPr/>
            </w:pPr>
            <w:hyperlink w:anchor="ex10-6.htm">
              <w:r>
                <w:rPr>
                  <w:rStyle w:val="InternetLink"/>
                </w:rPr>
                <w:t>Water Purchase Contract, dated as of October 24, 2023, between the Company and the New Jersey Water Supply Authority.</w:t>
              </w:r>
            </w:hyperlink>
          </w:p>
        </w:tc>
        <w:tc>
          <w:tcPr>
            <w:tcW w:w="1081" w:type="dxa"/>
            <w:tcBorders/>
            <w:tcMar>
              <w:bottom w:w="0" w:type="dxa"/>
            </w:tcMar>
            <w:vAlign w:val="center"/>
          </w:tcPr>
          <w:p>
            <w:pPr>
              <w:pStyle w:val="TableContents"/>
              <w:bidi w:val="0"/>
              <w:spacing w:before="0" w:after="283"/>
              <w:ind w:left="0" w:right="0" w:hanging="0"/>
              <w:jc w:val="left"/>
              <w:rPr/>
            </w:pPr>
            <w:r>
              <w:rPr/>
              <w:t> </w:t>
            </w:r>
          </w:p>
        </w:tc>
        <w:tc>
          <w:tcPr>
            <w:tcW w:w="803" w:type="dxa"/>
            <w:tcBorders/>
            <w:tcMar>
              <w:bottom w:w="0" w:type="dxa"/>
            </w:tcMar>
            <w:vAlign w:val="center"/>
          </w:tcPr>
          <w:p>
            <w:pPr>
              <w:pStyle w:val="TableContents"/>
              <w:bidi w:val="0"/>
              <w:spacing w:before="0" w:after="283"/>
              <w:ind w:left="0" w:right="0" w:hanging="0"/>
              <w:jc w:val="left"/>
              <w:rPr/>
            </w:pPr>
            <w:r>
              <w:rPr/>
              <w:t> </w:t>
            </w:r>
          </w:p>
        </w:tc>
      </w:tr>
      <w:tr>
        <w:trPr/>
        <w:tc>
          <w:tcPr>
            <w:tcW w:w="895" w:type="dxa"/>
            <w:tcBorders/>
            <w:tcMar>
              <w:bottom w:w="0" w:type="dxa"/>
            </w:tcMar>
            <w:vAlign w:val="center"/>
          </w:tcPr>
          <w:p>
            <w:pPr>
              <w:pStyle w:val="TableContents"/>
              <w:bidi w:val="0"/>
              <w:spacing w:before="0" w:after="283"/>
              <w:ind w:left="0" w:right="0" w:hanging="0"/>
              <w:jc w:val="center"/>
              <w:rPr/>
            </w:pPr>
            <w:r>
              <w:rPr/>
              <w:t>10.7</w:t>
            </w:r>
          </w:p>
        </w:tc>
        <w:tc>
          <w:tcPr>
            <w:tcW w:w="7426" w:type="dxa"/>
            <w:tcBorders/>
            <w:tcMar>
              <w:bottom w:w="0" w:type="dxa"/>
            </w:tcMar>
            <w:vAlign w:val="center"/>
          </w:tcPr>
          <w:p>
            <w:pPr>
              <w:pStyle w:val="TableContents"/>
              <w:bidi w:val="0"/>
              <w:spacing w:before="0" w:after="283"/>
              <w:ind w:left="0" w:right="0" w:hanging="0"/>
              <w:jc w:val="both"/>
              <w:rPr/>
            </w:pPr>
            <w:hyperlink r:id="rId17">
              <w:r>
                <w:rPr>
                  <w:rStyle w:val="InternetLink"/>
                </w:rPr>
                <w:t>Treatment and Pumping Agreement, dated October 1, 2014, between the Company and the Township of East Brunswick, filed as Exhibit No. 10.7 of the Company’s Annual Report on Form 10-K for the year ended December 31, 2016.</w:t>
              </w:r>
            </w:hyperlink>
          </w:p>
        </w:tc>
        <w:tc>
          <w:tcPr>
            <w:tcW w:w="1081" w:type="dxa"/>
            <w:tcBorders/>
            <w:tcMar>
              <w:bottom w:w="0" w:type="dxa"/>
            </w:tcMar>
            <w:vAlign w:val="center"/>
          </w:tcPr>
          <w:p>
            <w:pPr>
              <w:pStyle w:val="TableContents"/>
              <w:bidi w:val="0"/>
              <w:spacing w:before="0" w:after="283"/>
              <w:ind w:left="0" w:right="0" w:hanging="0"/>
              <w:jc w:val="center"/>
              <w:rPr/>
            </w:pPr>
            <w:r>
              <w:rPr/>
              <w:t> </w:t>
            </w:r>
          </w:p>
        </w:tc>
        <w:tc>
          <w:tcPr>
            <w:tcW w:w="803" w:type="dxa"/>
            <w:tcBorders/>
            <w:tcMar>
              <w:bottom w:w="0" w:type="dxa"/>
            </w:tcMar>
            <w:vAlign w:val="center"/>
          </w:tcPr>
          <w:p>
            <w:pPr>
              <w:pStyle w:val="TableContents"/>
              <w:bidi w:val="0"/>
              <w:spacing w:before="0" w:after="283"/>
              <w:ind w:left="0" w:right="0" w:hanging="0"/>
              <w:jc w:val="center"/>
              <w:rPr/>
            </w:pPr>
            <w:r>
              <w:rPr/>
              <w:t> </w:t>
            </w:r>
          </w:p>
        </w:tc>
      </w:tr>
      <w:tr>
        <w:trPr/>
        <w:tc>
          <w:tcPr>
            <w:tcW w:w="895" w:type="dxa"/>
            <w:tcBorders/>
            <w:tcMar>
              <w:bottom w:w="0" w:type="dxa"/>
            </w:tcMar>
            <w:vAlign w:val="center"/>
          </w:tcPr>
          <w:p>
            <w:pPr>
              <w:pStyle w:val="TableContents"/>
              <w:bidi w:val="0"/>
              <w:spacing w:before="0" w:after="283"/>
              <w:ind w:left="0" w:right="0" w:hanging="0"/>
              <w:jc w:val="center"/>
              <w:rPr/>
            </w:pPr>
            <w:r>
              <w:rPr/>
              <w:t>10.8</w:t>
            </w:r>
          </w:p>
        </w:tc>
        <w:tc>
          <w:tcPr>
            <w:tcW w:w="7426" w:type="dxa"/>
            <w:tcBorders/>
            <w:tcMar>
              <w:bottom w:w="0" w:type="dxa"/>
            </w:tcMar>
            <w:vAlign w:val="center"/>
          </w:tcPr>
          <w:p>
            <w:pPr>
              <w:pStyle w:val="TableContents"/>
              <w:bidi w:val="0"/>
              <w:spacing w:before="0" w:after="283"/>
              <w:ind w:left="0" w:right="0" w:hanging="0"/>
              <w:jc w:val="both"/>
              <w:rPr/>
            </w:pPr>
            <w:r>
              <w:rPr/>
              <w:t>Water Supply Agreement, dated June 4, 1990, between the Company and Edison Township.</w:t>
            </w:r>
          </w:p>
        </w:tc>
        <w:tc>
          <w:tcPr>
            <w:tcW w:w="1081" w:type="dxa"/>
            <w:tcBorders/>
            <w:tcMar>
              <w:bottom w:w="0" w:type="dxa"/>
            </w:tcMar>
            <w:vAlign w:val="center"/>
          </w:tcPr>
          <w:p>
            <w:pPr>
              <w:pStyle w:val="TableContents"/>
              <w:bidi w:val="0"/>
              <w:spacing w:before="0" w:after="283"/>
              <w:ind w:left="0" w:right="0" w:hanging="0"/>
              <w:jc w:val="center"/>
              <w:rPr/>
            </w:pPr>
            <w:r>
              <w:rPr/>
              <w:t>33-54922</w:t>
            </w:r>
          </w:p>
        </w:tc>
        <w:tc>
          <w:tcPr>
            <w:tcW w:w="803" w:type="dxa"/>
            <w:tcBorders/>
            <w:tcMar>
              <w:bottom w:w="0" w:type="dxa"/>
            </w:tcMar>
            <w:vAlign w:val="center"/>
          </w:tcPr>
          <w:p>
            <w:pPr>
              <w:pStyle w:val="TableContents"/>
              <w:bidi w:val="0"/>
              <w:spacing w:before="0" w:after="283"/>
              <w:ind w:left="0" w:right="0" w:hanging="0"/>
              <w:jc w:val="center"/>
              <w:rPr/>
            </w:pPr>
            <w:r>
              <w:rPr/>
              <w:t>10.24</w:t>
            </w:r>
          </w:p>
        </w:tc>
      </w:tr>
      <w:tr>
        <w:trPr/>
        <w:tc>
          <w:tcPr>
            <w:tcW w:w="895" w:type="dxa"/>
            <w:tcBorders/>
            <w:tcMar>
              <w:bottom w:w="0" w:type="dxa"/>
            </w:tcMar>
            <w:vAlign w:val="center"/>
          </w:tcPr>
          <w:p>
            <w:pPr>
              <w:pStyle w:val="TableContents"/>
              <w:bidi w:val="0"/>
              <w:spacing w:before="0" w:after="283"/>
              <w:ind w:left="0" w:right="0" w:hanging="0"/>
              <w:jc w:val="center"/>
              <w:rPr/>
            </w:pPr>
            <w:r>
              <w:rPr/>
              <w:t>10.9</w:t>
            </w:r>
          </w:p>
        </w:tc>
        <w:tc>
          <w:tcPr>
            <w:tcW w:w="7426" w:type="dxa"/>
            <w:tcBorders/>
            <w:tcMar>
              <w:bottom w:w="0" w:type="dxa"/>
            </w:tcMar>
            <w:vAlign w:val="center"/>
          </w:tcPr>
          <w:p>
            <w:pPr>
              <w:pStyle w:val="TableContents"/>
              <w:bidi w:val="0"/>
              <w:spacing w:before="0" w:after="283"/>
              <w:ind w:left="0" w:right="0" w:hanging="0"/>
              <w:jc w:val="both"/>
              <w:rPr/>
            </w:pPr>
            <w:hyperlink r:id="rId18">
              <w:r>
                <w:rPr>
                  <w:rStyle w:val="InternetLink"/>
                </w:rPr>
                <w:t>Agreement for a Supply of Water, dated January 1, 2006, between the Company and the Borough of Highland Park, filed as Exhibit No. 10.1 of the Company’s Quarterly Report on Form 10-Q for the quarter ended March 31, 2006.</w:t>
              </w:r>
            </w:hyperlink>
          </w:p>
        </w:tc>
        <w:tc>
          <w:tcPr>
            <w:tcW w:w="1081" w:type="dxa"/>
            <w:tcBorders/>
            <w:tcMar>
              <w:bottom w:w="0" w:type="dxa"/>
            </w:tcMar>
            <w:vAlign w:val="center"/>
          </w:tcPr>
          <w:p>
            <w:pPr>
              <w:pStyle w:val="TableContents"/>
              <w:bidi w:val="0"/>
              <w:spacing w:before="0" w:after="283"/>
              <w:ind w:left="0" w:right="0" w:hanging="0"/>
              <w:jc w:val="center"/>
              <w:rPr/>
            </w:pPr>
            <w:r>
              <w:rPr/>
              <w:t> </w:t>
            </w:r>
          </w:p>
        </w:tc>
        <w:tc>
          <w:tcPr>
            <w:tcW w:w="803" w:type="dxa"/>
            <w:tcBorders/>
            <w:tcMar>
              <w:bottom w:w="0" w:type="dxa"/>
            </w:tcMar>
            <w:vAlign w:val="center"/>
          </w:tcPr>
          <w:p>
            <w:pPr>
              <w:pStyle w:val="TableContents"/>
              <w:bidi w:val="0"/>
              <w:spacing w:before="0" w:after="283"/>
              <w:ind w:left="0" w:right="0" w:hanging="0"/>
              <w:jc w:val="center"/>
              <w:rPr/>
            </w:pPr>
            <w:r>
              <w:rPr/>
              <w:t> </w:t>
            </w:r>
          </w:p>
        </w:tc>
      </w:tr>
      <w:tr>
        <w:trPr/>
        <w:tc>
          <w:tcPr>
            <w:tcW w:w="895" w:type="dxa"/>
            <w:tcBorders/>
            <w:tcMar>
              <w:bottom w:w="0" w:type="dxa"/>
            </w:tcMar>
            <w:vAlign w:val="center"/>
          </w:tcPr>
          <w:p>
            <w:pPr>
              <w:pStyle w:val="TableContents"/>
              <w:bidi w:val="0"/>
              <w:spacing w:before="0" w:after="283"/>
              <w:ind w:left="0" w:right="0" w:hanging="0"/>
              <w:jc w:val="center"/>
              <w:rPr/>
            </w:pPr>
            <w:r>
              <w:rPr/>
              <w:t>10.9(a)</w:t>
            </w:r>
          </w:p>
        </w:tc>
        <w:tc>
          <w:tcPr>
            <w:tcW w:w="7426" w:type="dxa"/>
            <w:tcBorders/>
            <w:tcMar>
              <w:bottom w:w="0" w:type="dxa"/>
            </w:tcMar>
            <w:vAlign w:val="center"/>
          </w:tcPr>
          <w:p>
            <w:pPr>
              <w:pStyle w:val="TableContents"/>
              <w:bidi w:val="0"/>
              <w:spacing w:before="0" w:after="283"/>
              <w:ind w:left="0" w:right="0" w:hanging="0"/>
              <w:jc w:val="both"/>
              <w:rPr/>
            </w:pPr>
            <w:hyperlink r:id="rId19">
              <w:r>
                <w:rPr>
                  <w:rStyle w:val="InternetLink"/>
                </w:rPr>
                <w:t>Amendment to Agreement for a Supply of Water, dated as of December 1, 2015, between the Company and the Borough of Highland Park, filed as Exhibit No. 10.9(a) of the Company’s Annual Report on Form 10-K for the year ended December 31, 2015.</w:t>
              </w:r>
            </w:hyperlink>
          </w:p>
        </w:tc>
        <w:tc>
          <w:tcPr>
            <w:tcW w:w="1081" w:type="dxa"/>
            <w:tcBorders/>
            <w:tcMar>
              <w:bottom w:w="0" w:type="dxa"/>
            </w:tcMar>
            <w:vAlign w:val="center"/>
          </w:tcPr>
          <w:p>
            <w:pPr>
              <w:pStyle w:val="TableContents"/>
              <w:bidi w:val="0"/>
              <w:spacing w:before="0" w:after="283"/>
              <w:ind w:left="0" w:right="0" w:hanging="0"/>
              <w:jc w:val="center"/>
              <w:rPr/>
            </w:pPr>
            <w:r>
              <w:rPr/>
              <w:t> </w:t>
            </w:r>
          </w:p>
        </w:tc>
        <w:tc>
          <w:tcPr>
            <w:tcW w:w="803" w:type="dxa"/>
            <w:tcBorders/>
            <w:tcMar>
              <w:bottom w:w="0" w:type="dxa"/>
            </w:tcMar>
            <w:vAlign w:val="center"/>
          </w:tcPr>
          <w:p>
            <w:pPr>
              <w:pStyle w:val="TableContents"/>
              <w:bidi w:val="0"/>
              <w:spacing w:before="0" w:after="283"/>
              <w:jc w:val="center"/>
              <w:rPr/>
            </w:pPr>
            <w:r>
              <w:rPr/>
              <w:t> </w:t>
            </w:r>
          </w:p>
        </w:tc>
      </w:tr>
    </w:tbl>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79 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00"/>
        <w:gridCol w:w="7420"/>
        <w:gridCol w:w="1098"/>
        <w:gridCol w:w="787"/>
      </w:tblGrid>
      <w:tr>
        <w:trPr/>
        <w:tc>
          <w:tcPr>
            <w:tcW w:w="900" w:type="dxa"/>
            <w:tcBorders>
              <w:bottom w:val="single" w:sz="8" w:space="0" w:color="000000"/>
            </w:tcBorders>
            <w:vAlign w:val="center"/>
          </w:tcPr>
          <w:p>
            <w:pPr>
              <w:pStyle w:val="TableContents"/>
              <w:bidi w:val="0"/>
              <w:spacing w:before="0" w:after="283"/>
              <w:ind w:left="0" w:right="0" w:hanging="0"/>
              <w:jc w:val="center"/>
              <w:rPr>
                <w:b/>
              </w:rPr>
            </w:pPr>
            <w:r>
              <w:rPr>
                <w:b/>
              </w:rPr>
              <w:t>Exhibit No.</w:t>
            </w:r>
          </w:p>
        </w:tc>
        <w:tc>
          <w:tcPr>
            <w:tcW w:w="7420" w:type="dxa"/>
            <w:tcBorders>
              <w:bottom w:val="single" w:sz="8" w:space="0" w:color="000000"/>
            </w:tcBorders>
            <w:vAlign w:val="center"/>
          </w:tcPr>
          <w:p>
            <w:pPr>
              <w:pStyle w:val="TableContents"/>
              <w:bidi w:val="0"/>
              <w:spacing w:before="0" w:after="283"/>
              <w:ind w:left="0" w:right="0" w:hanging="0"/>
              <w:jc w:val="center"/>
              <w:rPr>
                <w:b/>
              </w:rPr>
            </w:pPr>
            <w:r>
              <w:rPr>
                <w:b/>
              </w:rPr>
              <w:t>Document Description</w:t>
            </w:r>
          </w:p>
        </w:tc>
        <w:tc>
          <w:tcPr>
            <w:tcW w:w="1098" w:type="dxa"/>
            <w:tcBorders>
              <w:bottom w:val="single" w:sz="8" w:space="0" w:color="000000"/>
            </w:tcBorders>
            <w:vAlign w:val="center"/>
          </w:tcPr>
          <w:p>
            <w:pPr>
              <w:pStyle w:val="TableContents"/>
              <w:bidi w:val="0"/>
              <w:spacing w:before="0" w:after="283"/>
              <w:ind w:left="0" w:right="0" w:hanging="0"/>
              <w:jc w:val="center"/>
              <w:rPr>
                <w:b/>
              </w:rPr>
            </w:pPr>
            <w:r>
              <w:rPr>
                <w:b/>
              </w:rPr>
              <w:t>Previous</w:t>
              <w:br/>
            </w:r>
            <w:r>
              <w:rPr>
                <w:b/>
                <w:sz w:val="20"/>
              </w:rPr>
              <w:t>Registration</w:t>
              <w:br/>
            </w:r>
            <w:r>
              <w:rPr>
                <w:b/>
              </w:rPr>
              <w:t>No.</w:t>
            </w:r>
          </w:p>
        </w:tc>
        <w:tc>
          <w:tcPr>
            <w:tcW w:w="787" w:type="dxa"/>
            <w:tcBorders>
              <w:bottom w:val="single" w:sz="8" w:space="0" w:color="000000"/>
            </w:tcBorders>
            <w:vAlign w:val="center"/>
          </w:tcPr>
          <w:p>
            <w:pPr>
              <w:pStyle w:val="TableContents"/>
              <w:bidi w:val="0"/>
              <w:spacing w:before="0" w:after="283"/>
              <w:ind w:left="0" w:right="0" w:hanging="0"/>
              <w:jc w:val="center"/>
              <w:rPr>
                <w:b/>
              </w:rPr>
            </w:pPr>
            <w:r>
              <w:rPr>
                <w:b/>
              </w:rPr>
              <w:t>Filing’s</w:t>
              <w:br/>
              <w:t>Exhibit</w:t>
              <w:br/>
              <w:t>No.</w:t>
            </w:r>
          </w:p>
        </w:tc>
      </w:tr>
      <w:tr>
        <w:trPr/>
        <w:tc>
          <w:tcPr>
            <w:tcW w:w="900" w:type="dxa"/>
            <w:tcBorders/>
            <w:tcMar>
              <w:bottom w:w="0" w:type="dxa"/>
            </w:tcMar>
            <w:vAlign w:val="center"/>
          </w:tcPr>
          <w:p>
            <w:pPr>
              <w:pStyle w:val="TableContents"/>
              <w:bidi w:val="0"/>
              <w:spacing w:before="0" w:after="283"/>
              <w:ind w:left="0" w:right="0" w:hanging="0"/>
              <w:jc w:val="center"/>
              <w:rPr/>
            </w:pPr>
            <w:r>
              <w:rPr/>
              <w:t>(t)10.10</w:t>
            </w:r>
          </w:p>
        </w:tc>
        <w:tc>
          <w:tcPr>
            <w:tcW w:w="7420" w:type="dxa"/>
            <w:tcBorders/>
            <w:tcMar>
              <w:bottom w:w="0" w:type="dxa"/>
            </w:tcMar>
            <w:vAlign w:val="center"/>
          </w:tcPr>
          <w:p>
            <w:pPr>
              <w:pStyle w:val="TableContents"/>
              <w:bidi w:val="0"/>
              <w:spacing w:before="0" w:after="283"/>
              <w:ind w:left="0" w:right="0" w:hanging="0"/>
              <w:jc w:val="both"/>
              <w:rPr/>
            </w:pPr>
            <w:hyperlink r:id="rId20">
              <w:r>
                <w:rPr>
                  <w:rStyle w:val="InternetLink"/>
                </w:rPr>
                <w:t>Middlesex Water Company Supplemental Executive Retirement Plan, filed as Exhibit 10.13 of the Company’s Quarterly Report on Form 10-Q for the quarter ended September 30, 1999.</w:t>
              </w:r>
            </w:hyperlink>
          </w:p>
        </w:tc>
        <w:tc>
          <w:tcPr>
            <w:tcW w:w="1098" w:type="dxa"/>
            <w:tcBorders/>
            <w:tcMar>
              <w:bottom w:w="0" w:type="dxa"/>
            </w:tcMar>
            <w:vAlign w:val="center"/>
          </w:tcPr>
          <w:p>
            <w:pPr>
              <w:pStyle w:val="TableContents"/>
              <w:bidi w:val="0"/>
              <w:spacing w:before="0" w:after="283"/>
              <w:ind w:left="0" w:right="0" w:hanging="0"/>
              <w:jc w:val="center"/>
              <w:rPr/>
            </w:pPr>
            <w:r>
              <w:rPr/>
              <w:t> </w:t>
            </w:r>
          </w:p>
        </w:tc>
        <w:tc>
          <w:tcPr>
            <w:tcW w:w="787" w:type="dxa"/>
            <w:tcBorders/>
            <w:tcMar>
              <w:bottom w:w="0" w:type="dxa"/>
            </w:tcMar>
            <w:vAlign w:val="center"/>
          </w:tcPr>
          <w:p>
            <w:pPr>
              <w:pStyle w:val="TableContents"/>
              <w:bidi w:val="0"/>
              <w:spacing w:before="0" w:after="283"/>
              <w:ind w:left="0" w:right="0" w:hanging="0"/>
              <w:jc w:val="center"/>
              <w:rPr/>
            </w:pPr>
            <w:r>
              <w:rPr/>
              <w:t> </w:t>
            </w:r>
          </w:p>
        </w:tc>
      </w:tr>
      <w:tr>
        <w:trPr/>
        <w:tc>
          <w:tcPr>
            <w:tcW w:w="900" w:type="dxa"/>
            <w:tcBorders/>
            <w:tcMar>
              <w:bottom w:w="0" w:type="dxa"/>
            </w:tcMar>
            <w:vAlign w:val="center"/>
          </w:tcPr>
          <w:p>
            <w:pPr>
              <w:pStyle w:val="TableContents"/>
              <w:bidi w:val="0"/>
              <w:spacing w:before="0" w:after="283"/>
              <w:ind w:left="0" w:right="0" w:hanging="0"/>
              <w:jc w:val="center"/>
              <w:rPr/>
            </w:pPr>
            <w:r>
              <w:rPr/>
              <w:t>(t)10.11(a)</w:t>
            </w:r>
          </w:p>
        </w:tc>
        <w:tc>
          <w:tcPr>
            <w:tcW w:w="7420" w:type="dxa"/>
            <w:tcBorders/>
            <w:tcMar>
              <w:bottom w:w="0" w:type="dxa"/>
            </w:tcMar>
            <w:vAlign w:val="center"/>
          </w:tcPr>
          <w:p>
            <w:pPr>
              <w:pStyle w:val="TableContents"/>
              <w:bidi w:val="0"/>
              <w:spacing w:before="0" w:after="283"/>
              <w:ind w:left="0" w:right="0" w:hanging="0"/>
              <w:jc w:val="both"/>
              <w:rPr/>
            </w:pPr>
            <w:hyperlink r:id="rId21">
              <w:r>
                <w:rPr>
                  <w:rStyle w:val="InternetLink"/>
                </w:rPr>
                <w:t>Middlesex Water Company 2018 Restricted Stock Plan, filed as Appendix A to the Company’s Definitive Proxy Statement, dated and filed April 12, 2018.</w:t>
              </w:r>
            </w:hyperlink>
          </w:p>
        </w:tc>
        <w:tc>
          <w:tcPr>
            <w:tcW w:w="1098" w:type="dxa"/>
            <w:tcBorders/>
            <w:tcMar>
              <w:bottom w:w="0" w:type="dxa"/>
            </w:tcMar>
            <w:vAlign w:val="center"/>
          </w:tcPr>
          <w:p>
            <w:pPr>
              <w:pStyle w:val="TableContents"/>
              <w:bidi w:val="0"/>
              <w:spacing w:before="0" w:after="283"/>
              <w:ind w:left="0" w:right="0" w:hanging="0"/>
              <w:jc w:val="center"/>
              <w:rPr/>
            </w:pPr>
            <w:r>
              <w:rPr/>
              <w:t> </w:t>
            </w:r>
          </w:p>
        </w:tc>
        <w:tc>
          <w:tcPr>
            <w:tcW w:w="787" w:type="dxa"/>
            <w:tcBorders/>
            <w:tcMar>
              <w:bottom w:w="0" w:type="dxa"/>
            </w:tcMar>
            <w:vAlign w:val="center"/>
          </w:tcPr>
          <w:p>
            <w:pPr>
              <w:pStyle w:val="TableContents"/>
              <w:bidi w:val="0"/>
              <w:spacing w:before="0" w:after="283"/>
              <w:ind w:left="0" w:right="0" w:hanging="0"/>
              <w:jc w:val="center"/>
              <w:rPr/>
            </w:pPr>
            <w:r>
              <w:rPr/>
              <w:t> </w:t>
            </w:r>
          </w:p>
        </w:tc>
      </w:tr>
      <w:tr>
        <w:trPr/>
        <w:tc>
          <w:tcPr>
            <w:tcW w:w="900" w:type="dxa"/>
            <w:tcBorders/>
            <w:tcMar>
              <w:bottom w:w="0" w:type="dxa"/>
            </w:tcMar>
            <w:vAlign w:val="center"/>
          </w:tcPr>
          <w:p>
            <w:pPr>
              <w:pStyle w:val="TableContents"/>
              <w:bidi w:val="0"/>
              <w:spacing w:before="0" w:after="283"/>
              <w:ind w:left="0" w:right="0" w:hanging="0"/>
              <w:jc w:val="center"/>
              <w:rPr/>
            </w:pPr>
            <w:r>
              <w:rPr/>
              <w:t>(t)10.11(b)</w:t>
            </w:r>
          </w:p>
        </w:tc>
        <w:tc>
          <w:tcPr>
            <w:tcW w:w="7420" w:type="dxa"/>
            <w:tcBorders/>
            <w:tcMar>
              <w:bottom w:w="0" w:type="dxa"/>
            </w:tcMar>
            <w:vAlign w:val="center"/>
          </w:tcPr>
          <w:p>
            <w:pPr>
              <w:pStyle w:val="TableContents"/>
              <w:bidi w:val="0"/>
              <w:spacing w:before="0" w:after="283"/>
              <w:ind w:left="0" w:right="0" w:hanging="0"/>
              <w:jc w:val="both"/>
              <w:rPr/>
            </w:pPr>
            <w:hyperlink r:id="rId22">
              <w:r>
                <w:rPr>
                  <w:rStyle w:val="InternetLink"/>
                </w:rPr>
                <w:t>Registration Statement, Form S-8, under the Securities Act of 1933, filed December 18, 2008, relating to the Middlesex Water Company Outside Director Stock Compensation Stock Plan.</w:t>
              </w:r>
            </w:hyperlink>
          </w:p>
        </w:tc>
        <w:tc>
          <w:tcPr>
            <w:tcW w:w="1098" w:type="dxa"/>
            <w:tcBorders/>
            <w:tcMar>
              <w:bottom w:w="0" w:type="dxa"/>
            </w:tcMar>
            <w:vAlign w:val="center"/>
          </w:tcPr>
          <w:p>
            <w:pPr>
              <w:pStyle w:val="TableContents"/>
              <w:bidi w:val="0"/>
              <w:spacing w:before="0" w:after="283"/>
              <w:ind w:left="0" w:right="0" w:hanging="0"/>
              <w:jc w:val="center"/>
              <w:rPr/>
            </w:pPr>
            <w:r>
              <w:rPr/>
              <w:t>333-156269</w:t>
            </w:r>
          </w:p>
        </w:tc>
        <w:tc>
          <w:tcPr>
            <w:tcW w:w="787" w:type="dxa"/>
            <w:tcBorders/>
            <w:tcMar>
              <w:bottom w:w="0" w:type="dxa"/>
            </w:tcMar>
            <w:vAlign w:val="center"/>
          </w:tcPr>
          <w:p>
            <w:pPr>
              <w:pStyle w:val="TableContents"/>
              <w:bidi w:val="0"/>
              <w:spacing w:before="0" w:after="283"/>
              <w:ind w:left="0" w:right="0" w:hanging="0"/>
              <w:jc w:val="center"/>
              <w:rPr/>
            </w:pPr>
            <w:r>
              <w:rPr/>
              <w:t> </w:t>
            </w:r>
          </w:p>
        </w:tc>
      </w:tr>
      <w:tr>
        <w:trPr/>
        <w:tc>
          <w:tcPr>
            <w:tcW w:w="900" w:type="dxa"/>
            <w:tcBorders/>
            <w:tcMar>
              <w:bottom w:w="0" w:type="dxa"/>
            </w:tcMar>
            <w:vAlign w:val="center"/>
          </w:tcPr>
          <w:p>
            <w:pPr>
              <w:pStyle w:val="TableContents"/>
              <w:bidi w:val="0"/>
              <w:spacing w:before="0" w:after="283"/>
              <w:ind w:left="0" w:right="0" w:hanging="0"/>
              <w:jc w:val="center"/>
              <w:rPr/>
            </w:pPr>
            <w:r>
              <w:rPr/>
              <w:t>(t)10.12</w:t>
            </w:r>
          </w:p>
        </w:tc>
        <w:tc>
          <w:tcPr>
            <w:tcW w:w="7420" w:type="dxa"/>
            <w:tcBorders/>
            <w:tcMar>
              <w:bottom w:w="0" w:type="dxa"/>
            </w:tcMar>
            <w:vAlign w:val="center"/>
          </w:tcPr>
          <w:p>
            <w:pPr>
              <w:pStyle w:val="TableContents"/>
              <w:bidi w:val="0"/>
              <w:spacing w:before="0" w:after="283"/>
              <w:ind w:left="0" w:right="0" w:hanging="0"/>
              <w:jc w:val="both"/>
              <w:rPr/>
            </w:pPr>
            <w:hyperlink r:id="rId23">
              <w:r>
                <w:rPr>
                  <w:rStyle w:val="InternetLink"/>
                </w:rPr>
                <w:t>Employment Agreement, dated as of March 1, 2024, between the Company and Nadine Duchemin-Leslie, filed as Exhibit 99.2 of the Company’s Current Report on Form 8-K dated January 23, 2024.</w:t>
              </w:r>
            </w:hyperlink>
          </w:p>
        </w:tc>
        <w:tc>
          <w:tcPr>
            <w:tcW w:w="1098" w:type="dxa"/>
            <w:tcBorders/>
            <w:tcMar>
              <w:bottom w:w="0" w:type="dxa"/>
            </w:tcMar>
            <w:vAlign w:val="center"/>
          </w:tcPr>
          <w:p>
            <w:pPr>
              <w:pStyle w:val="TableContents"/>
              <w:bidi w:val="0"/>
              <w:spacing w:before="0" w:after="283"/>
              <w:ind w:left="0" w:right="0" w:hanging="0"/>
              <w:jc w:val="center"/>
              <w:rPr/>
            </w:pPr>
            <w:r>
              <w:rPr/>
              <w:t> </w:t>
            </w:r>
          </w:p>
        </w:tc>
        <w:tc>
          <w:tcPr>
            <w:tcW w:w="787" w:type="dxa"/>
            <w:tcBorders/>
            <w:tcMar>
              <w:bottom w:w="0" w:type="dxa"/>
            </w:tcMar>
            <w:vAlign w:val="center"/>
          </w:tcPr>
          <w:p>
            <w:pPr>
              <w:pStyle w:val="TableContents"/>
              <w:bidi w:val="0"/>
              <w:spacing w:before="0" w:after="283"/>
              <w:ind w:left="0" w:right="0" w:hanging="0"/>
              <w:jc w:val="center"/>
              <w:rPr/>
            </w:pPr>
            <w:r>
              <w:rPr/>
              <w:t> </w:t>
            </w:r>
          </w:p>
        </w:tc>
      </w:tr>
      <w:tr>
        <w:trPr/>
        <w:tc>
          <w:tcPr>
            <w:tcW w:w="900" w:type="dxa"/>
            <w:tcBorders/>
            <w:tcMar>
              <w:bottom w:w="0" w:type="dxa"/>
            </w:tcMar>
            <w:vAlign w:val="center"/>
          </w:tcPr>
          <w:p>
            <w:pPr>
              <w:pStyle w:val="TableContents"/>
              <w:bidi w:val="0"/>
              <w:spacing w:before="0" w:after="283"/>
              <w:ind w:left="0" w:right="0" w:hanging="0"/>
              <w:jc w:val="center"/>
              <w:rPr/>
            </w:pPr>
            <w:r>
              <w:rPr/>
              <w:t>(t)10.12(a)</w:t>
            </w:r>
          </w:p>
        </w:tc>
        <w:tc>
          <w:tcPr>
            <w:tcW w:w="7420" w:type="dxa"/>
            <w:tcBorders/>
            <w:tcMar>
              <w:bottom w:w="0" w:type="dxa"/>
            </w:tcMar>
            <w:vAlign w:val="center"/>
          </w:tcPr>
          <w:p>
            <w:pPr>
              <w:pStyle w:val="TableContents"/>
              <w:bidi w:val="0"/>
              <w:spacing w:before="0" w:after="283"/>
              <w:ind w:left="0" w:right="0" w:hanging="0"/>
              <w:jc w:val="both"/>
              <w:rPr/>
            </w:pPr>
            <w:hyperlink r:id="rId24">
              <w:r>
                <w:rPr>
                  <w:rStyle w:val="InternetLink"/>
                </w:rPr>
                <w:t>Change in Control Termination Agreement, dated as of March 1, 2024, between the Company and Nadine Duchemin-Leslie, filed as Exhibit 99.3 of the Company’s Current Report on Form 8-K dated January 23, 2024.</w:t>
              </w:r>
            </w:hyperlink>
            <w:r>
              <w:rPr/>
              <w:t>  </w:t>
            </w:r>
          </w:p>
        </w:tc>
        <w:tc>
          <w:tcPr>
            <w:tcW w:w="1098" w:type="dxa"/>
            <w:tcBorders/>
            <w:tcMar>
              <w:bottom w:w="0" w:type="dxa"/>
            </w:tcMar>
            <w:vAlign w:val="center"/>
          </w:tcPr>
          <w:p>
            <w:pPr>
              <w:pStyle w:val="TableContents"/>
              <w:bidi w:val="0"/>
              <w:spacing w:before="0" w:after="283"/>
              <w:ind w:left="0" w:right="0" w:hanging="0"/>
              <w:jc w:val="center"/>
              <w:rPr/>
            </w:pPr>
            <w:r>
              <w:rPr/>
              <w:t> </w:t>
            </w:r>
          </w:p>
        </w:tc>
        <w:tc>
          <w:tcPr>
            <w:tcW w:w="787" w:type="dxa"/>
            <w:tcBorders/>
            <w:tcMar>
              <w:bottom w:w="0" w:type="dxa"/>
            </w:tcMar>
            <w:vAlign w:val="center"/>
          </w:tcPr>
          <w:p>
            <w:pPr>
              <w:pStyle w:val="TableContents"/>
              <w:bidi w:val="0"/>
              <w:spacing w:before="0" w:after="283"/>
              <w:ind w:left="0" w:right="0" w:hanging="0"/>
              <w:jc w:val="center"/>
              <w:rPr/>
            </w:pPr>
            <w:r>
              <w:rPr/>
              <w:t> </w:t>
            </w:r>
          </w:p>
        </w:tc>
      </w:tr>
      <w:tr>
        <w:trPr/>
        <w:tc>
          <w:tcPr>
            <w:tcW w:w="900" w:type="dxa"/>
            <w:tcBorders/>
            <w:tcMar>
              <w:bottom w:w="0" w:type="dxa"/>
            </w:tcMar>
            <w:vAlign w:val="center"/>
          </w:tcPr>
          <w:p>
            <w:pPr>
              <w:pStyle w:val="TableContents"/>
              <w:bidi w:val="0"/>
              <w:spacing w:before="0" w:after="283"/>
              <w:ind w:left="0" w:right="0" w:hanging="0"/>
              <w:jc w:val="center"/>
              <w:rPr/>
            </w:pPr>
            <w:r>
              <w:rPr/>
              <w:t>(t)10.12(b)</w:t>
            </w:r>
          </w:p>
        </w:tc>
        <w:tc>
          <w:tcPr>
            <w:tcW w:w="7420" w:type="dxa"/>
            <w:tcBorders/>
            <w:tcMar>
              <w:bottom w:w="0" w:type="dxa"/>
            </w:tcMar>
            <w:vAlign w:val="center"/>
          </w:tcPr>
          <w:p>
            <w:pPr>
              <w:pStyle w:val="TableContents"/>
              <w:bidi w:val="0"/>
              <w:spacing w:before="0" w:after="283"/>
              <w:ind w:left="0" w:right="0" w:hanging="0"/>
              <w:jc w:val="both"/>
              <w:rPr/>
            </w:pPr>
            <w:hyperlink r:id="rId25">
              <w:r>
                <w:rPr>
                  <w:rStyle w:val="InternetLink"/>
                </w:rPr>
                <w:t>Change in Control Termination Agreement, dated as of January 1, 2009, between the Company and A. Bruce O’Connor, filed as Exhibit 10.13(b) of the Company’s Annual Report on Form 10-K for the year ended December 31, 2008.</w:t>
              </w:r>
            </w:hyperlink>
            <w:r>
              <w:rPr/>
              <w:t>  </w:t>
            </w:r>
          </w:p>
        </w:tc>
        <w:tc>
          <w:tcPr>
            <w:tcW w:w="1098" w:type="dxa"/>
            <w:tcBorders/>
            <w:tcMar>
              <w:bottom w:w="0" w:type="dxa"/>
            </w:tcMar>
            <w:vAlign w:val="center"/>
          </w:tcPr>
          <w:p>
            <w:pPr>
              <w:pStyle w:val="TableContents"/>
              <w:bidi w:val="0"/>
              <w:spacing w:before="0" w:after="283"/>
              <w:ind w:left="0" w:right="0" w:hanging="0"/>
              <w:jc w:val="center"/>
              <w:rPr/>
            </w:pPr>
            <w:r>
              <w:rPr/>
              <w:t> </w:t>
            </w:r>
          </w:p>
        </w:tc>
        <w:tc>
          <w:tcPr>
            <w:tcW w:w="787" w:type="dxa"/>
            <w:tcBorders/>
            <w:tcMar>
              <w:bottom w:w="0" w:type="dxa"/>
            </w:tcMar>
            <w:vAlign w:val="center"/>
          </w:tcPr>
          <w:p>
            <w:pPr>
              <w:pStyle w:val="TableContents"/>
              <w:bidi w:val="0"/>
              <w:spacing w:before="0" w:after="283"/>
              <w:ind w:left="0" w:right="0" w:hanging="0"/>
              <w:jc w:val="center"/>
              <w:rPr/>
            </w:pPr>
            <w:r>
              <w:rPr/>
              <w:t> </w:t>
            </w:r>
          </w:p>
        </w:tc>
      </w:tr>
      <w:tr>
        <w:trPr/>
        <w:tc>
          <w:tcPr>
            <w:tcW w:w="900" w:type="dxa"/>
            <w:tcBorders/>
            <w:tcMar>
              <w:bottom w:w="0" w:type="dxa"/>
            </w:tcMar>
            <w:vAlign w:val="center"/>
          </w:tcPr>
          <w:p>
            <w:pPr>
              <w:pStyle w:val="TableContents"/>
              <w:bidi w:val="0"/>
              <w:spacing w:before="0" w:after="283"/>
              <w:ind w:left="0" w:right="0" w:hanging="0"/>
              <w:jc w:val="center"/>
              <w:rPr/>
            </w:pPr>
            <w:r>
              <w:rPr/>
              <w:t>(t)10.12(c)</w:t>
            </w:r>
          </w:p>
        </w:tc>
        <w:tc>
          <w:tcPr>
            <w:tcW w:w="7420" w:type="dxa"/>
            <w:tcBorders/>
            <w:tcMar>
              <w:bottom w:w="0" w:type="dxa"/>
            </w:tcMar>
            <w:vAlign w:val="center"/>
          </w:tcPr>
          <w:p>
            <w:pPr>
              <w:pStyle w:val="TableContents"/>
              <w:bidi w:val="0"/>
              <w:spacing w:before="0" w:after="283"/>
              <w:ind w:left="0" w:right="0" w:hanging="0"/>
              <w:jc w:val="both"/>
              <w:rPr/>
            </w:pPr>
            <w:hyperlink r:id="rId26">
              <w:r>
                <w:rPr>
                  <w:rStyle w:val="InternetLink"/>
                </w:rPr>
                <w:t>Change in Control Termination Agreement, dated as of March 1, 2012, between the Company and Lorrie B. Ginegaw, filed as Exhibit 10.13(e) of the Company’s Annual Report on Form 10-K for the year ended December 31, 2011.</w:t>
              </w:r>
            </w:hyperlink>
          </w:p>
        </w:tc>
        <w:tc>
          <w:tcPr>
            <w:tcW w:w="1098" w:type="dxa"/>
            <w:tcBorders/>
            <w:tcMar>
              <w:bottom w:w="0" w:type="dxa"/>
            </w:tcMar>
            <w:vAlign w:val="center"/>
          </w:tcPr>
          <w:p>
            <w:pPr>
              <w:pStyle w:val="TableContents"/>
              <w:bidi w:val="0"/>
              <w:spacing w:before="0" w:after="283"/>
              <w:ind w:left="0" w:right="0" w:hanging="0"/>
              <w:jc w:val="center"/>
              <w:rPr/>
            </w:pPr>
            <w:r>
              <w:rPr/>
              <w:t> </w:t>
            </w:r>
          </w:p>
        </w:tc>
        <w:tc>
          <w:tcPr>
            <w:tcW w:w="787" w:type="dxa"/>
            <w:tcBorders/>
            <w:tcMar>
              <w:bottom w:w="0" w:type="dxa"/>
            </w:tcMar>
            <w:vAlign w:val="center"/>
          </w:tcPr>
          <w:p>
            <w:pPr>
              <w:pStyle w:val="TableContents"/>
              <w:bidi w:val="0"/>
              <w:spacing w:before="0" w:after="283"/>
              <w:ind w:left="0" w:right="0" w:hanging="0"/>
              <w:jc w:val="center"/>
              <w:rPr/>
            </w:pPr>
            <w:r>
              <w:rPr/>
              <w:t> </w:t>
            </w:r>
          </w:p>
        </w:tc>
      </w:tr>
      <w:tr>
        <w:trPr/>
        <w:tc>
          <w:tcPr>
            <w:tcW w:w="900" w:type="dxa"/>
            <w:tcBorders/>
            <w:tcMar>
              <w:bottom w:w="0" w:type="dxa"/>
            </w:tcMar>
            <w:vAlign w:val="center"/>
          </w:tcPr>
          <w:p>
            <w:pPr>
              <w:pStyle w:val="TableContents"/>
              <w:bidi w:val="0"/>
              <w:spacing w:before="0" w:after="283"/>
              <w:ind w:left="0" w:right="0" w:hanging="0"/>
              <w:jc w:val="center"/>
              <w:rPr/>
            </w:pPr>
            <w:r>
              <w:rPr/>
              <w:t>(t)10.12(d)</w:t>
            </w:r>
          </w:p>
        </w:tc>
        <w:tc>
          <w:tcPr>
            <w:tcW w:w="7420" w:type="dxa"/>
            <w:tcBorders/>
            <w:tcMar>
              <w:bottom w:w="0" w:type="dxa"/>
            </w:tcMar>
            <w:vAlign w:val="center"/>
          </w:tcPr>
          <w:p>
            <w:pPr>
              <w:pStyle w:val="TableContents"/>
              <w:bidi w:val="0"/>
              <w:spacing w:before="0" w:after="283"/>
              <w:ind w:left="0" w:right="0" w:hanging="0"/>
              <w:jc w:val="both"/>
              <w:rPr/>
            </w:pPr>
            <w:hyperlink r:id="rId27">
              <w:r>
                <w:rPr>
                  <w:rStyle w:val="InternetLink"/>
                </w:rPr>
                <w:t>Change in Control Termination Agreement, dated as of January 1, 2009, between the Company and Bernadette M. Sohler, filed as Exhibit 10.13(h) of the Company’s Annual Report on Form 10-K for the year ended December 31, 2008.</w:t>
              </w:r>
            </w:hyperlink>
            <w:r>
              <w:rPr/>
              <w:t>  </w:t>
            </w:r>
          </w:p>
        </w:tc>
        <w:tc>
          <w:tcPr>
            <w:tcW w:w="1098" w:type="dxa"/>
            <w:tcBorders/>
            <w:tcMar>
              <w:bottom w:w="0" w:type="dxa"/>
            </w:tcMar>
            <w:vAlign w:val="center"/>
          </w:tcPr>
          <w:p>
            <w:pPr>
              <w:pStyle w:val="TableContents"/>
              <w:bidi w:val="0"/>
              <w:spacing w:before="0" w:after="283"/>
              <w:ind w:left="0" w:right="0" w:hanging="0"/>
              <w:jc w:val="center"/>
              <w:rPr/>
            </w:pPr>
            <w:r>
              <w:rPr/>
              <w:t> </w:t>
            </w:r>
          </w:p>
        </w:tc>
        <w:tc>
          <w:tcPr>
            <w:tcW w:w="787" w:type="dxa"/>
            <w:tcBorders/>
            <w:tcMar>
              <w:bottom w:w="0" w:type="dxa"/>
            </w:tcMar>
            <w:vAlign w:val="center"/>
          </w:tcPr>
          <w:p>
            <w:pPr>
              <w:pStyle w:val="TableContents"/>
              <w:bidi w:val="0"/>
              <w:spacing w:before="0" w:after="283"/>
              <w:ind w:left="0" w:right="0" w:hanging="0"/>
              <w:jc w:val="center"/>
              <w:rPr/>
            </w:pPr>
            <w:r>
              <w:rPr/>
              <w:t> </w:t>
            </w:r>
          </w:p>
        </w:tc>
      </w:tr>
      <w:tr>
        <w:trPr/>
        <w:tc>
          <w:tcPr>
            <w:tcW w:w="900" w:type="dxa"/>
            <w:tcBorders/>
            <w:tcMar>
              <w:bottom w:w="0" w:type="dxa"/>
            </w:tcMar>
            <w:vAlign w:val="center"/>
          </w:tcPr>
          <w:p>
            <w:pPr>
              <w:pStyle w:val="TableContents"/>
              <w:bidi w:val="0"/>
              <w:spacing w:before="0" w:after="283"/>
              <w:ind w:left="0" w:right="0" w:hanging="0"/>
              <w:jc w:val="center"/>
              <w:rPr/>
            </w:pPr>
            <w:r>
              <w:rPr/>
              <w:t>(t)10.12(e)</w:t>
            </w:r>
          </w:p>
        </w:tc>
        <w:tc>
          <w:tcPr>
            <w:tcW w:w="7420" w:type="dxa"/>
            <w:tcBorders/>
            <w:tcMar>
              <w:bottom w:w="0" w:type="dxa"/>
            </w:tcMar>
            <w:vAlign w:val="center"/>
          </w:tcPr>
          <w:p>
            <w:pPr>
              <w:pStyle w:val="TableContents"/>
              <w:bidi w:val="0"/>
              <w:spacing w:before="0" w:after="283"/>
              <w:ind w:left="0" w:right="0" w:hanging="0"/>
              <w:jc w:val="both"/>
              <w:rPr/>
            </w:pPr>
            <w:hyperlink r:id="rId28">
              <w:r>
                <w:rPr>
                  <w:rStyle w:val="InternetLink"/>
                </w:rPr>
                <w:t>Change in Control Termination Agreement, dated as of March 17, 2014, between the Company and Jay L. Kooper, filed as Exhibit 10.12(g) of the Company’s Quarterly Report on Form 10-Q for the quarter ended June 30, 2014.</w:t>
              </w:r>
            </w:hyperlink>
          </w:p>
        </w:tc>
        <w:tc>
          <w:tcPr>
            <w:tcW w:w="1098" w:type="dxa"/>
            <w:tcBorders/>
            <w:tcMar>
              <w:bottom w:w="0" w:type="dxa"/>
            </w:tcMar>
            <w:vAlign w:val="center"/>
          </w:tcPr>
          <w:p>
            <w:pPr>
              <w:pStyle w:val="TableContents"/>
              <w:bidi w:val="0"/>
              <w:spacing w:before="0" w:after="283"/>
              <w:ind w:left="0" w:right="0" w:hanging="0"/>
              <w:jc w:val="center"/>
              <w:rPr/>
            </w:pPr>
            <w:r>
              <w:rPr/>
              <w:t> </w:t>
            </w:r>
          </w:p>
        </w:tc>
        <w:tc>
          <w:tcPr>
            <w:tcW w:w="787" w:type="dxa"/>
            <w:tcBorders/>
            <w:tcMar>
              <w:bottom w:w="0" w:type="dxa"/>
            </w:tcMar>
            <w:vAlign w:val="center"/>
          </w:tcPr>
          <w:p>
            <w:pPr>
              <w:pStyle w:val="TableContents"/>
              <w:bidi w:val="0"/>
              <w:spacing w:before="0" w:after="283"/>
              <w:ind w:left="0" w:right="0" w:hanging="0"/>
              <w:jc w:val="center"/>
              <w:rPr/>
            </w:pPr>
            <w:r>
              <w:rPr/>
              <w:t> </w:t>
            </w:r>
          </w:p>
        </w:tc>
      </w:tr>
      <w:tr>
        <w:trPr/>
        <w:tc>
          <w:tcPr>
            <w:tcW w:w="900" w:type="dxa"/>
            <w:tcBorders/>
            <w:tcMar>
              <w:bottom w:w="0" w:type="dxa"/>
            </w:tcMar>
            <w:vAlign w:val="center"/>
          </w:tcPr>
          <w:p>
            <w:pPr>
              <w:pStyle w:val="TableContents"/>
              <w:bidi w:val="0"/>
              <w:spacing w:before="0" w:after="283"/>
              <w:ind w:left="0" w:right="0" w:hanging="0"/>
              <w:jc w:val="center"/>
              <w:rPr/>
            </w:pPr>
            <w:r>
              <w:rPr/>
              <w:t>(t)10.12(f)</w:t>
            </w:r>
          </w:p>
        </w:tc>
        <w:tc>
          <w:tcPr>
            <w:tcW w:w="7420" w:type="dxa"/>
            <w:tcBorders/>
            <w:tcMar>
              <w:bottom w:w="0" w:type="dxa"/>
            </w:tcMar>
            <w:vAlign w:val="center"/>
          </w:tcPr>
          <w:p>
            <w:pPr>
              <w:pStyle w:val="TableContents"/>
              <w:bidi w:val="0"/>
              <w:spacing w:before="0" w:after="283"/>
              <w:ind w:left="0" w:right="0" w:hanging="0"/>
              <w:jc w:val="both"/>
              <w:rPr/>
            </w:pPr>
            <w:hyperlink r:id="rId29">
              <w:r>
                <w:rPr>
                  <w:rStyle w:val="InternetLink"/>
                </w:rPr>
                <w:t>Change in Control Termination Agreement, dated as of July 1, 2019, between the Company and G. Christian Andreasen, filed as Exhibit 10.12(f) of the Company’s Annual Report on Form 10-K for the year ended December 31, 2019.</w:t>
              </w:r>
            </w:hyperlink>
          </w:p>
        </w:tc>
        <w:tc>
          <w:tcPr>
            <w:tcW w:w="1098" w:type="dxa"/>
            <w:tcBorders/>
            <w:tcMar>
              <w:bottom w:w="0" w:type="dxa"/>
            </w:tcMar>
            <w:vAlign w:val="center"/>
          </w:tcPr>
          <w:p>
            <w:pPr>
              <w:pStyle w:val="TableContents"/>
              <w:bidi w:val="0"/>
              <w:spacing w:before="0" w:after="283"/>
              <w:ind w:left="0" w:right="0" w:hanging="0"/>
              <w:jc w:val="center"/>
              <w:rPr/>
            </w:pPr>
            <w:r>
              <w:rPr/>
              <w:t> </w:t>
            </w:r>
          </w:p>
        </w:tc>
        <w:tc>
          <w:tcPr>
            <w:tcW w:w="787" w:type="dxa"/>
            <w:tcBorders/>
            <w:tcMar>
              <w:bottom w:w="0" w:type="dxa"/>
            </w:tcMar>
            <w:vAlign w:val="center"/>
          </w:tcPr>
          <w:p>
            <w:pPr>
              <w:pStyle w:val="TableContents"/>
              <w:bidi w:val="0"/>
              <w:spacing w:before="0" w:after="283"/>
              <w:ind w:left="0" w:right="0" w:hanging="0"/>
              <w:jc w:val="center"/>
              <w:rPr/>
            </w:pPr>
            <w:r>
              <w:rPr/>
              <w:t> </w:t>
            </w:r>
          </w:p>
        </w:tc>
      </w:tr>
      <w:tr>
        <w:trPr/>
        <w:tc>
          <w:tcPr>
            <w:tcW w:w="900" w:type="dxa"/>
            <w:tcBorders/>
            <w:tcMar>
              <w:bottom w:w="0" w:type="dxa"/>
            </w:tcMar>
            <w:vAlign w:val="center"/>
          </w:tcPr>
          <w:p>
            <w:pPr>
              <w:pStyle w:val="TableContents"/>
              <w:bidi w:val="0"/>
              <w:spacing w:before="0" w:after="283"/>
              <w:ind w:left="0" w:right="0" w:hanging="0"/>
              <w:jc w:val="center"/>
              <w:rPr/>
            </w:pPr>
            <w:r>
              <w:rPr/>
              <w:t>(t)10.12(g)</w:t>
            </w:r>
          </w:p>
        </w:tc>
        <w:tc>
          <w:tcPr>
            <w:tcW w:w="7420" w:type="dxa"/>
            <w:tcBorders/>
            <w:tcMar>
              <w:bottom w:w="0" w:type="dxa"/>
            </w:tcMar>
            <w:vAlign w:val="center"/>
          </w:tcPr>
          <w:p>
            <w:pPr>
              <w:pStyle w:val="TableContents"/>
              <w:bidi w:val="0"/>
              <w:spacing w:before="0" w:after="283"/>
              <w:ind w:left="0" w:right="0" w:hanging="0"/>
              <w:jc w:val="both"/>
              <w:rPr/>
            </w:pPr>
            <w:hyperlink r:id="rId30">
              <w:r>
                <w:rPr>
                  <w:rStyle w:val="InternetLink"/>
                </w:rPr>
                <w:t>Change in Control Termination Agreement, dated as of July 1, 2019, between the Company and Robert K. Fullagar, filed as Exhibit 10.12(g) of the Company’s Annual Report on Form 10-K for the year ended December 31, 2019.</w:t>
              </w:r>
            </w:hyperlink>
          </w:p>
        </w:tc>
        <w:tc>
          <w:tcPr>
            <w:tcW w:w="1098" w:type="dxa"/>
            <w:tcBorders/>
            <w:tcMar>
              <w:bottom w:w="0" w:type="dxa"/>
            </w:tcMar>
            <w:vAlign w:val="center"/>
          </w:tcPr>
          <w:p>
            <w:pPr>
              <w:pStyle w:val="TableContents"/>
              <w:bidi w:val="0"/>
              <w:spacing w:before="0" w:after="283"/>
              <w:ind w:left="0" w:right="0" w:hanging="0"/>
              <w:jc w:val="center"/>
              <w:rPr/>
            </w:pPr>
            <w:r>
              <w:rPr/>
              <w:t> </w:t>
            </w:r>
          </w:p>
        </w:tc>
        <w:tc>
          <w:tcPr>
            <w:tcW w:w="787" w:type="dxa"/>
            <w:tcBorders/>
            <w:tcMar>
              <w:bottom w:w="0" w:type="dxa"/>
            </w:tcMar>
            <w:vAlign w:val="center"/>
          </w:tcPr>
          <w:p>
            <w:pPr>
              <w:pStyle w:val="TableContents"/>
              <w:bidi w:val="0"/>
              <w:spacing w:before="0" w:after="283"/>
              <w:jc w:val="center"/>
              <w:rPr/>
            </w:pPr>
            <w:r>
              <w:rPr/>
              <w:t> </w:t>
            </w:r>
          </w:p>
        </w:tc>
      </w:tr>
    </w:tbl>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80 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55"/>
        <w:gridCol w:w="7486"/>
        <w:gridCol w:w="1077"/>
        <w:gridCol w:w="787"/>
      </w:tblGrid>
      <w:tr>
        <w:trPr/>
        <w:tc>
          <w:tcPr>
            <w:tcW w:w="855" w:type="dxa"/>
            <w:tcBorders>
              <w:bottom w:val="single" w:sz="8" w:space="0" w:color="000000"/>
            </w:tcBorders>
            <w:vAlign w:val="center"/>
          </w:tcPr>
          <w:p>
            <w:pPr>
              <w:pStyle w:val="TableContents"/>
              <w:bidi w:val="0"/>
              <w:spacing w:before="0" w:after="283"/>
              <w:ind w:left="0" w:right="0" w:hanging="0"/>
              <w:jc w:val="center"/>
              <w:rPr>
                <w:b/>
              </w:rPr>
            </w:pPr>
            <w:r>
              <w:rPr>
                <w:b/>
              </w:rPr>
              <w:t>Exhibit No.</w:t>
            </w:r>
          </w:p>
        </w:tc>
        <w:tc>
          <w:tcPr>
            <w:tcW w:w="7486" w:type="dxa"/>
            <w:tcBorders>
              <w:bottom w:val="single" w:sz="8" w:space="0" w:color="000000"/>
            </w:tcBorders>
            <w:vAlign w:val="center"/>
          </w:tcPr>
          <w:p>
            <w:pPr>
              <w:pStyle w:val="TableContents"/>
              <w:bidi w:val="0"/>
              <w:spacing w:before="0" w:after="283"/>
              <w:ind w:left="0" w:right="0" w:hanging="0"/>
              <w:jc w:val="center"/>
              <w:rPr>
                <w:b/>
              </w:rPr>
            </w:pPr>
            <w:r>
              <w:rPr>
                <w:b/>
              </w:rPr>
              <w:t>Document Description</w:t>
            </w:r>
          </w:p>
        </w:tc>
        <w:tc>
          <w:tcPr>
            <w:tcW w:w="1077" w:type="dxa"/>
            <w:tcBorders>
              <w:bottom w:val="single" w:sz="8" w:space="0" w:color="000000"/>
            </w:tcBorders>
            <w:vAlign w:val="center"/>
          </w:tcPr>
          <w:p>
            <w:pPr>
              <w:pStyle w:val="TableContents"/>
              <w:bidi w:val="0"/>
              <w:spacing w:before="0" w:after="283"/>
              <w:ind w:left="0" w:right="0" w:hanging="0"/>
              <w:jc w:val="center"/>
              <w:rPr>
                <w:b/>
              </w:rPr>
            </w:pPr>
            <w:r>
              <w:rPr>
                <w:b/>
              </w:rPr>
              <w:t xml:space="preserve">Previous </w:t>
              <w:br/>
            </w:r>
            <w:r>
              <w:rPr>
                <w:b/>
                <w:sz w:val="20"/>
              </w:rPr>
              <w:t xml:space="preserve">Registration </w:t>
            </w:r>
            <w:r>
              <w:rPr>
                <w:b/>
              </w:rPr>
              <w:br/>
              <w:t>No.</w:t>
            </w:r>
          </w:p>
        </w:tc>
        <w:tc>
          <w:tcPr>
            <w:tcW w:w="787" w:type="dxa"/>
            <w:tcBorders>
              <w:bottom w:val="single" w:sz="8" w:space="0" w:color="000000"/>
            </w:tcBorders>
            <w:vAlign w:val="center"/>
          </w:tcPr>
          <w:p>
            <w:pPr>
              <w:pStyle w:val="TableContents"/>
              <w:bidi w:val="0"/>
              <w:spacing w:before="0" w:after="283"/>
              <w:ind w:left="0" w:right="0" w:hanging="0"/>
              <w:jc w:val="center"/>
              <w:rPr>
                <w:b/>
              </w:rPr>
            </w:pPr>
            <w:r>
              <w:rPr>
                <w:b/>
              </w:rPr>
              <w:t>Filing’s</w:t>
              <w:br/>
              <w:t>Exhibit</w:t>
              <w:br/>
              <w:t>No.</w:t>
            </w:r>
          </w:p>
        </w:tc>
      </w:tr>
      <w:tr>
        <w:trPr/>
        <w:tc>
          <w:tcPr>
            <w:tcW w:w="855" w:type="dxa"/>
            <w:tcBorders/>
            <w:tcMar>
              <w:bottom w:w="0" w:type="dxa"/>
            </w:tcMar>
            <w:vAlign w:val="center"/>
          </w:tcPr>
          <w:p>
            <w:pPr>
              <w:pStyle w:val="TableContents"/>
              <w:bidi w:val="0"/>
              <w:spacing w:before="0" w:after="283"/>
              <w:ind w:left="0" w:right="0" w:hanging="0"/>
              <w:jc w:val="center"/>
              <w:rPr/>
            </w:pPr>
            <w:r>
              <w:rPr/>
              <w:t>(t)10.12(h)</w:t>
            </w:r>
          </w:p>
        </w:tc>
        <w:tc>
          <w:tcPr>
            <w:tcW w:w="7486" w:type="dxa"/>
            <w:tcBorders/>
            <w:tcMar>
              <w:bottom w:w="0" w:type="dxa"/>
            </w:tcMar>
            <w:vAlign w:val="center"/>
          </w:tcPr>
          <w:p>
            <w:pPr>
              <w:pStyle w:val="TableContents"/>
              <w:bidi w:val="0"/>
              <w:spacing w:before="0" w:after="283"/>
              <w:ind w:left="0" w:right="0" w:hanging="0"/>
              <w:jc w:val="both"/>
              <w:rPr/>
            </w:pPr>
            <w:hyperlink r:id="rId31">
              <w:r>
                <w:rPr>
                  <w:rStyle w:val="InternetLink"/>
                </w:rPr>
                <w:t>Change in Control Termination Agreement, dated as of July 1, 2019, between the Company and Georgia M. Simpson, filed as Exhibit 10.12(h) of the Company’s Annual Report on Form 10-K for the year ended December 31, 2019.</w:t>
              </w:r>
            </w:hyperlink>
          </w:p>
        </w:tc>
        <w:tc>
          <w:tcPr>
            <w:tcW w:w="1077" w:type="dxa"/>
            <w:tcBorders/>
            <w:tcMar>
              <w:bottom w:w="0" w:type="dxa"/>
            </w:tcMar>
            <w:vAlign w:val="center"/>
          </w:tcPr>
          <w:p>
            <w:pPr>
              <w:pStyle w:val="TableContents"/>
              <w:bidi w:val="0"/>
              <w:spacing w:before="0" w:after="283"/>
              <w:ind w:left="0" w:right="0" w:hanging="0"/>
              <w:jc w:val="center"/>
              <w:rPr/>
            </w:pPr>
            <w:r>
              <w:rPr/>
              <w:t> </w:t>
            </w:r>
          </w:p>
        </w:tc>
        <w:tc>
          <w:tcPr>
            <w:tcW w:w="787" w:type="dxa"/>
            <w:tcBorders/>
            <w:tcMar>
              <w:bottom w:w="0" w:type="dxa"/>
            </w:tcMar>
            <w:vAlign w:val="center"/>
          </w:tcPr>
          <w:p>
            <w:pPr>
              <w:pStyle w:val="TableContents"/>
              <w:bidi w:val="0"/>
              <w:spacing w:before="0" w:after="283"/>
              <w:ind w:left="0" w:right="0" w:hanging="0"/>
              <w:jc w:val="center"/>
              <w:rPr/>
            </w:pPr>
            <w:r>
              <w:rPr/>
              <w:t> </w:t>
            </w:r>
          </w:p>
        </w:tc>
      </w:tr>
      <w:tr>
        <w:trPr/>
        <w:tc>
          <w:tcPr>
            <w:tcW w:w="855" w:type="dxa"/>
            <w:tcBorders/>
            <w:tcMar>
              <w:bottom w:w="0" w:type="dxa"/>
            </w:tcMar>
            <w:vAlign w:val="center"/>
          </w:tcPr>
          <w:p>
            <w:pPr>
              <w:pStyle w:val="TableContents"/>
              <w:bidi w:val="0"/>
              <w:spacing w:before="0" w:after="283"/>
              <w:ind w:left="0" w:right="0" w:hanging="0"/>
              <w:jc w:val="center"/>
              <w:rPr/>
            </w:pPr>
            <w:r>
              <w:rPr/>
              <w:t>(t)10.12(i)</w:t>
            </w:r>
          </w:p>
        </w:tc>
        <w:tc>
          <w:tcPr>
            <w:tcW w:w="7486" w:type="dxa"/>
            <w:tcBorders/>
            <w:tcMar>
              <w:bottom w:w="0" w:type="dxa"/>
            </w:tcMar>
            <w:vAlign w:val="center"/>
          </w:tcPr>
          <w:p>
            <w:pPr>
              <w:pStyle w:val="TableContents"/>
              <w:bidi w:val="0"/>
              <w:spacing w:before="0" w:after="283"/>
              <w:ind w:left="0" w:right="0" w:hanging="0"/>
              <w:jc w:val="both"/>
              <w:rPr/>
            </w:pPr>
            <w:hyperlink r:id="rId32">
              <w:r>
                <w:rPr>
                  <w:rStyle w:val="InternetLink"/>
                </w:rPr>
                <w:t>Change in Control Termination Agreement, dated as of April 28, 2023 between the Company and Robert J. Capko, filed as Exhibit 10.12(i) of the Company’s Quarterly Report on Form 10-Q for the quarter ended March 31, 2023.</w:t>
              </w:r>
            </w:hyperlink>
          </w:p>
        </w:tc>
        <w:tc>
          <w:tcPr>
            <w:tcW w:w="1077" w:type="dxa"/>
            <w:tcBorders/>
            <w:tcMar>
              <w:bottom w:w="0" w:type="dxa"/>
            </w:tcMar>
            <w:vAlign w:val="center"/>
          </w:tcPr>
          <w:p>
            <w:pPr>
              <w:pStyle w:val="TableContents"/>
              <w:bidi w:val="0"/>
              <w:spacing w:before="0" w:after="283"/>
              <w:ind w:left="0" w:right="0" w:hanging="0"/>
              <w:jc w:val="center"/>
              <w:rPr/>
            </w:pPr>
            <w:r>
              <w:rPr/>
              <w:t> </w:t>
            </w:r>
          </w:p>
        </w:tc>
        <w:tc>
          <w:tcPr>
            <w:tcW w:w="787" w:type="dxa"/>
            <w:tcBorders/>
            <w:tcMar>
              <w:bottom w:w="0" w:type="dxa"/>
            </w:tcMar>
            <w:vAlign w:val="center"/>
          </w:tcPr>
          <w:p>
            <w:pPr>
              <w:pStyle w:val="TableContents"/>
              <w:bidi w:val="0"/>
              <w:spacing w:before="0" w:after="283"/>
              <w:ind w:left="0" w:right="0" w:hanging="0"/>
              <w:jc w:val="center"/>
              <w:rPr/>
            </w:pPr>
            <w:r>
              <w:rPr/>
              <w:t> </w:t>
            </w:r>
          </w:p>
        </w:tc>
      </w:tr>
      <w:tr>
        <w:trPr/>
        <w:tc>
          <w:tcPr>
            <w:tcW w:w="855" w:type="dxa"/>
            <w:tcBorders/>
            <w:tcMar>
              <w:bottom w:w="0" w:type="dxa"/>
            </w:tcMar>
            <w:vAlign w:val="center"/>
          </w:tcPr>
          <w:p>
            <w:pPr>
              <w:pStyle w:val="TableContents"/>
              <w:bidi w:val="0"/>
              <w:spacing w:before="0" w:after="283"/>
              <w:ind w:left="0" w:right="0" w:hanging="0"/>
              <w:jc w:val="center"/>
              <w:rPr/>
            </w:pPr>
            <w:r>
              <w:rPr/>
              <w:t>10.13</w:t>
            </w:r>
          </w:p>
        </w:tc>
        <w:tc>
          <w:tcPr>
            <w:tcW w:w="7486" w:type="dxa"/>
            <w:tcBorders/>
            <w:tcMar>
              <w:bottom w:w="0" w:type="dxa"/>
            </w:tcMar>
            <w:vAlign w:val="center"/>
          </w:tcPr>
          <w:p>
            <w:pPr>
              <w:pStyle w:val="TableContents"/>
              <w:bidi w:val="0"/>
              <w:spacing w:before="0" w:after="283"/>
              <w:ind w:left="0" w:right="0" w:hanging="0"/>
              <w:jc w:val="both"/>
              <w:rPr/>
            </w:pPr>
            <w:r>
              <w:rPr/>
              <w:t>Transmission Agreement, dated October 16, 1992, between the Company and the Township of East Brunswick.</w:t>
            </w:r>
          </w:p>
        </w:tc>
        <w:tc>
          <w:tcPr>
            <w:tcW w:w="1077" w:type="dxa"/>
            <w:tcBorders/>
            <w:tcMar>
              <w:bottom w:w="0" w:type="dxa"/>
            </w:tcMar>
            <w:vAlign w:val="center"/>
          </w:tcPr>
          <w:p>
            <w:pPr>
              <w:pStyle w:val="TableContents"/>
              <w:bidi w:val="0"/>
              <w:spacing w:before="0" w:after="283"/>
              <w:ind w:left="0" w:right="0" w:hanging="0"/>
              <w:jc w:val="center"/>
              <w:rPr/>
            </w:pPr>
            <w:r>
              <w:rPr/>
              <w:t>33-54922</w:t>
            </w:r>
          </w:p>
        </w:tc>
        <w:tc>
          <w:tcPr>
            <w:tcW w:w="787" w:type="dxa"/>
            <w:tcBorders/>
            <w:tcMar>
              <w:bottom w:w="0" w:type="dxa"/>
            </w:tcMar>
            <w:vAlign w:val="center"/>
          </w:tcPr>
          <w:p>
            <w:pPr>
              <w:pStyle w:val="TableContents"/>
              <w:bidi w:val="0"/>
              <w:spacing w:before="0" w:after="283"/>
              <w:ind w:left="0" w:right="0" w:hanging="0"/>
              <w:jc w:val="center"/>
              <w:rPr/>
            </w:pPr>
            <w:r>
              <w:rPr/>
              <w:t>10.23</w:t>
            </w:r>
          </w:p>
        </w:tc>
      </w:tr>
      <w:tr>
        <w:trPr/>
        <w:tc>
          <w:tcPr>
            <w:tcW w:w="855" w:type="dxa"/>
            <w:tcBorders/>
            <w:tcMar>
              <w:bottom w:w="0" w:type="dxa"/>
            </w:tcMar>
            <w:vAlign w:val="center"/>
          </w:tcPr>
          <w:p>
            <w:pPr>
              <w:pStyle w:val="TableContents"/>
              <w:bidi w:val="0"/>
              <w:spacing w:before="0" w:after="283"/>
              <w:ind w:left="0" w:right="0" w:hanging="0"/>
              <w:jc w:val="center"/>
              <w:rPr/>
            </w:pPr>
            <w:r>
              <w:rPr/>
              <w:t>10.13(a)</w:t>
            </w:r>
          </w:p>
        </w:tc>
        <w:tc>
          <w:tcPr>
            <w:tcW w:w="7486" w:type="dxa"/>
            <w:tcBorders/>
            <w:tcMar>
              <w:bottom w:w="0" w:type="dxa"/>
            </w:tcMar>
            <w:vAlign w:val="center"/>
          </w:tcPr>
          <w:p>
            <w:pPr>
              <w:pStyle w:val="TableContents"/>
              <w:bidi w:val="0"/>
              <w:spacing w:before="0" w:after="283"/>
              <w:ind w:left="0" w:right="0" w:hanging="0"/>
              <w:jc w:val="both"/>
              <w:rPr/>
            </w:pPr>
            <w:hyperlink r:id="rId33">
              <w:r>
                <w:rPr>
                  <w:rStyle w:val="InternetLink"/>
                </w:rPr>
                <w:t>Amendment, dated November 28, 2016, to Transmission Agreement between the Company and the Township of East Brunswick, filed as Exhibit No. 10.13(a) of the Company’s Annual Report on Form 10-K for the year ended December 31, 2016.</w:t>
              </w:r>
            </w:hyperlink>
          </w:p>
        </w:tc>
        <w:tc>
          <w:tcPr>
            <w:tcW w:w="1077" w:type="dxa"/>
            <w:tcBorders/>
            <w:tcMar>
              <w:bottom w:w="0" w:type="dxa"/>
            </w:tcMar>
            <w:vAlign w:val="center"/>
          </w:tcPr>
          <w:p>
            <w:pPr>
              <w:pStyle w:val="TableContents"/>
              <w:bidi w:val="0"/>
              <w:spacing w:before="0" w:after="283"/>
              <w:ind w:left="0" w:right="0" w:hanging="0"/>
              <w:jc w:val="center"/>
              <w:rPr/>
            </w:pPr>
            <w:r>
              <w:rPr/>
              <w:t> </w:t>
            </w:r>
          </w:p>
        </w:tc>
        <w:tc>
          <w:tcPr>
            <w:tcW w:w="787" w:type="dxa"/>
            <w:tcBorders/>
            <w:tcMar>
              <w:bottom w:w="0" w:type="dxa"/>
            </w:tcMar>
            <w:vAlign w:val="center"/>
          </w:tcPr>
          <w:p>
            <w:pPr>
              <w:pStyle w:val="TableContents"/>
              <w:bidi w:val="0"/>
              <w:spacing w:before="0" w:after="283"/>
              <w:ind w:left="0" w:right="0" w:hanging="0"/>
              <w:jc w:val="center"/>
              <w:rPr/>
            </w:pPr>
            <w:r>
              <w:rPr/>
              <w:t> </w:t>
            </w:r>
          </w:p>
        </w:tc>
      </w:tr>
      <w:tr>
        <w:trPr/>
        <w:tc>
          <w:tcPr>
            <w:tcW w:w="855" w:type="dxa"/>
            <w:tcBorders/>
            <w:tcMar>
              <w:bottom w:w="0" w:type="dxa"/>
            </w:tcMar>
            <w:vAlign w:val="center"/>
          </w:tcPr>
          <w:p>
            <w:pPr>
              <w:pStyle w:val="TableContents"/>
              <w:bidi w:val="0"/>
              <w:spacing w:before="0" w:after="283"/>
              <w:ind w:left="0" w:right="0" w:hanging="0"/>
              <w:jc w:val="center"/>
              <w:rPr/>
            </w:pPr>
            <w:r>
              <w:rPr/>
              <w:t>10.14</w:t>
            </w:r>
          </w:p>
        </w:tc>
        <w:tc>
          <w:tcPr>
            <w:tcW w:w="7486" w:type="dxa"/>
            <w:tcBorders/>
            <w:tcMar>
              <w:bottom w:w="0" w:type="dxa"/>
            </w:tcMar>
            <w:vAlign w:val="center"/>
          </w:tcPr>
          <w:p>
            <w:pPr>
              <w:pStyle w:val="TableContents"/>
              <w:bidi w:val="0"/>
              <w:spacing w:before="0" w:after="283"/>
              <w:ind w:left="0" w:right="0" w:hanging="0"/>
              <w:jc w:val="both"/>
              <w:rPr/>
            </w:pPr>
            <w:hyperlink r:id="rId34">
              <w:r>
                <w:rPr>
                  <w:rStyle w:val="InternetLink"/>
                </w:rPr>
                <w:t>Contract, dated August 20, 2018, between the City of Perth Amboy and Utility Service Affiliates (Perth Amboy), Inc., filed as Exhibit 10.16 of the Company’s Quarterly Report on Form 10-Q for the quarter ended September 30, 2018.</w:t>
              </w:r>
            </w:hyperlink>
          </w:p>
        </w:tc>
        <w:tc>
          <w:tcPr>
            <w:tcW w:w="1077" w:type="dxa"/>
            <w:tcBorders/>
            <w:tcMar>
              <w:bottom w:w="0" w:type="dxa"/>
            </w:tcMar>
            <w:vAlign w:val="center"/>
          </w:tcPr>
          <w:p>
            <w:pPr>
              <w:pStyle w:val="TableContents"/>
              <w:bidi w:val="0"/>
              <w:spacing w:before="0" w:after="283"/>
              <w:ind w:left="0" w:right="0" w:hanging="0"/>
              <w:jc w:val="center"/>
              <w:rPr/>
            </w:pPr>
            <w:r>
              <w:rPr/>
              <w:t> </w:t>
            </w:r>
          </w:p>
        </w:tc>
        <w:tc>
          <w:tcPr>
            <w:tcW w:w="787" w:type="dxa"/>
            <w:tcBorders/>
            <w:tcMar>
              <w:bottom w:w="0" w:type="dxa"/>
            </w:tcMar>
            <w:vAlign w:val="center"/>
          </w:tcPr>
          <w:p>
            <w:pPr>
              <w:pStyle w:val="TableContents"/>
              <w:bidi w:val="0"/>
              <w:spacing w:before="0" w:after="283"/>
              <w:ind w:left="0" w:right="0" w:hanging="0"/>
              <w:jc w:val="center"/>
              <w:rPr/>
            </w:pPr>
            <w:r>
              <w:rPr/>
              <w:t> </w:t>
            </w:r>
          </w:p>
        </w:tc>
      </w:tr>
      <w:tr>
        <w:trPr/>
        <w:tc>
          <w:tcPr>
            <w:tcW w:w="855" w:type="dxa"/>
            <w:tcBorders/>
            <w:tcMar>
              <w:bottom w:w="0" w:type="dxa"/>
            </w:tcMar>
            <w:vAlign w:val="center"/>
          </w:tcPr>
          <w:p>
            <w:pPr>
              <w:pStyle w:val="TableContents"/>
              <w:bidi w:val="0"/>
              <w:spacing w:before="0" w:after="283"/>
              <w:ind w:left="0" w:right="0" w:hanging="0"/>
              <w:jc w:val="center"/>
              <w:rPr/>
            </w:pPr>
            <w:r>
              <w:rPr/>
              <w:t>10.15</w:t>
            </w:r>
          </w:p>
        </w:tc>
        <w:tc>
          <w:tcPr>
            <w:tcW w:w="7486" w:type="dxa"/>
            <w:tcBorders/>
            <w:tcMar>
              <w:bottom w:w="0" w:type="dxa"/>
            </w:tcMar>
            <w:vAlign w:val="center"/>
          </w:tcPr>
          <w:p>
            <w:pPr>
              <w:pStyle w:val="TableContents"/>
              <w:bidi w:val="0"/>
              <w:spacing w:before="0" w:after="283"/>
              <w:ind w:left="0" w:right="0" w:hanging="0"/>
              <w:jc w:val="both"/>
              <w:rPr/>
            </w:pPr>
            <w:hyperlink r:id="rId35">
              <w:r>
                <w:rPr>
                  <w:rStyle w:val="InternetLink"/>
                </w:rPr>
                <w:t>Thirtieth Supplemental Indenture, dated October 15, 2004, between the Company and Wachovia Bank, National Association; Loan Agreement, dated November 1, 2004, between the State of New Jersey and the Company (Series EE), filed as Exhibit No. 10.26 of the Company’s Annual Report on Form 10-K for the year ended December 31, 2004.</w:t>
              </w:r>
            </w:hyperlink>
            <w:r>
              <w:rPr/>
              <w:t>  </w:t>
            </w:r>
          </w:p>
        </w:tc>
        <w:tc>
          <w:tcPr>
            <w:tcW w:w="1077" w:type="dxa"/>
            <w:tcBorders/>
            <w:tcMar>
              <w:bottom w:w="0" w:type="dxa"/>
            </w:tcMar>
            <w:vAlign w:val="center"/>
          </w:tcPr>
          <w:p>
            <w:pPr>
              <w:pStyle w:val="TableContents"/>
              <w:bidi w:val="0"/>
              <w:spacing w:before="0" w:after="283"/>
              <w:ind w:left="0" w:right="0" w:hanging="0"/>
              <w:jc w:val="center"/>
              <w:rPr/>
            </w:pPr>
            <w:r>
              <w:rPr/>
              <w:t> </w:t>
            </w:r>
          </w:p>
        </w:tc>
        <w:tc>
          <w:tcPr>
            <w:tcW w:w="787" w:type="dxa"/>
            <w:tcBorders/>
            <w:tcMar>
              <w:bottom w:w="0" w:type="dxa"/>
            </w:tcMar>
            <w:vAlign w:val="center"/>
          </w:tcPr>
          <w:p>
            <w:pPr>
              <w:pStyle w:val="TableContents"/>
              <w:bidi w:val="0"/>
              <w:spacing w:before="0" w:after="283"/>
              <w:ind w:left="0" w:right="0" w:hanging="0"/>
              <w:jc w:val="center"/>
              <w:rPr/>
            </w:pPr>
            <w:r>
              <w:rPr/>
              <w:t> </w:t>
            </w:r>
          </w:p>
        </w:tc>
      </w:tr>
      <w:tr>
        <w:trPr/>
        <w:tc>
          <w:tcPr>
            <w:tcW w:w="855" w:type="dxa"/>
            <w:tcBorders/>
            <w:tcMar>
              <w:bottom w:w="0" w:type="dxa"/>
            </w:tcMar>
            <w:vAlign w:val="center"/>
          </w:tcPr>
          <w:p>
            <w:pPr>
              <w:pStyle w:val="TableContents"/>
              <w:bidi w:val="0"/>
              <w:spacing w:before="0" w:after="283"/>
              <w:ind w:left="0" w:right="0" w:hanging="0"/>
              <w:jc w:val="center"/>
              <w:rPr/>
            </w:pPr>
            <w:r>
              <w:rPr/>
              <w:t>10.16</w:t>
            </w:r>
          </w:p>
        </w:tc>
        <w:tc>
          <w:tcPr>
            <w:tcW w:w="7486" w:type="dxa"/>
            <w:tcBorders/>
            <w:tcMar>
              <w:bottom w:w="0" w:type="dxa"/>
            </w:tcMar>
            <w:vAlign w:val="center"/>
          </w:tcPr>
          <w:p>
            <w:pPr>
              <w:pStyle w:val="TableContents"/>
              <w:bidi w:val="0"/>
              <w:spacing w:before="0" w:after="283"/>
              <w:ind w:left="0" w:right="0" w:hanging="0"/>
              <w:jc w:val="both"/>
              <w:rPr/>
            </w:pPr>
            <w:hyperlink r:id="rId36">
              <w:r>
                <w:rPr>
                  <w:rStyle w:val="InternetLink"/>
                </w:rPr>
                <w:t>Thirty-First Supplemental Indenture, dated October 15, 2004, between the Company and Wachovia Bank, National Association; Loan Agreement, dated November 1, 2004, between the New Jersey Environmental Infrastructure Trust and the Company (Series FF), filed as Exhibit No. 10.27 of the Company’s Annual Report on Form 10-K for the year ended December 31, 2004.</w:t>
              </w:r>
            </w:hyperlink>
            <w:r>
              <w:rPr/>
              <w:t>  </w:t>
            </w:r>
          </w:p>
        </w:tc>
        <w:tc>
          <w:tcPr>
            <w:tcW w:w="1077" w:type="dxa"/>
            <w:tcBorders/>
            <w:tcMar>
              <w:bottom w:w="0" w:type="dxa"/>
            </w:tcMar>
            <w:vAlign w:val="center"/>
          </w:tcPr>
          <w:p>
            <w:pPr>
              <w:pStyle w:val="TableContents"/>
              <w:bidi w:val="0"/>
              <w:spacing w:before="0" w:after="283"/>
              <w:ind w:left="0" w:right="0" w:hanging="0"/>
              <w:jc w:val="center"/>
              <w:rPr/>
            </w:pPr>
            <w:r>
              <w:rPr/>
              <w:t> </w:t>
            </w:r>
          </w:p>
        </w:tc>
        <w:tc>
          <w:tcPr>
            <w:tcW w:w="787" w:type="dxa"/>
            <w:tcBorders/>
            <w:tcMar>
              <w:bottom w:w="0" w:type="dxa"/>
            </w:tcMar>
            <w:vAlign w:val="center"/>
          </w:tcPr>
          <w:p>
            <w:pPr>
              <w:pStyle w:val="TableContents"/>
              <w:bidi w:val="0"/>
              <w:spacing w:before="0" w:after="283"/>
              <w:ind w:left="0" w:right="0" w:hanging="0"/>
              <w:jc w:val="center"/>
              <w:rPr/>
            </w:pPr>
            <w:r>
              <w:rPr/>
              <w:t> </w:t>
            </w:r>
          </w:p>
        </w:tc>
      </w:tr>
      <w:tr>
        <w:trPr/>
        <w:tc>
          <w:tcPr>
            <w:tcW w:w="855" w:type="dxa"/>
            <w:tcBorders/>
            <w:tcMar>
              <w:bottom w:w="0" w:type="dxa"/>
            </w:tcMar>
            <w:vAlign w:val="center"/>
          </w:tcPr>
          <w:p>
            <w:pPr>
              <w:pStyle w:val="TableContents"/>
              <w:bidi w:val="0"/>
              <w:spacing w:before="0" w:after="283"/>
              <w:ind w:left="0" w:right="0" w:hanging="0"/>
              <w:jc w:val="center"/>
              <w:rPr/>
            </w:pPr>
            <w:r>
              <w:rPr/>
              <w:t>10.17(a)</w:t>
            </w:r>
          </w:p>
        </w:tc>
        <w:tc>
          <w:tcPr>
            <w:tcW w:w="7486" w:type="dxa"/>
            <w:tcBorders/>
            <w:tcMar>
              <w:bottom w:w="0" w:type="dxa"/>
            </w:tcMar>
            <w:vAlign w:val="center"/>
          </w:tcPr>
          <w:p>
            <w:pPr>
              <w:pStyle w:val="TableContents"/>
              <w:bidi w:val="0"/>
              <w:spacing w:before="0" w:after="283"/>
              <w:ind w:left="0" w:right="0" w:hanging="0"/>
              <w:jc w:val="both"/>
              <w:rPr/>
            </w:pPr>
            <w:hyperlink r:id="rId37">
              <w:r>
                <w:rPr>
                  <w:rStyle w:val="InternetLink"/>
                </w:rPr>
                <w:t>Promissory Note and Supplement, dated October 15, 2014, between Tidewater Utilities, Inc. and CoBank, ACB; Amendment to Combination Water Utility Real Estate Mortgage and Security Agreement, effective October 15, 2014, between Tidewater Utilities, Inc. and CoBank, ACB, filed as Exhibit 10.23 of the Company’s Annual Report on Form 10-K for the year ended December 31, 2014.</w:t>
              </w:r>
            </w:hyperlink>
          </w:p>
        </w:tc>
        <w:tc>
          <w:tcPr>
            <w:tcW w:w="1077" w:type="dxa"/>
            <w:tcBorders/>
            <w:tcMar>
              <w:bottom w:w="0" w:type="dxa"/>
            </w:tcMar>
            <w:vAlign w:val="center"/>
          </w:tcPr>
          <w:p>
            <w:pPr>
              <w:pStyle w:val="TableContents"/>
              <w:bidi w:val="0"/>
              <w:spacing w:before="0" w:after="283"/>
              <w:ind w:left="0" w:right="0" w:hanging="0"/>
              <w:jc w:val="center"/>
              <w:rPr/>
            </w:pPr>
            <w:r>
              <w:rPr/>
              <w:t> </w:t>
            </w:r>
          </w:p>
        </w:tc>
        <w:tc>
          <w:tcPr>
            <w:tcW w:w="787" w:type="dxa"/>
            <w:tcBorders/>
            <w:tcMar>
              <w:bottom w:w="0" w:type="dxa"/>
            </w:tcMar>
            <w:vAlign w:val="center"/>
          </w:tcPr>
          <w:p>
            <w:pPr>
              <w:pStyle w:val="TableContents"/>
              <w:bidi w:val="0"/>
              <w:spacing w:before="0" w:after="283"/>
              <w:jc w:val="center"/>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81 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55"/>
        <w:gridCol w:w="7477"/>
        <w:gridCol w:w="1077"/>
        <w:gridCol w:w="796"/>
      </w:tblGrid>
      <w:tr>
        <w:trPr/>
        <w:tc>
          <w:tcPr>
            <w:tcW w:w="855" w:type="dxa"/>
            <w:tcBorders>
              <w:bottom w:val="single" w:sz="8" w:space="0" w:color="000000"/>
            </w:tcBorders>
            <w:vAlign w:val="center"/>
          </w:tcPr>
          <w:p>
            <w:pPr>
              <w:pStyle w:val="TableContents"/>
              <w:bidi w:val="0"/>
              <w:spacing w:before="0" w:after="283"/>
              <w:ind w:left="0" w:right="0" w:hanging="0"/>
              <w:jc w:val="center"/>
              <w:rPr>
                <w:b/>
              </w:rPr>
            </w:pPr>
            <w:r>
              <w:rPr>
                <w:b/>
              </w:rPr>
              <w:t>Exhibit No.</w:t>
            </w:r>
          </w:p>
        </w:tc>
        <w:tc>
          <w:tcPr>
            <w:tcW w:w="7477" w:type="dxa"/>
            <w:tcBorders>
              <w:bottom w:val="single" w:sz="8" w:space="0" w:color="000000"/>
            </w:tcBorders>
            <w:vAlign w:val="center"/>
          </w:tcPr>
          <w:p>
            <w:pPr>
              <w:pStyle w:val="TableContents"/>
              <w:bidi w:val="0"/>
              <w:spacing w:before="0" w:after="283"/>
              <w:ind w:left="0" w:right="0" w:hanging="0"/>
              <w:jc w:val="center"/>
              <w:rPr>
                <w:b/>
              </w:rPr>
            </w:pPr>
            <w:r>
              <w:rPr>
                <w:b/>
              </w:rPr>
              <w:t>Document Description</w:t>
            </w:r>
          </w:p>
        </w:tc>
        <w:tc>
          <w:tcPr>
            <w:tcW w:w="1077" w:type="dxa"/>
            <w:tcBorders>
              <w:bottom w:val="single" w:sz="8" w:space="0" w:color="000000"/>
            </w:tcBorders>
            <w:vAlign w:val="center"/>
          </w:tcPr>
          <w:p>
            <w:pPr>
              <w:pStyle w:val="TableContents"/>
              <w:bidi w:val="0"/>
              <w:spacing w:before="0" w:after="283"/>
              <w:ind w:left="0" w:right="0" w:hanging="0"/>
              <w:jc w:val="center"/>
              <w:rPr>
                <w:b/>
              </w:rPr>
            </w:pPr>
            <w:r>
              <w:rPr>
                <w:b/>
              </w:rPr>
              <w:t>Previous</w:t>
              <w:br/>
            </w:r>
            <w:r>
              <w:rPr>
                <w:b/>
                <w:sz w:val="20"/>
              </w:rPr>
              <w:t xml:space="preserve">Registration </w:t>
            </w:r>
            <w:r>
              <w:rPr>
                <w:b/>
              </w:rPr>
              <w:br/>
              <w:t>No.</w:t>
            </w:r>
          </w:p>
        </w:tc>
        <w:tc>
          <w:tcPr>
            <w:tcW w:w="796" w:type="dxa"/>
            <w:tcBorders>
              <w:bottom w:val="single" w:sz="8" w:space="0" w:color="000000"/>
            </w:tcBorders>
            <w:vAlign w:val="center"/>
          </w:tcPr>
          <w:p>
            <w:pPr>
              <w:pStyle w:val="TableContents"/>
              <w:bidi w:val="0"/>
              <w:spacing w:before="0" w:after="283"/>
              <w:ind w:left="0" w:right="0" w:hanging="0"/>
              <w:jc w:val="center"/>
              <w:rPr>
                <w:b/>
              </w:rPr>
            </w:pPr>
            <w:r>
              <w:rPr>
                <w:b/>
              </w:rPr>
              <w:t xml:space="preserve">Filing’s </w:t>
              <w:br/>
              <w:t xml:space="preserve">Exhibit </w:t>
              <w:br/>
              <w:t>No.</w:t>
            </w:r>
          </w:p>
        </w:tc>
      </w:tr>
      <w:tr>
        <w:trPr/>
        <w:tc>
          <w:tcPr>
            <w:tcW w:w="855" w:type="dxa"/>
            <w:tcBorders/>
            <w:tcMar>
              <w:bottom w:w="0" w:type="dxa"/>
            </w:tcMar>
            <w:vAlign w:val="center"/>
          </w:tcPr>
          <w:p>
            <w:pPr>
              <w:pStyle w:val="TableContents"/>
              <w:bidi w:val="0"/>
              <w:spacing w:before="0" w:after="283"/>
              <w:ind w:left="0" w:right="0" w:hanging="0"/>
              <w:jc w:val="center"/>
              <w:rPr/>
            </w:pPr>
            <w:r>
              <w:rPr/>
              <w:t>10.17(b)</w:t>
            </w:r>
          </w:p>
        </w:tc>
        <w:tc>
          <w:tcPr>
            <w:tcW w:w="7477" w:type="dxa"/>
            <w:tcBorders/>
            <w:tcMar>
              <w:bottom w:w="0" w:type="dxa"/>
            </w:tcMar>
            <w:vAlign w:val="center"/>
          </w:tcPr>
          <w:p>
            <w:pPr>
              <w:pStyle w:val="TableContents"/>
              <w:bidi w:val="0"/>
              <w:spacing w:before="0" w:after="283"/>
              <w:ind w:left="0" w:right="0" w:hanging="0"/>
              <w:jc w:val="both"/>
              <w:rPr/>
            </w:pPr>
            <w:hyperlink r:id="rId38">
              <w:r>
                <w:rPr>
                  <w:rStyle w:val="InternetLink"/>
                </w:rPr>
                <w:t>Promissory Note and Supplement, dated March 29, 2021, between Tidewater Utilities, Inc. and CoBank, ACB; Amendment to Combination Water Utility Real Estate Mortgage and Security Agreement, effective March 29, 2021, between Tidewater Utilities, Inc. and CoBank, ACB, filed as Exhibit 10.19(b) of the Company’s Quarterly Report on Form 10-Q for the quarter ended March 31, 2021.</w:t>
              </w:r>
            </w:hyperlink>
            <w:r>
              <w:rPr/>
              <w:t xml:space="preserve"> </w:t>
            </w:r>
          </w:p>
        </w:tc>
        <w:tc>
          <w:tcPr>
            <w:tcW w:w="1077" w:type="dxa"/>
            <w:tcBorders/>
            <w:tcMar>
              <w:bottom w:w="0" w:type="dxa"/>
            </w:tcMar>
            <w:vAlign w:val="center"/>
          </w:tcPr>
          <w:p>
            <w:pPr>
              <w:pStyle w:val="TableContents"/>
              <w:bidi w:val="0"/>
              <w:spacing w:before="0" w:after="283"/>
              <w:ind w:left="0" w:right="0" w:hanging="0"/>
              <w:jc w:val="left"/>
              <w:rPr/>
            </w:pPr>
            <w:r>
              <w:rPr/>
              <w:t> </w:t>
            </w:r>
          </w:p>
        </w:tc>
        <w:tc>
          <w:tcPr>
            <w:tcW w:w="796" w:type="dxa"/>
            <w:tcBorders/>
            <w:tcMar>
              <w:bottom w:w="0" w:type="dxa"/>
            </w:tcMar>
            <w:vAlign w:val="center"/>
          </w:tcPr>
          <w:p>
            <w:pPr>
              <w:pStyle w:val="TableContents"/>
              <w:bidi w:val="0"/>
              <w:spacing w:before="0" w:after="283"/>
              <w:ind w:left="0" w:right="0" w:hanging="0"/>
              <w:jc w:val="left"/>
              <w:rPr/>
            </w:pPr>
            <w:r>
              <w:rPr/>
              <w:t> </w:t>
            </w:r>
          </w:p>
        </w:tc>
      </w:tr>
      <w:tr>
        <w:trPr/>
        <w:tc>
          <w:tcPr>
            <w:tcW w:w="855" w:type="dxa"/>
            <w:tcBorders/>
            <w:tcMar>
              <w:bottom w:w="0" w:type="dxa"/>
            </w:tcMar>
            <w:vAlign w:val="center"/>
          </w:tcPr>
          <w:p>
            <w:pPr>
              <w:pStyle w:val="TableContents"/>
              <w:bidi w:val="0"/>
              <w:spacing w:before="0" w:after="283"/>
              <w:ind w:left="0" w:right="0" w:hanging="0"/>
              <w:jc w:val="center"/>
              <w:rPr/>
            </w:pPr>
            <w:r>
              <w:rPr/>
              <w:t>10.17(c)</w:t>
            </w:r>
          </w:p>
        </w:tc>
        <w:tc>
          <w:tcPr>
            <w:tcW w:w="7477" w:type="dxa"/>
            <w:tcBorders/>
            <w:tcMar>
              <w:bottom w:w="0" w:type="dxa"/>
            </w:tcMar>
            <w:vAlign w:val="center"/>
          </w:tcPr>
          <w:p>
            <w:pPr>
              <w:pStyle w:val="TableContents"/>
              <w:bidi w:val="0"/>
              <w:spacing w:before="0" w:after="283"/>
              <w:ind w:left="0" w:right="0" w:hanging="0"/>
              <w:jc w:val="both"/>
              <w:rPr/>
            </w:pPr>
            <w:hyperlink r:id="rId39">
              <w:r>
                <w:rPr>
                  <w:rStyle w:val="InternetLink"/>
                </w:rPr>
                <w:t>Promissory Note and Supplement, dated May 11, 2023, between Tidewater Utilities, Inc. and CoBank, ACB; Amendments to Combination Water Utility Real Estate Mortgage and Security Agreement, effective May 11, 2023, between Tidewater Utilities, Inc. and CoBank, ACB, filed as Exhibit 10.17(c) of the Company’s Quarterly Report on Form 10-Q for the quarter ended September 30, 2023.</w:t>
              </w:r>
            </w:hyperlink>
            <w:r>
              <w:rPr/>
              <w:t xml:space="preserve"> </w:t>
            </w:r>
          </w:p>
        </w:tc>
        <w:tc>
          <w:tcPr>
            <w:tcW w:w="1077" w:type="dxa"/>
            <w:tcBorders/>
            <w:tcMar>
              <w:bottom w:w="0" w:type="dxa"/>
            </w:tcMar>
            <w:vAlign w:val="center"/>
          </w:tcPr>
          <w:p>
            <w:pPr>
              <w:pStyle w:val="TableContents"/>
              <w:bidi w:val="0"/>
              <w:spacing w:before="0" w:after="283"/>
              <w:ind w:left="0" w:right="0" w:hanging="0"/>
              <w:jc w:val="left"/>
              <w:rPr/>
            </w:pPr>
            <w:r>
              <w:rPr/>
              <w:t> </w:t>
            </w:r>
          </w:p>
        </w:tc>
        <w:tc>
          <w:tcPr>
            <w:tcW w:w="796" w:type="dxa"/>
            <w:tcBorders/>
            <w:tcMar>
              <w:bottom w:w="0" w:type="dxa"/>
            </w:tcMar>
            <w:vAlign w:val="center"/>
          </w:tcPr>
          <w:p>
            <w:pPr>
              <w:pStyle w:val="TableContents"/>
              <w:bidi w:val="0"/>
              <w:spacing w:before="0" w:after="283"/>
              <w:ind w:left="0" w:right="0" w:hanging="0"/>
              <w:jc w:val="left"/>
              <w:rPr/>
            </w:pPr>
            <w:r>
              <w:rPr/>
              <w:t> </w:t>
            </w:r>
          </w:p>
        </w:tc>
      </w:tr>
      <w:tr>
        <w:trPr/>
        <w:tc>
          <w:tcPr>
            <w:tcW w:w="855" w:type="dxa"/>
            <w:tcBorders/>
            <w:tcMar>
              <w:bottom w:w="0" w:type="dxa"/>
            </w:tcMar>
            <w:vAlign w:val="center"/>
          </w:tcPr>
          <w:p>
            <w:pPr>
              <w:pStyle w:val="TableContents"/>
              <w:bidi w:val="0"/>
              <w:spacing w:before="0" w:after="283"/>
              <w:ind w:left="0" w:right="0" w:hanging="0"/>
              <w:jc w:val="center"/>
              <w:rPr/>
            </w:pPr>
            <w:r>
              <w:rPr/>
              <w:t>10.17(d)</w:t>
            </w:r>
          </w:p>
        </w:tc>
        <w:tc>
          <w:tcPr>
            <w:tcW w:w="7477" w:type="dxa"/>
            <w:tcBorders/>
            <w:tcMar>
              <w:bottom w:w="0" w:type="dxa"/>
            </w:tcMar>
            <w:vAlign w:val="center"/>
          </w:tcPr>
          <w:p>
            <w:pPr>
              <w:pStyle w:val="TableContents"/>
              <w:bidi w:val="0"/>
              <w:spacing w:before="0" w:after="283"/>
              <w:ind w:left="0" w:right="0" w:hanging="0"/>
              <w:jc w:val="both"/>
              <w:rPr/>
            </w:pPr>
            <w:hyperlink r:id="rId40">
              <w:r>
                <w:rPr>
                  <w:rStyle w:val="InternetLink"/>
                </w:rPr>
                <w:t>Sixth Amendment to Promissory Note and Supplement, dated as of May 11, 2023, between Tidewater Utilities, Inc. and CoBank, ACB, filed as Exhibit 10.17(d) of the Company’s Quarterly Report on Form 10-Q for the quarter ended September 30, 2023.</w:t>
              </w:r>
            </w:hyperlink>
          </w:p>
        </w:tc>
        <w:tc>
          <w:tcPr>
            <w:tcW w:w="1077" w:type="dxa"/>
            <w:tcBorders/>
            <w:tcMar>
              <w:bottom w:w="0" w:type="dxa"/>
            </w:tcMar>
            <w:vAlign w:val="center"/>
          </w:tcPr>
          <w:p>
            <w:pPr>
              <w:pStyle w:val="TableContents"/>
              <w:bidi w:val="0"/>
              <w:spacing w:before="0" w:after="283"/>
              <w:ind w:left="0" w:right="0" w:hanging="0"/>
              <w:jc w:val="left"/>
              <w:rPr/>
            </w:pPr>
            <w:r>
              <w:rPr/>
              <w:t> </w:t>
            </w:r>
          </w:p>
        </w:tc>
        <w:tc>
          <w:tcPr>
            <w:tcW w:w="796" w:type="dxa"/>
            <w:tcBorders/>
            <w:tcMar>
              <w:bottom w:w="0" w:type="dxa"/>
            </w:tcMar>
            <w:vAlign w:val="center"/>
          </w:tcPr>
          <w:p>
            <w:pPr>
              <w:pStyle w:val="TableContents"/>
              <w:bidi w:val="0"/>
              <w:spacing w:before="0" w:after="283"/>
              <w:ind w:left="0" w:right="0" w:hanging="0"/>
              <w:jc w:val="left"/>
              <w:rPr/>
            </w:pPr>
            <w:r>
              <w:rPr/>
              <w:t> </w:t>
            </w:r>
          </w:p>
        </w:tc>
      </w:tr>
      <w:tr>
        <w:trPr/>
        <w:tc>
          <w:tcPr>
            <w:tcW w:w="855" w:type="dxa"/>
            <w:tcBorders/>
            <w:tcMar>
              <w:bottom w:w="0" w:type="dxa"/>
            </w:tcMar>
            <w:vAlign w:val="center"/>
          </w:tcPr>
          <w:p>
            <w:pPr>
              <w:pStyle w:val="TableContents"/>
              <w:bidi w:val="0"/>
              <w:spacing w:before="0" w:after="283"/>
              <w:ind w:left="0" w:right="0" w:hanging="0"/>
              <w:jc w:val="center"/>
              <w:rPr/>
            </w:pPr>
            <w:r>
              <w:rPr/>
              <w:t>10.18</w:t>
            </w:r>
          </w:p>
        </w:tc>
        <w:tc>
          <w:tcPr>
            <w:tcW w:w="7477" w:type="dxa"/>
            <w:tcBorders/>
            <w:tcMar>
              <w:bottom w:w="0" w:type="dxa"/>
            </w:tcMar>
            <w:vAlign w:val="center"/>
          </w:tcPr>
          <w:p>
            <w:pPr>
              <w:pStyle w:val="TableContents"/>
              <w:bidi w:val="0"/>
              <w:spacing w:before="0" w:after="283"/>
              <w:ind w:left="0" w:right="0" w:hanging="0"/>
              <w:jc w:val="both"/>
              <w:rPr/>
            </w:pPr>
            <w:hyperlink r:id="rId41">
              <w:r>
                <w:rPr>
                  <w:rStyle w:val="InternetLink"/>
                </w:rPr>
                <w:t>Agreement for a Supply of Water, dated April 1, 2006, between the Company and the City of Rahway, filed as Exhibit No. 10.2 of the Company’s Quarterly Report on Form 10-Q for the quarter ended March 31, 2006.</w:t>
              </w:r>
            </w:hyperlink>
          </w:p>
        </w:tc>
        <w:tc>
          <w:tcPr>
            <w:tcW w:w="1077" w:type="dxa"/>
            <w:tcBorders/>
            <w:tcMar>
              <w:bottom w:w="0" w:type="dxa"/>
            </w:tcMar>
            <w:vAlign w:val="center"/>
          </w:tcPr>
          <w:p>
            <w:pPr>
              <w:pStyle w:val="TableContents"/>
              <w:bidi w:val="0"/>
              <w:spacing w:before="0" w:after="283"/>
              <w:ind w:left="0" w:right="0" w:hanging="0"/>
              <w:jc w:val="left"/>
              <w:rPr/>
            </w:pPr>
            <w:r>
              <w:rPr/>
              <w:t> </w:t>
            </w:r>
          </w:p>
        </w:tc>
        <w:tc>
          <w:tcPr>
            <w:tcW w:w="796" w:type="dxa"/>
            <w:tcBorders/>
            <w:tcMar>
              <w:bottom w:w="0" w:type="dxa"/>
            </w:tcMar>
            <w:vAlign w:val="center"/>
          </w:tcPr>
          <w:p>
            <w:pPr>
              <w:pStyle w:val="TableContents"/>
              <w:bidi w:val="0"/>
              <w:spacing w:before="0" w:after="283"/>
              <w:ind w:left="0" w:right="0" w:hanging="0"/>
              <w:jc w:val="left"/>
              <w:rPr/>
            </w:pPr>
            <w:r>
              <w:rPr/>
              <w:t> </w:t>
            </w:r>
          </w:p>
        </w:tc>
      </w:tr>
      <w:tr>
        <w:trPr/>
        <w:tc>
          <w:tcPr>
            <w:tcW w:w="855" w:type="dxa"/>
            <w:tcBorders/>
            <w:tcMar>
              <w:bottom w:w="0" w:type="dxa"/>
            </w:tcMar>
            <w:vAlign w:val="center"/>
          </w:tcPr>
          <w:p>
            <w:pPr>
              <w:pStyle w:val="TableContents"/>
              <w:bidi w:val="0"/>
              <w:spacing w:before="0" w:after="283"/>
              <w:ind w:left="0" w:right="0" w:hanging="0"/>
              <w:jc w:val="center"/>
              <w:rPr/>
            </w:pPr>
            <w:r>
              <w:rPr/>
              <w:t>10.19</w:t>
            </w:r>
          </w:p>
        </w:tc>
        <w:tc>
          <w:tcPr>
            <w:tcW w:w="7477" w:type="dxa"/>
            <w:tcBorders/>
            <w:tcMar>
              <w:bottom w:w="0" w:type="dxa"/>
            </w:tcMar>
            <w:vAlign w:val="center"/>
          </w:tcPr>
          <w:p>
            <w:pPr>
              <w:pStyle w:val="TableContents"/>
              <w:bidi w:val="0"/>
              <w:spacing w:before="0" w:after="283"/>
              <w:ind w:left="0" w:right="0" w:hanging="0"/>
              <w:jc w:val="both"/>
              <w:rPr/>
            </w:pPr>
            <w:hyperlink r:id="rId42">
              <w:r>
                <w:rPr>
                  <w:rStyle w:val="InternetLink"/>
                </w:rPr>
                <w:t>Loan Agreement, dated November 1, 2006, between the State of New Jersey and the Company (Series GG), filed as Exhibit No. 10.30 of the Company’s Annual Report on Form 10-K for the year ended December 31, 2006.</w:t>
              </w:r>
            </w:hyperlink>
          </w:p>
        </w:tc>
        <w:tc>
          <w:tcPr>
            <w:tcW w:w="1077" w:type="dxa"/>
            <w:tcBorders/>
            <w:tcMar>
              <w:bottom w:w="0" w:type="dxa"/>
            </w:tcMar>
            <w:vAlign w:val="center"/>
          </w:tcPr>
          <w:p>
            <w:pPr>
              <w:pStyle w:val="TableContents"/>
              <w:bidi w:val="0"/>
              <w:spacing w:before="0" w:after="283"/>
              <w:ind w:left="0" w:right="0" w:hanging="0"/>
              <w:jc w:val="left"/>
              <w:rPr/>
            </w:pPr>
            <w:r>
              <w:rPr/>
              <w:t> </w:t>
            </w:r>
          </w:p>
        </w:tc>
        <w:tc>
          <w:tcPr>
            <w:tcW w:w="796" w:type="dxa"/>
            <w:tcBorders/>
            <w:tcMar>
              <w:bottom w:w="0" w:type="dxa"/>
            </w:tcMar>
            <w:vAlign w:val="center"/>
          </w:tcPr>
          <w:p>
            <w:pPr>
              <w:pStyle w:val="TableContents"/>
              <w:bidi w:val="0"/>
              <w:spacing w:before="0" w:after="283"/>
              <w:ind w:left="0" w:right="0" w:hanging="0"/>
              <w:jc w:val="left"/>
              <w:rPr/>
            </w:pPr>
            <w:r>
              <w:rPr/>
              <w:t> </w:t>
            </w:r>
          </w:p>
        </w:tc>
      </w:tr>
      <w:tr>
        <w:trPr/>
        <w:tc>
          <w:tcPr>
            <w:tcW w:w="855" w:type="dxa"/>
            <w:tcBorders/>
            <w:tcMar>
              <w:bottom w:w="0" w:type="dxa"/>
            </w:tcMar>
            <w:vAlign w:val="center"/>
          </w:tcPr>
          <w:p>
            <w:pPr>
              <w:pStyle w:val="TableContents"/>
              <w:bidi w:val="0"/>
              <w:spacing w:before="0" w:after="283"/>
              <w:ind w:left="0" w:right="0" w:hanging="0"/>
              <w:jc w:val="center"/>
              <w:rPr/>
            </w:pPr>
            <w:r>
              <w:rPr/>
              <w:t>10.20</w:t>
            </w:r>
          </w:p>
        </w:tc>
        <w:tc>
          <w:tcPr>
            <w:tcW w:w="7477" w:type="dxa"/>
            <w:tcBorders/>
            <w:tcMar>
              <w:bottom w:w="0" w:type="dxa"/>
            </w:tcMar>
            <w:vAlign w:val="center"/>
          </w:tcPr>
          <w:p>
            <w:pPr>
              <w:pStyle w:val="TableContents"/>
              <w:bidi w:val="0"/>
              <w:spacing w:before="0" w:after="283"/>
              <w:ind w:left="0" w:right="0" w:hanging="0"/>
              <w:jc w:val="both"/>
              <w:rPr/>
            </w:pPr>
            <w:hyperlink r:id="rId43">
              <w:r>
                <w:rPr>
                  <w:rStyle w:val="InternetLink"/>
                </w:rPr>
                <w:t>Loan Agreement, dated November 1, 2006, between the New Jersey Environmental Infrastructure Trust and the Company (Series HH), filed as Exhibit No. 10.31 of the Company’s Annual Report on Form 10-K for the year ended December 31, 2006.</w:t>
              </w:r>
            </w:hyperlink>
          </w:p>
        </w:tc>
        <w:tc>
          <w:tcPr>
            <w:tcW w:w="1077" w:type="dxa"/>
            <w:tcBorders/>
            <w:tcMar>
              <w:bottom w:w="0" w:type="dxa"/>
            </w:tcMar>
            <w:vAlign w:val="center"/>
          </w:tcPr>
          <w:p>
            <w:pPr>
              <w:pStyle w:val="TableContents"/>
              <w:bidi w:val="0"/>
              <w:spacing w:before="0" w:after="283"/>
              <w:ind w:left="0" w:right="0" w:hanging="0"/>
              <w:jc w:val="left"/>
              <w:rPr/>
            </w:pPr>
            <w:r>
              <w:rPr/>
              <w:t> </w:t>
            </w:r>
          </w:p>
        </w:tc>
        <w:tc>
          <w:tcPr>
            <w:tcW w:w="796" w:type="dxa"/>
            <w:tcBorders/>
            <w:tcMar>
              <w:bottom w:w="0" w:type="dxa"/>
            </w:tcMar>
            <w:vAlign w:val="center"/>
          </w:tcPr>
          <w:p>
            <w:pPr>
              <w:pStyle w:val="TableContents"/>
              <w:bidi w:val="0"/>
              <w:spacing w:before="0" w:after="283"/>
              <w:ind w:left="0" w:right="0" w:hanging="0"/>
              <w:jc w:val="left"/>
              <w:rPr/>
            </w:pPr>
            <w:r>
              <w:rPr/>
              <w:t> </w:t>
            </w:r>
          </w:p>
        </w:tc>
      </w:tr>
      <w:tr>
        <w:trPr/>
        <w:tc>
          <w:tcPr>
            <w:tcW w:w="855" w:type="dxa"/>
            <w:tcBorders/>
            <w:tcMar>
              <w:bottom w:w="0" w:type="dxa"/>
            </w:tcMar>
            <w:vAlign w:val="center"/>
          </w:tcPr>
          <w:p>
            <w:pPr>
              <w:pStyle w:val="TableContents"/>
              <w:bidi w:val="0"/>
              <w:spacing w:before="0" w:after="283"/>
              <w:ind w:left="0" w:right="0" w:hanging="0"/>
              <w:jc w:val="center"/>
              <w:rPr/>
            </w:pPr>
            <w:r>
              <w:rPr/>
              <w:t>10.21</w:t>
            </w:r>
          </w:p>
        </w:tc>
        <w:tc>
          <w:tcPr>
            <w:tcW w:w="7477" w:type="dxa"/>
            <w:tcBorders/>
            <w:tcMar>
              <w:bottom w:w="0" w:type="dxa"/>
            </w:tcMar>
            <w:vAlign w:val="center"/>
          </w:tcPr>
          <w:p>
            <w:pPr>
              <w:pStyle w:val="TableContents"/>
              <w:bidi w:val="0"/>
              <w:spacing w:before="0" w:after="283"/>
              <w:ind w:left="0" w:right="0" w:hanging="0"/>
              <w:jc w:val="both"/>
              <w:rPr/>
            </w:pPr>
            <w:hyperlink r:id="rId44">
              <w:r>
                <w:rPr>
                  <w:rStyle w:val="InternetLink"/>
                </w:rPr>
                <w:t>Loan Agreement, dated November 1, 2007, between New Jersey Environmental Infrastructure Trust and the Company (Series II), filed as Exhibit No. 10.32 of the Company’s Annual Report on Form 10-K for the year ended December 31, 2007.</w:t>
              </w:r>
            </w:hyperlink>
          </w:p>
        </w:tc>
        <w:tc>
          <w:tcPr>
            <w:tcW w:w="1077" w:type="dxa"/>
            <w:tcBorders/>
            <w:tcMar>
              <w:bottom w:w="0" w:type="dxa"/>
            </w:tcMar>
            <w:vAlign w:val="center"/>
          </w:tcPr>
          <w:p>
            <w:pPr>
              <w:pStyle w:val="TableContents"/>
              <w:bidi w:val="0"/>
              <w:spacing w:before="0" w:after="283"/>
              <w:ind w:left="0" w:right="0" w:hanging="0"/>
              <w:jc w:val="left"/>
              <w:rPr/>
            </w:pPr>
            <w:r>
              <w:rPr/>
              <w:t> </w:t>
            </w:r>
          </w:p>
        </w:tc>
        <w:tc>
          <w:tcPr>
            <w:tcW w:w="796" w:type="dxa"/>
            <w:tcBorders/>
            <w:tcMar>
              <w:bottom w:w="0" w:type="dxa"/>
            </w:tcMar>
            <w:vAlign w:val="center"/>
          </w:tcPr>
          <w:p>
            <w:pPr>
              <w:pStyle w:val="TableContents"/>
              <w:bidi w:val="0"/>
              <w:spacing w:before="0" w:after="283"/>
              <w:ind w:left="0" w:right="0" w:hanging="0"/>
              <w:jc w:val="left"/>
              <w:rPr/>
            </w:pPr>
            <w:r>
              <w:rPr/>
              <w:t> </w:t>
            </w:r>
          </w:p>
        </w:tc>
      </w:tr>
      <w:tr>
        <w:trPr/>
        <w:tc>
          <w:tcPr>
            <w:tcW w:w="855" w:type="dxa"/>
            <w:tcBorders/>
            <w:tcMar>
              <w:bottom w:w="0" w:type="dxa"/>
            </w:tcMar>
            <w:vAlign w:val="center"/>
          </w:tcPr>
          <w:p>
            <w:pPr>
              <w:pStyle w:val="TableContents"/>
              <w:bidi w:val="0"/>
              <w:spacing w:before="0" w:after="283"/>
              <w:ind w:left="0" w:right="0" w:hanging="0"/>
              <w:jc w:val="center"/>
              <w:rPr/>
            </w:pPr>
            <w:r>
              <w:rPr/>
              <w:t>10.22</w:t>
            </w:r>
          </w:p>
        </w:tc>
        <w:tc>
          <w:tcPr>
            <w:tcW w:w="7477" w:type="dxa"/>
            <w:tcBorders/>
            <w:tcMar>
              <w:bottom w:w="0" w:type="dxa"/>
            </w:tcMar>
            <w:vAlign w:val="center"/>
          </w:tcPr>
          <w:p>
            <w:pPr>
              <w:pStyle w:val="TableContents"/>
              <w:bidi w:val="0"/>
              <w:spacing w:before="0" w:after="283"/>
              <w:ind w:left="0" w:right="0" w:hanging="0"/>
              <w:jc w:val="both"/>
              <w:rPr/>
            </w:pPr>
            <w:hyperlink r:id="rId45">
              <w:r>
                <w:rPr>
                  <w:rStyle w:val="InternetLink"/>
                </w:rPr>
                <w:t>Loan Agreement, dated November 1, 2007, between the State of New Jersey and the Company (Series JJ), filed as Exhibit 10.33 of the Company’s Annual Report on Form 10-K for the year ended December 31, 2007.</w:t>
              </w:r>
            </w:hyperlink>
          </w:p>
        </w:tc>
        <w:tc>
          <w:tcPr>
            <w:tcW w:w="1077" w:type="dxa"/>
            <w:tcBorders/>
            <w:tcMar>
              <w:bottom w:w="0" w:type="dxa"/>
            </w:tcMar>
            <w:vAlign w:val="center"/>
          </w:tcPr>
          <w:p>
            <w:pPr>
              <w:pStyle w:val="TableContents"/>
              <w:bidi w:val="0"/>
              <w:spacing w:before="0" w:after="283"/>
              <w:ind w:left="0" w:right="0" w:hanging="0"/>
              <w:jc w:val="left"/>
              <w:rPr/>
            </w:pPr>
            <w:r>
              <w:rPr/>
              <w:t> </w:t>
            </w:r>
          </w:p>
        </w:tc>
        <w:tc>
          <w:tcPr>
            <w:tcW w:w="796" w:type="dxa"/>
            <w:tcBorders/>
            <w:tcMar>
              <w:bottom w:w="0" w:type="dxa"/>
            </w:tcMar>
            <w:vAlign w:val="center"/>
          </w:tcPr>
          <w:p>
            <w:pPr>
              <w:pStyle w:val="TableContents"/>
              <w:bidi w:val="0"/>
              <w:spacing w:before="0" w:after="283"/>
              <w:ind w:left="0" w:right="0" w:hanging="0"/>
              <w:jc w:val="left"/>
              <w:rPr/>
            </w:pPr>
            <w:r>
              <w:rPr/>
              <w:t> </w:t>
            </w:r>
          </w:p>
        </w:tc>
      </w:tr>
      <w:tr>
        <w:trPr/>
        <w:tc>
          <w:tcPr>
            <w:tcW w:w="855" w:type="dxa"/>
            <w:tcBorders/>
            <w:tcMar>
              <w:bottom w:w="0" w:type="dxa"/>
            </w:tcMar>
            <w:vAlign w:val="center"/>
          </w:tcPr>
          <w:p>
            <w:pPr>
              <w:pStyle w:val="TableContents"/>
              <w:bidi w:val="0"/>
              <w:spacing w:before="0" w:after="283"/>
              <w:ind w:left="0" w:right="0" w:hanging="0"/>
              <w:jc w:val="center"/>
              <w:rPr/>
            </w:pPr>
            <w:r>
              <w:rPr/>
              <w:t>10.23</w:t>
            </w:r>
          </w:p>
        </w:tc>
        <w:tc>
          <w:tcPr>
            <w:tcW w:w="7477" w:type="dxa"/>
            <w:tcBorders/>
            <w:tcMar>
              <w:bottom w:w="0" w:type="dxa"/>
            </w:tcMar>
            <w:vAlign w:val="center"/>
          </w:tcPr>
          <w:p>
            <w:pPr>
              <w:pStyle w:val="TableContents"/>
              <w:bidi w:val="0"/>
              <w:spacing w:before="0" w:after="283"/>
              <w:ind w:left="0" w:right="0" w:hanging="0"/>
              <w:jc w:val="both"/>
              <w:rPr/>
            </w:pPr>
            <w:hyperlink r:id="rId46">
              <w:r>
                <w:rPr>
                  <w:rStyle w:val="InternetLink"/>
                </w:rPr>
                <w:t>Loan Agreement, dated November 1, 2008, between New Jersey Environmental Infrastructure Trust and the Company dated as of (Series KK), filed as Exhibit 10.34 of the Company’s Annual Report on Form 10-K for the year ended December 31, 2008.</w:t>
              </w:r>
            </w:hyperlink>
          </w:p>
        </w:tc>
        <w:tc>
          <w:tcPr>
            <w:tcW w:w="1077" w:type="dxa"/>
            <w:tcBorders/>
            <w:tcMar>
              <w:bottom w:w="0" w:type="dxa"/>
            </w:tcMar>
            <w:vAlign w:val="center"/>
          </w:tcPr>
          <w:p>
            <w:pPr>
              <w:pStyle w:val="TableContents"/>
              <w:bidi w:val="0"/>
              <w:spacing w:before="0" w:after="283"/>
              <w:ind w:left="0" w:right="0" w:hanging="0"/>
              <w:jc w:val="left"/>
              <w:rPr/>
            </w:pPr>
            <w:r>
              <w:rPr/>
              <w:t> </w:t>
            </w:r>
          </w:p>
        </w:tc>
        <w:tc>
          <w:tcPr>
            <w:tcW w:w="796" w:type="dxa"/>
            <w:tcBorders/>
            <w:tcMar>
              <w:bottom w:w="0" w:type="dxa"/>
            </w:tcMar>
            <w:vAlign w:val="center"/>
          </w:tcPr>
          <w:p>
            <w:pPr>
              <w:pStyle w:val="TableContents"/>
              <w:bidi w:val="0"/>
              <w:spacing w:before="0" w:after="283"/>
              <w:jc w:val="left"/>
              <w:rPr/>
            </w:pPr>
            <w:r>
              <w:rPr/>
              <w:t> </w:t>
            </w:r>
          </w:p>
        </w:tc>
      </w:tr>
    </w:tbl>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82 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44"/>
        <w:gridCol w:w="7481"/>
        <w:gridCol w:w="1084"/>
        <w:gridCol w:w="796"/>
      </w:tblGrid>
      <w:tr>
        <w:trPr/>
        <w:tc>
          <w:tcPr>
            <w:tcW w:w="844" w:type="dxa"/>
            <w:tcBorders>
              <w:bottom w:val="single" w:sz="12" w:space="0" w:color="000000"/>
            </w:tcBorders>
            <w:vAlign w:val="center"/>
          </w:tcPr>
          <w:p>
            <w:pPr>
              <w:pStyle w:val="TableContents"/>
              <w:bidi w:val="0"/>
              <w:spacing w:before="0" w:after="283"/>
              <w:ind w:left="0" w:right="0" w:hanging="0"/>
              <w:jc w:val="center"/>
              <w:rPr>
                <w:b/>
              </w:rPr>
            </w:pPr>
            <w:r>
              <w:rPr>
                <w:b/>
              </w:rPr>
              <w:t>Exhibit No.</w:t>
            </w:r>
          </w:p>
        </w:tc>
        <w:tc>
          <w:tcPr>
            <w:tcW w:w="7481" w:type="dxa"/>
            <w:tcBorders>
              <w:bottom w:val="single" w:sz="12" w:space="0" w:color="000000"/>
            </w:tcBorders>
            <w:vAlign w:val="center"/>
          </w:tcPr>
          <w:p>
            <w:pPr>
              <w:pStyle w:val="TableContents"/>
              <w:bidi w:val="0"/>
              <w:spacing w:before="0" w:after="283"/>
              <w:ind w:left="0" w:right="0" w:hanging="0"/>
              <w:jc w:val="center"/>
              <w:rPr>
                <w:b/>
              </w:rPr>
            </w:pPr>
            <w:r>
              <w:rPr>
                <w:b/>
              </w:rPr>
              <w:t>Document Description</w:t>
            </w:r>
          </w:p>
        </w:tc>
        <w:tc>
          <w:tcPr>
            <w:tcW w:w="1084" w:type="dxa"/>
            <w:tcBorders>
              <w:bottom w:val="single" w:sz="12" w:space="0" w:color="000000"/>
            </w:tcBorders>
            <w:vAlign w:val="center"/>
          </w:tcPr>
          <w:p>
            <w:pPr>
              <w:pStyle w:val="TableContents"/>
              <w:bidi w:val="0"/>
              <w:spacing w:before="0" w:after="283"/>
              <w:ind w:left="0" w:right="0" w:hanging="0"/>
              <w:jc w:val="center"/>
              <w:rPr>
                <w:b/>
              </w:rPr>
            </w:pPr>
            <w:r>
              <w:rPr>
                <w:b/>
              </w:rPr>
              <w:t xml:space="preserve">Previous </w:t>
            </w:r>
            <w:r>
              <w:rPr>
                <w:b/>
                <w:sz w:val="20"/>
              </w:rPr>
              <w:br/>
              <w:t>Registration</w:t>
              <w:br/>
            </w:r>
            <w:r>
              <w:rPr>
                <w:b/>
              </w:rPr>
              <w:t>No.</w:t>
            </w:r>
          </w:p>
        </w:tc>
        <w:tc>
          <w:tcPr>
            <w:tcW w:w="796" w:type="dxa"/>
            <w:tcBorders>
              <w:bottom w:val="single" w:sz="12" w:space="0" w:color="000000"/>
            </w:tcBorders>
            <w:vAlign w:val="center"/>
          </w:tcPr>
          <w:p>
            <w:pPr>
              <w:pStyle w:val="TableContents"/>
              <w:bidi w:val="0"/>
              <w:spacing w:before="0" w:after="283"/>
              <w:ind w:left="0" w:right="0" w:hanging="0"/>
              <w:jc w:val="center"/>
              <w:rPr>
                <w:b/>
              </w:rPr>
            </w:pPr>
            <w:r>
              <w:rPr>
                <w:b/>
              </w:rPr>
              <w:t xml:space="preserve">Filing’s </w:t>
              <w:br/>
              <w:t xml:space="preserve">Exhibit </w:t>
              <w:br/>
              <w:t>No.</w:t>
            </w:r>
          </w:p>
        </w:tc>
      </w:tr>
      <w:tr>
        <w:trPr/>
        <w:tc>
          <w:tcPr>
            <w:tcW w:w="844" w:type="dxa"/>
            <w:tcBorders/>
            <w:tcMar>
              <w:bottom w:w="0" w:type="dxa"/>
            </w:tcMar>
            <w:vAlign w:val="center"/>
          </w:tcPr>
          <w:p>
            <w:pPr>
              <w:pStyle w:val="TableContents"/>
              <w:bidi w:val="0"/>
              <w:spacing w:before="0" w:after="283"/>
              <w:ind w:left="0" w:right="0" w:hanging="0"/>
              <w:jc w:val="center"/>
              <w:rPr/>
            </w:pPr>
            <w:r>
              <w:rPr/>
              <w:t>10.24</w:t>
            </w:r>
          </w:p>
        </w:tc>
        <w:tc>
          <w:tcPr>
            <w:tcW w:w="7481" w:type="dxa"/>
            <w:tcBorders/>
            <w:tcMar>
              <w:bottom w:w="0" w:type="dxa"/>
            </w:tcMar>
            <w:vAlign w:val="center"/>
          </w:tcPr>
          <w:p>
            <w:pPr>
              <w:pStyle w:val="TableContents"/>
              <w:bidi w:val="0"/>
              <w:spacing w:before="0" w:after="283"/>
              <w:ind w:left="0" w:right="0" w:hanging="0"/>
              <w:jc w:val="both"/>
              <w:rPr/>
            </w:pPr>
            <w:hyperlink r:id="rId47">
              <w:r>
                <w:rPr>
                  <w:rStyle w:val="InternetLink"/>
                </w:rPr>
                <w:t>Loan Agreement, dated November 1, 2008, between the State of New Jersey and the Company (Series LL),  filed as Exhibit 10.35 of the Company’s Annual Report on Form 10-K for the year ended December 31, 2008.</w:t>
              </w:r>
            </w:hyperlink>
            <w:r>
              <w:rPr/>
              <w:t>  </w:t>
            </w:r>
          </w:p>
        </w:tc>
        <w:tc>
          <w:tcPr>
            <w:tcW w:w="1084" w:type="dxa"/>
            <w:tcBorders/>
            <w:tcMar>
              <w:bottom w:w="0" w:type="dxa"/>
            </w:tcMar>
            <w:vAlign w:val="center"/>
          </w:tcPr>
          <w:p>
            <w:pPr>
              <w:pStyle w:val="TableContents"/>
              <w:bidi w:val="0"/>
              <w:spacing w:before="0" w:after="283"/>
              <w:ind w:left="0" w:right="0" w:hanging="0"/>
              <w:jc w:val="left"/>
              <w:rPr/>
            </w:pPr>
            <w:r>
              <w:rPr/>
              <w:t> </w:t>
            </w:r>
          </w:p>
        </w:tc>
        <w:tc>
          <w:tcPr>
            <w:tcW w:w="796" w:type="dxa"/>
            <w:tcBorders/>
            <w:tcMar>
              <w:bottom w:w="0" w:type="dxa"/>
            </w:tcMar>
            <w:vAlign w:val="center"/>
          </w:tcPr>
          <w:p>
            <w:pPr>
              <w:pStyle w:val="TableContents"/>
              <w:bidi w:val="0"/>
              <w:spacing w:before="0" w:after="283"/>
              <w:ind w:left="0" w:right="0" w:hanging="0"/>
              <w:jc w:val="left"/>
              <w:rPr/>
            </w:pPr>
            <w:r>
              <w:rPr/>
              <w:t> </w:t>
            </w:r>
          </w:p>
        </w:tc>
      </w:tr>
      <w:tr>
        <w:trPr/>
        <w:tc>
          <w:tcPr>
            <w:tcW w:w="844" w:type="dxa"/>
            <w:tcBorders/>
            <w:tcMar>
              <w:bottom w:w="0" w:type="dxa"/>
            </w:tcMar>
            <w:vAlign w:val="center"/>
          </w:tcPr>
          <w:p>
            <w:pPr>
              <w:pStyle w:val="TableContents"/>
              <w:bidi w:val="0"/>
              <w:spacing w:before="0" w:after="283"/>
              <w:ind w:left="0" w:right="0" w:hanging="0"/>
              <w:jc w:val="center"/>
              <w:rPr/>
            </w:pPr>
            <w:r>
              <w:rPr/>
              <w:t>10.25</w:t>
            </w:r>
          </w:p>
        </w:tc>
        <w:tc>
          <w:tcPr>
            <w:tcW w:w="7481" w:type="dxa"/>
            <w:tcBorders/>
            <w:tcMar>
              <w:bottom w:w="0" w:type="dxa"/>
            </w:tcMar>
            <w:vAlign w:val="center"/>
          </w:tcPr>
          <w:p>
            <w:pPr>
              <w:pStyle w:val="TableContents"/>
              <w:bidi w:val="0"/>
              <w:spacing w:before="0" w:after="283"/>
              <w:ind w:left="0" w:right="0" w:hanging="0"/>
              <w:jc w:val="both"/>
              <w:rPr/>
            </w:pPr>
            <w:hyperlink r:id="rId48">
              <w:r>
                <w:rPr>
                  <w:rStyle w:val="InternetLink"/>
                </w:rPr>
                <w:t>Prospectus Supplement, filed August 3, 2022, relating to the Middlesex Water Company Investment Plan.</w:t>
              </w:r>
            </w:hyperlink>
          </w:p>
        </w:tc>
        <w:tc>
          <w:tcPr>
            <w:tcW w:w="1084" w:type="dxa"/>
            <w:tcBorders/>
            <w:tcMar>
              <w:bottom w:w="0" w:type="dxa"/>
            </w:tcMar>
            <w:vAlign w:val="center"/>
          </w:tcPr>
          <w:p>
            <w:pPr>
              <w:pStyle w:val="TableContents"/>
              <w:bidi w:val="0"/>
              <w:spacing w:before="0" w:after="283"/>
              <w:ind w:left="0" w:right="0" w:hanging="0"/>
              <w:jc w:val="center"/>
              <w:rPr/>
            </w:pPr>
            <w:r>
              <w:rPr/>
              <w:t>333-266482</w:t>
            </w:r>
          </w:p>
        </w:tc>
        <w:tc>
          <w:tcPr>
            <w:tcW w:w="796" w:type="dxa"/>
            <w:tcBorders/>
            <w:tcMar>
              <w:bottom w:w="0" w:type="dxa"/>
            </w:tcMar>
            <w:vAlign w:val="center"/>
          </w:tcPr>
          <w:p>
            <w:pPr>
              <w:pStyle w:val="TableContents"/>
              <w:bidi w:val="0"/>
              <w:spacing w:before="0" w:after="283"/>
              <w:ind w:left="0" w:right="0" w:hanging="0"/>
              <w:jc w:val="left"/>
              <w:rPr/>
            </w:pPr>
            <w:r>
              <w:rPr/>
              <w:t> </w:t>
            </w:r>
          </w:p>
        </w:tc>
      </w:tr>
      <w:tr>
        <w:trPr/>
        <w:tc>
          <w:tcPr>
            <w:tcW w:w="844" w:type="dxa"/>
            <w:tcBorders/>
            <w:tcMar>
              <w:bottom w:w="0" w:type="dxa"/>
            </w:tcMar>
            <w:vAlign w:val="center"/>
          </w:tcPr>
          <w:p>
            <w:pPr>
              <w:pStyle w:val="TableContents"/>
              <w:bidi w:val="0"/>
              <w:spacing w:before="0" w:after="283"/>
              <w:ind w:left="0" w:right="0" w:hanging="0"/>
              <w:jc w:val="center"/>
              <w:rPr/>
            </w:pPr>
            <w:r>
              <w:rPr/>
              <w:t>10.25(a)</w:t>
            </w:r>
          </w:p>
        </w:tc>
        <w:tc>
          <w:tcPr>
            <w:tcW w:w="7481" w:type="dxa"/>
            <w:tcBorders/>
            <w:tcMar>
              <w:bottom w:w="0" w:type="dxa"/>
            </w:tcMar>
            <w:vAlign w:val="center"/>
          </w:tcPr>
          <w:p>
            <w:pPr>
              <w:pStyle w:val="TableContents"/>
              <w:bidi w:val="0"/>
              <w:spacing w:before="0" w:after="283"/>
              <w:ind w:left="0" w:right="0" w:hanging="0"/>
              <w:jc w:val="both"/>
              <w:rPr/>
            </w:pPr>
            <w:hyperlink r:id="rId49">
              <w:r>
                <w:rPr>
                  <w:rStyle w:val="InternetLink"/>
                </w:rPr>
                <w:t>Prospectus Supplement, filed July 25, 2023, relating to the Middlesex Water Company Investment Plan.</w:t>
              </w:r>
            </w:hyperlink>
          </w:p>
        </w:tc>
        <w:tc>
          <w:tcPr>
            <w:tcW w:w="1084" w:type="dxa"/>
            <w:tcBorders/>
            <w:tcMar>
              <w:bottom w:w="0" w:type="dxa"/>
            </w:tcMar>
            <w:vAlign w:val="center"/>
          </w:tcPr>
          <w:p>
            <w:pPr>
              <w:pStyle w:val="TableContents"/>
              <w:bidi w:val="0"/>
              <w:spacing w:before="0" w:after="283"/>
              <w:ind w:left="0" w:right="0" w:hanging="0"/>
              <w:jc w:val="center"/>
              <w:rPr/>
            </w:pPr>
            <w:r>
              <w:rPr/>
              <w:t>333-266482</w:t>
            </w:r>
          </w:p>
        </w:tc>
        <w:tc>
          <w:tcPr>
            <w:tcW w:w="796" w:type="dxa"/>
            <w:tcBorders/>
            <w:tcMar>
              <w:bottom w:w="0" w:type="dxa"/>
            </w:tcMar>
            <w:vAlign w:val="center"/>
          </w:tcPr>
          <w:p>
            <w:pPr>
              <w:pStyle w:val="TableContents"/>
              <w:bidi w:val="0"/>
              <w:spacing w:before="0" w:after="283"/>
              <w:ind w:left="0" w:right="0" w:hanging="0"/>
              <w:jc w:val="left"/>
              <w:rPr/>
            </w:pPr>
            <w:r>
              <w:rPr/>
              <w:t> </w:t>
            </w:r>
          </w:p>
        </w:tc>
      </w:tr>
      <w:tr>
        <w:trPr/>
        <w:tc>
          <w:tcPr>
            <w:tcW w:w="844" w:type="dxa"/>
            <w:tcBorders/>
            <w:tcMar>
              <w:bottom w:w="0" w:type="dxa"/>
            </w:tcMar>
            <w:vAlign w:val="center"/>
          </w:tcPr>
          <w:p>
            <w:pPr>
              <w:pStyle w:val="TableContents"/>
              <w:bidi w:val="0"/>
              <w:spacing w:before="0" w:after="283"/>
              <w:ind w:left="0" w:right="0" w:hanging="0"/>
              <w:jc w:val="center"/>
              <w:rPr/>
            </w:pPr>
            <w:r>
              <w:rPr/>
              <w:t>10.26(a)</w:t>
            </w:r>
          </w:p>
        </w:tc>
        <w:tc>
          <w:tcPr>
            <w:tcW w:w="7481" w:type="dxa"/>
            <w:tcBorders/>
            <w:tcMar>
              <w:bottom w:w="0" w:type="dxa"/>
            </w:tcMar>
            <w:vAlign w:val="center"/>
          </w:tcPr>
          <w:p>
            <w:pPr>
              <w:pStyle w:val="TableContents"/>
              <w:bidi w:val="0"/>
              <w:spacing w:before="0" w:after="283"/>
              <w:ind w:left="0" w:right="0" w:hanging="0"/>
              <w:jc w:val="both"/>
              <w:rPr/>
            </w:pPr>
            <w:hyperlink r:id="rId50">
              <w:r>
                <w:rPr>
                  <w:rStyle w:val="InternetLink"/>
                </w:rPr>
                <w:t>Amended and Restated $68,000,000 Revolving Line of Credit Note, dated February 9, 2022, between the Company, Pinelands Wastewater Company, Pinelands Water Company, Tidewater Utilities, Inc., Utility Service Affiliates (Perth Amboy) Inc., Utility Service Affiliates Inc. and While Marsh Environmental Systems, Inc., and PNC Bank, N.A., filed as Exhibit 10.26(a) of the Company’s Annual Report on Form 10-K for the year ended December 31, 2021.</w:t>
              </w:r>
            </w:hyperlink>
            <w:r>
              <w:rPr/>
              <w:t>  </w:t>
            </w:r>
          </w:p>
        </w:tc>
        <w:tc>
          <w:tcPr>
            <w:tcW w:w="1084" w:type="dxa"/>
            <w:tcBorders/>
            <w:tcMar>
              <w:bottom w:w="0" w:type="dxa"/>
            </w:tcMar>
            <w:vAlign w:val="center"/>
          </w:tcPr>
          <w:p>
            <w:pPr>
              <w:pStyle w:val="TableContents"/>
              <w:bidi w:val="0"/>
              <w:spacing w:before="0" w:after="283"/>
              <w:ind w:left="0" w:right="0" w:hanging="0"/>
              <w:jc w:val="left"/>
              <w:rPr/>
            </w:pPr>
            <w:r>
              <w:rPr/>
              <w:t> </w:t>
            </w:r>
          </w:p>
        </w:tc>
        <w:tc>
          <w:tcPr>
            <w:tcW w:w="796" w:type="dxa"/>
            <w:tcBorders/>
            <w:tcMar>
              <w:bottom w:w="0" w:type="dxa"/>
            </w:tcMar>
            <w:vAlign w:val="center"/>
          </w:tcPr>
          <w:p>
            <w:pPr>
              <w:pStyle w:val="TableContents"/>
              <w:bidi w:val="0"/>
              <w:spacing w:before="0" w:after="283"/>
              <w:ind w:left="0" w:right="0" w:hanging="0"/>
              <w:jc w:val="left"/>
              <w:rPr/>
            </w:pPr>
            <w:r>
              <w:rPr/>
              <w:t> </w:t>
            </w:r>
          </w:p>
        </w:tc>
      </w:tr>
      <w:tr>
        <w:trPr/>
        <w:tc>
          <w:tcPr>
            <w:tcW w:w="844" w:type="dxa"/>
            <w:tcBorders/>
            <w:tcMar>
              <w:bottom w:w="0" w:type="dxa"/>
            </w:tcMar>
            <w:vAlign w:val="center"/>
          </w:tcPr>
          <w:p>
            <w:pPr>
              <w:pStyle w:val="TableContents"/>
              <w:bidi w:val="0"/>
              <w:spacing w:before="0" w:after="283"/>
              <w:ind w:left="0" w:right="0" w:hanging="0"/>
              <w:jc w:val="center"/>
              <w:rPr/>
            </w:pPr>
            <w:r>
              <w:rPr/>
              <w:t>10.26(b)</w:t>
            </w:r>
          </w:p>
        </w:tc>
        <w:tc>
          <w:tcPr>
            <w:tcW w:w="7481" w:type="dxa"/>
            <w:tcBorders/>
            <w:tcMar>
              <w:bottom w:w="0" w:type="dxa"/>
            </w:tcMar>
            <w:vAlign w:val="center"/>
          </w:tcPr>
          <w:p>
            <w:pPr>
              <w:pStyle w:val="TableContents"/>
              <w:bidi w:val="0"/>
              <w:spacing w:before="0" w:after="283"/>
              <w:ind w:left="0" w:right="0" w:hanging="0"/>
              <w:jc w:val="both"/>
              <w:rPr/>
            </w:pPr>
            <w:hyperlink r:id="rId51">
              <w:r>
                <w:rPr>
                  <w:rStyle w:val="InternetLink"/>
                </w:rPr>
                <w:t>Waiver and Amendment to Loan Documents, dated February 9, 2022, between the Company, Pinelands Wastewater Company, Pinelands Water Company, Tidewater Utilities, Inc., Utility Service Affiliates (Perth Amboy) Inc., Utility Service Affiliates Inc. and While Marsh Environmental Systems, Inc., and PNC Bank, N.A., filed as Exhibit 10.26(b) of the Company’s Annual Report on Form 10-K for the year ended December 31, 2021.</w:t>
              </w:r>
            </w:hyperlink>
          </w:p>
        </w:tc>
        <w:tc>
          <w:tcPr>
            <w:tcW w:w="1084" w:type="dxa"/>
            <w:tcBorders/>
            <w:tcMar>
              <w:bottom w:w="0" w:type="dxa"/>
            </w:tcMar>
            <w:vAlign w:val="center"/>
          </w:tcPr>
          <w:p>
            <w:pPr>
              <w:pStyle w:val="TableContents"/>
              <w:bidi w:val="0"/>
              <w:spacing w:before="0" w:after="283"/>
              <w:ind w:left="0" w:right="0" w:hanging="0"/>
              <w:jc w:val="left"/>
              <w:rPr/>
            </w:pPr>
            <w:r>
              <w:rPr/>
              <w:t> </w:t>
            </w:r>
          </w:p>
        </w:tc>
        <w:tc>
          <w:tcPr>
            <w:tcW w:w="796" w:type="dxa"/>
            <w:tcBorders/>
            <w:tcMar>
              <w:bottom w:w="0" w:type="dxa"/>
            </w:tcMar>
            <w:vAlign w:val="center"/>
          </w:tcPr>
          <w:p>
            <w:pPr>
              <w:pStyle w:val="TableContents"/>
              <w:bidi w:val="0"/>
              <w:spacing w:before="0" w:after="283"/>
              <w:ind w:left="0" w:right="0" w:hanging="0"/>
              <w:jc w:val="left"/>
              <w:rPr/>
            </w:pPr>
            <w:r>
              <w:rPr/>
              <w:t> </w:t>
            </w:r>
          </w:p>
        </w:tc>
      </w:tr>
      <w:tr>
        <w:trPr/>
        <w:tc>
          <w:tcPr>
            <w:tcW w:w="844" w:type="dxa"/>
            <w:tcBorders/>
            <w:tcMar>
              <w:bottom w:w="0" w:type="dxa"/>
            </w:tcMar>
            <w:vAlign w:val="center"/>
          </w:tcPr>
          <w:p>
            <w:pPr>
              <w:pStyle w:val="TableContents"/>
              <w:bidi w:val="0"/>
              <w:spacing w:before="0" w:after="283"/>
              <w:ind w:left="0" w:right="0" w:hanging="0"/>
              <w:jc w:val="center"/>
              <w:rPr/>
            </w:pPr>
            <w:r>
              <w:rPr/>
              <w:t>10.26(c)</w:t>
            </w:r>
          </w:p>
        </w:tc>
        <w:tc>
          <w:tcPr>
            <w:tcW w:w="7481" w:type="dxa"/>
            <w:tcBorders/>
            <w:tcMar>
              <w:bottom w:w="0" w:type="dxa"/>
            </w:tcMar>
            <w:vAlign w:val="center"/>
          </w:tcPr>
          <w:p>
            <w:pPr>
              <w:pStyle w:val="TableContents"/>
              <w:bidi w:val="0"/>
              <w:spacing w:before="0" w:after="283"/>
              <w:ind w:left="0" w:right="0" w:hanging="0"/>
              <w:jc w:val="both"/>
              <w:rPr/>
            </w:pPr>
            <w:hyperlink r:id="rId52">
              <w:r>
                <w:rPr>
                  <w:rStyle w:val="InternetLink"/>
                </w:rPr>
                <w:t>Amendment to Loan Documents, dated March 17, 2023, between the Company, Pinelands Wastewater Company, Pinelands Water Company, Tidewater Utilities, Inc., Utility Service Affiliates (Perth Amboy) Inc., Utility Service Affiliates Inc. and While Marsh Environmental Systems, Inc., and PNC Bank, N.A. filed as Exhibit 10.26(c) of the Company’s Quarterly Report on Form 10-Q for the quarterly period ended March 31, 2023.</w:t>
              </w:r>
            </w:hyperlink>
          </w:p>
        </w:tc>
        <w:tc>
          <w:tcPr>
            <w:tcW w:w="1084" w:type="dxa"/>
            <w:tcBorders/>
            <w:tcMar>
              <w:bottom w:w="0" w:type="dxa"/>
            </w:tcMar>
            <w:vAlign w:val="center"/>
          </w:tcPr>
          <w:p>
            <w:pPr>
              <w:pStyle w:val="TableContents"/>
              <w:bidi w:val="0"/>
              <w:spacing w:before="0" w:after="283"/>
              <w:ind w:left="0" w:right="0" w:hanging="0"/>
              <w:jc w:val="left"/>
              <w:rPr/>
            </w:pPr>
            <w:r>
              <w:rPr/>
              <w:t> </w:t>
            </w:r>
          </w:p>
        </w:tc>
        <w:tc>
          <w:tcPr>
            <w:tcW w:w="796" w:type="dxa"/>
            <w:tcBorders/>
            <w:tcMar>
              <w:bottom w:w="0" w:type="dxa"/>
            </w:tcMar>
            <w:vAlign w:val="center"/>
          </w:tcPr>
          <w:p>
            <w:pPr>
              <w:pStyle w:val="TableContents"/>
              <w:bidi w:val="0"/>
              <w:spacing w:before="0" w:after="283"/>
              <w:ind w:left="0" w:right="0" w:hanging="0"/>
              <w:jc w:val="left"/>
              <w:rPr/>
            </w:pPr>
            <w:r>
              <w:rPr/>
              <w:t> </w:t>
            </w:r>
          </w:p>
        </w:tc>
      </w:tr>
      <w:tr>
        <w:trPr/>
        <w:tc>
          <w:tcPr>
            <w:tcW w:w="844" w:type="dxa"/>
            <w:tcBorders/>
            <w:tcMar>
              <w:bottom w:w="0" w:type="dxa"/>
            </w:tcMar>
            <w:vAlign w:val="center"/>
          </w:tcPr>
          <w:p>
            <w:pPr>
              <w:pStyle w:val="TableContents"/>
              <w:bidi w:val="0"/>
              <w:spacing w:before="0" w:after="283"/>
              <w:ind w:left="0" w:right="0" w:hanging="0"/>
              <w:jc w:val="center"/>
              <w:rPr/>
            </w:pPr>
            <w:r>
              <w:rPr/>
              <w:t>10.26(d)</w:t>
            </w:r>
          </w:p>
        </w:tc>
        <w:tc>
          <w:tcPr>
            <w:tcW w:w="7481" w:type="dxa"/>
            <w:tcBorders/>
            <w:tcMar>
              <w:bottom w:w="0" w:type="dxa"/>
            </w:tcMar>
            <w:vAlign w:val="center"/>
          </w:tcPr>
          <w:p>
            <w:pPr>
              <w:pStyle w:val="TableContents"/>
              <w:bidi w:val="0"/>
              <w:spacing w:before="0" w:after="283"/>
              <w:ind w:left="0" w:right="0" w:hanging="0"/>
              <w:jc w:val="both"/>
              <w:rPr/>
            </w:pPr>
            <w:hyperlink r:id="rId53">
              <w:r>
                <w:rPr>
                  <w:rStyle w:val="InternetLink"/>
                </w:rPr>
                <w:t>Amendment to Loan Documents, dated April 5, 2023, between the Company, Pinelands Wastewater Company, Pinelands Water Company, Tidewater Utilities, Inc., Utility Service Affiliates (Perth Amboy) Inc., Utility Service Affiliates Inc. and While Marsh Environmental Systems, Inc., and PNC Bank, N.A, filed as Exhibit 10.26(d) of the Company’s Quarterly Report on Form 10-Q for the quarterly period ended March 31, 2023.</w:t>
              </w:r>
            </w:hyperlink>
          </w:p>
        </w:tc>
        <w:tc>
          <w:tcPr>
            <w:tcW w:w="1084" w:type="dxa"/>
            <w:tcBorders/>
            <w:tcMar>
              <w:bottom w:w="0" w:type="dxa"/>
            </w:tcMar>
            <w:vAlign w:val="center"/>
          </w:tcPr>
          <w:p>
            <w:pPr>
              <w:pStyle w:val="TableContents"/>
              <w:bidi w:val="0"/>
              <w:spacing w:before="0" w:after="283"/>
              <w:ind w:left="0" w:right="0" w:hanging="0"/>
              <w:jc w:val="left"/>
              <w:rPr/>
            </w:pPr>
            <w:r>
              <w:rPr/>
              <w:t> </w:t>
            </w:r>
          </w:p>
        </w:tc>
        <w:tc>
          <w:tcPr>
            <w:tcW w:w="796" w:type="dxa"/>
            <w:tcBorders/>
            <w:tcMar>
              <w:bottom w:w="0"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83 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tbl>
      <w:tblPr>
        <w:tblW w:w="10205" w:type="dxa"/>
        <w:jc w:val="left"/>
        <w:tblInd w:w="0" w:type="dxa"/>
        <w:tblLayout w:type="fixed"/>
        <w:tblCellMar>
          <w:top w:w="0" w:type="dxa"/>
          <w:left w:w="0" w:type="dxa"/>
          <w:bottom w:w="28" w:type="dxa"/>
          <w:right w:w="0" w:type="dxa"/>
        </w:tblCellMar>
      </w:tblPr>
      <w:tblGrid>
        <w:gridCol w:w="801"/>
        <w:gridCol w:w="7646"/>
        <w:gridCol w:w="1070"/>
        <w:gridCol w:w="688"/>
      </w:tblGrid>
      <w:tr>
        <w:trPr/>
        <w:tc>
          <w:tcPr>
            <w:tcW w:w="801" w:type="dxa"/>
            <w:tcBorders>
              <w:bottom w:val="single" w:sz="12" w:space="0" w:color="000000"/>
            </w:tcBorders>
            <w:vAlign w:val="center"/>
          </w:tcPr>
          <w:p>
            <w:pPr>
              <w:pStyle w:val="TableContents"/>
              <w:bidi w:val="0"/>
              <w:spacing w:before="0" w:after="283"/>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7646" w:type="dxa"/>
            <w:tcBorders>
              <w:bottom w:val="single" w:sz="12" w:space="0" w:color="000000"/>
            </w:tcBorders>
            <w:vAlign w:val="center"/>
          </w:tcPr>
          <w:p>
            <w:pPr>
              <w:pStyle w:val="TableContents"/>
              <w:bidi w:val="0"/>
              <w:spacing w:before="0" w:after="283"/>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Document Description</w:t>
            </w:r>
          </w:p>
        </w:tc>
        <w:tc>
          <w:tcPr>
            <w:tcW w:w="1070" w:type="dxa"/>
            <w:tcBorders>
              <w:bottom w:val="single" w:sz="12" w:space="0" w:color="000000"/>
            </w:tcBorders>
            <w:vAlign w:val="center"/>
          </w:tcPr>
          <w:p>
            <w:pPr>
              <w:pStyle w:val="TableContents"/>
              <w:bidi w:val="0"/>
              <w:spacing w:before="0" w:after="283"/>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Previous</w:t>
              <w:br/>
              <w:t>Registration</w:t>
              <w:br/>
              <w:t>No.</w:t>
            </w:r>
          </w:p>
        </w:tc>
        <w:tc>
          <w:tcPr>
            <w:tcW w:w="688" w:type="dxa"/>
            <w:tcBorders>
              <w:bottom w:val="single" w:sz="12" w:space="0" w:color="000000"/>
            </w:tcBorders>
            <w:vAlign w:val="center"/>
          </w:tcPr>
          <w:p>
            <w:pPr>
              <w:pStyle w:val="TableContents"/>
              <w:bidi w:val="0"/>
              <w:spacing w:before="0" w:after="283"/>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Filing’s </w:t>
              <w:br/>
              <w:t>Exhibit</w:t>
              <w:br/>
              <w:t>No.</w:t>
            </w:r>
          </w:p>
        </w:tc>
      </w:tr>
      <w:tr>
        <w:trPr/>
        <w:tc>
          <w:tcPr>
            <w:tcW w:w="801" w:type="dxa"/>
            <w:tcBorders/>
            <w:tcMar>
              <w:bottom w:w="0" w:type="dxa"/>
            </w:tcMar>
            <w:vAlign w:val="center"/>
          </w:tcPr>
          <w:p>
            <w:pPr>
              <w:pStyle w:val="TableContents"/>
              <w:bidi w:val="0"/>
              <w:spacing w:before="0" w:after="283"/>
              <w:ind w:left="0" w:right="0" w:hanging="0"/>
              <w:jc w:val="center"/>
              <w:rPr/>
            </w:pPr>
            <w:r>
              <w:rPr/>
              <w:t>10.26(e)</w:t>
            </w:r>
          </w:p>
        </w:tc>
        <w:tc>
          <w:tcPr>
            <w:tcW w:w="7646" w:type="dxa"/>
            <w:tcBorders/>
            <w:tcMar>
              <w:bottom w:w="0" w:type="dxa"/>
            </w:tcMar>
            <w:vAlign w:val="center"/>
          </w:tcPr>
          <w:p>
            <w:pPr>
              <w:pStyle w:val="TableContents"/>
              <w:bidi w:val="0"/>
              <w:spacing w:before="0" w:after="283"/>
              <w:ind w:left="0" w:right="0" w:hanging="0"/>
              <w:jc w:val="both"/>
              <w:rPr/>
            </w:pPr>
            <w:hyperlink r:id="rId54">
              <w:r>
                <w:rPr>
                  <w:rStyle w:val="InternetLink"/>
                </w:rPr>
                <w:t>Amendment to Loan Documents, dated June 15, 2023, between the Company, Pinelands Wastewater Company, Pinelands Water Company, Tidewater Utilities, Inc., Utility Service Affiliates (Perth Amboy) Inc., Utility Service Affiliates Inc. and While Marsh Environmental Systems, Inc., and PNC Bank, N.A, filed as Exhibit 10.26(e) of the Company’s Quarterly Report on Form 10-Q for the quarterly period ended June 30, 2023.</w:t>
              </w:r>
            </w:hyperlink>
          </w:p>
        </w:tc>
        <w:tc>
          <w:tcPr>
            <w:tcW w:w="1070" w:type="dxa"/>
            <w:tcBorders/>
            <w:tcMar>
              <w:bottom w:w="0" w:type="dxa"/>
            </w:tcMar>
            <w:vAlign w:val="center"/>
          </w:tcPr>
          <w:p>
            <w:pPr>
              <w:pStyle w:val="TableContents"/>
              <w:bidi w:val="0"/>
              <w:spacing w:before="0" w:after="283"/>
              <w:ind w:left="0" w:right="0" w:hanging="0"/>
              <w:jc w:val="left"/>
              <w:rPr/>
            </w:pPr>
            <w:r>
              <w:rPr/>
              <w:t> </w:t>
            </w:r>
          </w:p>
        </w:tc>
        <w:tc>
          <w:tcPr>
            <w:tcW w:w="688" w:type="dxa"/>
            <w:tcBorders/>
            <w:tcMar>
              <w:bottom w:w="0" w:type="dxa"/>
            </w:tcMar>
            <w:vAlign w:val="center"/>
          </w:tcPr>
          <w:p>
            <w:pPr>
              <w:pStyle w:val="TableContents"/>
              <w:bidi w:val="0"/>
              <w:spacing w:before="0" w:after="283"/>
              <w:ind w:left="0" w:right="0" w:hanging="0"/>
              <w:jc w:val="left"/>
              <w:rPr/>
            </w:pPr>
            <w:r>
              <w:rPr/>
              <w:t> </w:t>
            </w:r>
          </w:p>
        </w:tc>
      </w:tr>
      <w:tr>
        <w:trPr/>
        <w:tc>
          <w:tcPr>
            <w:tcW w:w="801" w:type="dxa"/>
            <w:tcBorders/>
            <w:tcMar>
              <w:bottom w:w="0" w:type="dxa"/>
            </w:tcMar>
            <w:vAlign w:val="center"/>
          </w:tcPr>
          <w:p>
            <w:pPr>
              <w:pStyle w:val="TableContents"/>
              <w:bidi w:val="0"/>
              <w:spacing w:before="0" w:after="283"/>
              <w:ind w:left="0" w:right="0" w:hanging="0"/>
              <w:jc w:val="center"/>
              <w:rPr/>
            </w:pPr>
            <w:r>
              <w:rPr/>
              <w:t>*10.26(f)</w:t>
            </w:r>
          </w:p>
        </w:tc>
        <w:tc>
          <w:tcPr>
            <w:tcW w:w="7646" w:type="dxa"/>
            <w:tcBorders/>
            <w:tcMar>
              <w:bottom w:w="0" w:type="dxa"/>
            </w:tcMar>
            <w:vAlign w:val="center"/>
          </w:tcPr>
          <w:p>
            <w:pPr>
              <w:pStyle w:val="TableContents"/>
              <w:bidi w:val="0"/>
              <w:spacing w:before="0" w:after="283"/>
              <w:ind w:left="0" w:right="0" w:hanging="0"/>
              <w:jc w:val="both"/>
              <w:rPr/>
            </w:pPr>
            <w:hyperlink w:anchor="ex10-26f.htm">
              <w:r>
                <w:rPr>
                  <w:rStyle w:val="InternetLink"/>
                </w:rPr>
                <w:t>Amendment to Loan Documents, dated January 29, 2024, between the Company, Pinelands Wastewater Company, Pinelands Water Company, Tidewater Utilities, Inc., Utility Service Affiliates (Perth Amboy) Inc., Utility Service Affiliates Inc. and While Marsh Environmental Systems, Inc., and PNC Bank, N.A.</w:t>
              </w:r>
            </w:hyperlink>
          </w:p>
        </w:tc>
        <w:tc>
          <w:tcPr>
            <w:tcW w:w="1070" w:type="dxa"/>
            <w:tcBorders/>
            <w:tcMar>
              <w:bottom w:w="0" w:type="dxa"/>
            </w:tcMar>
            <w:vAlign w:val="center"/>
          </w:tcPr>
          <w:p>
            <w:pPr>
              <w:pStyle w:val="TableContents"/>
              <w:bidi w:val="0"/>
              <w:spacing w:before="0" w:after="283"/>
              <w:ind w:left="0" w:right="0" w:hanging="0"/>
              <w:jc w:val="left"/>
              <w:rPr/>
            </w:pPr>
            <w:r>
              <w:rPr/>
              <w:t> </w:t>
            </w:r>
          </w:p>
        </w:tc>
        <w:tc>
          <w:tcPr>
            <w:tcW w:w="688" w:type="dxa"/>
            <w:tcBorders/>
            <w:tcMar>
              <w:bottom w:w="0" w:type="dxa"/>
            </w:tcMar>
            <w:vAlign w:val="center"/>
          </w:tcPr>
          <w:p>
            <w:pPr>
              <w:pStyle w:val="TableContents"/>
              <w:bidi w:val="0"/>
              <w:spacing w:before="0" w:after="283"/>
              <w:ind w:left="0" w:right="0" w:hanging="0"/>
              <w:jc w:val="left"/>
              <w:rPr/>
            </w:pPr>
            <w:r>
              <w:rPr/>
              <w:t> </w:t>
            </w:r>
          </w:p>
        </w:tc>
      </w:tr>
      <w:tr>
        <w:trPr/>
        <w:tc>
          <w:tcPr>
            <w:tcW w:w="801" w:type="dxa"/>
            <w:tcBorders/>
            <w:tcMar>
              <w:bottom w:w="0" w:type="dxa"/>
            </w:tcMar>
            <w:vAlign w:val="center"/>
          </w:tcPr>
          <w:p>
            <w:pPr>
              <w:pStyle w:val="TableContents"/>
              <w:bidi w:val="0"/>
              <w:spacing w:before="0" w:after="283"/>
              <w:ind w:left="0" w:right="0" w:hanging="0"/>
              <w:jc w:val="center"/>
              <w:rPr/>
            </w:pPr>
            <w:r>
              <w:rPr/>
              <w:t>10.27(a)</w:t>
            </w:r>
          </w:p>
        </w:tc>
        <w:tc>
          <w:tcPr>
            <w:tcW w:w="7646" w:type="dxa"/>
            <w:tcBorders/>
            <w:tcMar>
              <w:bottom w:w="0" w:type="dxa"/>
            </w:tcMar>
            <w:vAlign w:val="center"/>
          </w:tcPr>
          <w:p>
            <w:pPr>
              <w:pStyle w:val="TableContents"/>
              <w:bidi w:val="0"/>
              <w:spacing w:before="0" w:after="283"/>
              <w:ind w:left="0" w:right="0" w:hanging="0"/>
              <w:jc w:val="both"/>
              <w:rPr/>
            </w:pPr>
            <w:hyperlink r:id="rId55">
              <w:r>
                <w:rPr>
                  <w:rStyle w:val="InternetLink"/>
                </w:rPr>
                <w:t>Uncommitted ($30,000,000) Loan Agreement, dated January 28, 2021, between the Company, Tidewater Utilities, Inc., White Marsh Environmental Systems, Inc., Pinelands Water Company, Pinelands Wastewater Company, Utility Service Affiliates, Inc., Utility Service Affiliates (Perth Amboy) Inc., Tidewater Environmental Services, Inc., and Bank of America, N.A. filed as Exhibit 10.30 of the Company’s Annual Report on Form 10-K for the year ended December 31, 2020.</w:t>
              </w:r>
            </w:hyperlink>
          </w:p>
        </w:tc>
        <w:tc>
          <w:tcPr>
            <w:tcW w:w="1070" w:type="dxa"/>
            <w:tcBorders/>
            <w:tcMar>
              <w:bottom w:w="0" w:type="dxa"/>
            </w:tcMar>
            <w:vAlign w:val="center"/>
          </w:tcPr>
          <w:p>
            <w:pPr>
              <w:pStyle w:val="TableContents"/>
              <w:bidi w:val="0"/>
              <w:spacing w:before="0" w:after="283"/>
              <w:ind w:left="0" w:right="0" w:hanging="0"/>
              <w:jc w:val="left"/>
              <w:rPr/>
            </w:pPr>
            <w:r>
              <w:rPr/>
              <w:t> </w:t>
            </w:r>
          </w:p>
        </w:tc>
        <w:tc>
          <w:tcPr>
            <w:tcW w:w="688" w:type="dxa"/>
            <w:tcBorders/>
            <w:tcMar>
              <w:bottom w:w="0" w:type="dxa"/>
            </w:tcMar>
            <w:vAlign w:val="center"/>
          </w:tcPr>
          <w:p>
            <w:pPr>
              <w:pStyle w:val="TableContents"/>
              <w:bidi w:val="0"/>
              <w:spacing w:before="0" w:after="283"/>
              <w:ind w:left="0" w:right="0" w:hanging="0"/>
              <w:jc w:val="left"/>
              <w:rPr/>
            </w:pPr>
            <w:r>
              <w:rPr/>
              <w:t> </w:t>
            </w:r>
          </w:p>
        </w:tc>
      </w:tr>
      <w:tr>
        <w:trPr/>
        <w:tc>
          <w:tcPr>
            <w:tcW w:w="801" w:type="dxa"/>
            <w:tcBorders/>
            <w:tcMar>
              <w:bottom w:w="0" w:type="dxa"/>
            </w:tcMar>
            <w:vAlign w:val="center"/>
          </w:tcPr>
          <w:p>
            <w:pPr>
              <w:pStyle w:val="TableContents"/>
              <w:bidi w:val="0"/>
              <w:spacing w:before="0" w:after="283"/>
              <w:ind w:left="0" w:right="0" w:hanging="0"/>
              <w:jc w:val="center"/>
              <w:rPr/>
            </w:pPr>
            <w:r>
              <w:rPr/>
              <w:t>10.27(b)</w:t>
            </w:r>
          </w:p>
        </w:tc>
        <w:tc>
          <w:tcPr>
            <w:tcW w:w="7646" w:type="dxa"/>
            <w:tcBorders/>
            <w:tcMar>
              <w:bottom w:w="0" w:type="dxa"/>
            </w:tcMar>
            <w:vAlign w:val="center"/>
          </w:tcPr>
          <w:p>
            <w:pPr>
              <w:pStyle w:val="TableContents"/>
              <w:bidi w:val="0"/>
              <w:spacing w:before="0" w:after="283"/>
              <w:ind w:left="0" w:right="0" w:hanging="0"/>
              <w:jc w:val="both"/>
              <w:rPr/>
            </w:pPr>
            <w:hyperlink r:id="rId56">
              <w:r>
                <w:rPr>
                  <w:rStyle w:val="InternetLink"/>
                </w:rPr>
                <w:t>Amendment No. 1 ($60,000,000) to Uncommitted Loan Agreement, dated January 27, 2022, between the Company, Tidewater Utilities, Inc., White Marsh Environmental Systems, Inc., Pinelands Water Company, Pinelands Wastewater Company, Utility Service Affiliates, Inc., Utility Service Affiliates (Perth Amboy) Inc., and Bank of America, N.A., filed as Exhibit 10.27(b) of the Company’s Annual Report on Form 10-K for the year ended December 31, 2021.</w:t>
              </w:r>
            </w:hyperlink>
          </w:p>
        </w:tc>
        <w:tc>
          <w:tcPr>
            <w:tcW w:w="1070" w:type="dxa"/>
            <w:tcBorders/>
            <w:tcMar>
              <w:bottom w:w="0" w:type="dxa"/>
            </w:tcMar>
            <w:vAlign w:val="center"/>
          </w:tcPr>
          <w:p>
            <w:pPr>
              <w:pStyle w:val="TableContents"/>
              <w:bidi w:val="0"/>
              <w:spacing w:before="0" w:after="283"/>
              <w:ind w:left="0" w:right="0" w:hanging="0"/>
              <w:jc w:val="left"/>
              <w:rPr/>
            </w:pPr>
            <w:r>
              <w:rPr/>
              <w:t> </w:t>
            </w:r>
          </w:p>
        </w:tc>
        <w:tc>
          <w:tcPr>
            <w:tcW w:w="688" w:type="dxa"/>
            <w:tcBorders/>
            <w:tcMar>
              <w:bottom w:w="0" w:type="dxa"/>
            </w:tcMar>
            <w:vAlign w:val="center"/>
          </w:tcPr>
          <w:p>
            <w:pPr>
              <w:pStyle w:val="TableContents"/>
              <w:bidi w:val="0"/>
              <w:spacing w:before="0" w:after="283"/>
              <w:ind w:left="0" w:right="0" w:hanging="0"/>
              <w:jc w:val="left"/>
              <w:rPr/>
            </w:pPr>
            <w:r>
              <w:rPr/>
              <w:t> </w:t>
            </w:r>
          </w:p>
        </w:tc>
      </w:tr>
      <w:tr>
        <w:trPr/>
        <w:tc>
          <w:tcPr>
            <w:tcW w:w="801" w:type="dxa"/>
            <w:tcBorders/>
            <w:tcMar>
              <w:bottom w:w="0" w:type="dxa"/>
            </w:tcMar>
            <w:vAlign w:val="center"/>
          </w:tcPr>
          <w:p>
            <w:pPr>
              <w:pStyle w:val="TableContents"/>
              <w:bidi w:val="0"/>
              <w:spacing w:before="0" w:after="283"/>
              <w:ind w:left="0" w:right="0" w:hanging="0"/>
              <w:jc w:val="center"/>
              <w:rPr/>
            </w:pPr>
            <w:r>
              <w:rPr/>
              <w:t>10.27(c)</w:t>
            </w:r>
          </w:p>
        </w:tc>
        <w:tc>
          <w:tcPr>
            <w:tcW w:w="7646" w:type="dxa"/>
            <w:tcBorders/>
            <w:tcMar>
              <w:bottom w:w="0" w:type="dxa"/>
            </w:tcMar>
            <w:vAlign w:val="center"/>
          </w:tcPr>
          <w:p>
            <w:pPr>
              <w:pStyle w:val="TableContents"/>
              <w:bidi w:val="0"/>
              <w:spacing w:before="0" w:after="283"/>
              <w:ind w:left="0" w:right="0" w:hanging="0"/>
              <w:jc w:val="both"/>
              <w:rPr/>
            </w:pPr>
            <w:hyperlink r:id="rId57">
              <w:r>
                <w:rPr>
                  <w:rStyle w:val="InternetLink"/>
                </w:rPr>
                <w:t>Amendment No. 2 ($60,000,000) to Uncommitted Loan Agreement, dated January 26, 2023, between the Company, Tidewater Utilities, Inc., White Marsh Environmental Systems, Inc., Pinelands Water Company, Pinelands Wastewater Company, Utility Service Affiliates, Inc., Utility Service Affiliates (Perth Amboy) Inc., and Bank of America, N.A. filed as Exhibit 10.27(c) of the Company’s Annual Report on Form 10-K for the year ended December 31, 2022.</w:t>
              </w:r>
            </w:hyperlink>
          </w:p>
        </w:tc>
        <w:tc>
          <w:tcPr>
            <w:tcW w:w="1070" w:type="dxa"/>
            <w:tcBorders/>
            <w:tcMar>
              <w:bottom w:w="0" w:type="dxa"/>
            </w:tcMar>
            <w:vAlign w:val="center"/>
          </w:tcPr>
          <w:p>
            <w:pPr>
              <w:pStyle w:val="TableContents"/>
              <w:bidi w:val="0"/>
              <w:spacing w:before="0" w:after="283"/>
              <w:ind w:left="0" w:right="0" w:hanging="0"/>
              <w:jc w:val="left"/>
              <w:rPr/>
            </w:pPr>
            <w:r>
              <w:rPr/>
              <w:t> </w:t>
            </w:r>
          </w:p>
        </w:tc>
        <w:tc>
          <w:tcPr>
            <w:tcW w:w="688" w:type="dxa"/>
            <w:tcBorders/>
            <w:tcMar>
              <w:bottom w:w="0"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84 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64"/>
        <w:gridCol w:w="7473"/>
        <w:gridCol w:w="1070"/>
        <w:gridCol w:w="798"/>
      </w:tblGrid>
      <w:tr>
        <w:trPr/>
        <w:tc>
          <w:tcPr>
            <w:tcW w:w="864" w:type="dxa"/>
            <w:tcBorders>
              <w:bottom w:val="single" w:sz="12" w:space="0" w:color="000000"/>
            </w:tcBorders>
            <w:vAlign w:val="center"/>
          </w:tcPr>
          <w:p>
            <w:pPr>
              <w:pStyle w:val="TableContents"/>
              <w:bidi w:val="0"/>
              <w:spacing w:before="0" w:after="283"/>
              <w:ind w:left="0" w:right="0" w:hanging="0"/>
              <w:jc w:val="center"/>
              <w:rPr>
                <w:b/>
              </w:rPr>
            </w:pPr>
            <w:r>
              <w:rPr>
                <w:b/>
              </w:rPr>
              <w:t>Exhibit No.</w:t>
            </w:r>
          </w:p>
        </w:tc>
        <w:tc>
          <w:tcPr>
            <w:tcW w:w="7473" w:type="dxa"/>
            <w:tcBorders>
              <w:bottom w:val="single" w:sz="12" w:space="0" w:color="000000"/>
            </w:tcBorders>
            <w:vAlign w:val="center"/>
          </w:tcPr>
          <w:p>
            <w:pPr>
              <w:pStyle w:val="TableContents"/>
              <w:bidi w:val="0"/>
              <w:spacing w:before="0" w:after="283"/>
              <w:ind w:left="0" w:right="0" w:hanging="0"/>
              <w:jc w:val="center"/>
              <w:rPr>
                <w:b/>
              </w:rPr>
            </w:pPr>
            <w:r>
              <w:rPr>
                <w:b/>
              </w:rPr>
              <w:t>Document Description</w:t>
            </w:r>
          </w:p>
        </w:tc>
        <w:tc>
          <w:tcPr>
            <w:tcW w:w="1070" w:type="dxa"/>
            <w:tcBorders>
              <w:bottom w:val="single" w:sz="12" w:space="0" w:color="000000"/>
            </w:tcBorders>
            <w:vAlign w:val="center"/>
          </w:tcPr>
          <w:p>
            <w:pPr>
              <w:pStyle w:val="TableContents"/>
              <w:bidi w:val="0"/>
              <w:spacing w:before="0" w:after="283"/>
              <w:ind w:left="0" w:right="0" w:hanging="0"/>
              <w:jc w:val="center"/>
              <w:rPr>
                <w:b/>
              </w:rPr>
            </w:pPr>
            <w:r>
              <w:rPr>
                <w:b/>
              </w:rPr>
              <w:t xml:space="preserve">Previous </w:t>
            </w:r>
            <w:r>
              <w:rPr>
                <w:b/>
                <w:sz w:val="20"/>
              </w:rPr>
              <w:br/>
              <w:t>Registration</w:t>
              <w:br/>
            </w:r>
            <w:r>
              <w:rPr>
                <w:b/>
              </w:rPr>
              <w:t>No.</w:t>
            </w:r>
          </w:p>
        </w:tc>
        <w:tc>
          <w:tcPr>
            <w:tcW w:w="798" w:type="dxa"/>
            <w:tcBorders>
              <w:bottom w:val="single" w:sz="12" w:space="0" w:color="000000"/>
            </w:tcBorders>
            <w:vAlign w:val="center"/>
          </w:tcPr>
          <w:p>
            <w:pPr>
              <w:pStyle w:val="TableContents"/>
              <w:bidi w:val="0"/>
              <w:spacing w:before="0" w:after="283"/>
              <w:ind w:left="0" w:right="0" w:hanging="0"/>
              <w:jc w:val="center"/>
              <w:rPr>
                <w:b/>
              </w:rPr>
            </w:pPr>
            <w:r>
              <w:rPr>
                <w:b/>
              </w:rPr>
              <w:t xml:space="preserve">Filing’s </w:t>
              <w:br/>
              <w:t>Exhibit</w:t>
              <w:br/>
              <w:t>No.</w:t>
            </w:r>
          </w:p>
        </w:tc>
      </w:tr>
      <w:tr>
        <w:trPr/>
        <w:tc>
          <w:tcPr>
            <w:tcW w:w="864" w:type="dxa"/>
            <w:tcBorders/>
            <w:tcMar>
              <w:bottom w:w="0" w:type="dxa"/>
            </w:tcMar>
            <w:vAlign w:val="center"/>
          </w:tcPr>
          <w:p>
            <w:pPr>
              <w:pStyle w:val="TableContents"/>
              <w:bidi w:val="0"/>
              <w:spacing w:before="0" w:after="283"/>
              <w:ind w:left="0" w:right="0" w:hanging="0"/>
              <w:jc w:val="center"/>
              <w:rPr/>
            </w:pPr>
            <w:r>
              <w:rPr/>
              <w:t>*10.27(d)</w:t>
            </w:r>
          </w:p>
        </w:tc>
        <w:tc>
          <w:tcPr>
            <w:tcW w:w="7473" w:type="dxa"/>
            <w:tcBorders/>
            <w:tcMar>
              <w:bottom w:w="0" w:type="dxa"/>
            </w:tcMar>
            <w:vAlign w:val="center"/>
          </w:tcPr>
          <w:p>
            <w:pPr>
              <w:pStyle w:val="TableContents"/>
              <w:bidi w:val="0"/>
              <w:spacing w:before="0" w:after="283"/>
              <w:ind w:left="0" w:right="0" w:hanging="0"/>
              <w:jc w:val="both"/>
              <w:rPr/>
            </w:pPr>
            <w:hyperlink w:anchor="ex10-27d.htm">
              <w:r>
                <w:rPr>
                  <w:rStyle w:val="InternetLink"/>
                </w:rPr>
                <w:t>Amendment No. 3 ($60,000,000) to Uncommitted Loan Agreement, dated January 25, 2024, between the Company, Tidewater Utilities, Inc., White Marsh Environmental Systems, Inc., Pinelands Water Company, Pinelands Wastewater Company, Utility Service Affiliates, Inc., Utility Service Affiliates (Perth Amboy) Inc., and Bank of America, N.A.</w:t>
              </w:r>
            </w:hyperlink>
          </w:p>
        </w:tc>
        <w:tc>
          <w:tcPr>
            <w:tcW w:w="1070" w:type="dxa"/>
            <w:tcBorders/>
            <w:tcMar>
              <w:bottom w:w="0" w:type="dxa"/>
            </w:tcMar>
            <w:vAlign w:val="center"/>
          </w:tcPr>
          <w:p>
            <w:pPr>
              <w:pStyle w:val="TableContents"/>
              <w:bidi w:val="0"/>
              <w:spacing w:before="0" w:after="283"/>
              <w:ind w:left="0" w:right="0" w:hanging="0"/>
              <w:jc w:val="left"/>
              <w:rPr/>
            </w:pPr>
            <w:r>
              <w:rPr/>
              <w:t> </w:t>
            </w:r>
          </w:p>
        </w:tc>
        <w:tc>
          <w:tcPr>
            <w:tcW w:w="798" w:type="dxa"/>
            <w:tcBorders/>
            <w:tcMar>
              <w:bottom w:w="0" w:type="dxa"/>
            </w:tcMar>
            <w:vAlign w:val="center"/>
          </w:tcPr>
          <w:p>
            <w:pPr>
              <w:pStyle w:val="TableContents"/>
              <w:bidi w:val="0"/>
              <w:spacing w:before="0" w:after="283"/>
              <w:ind w:left="0" w:right="0" w:hanging="0"/>
              <w:jc w:val="left"/>
              <w:rPr/>
            </w:pPr>
            <w:r>
              <w:rPr/>
              <w:t> </w:t>
            </w:r>
          </w:p>
        </w:tc>
      </w:tr>
      <w:tr>
        <w:trPr/>
        <w:tc>
          <w:tcPr>
            <w:tcW w:w="864" w:type="dxa"/>
            <w:tcBorders/>
            <w:tcMar>
              <w:bottom w:w="0" w:type="dxa"/>
            </w:tcMar>
            <w:vAlign w:val="center"/>
          </w:tcPr>
          <w:p>
            <w:pPr>
              <w:pStyle w:val="TableContents"/>
              <w:bidi w:val="0"/>
              <w:spacing w:before="0" w:after="283"/>
              <w:ind w:left="0" w:right="0" w:hanging="0"/>
              <w:jc w:val="center"/>
              <w:rPr/>
            </w:pPr>
            <w:r>
              <w:rPr/>
              <w:t>10.28</w:t>
            </w:r>
          </w:p>
        </w:tc>
        <w:tc>
          <w:tcPr>
            <w:tcW w:w="7473" w:type="dxa"/>
            <w:tcBorders/>
            <w:tcMar>
              <w:bottom w:w="0" w:type="dxa"/>
            </w:tcMar>
            <w:vAlign w:val="center"/>
          </w:tcPr>
          <w:p>
            <w:pPr>
              <w:pStyle w:val="TableContents"/>
              <w:bidi w:val="0"/>
              <w:spacing w:before="0" w:after="283"/>
              <w:ind w:left="0" w:right="0" w:hanging="0"/>
              <w:jc w:val="both"/>
              <w:rPr/>
            </w:pPr>
            <w:hyperlink r:id="rId58">
              <w:r>
                <w:rPr>
                  <w:rStyle w:val="InternetLink"/>
                </w:rPr>
                <w:t>Fourth Amendment to Promissory Note and Supplement, dated as of August 19, 2020, between Tidewater Utilities, Inc. and CoBank, ACB, filed as Exhibit 10.34 of the Company’s Quarterly Report on Form 10-Q for the quarter ended September 30, 2020.</w:t>
              </w:r>
            </w:hyperlink>
          </w:p>
        </w:tc>
        <w:tc>
          <w:tcPr>
            <w:tcW w:w="1070" w:type="dxa"/>
            <w:tcBorders/>
            <w:tcMar>
              <w:bottom w:w="0" w:type="dxa"/>
            </w:tcMar>
            <w:vAlign w:val="center"/>
          </w:tcPr>
          <w:p>
            <w:pPr>
              <w:pStyle w:val="TableContents"/>
              <w:bidi w:val="0"/>
              <w:spacing w:before="0" w:after="283"/>
              <w:ind w:left="0" w:right="0" w:hanging="0"/>
              <w:jc w:val="left"/>
              <w:rPr/>
            </w:pPr>
            <w:r>
              <w:rPr/>
              <w:t> </w:t>
            </w:r>
          </w:p>
        </w:tc>
        <w:tc>
          <w:tcPr>
            <w:tcW w:w="798" w:type="dxa"/>
            <w:tcBorders/>
            <w:tcMar>
              <w:bottom w:w="0" w:type="dxa"/>
            </w:tcMar>
            <w:vAlign w:val="center"/>
          </w:tcPr>
          <w:p>
            <w:pPr>
              <w:pStyle w:val="TableContents"/>
              <w:bidi w:val="0"/>
              <w:spacing w:before="0" w:after="283"/>
              <w:ind w:left="0" w:right="0" w:hanging="0"/>
              <w:jc w:val="left"/>
              <w:rPr/>
            </w:pPr>
            <w:r>
              <w:rPr/>
              <w:t> </w:t>
            </w:r>
          </w:p>
        </w:tc>
      </w:tr>
      <w:tr>
        <w:trPr/>
        <w:tc>
          <w:tcPr>
            <w:tcW w:w="864" w:type="dxa"/>
            <w:tcBorders/>
            <w:tcMar>
              <w:bottom w:w="0" w:type="dxa"/>
            </w:tcMar>
            <w:vAlign w:val="center"/>
          </w:tcPr>
          <w:p>
            <w:pPr>
              <w:pStyle w:val="TableContents"/>
              <w:bidi w:val="0"/>
              <w:spacing w:before="0" w:after="283"/>
              <w:ind w:left="0" w:right="0" w:hanging="0"/>
              <w:jc w:val="center"/>
              <w:rPr/>
            </w:pPr>
            <w:r>
              <w:rPr/>
              <w:t>10.29</w:t>
            </w:r>
          </w:p>
        </w:tc>
        <w:tc>
          <w:tcPr>
            <w:tcW w:w="7473" w:type="dxa"/>
            <w:tcBorders/>
            <w:tcMar>
              <w:bottom w:w="0" w:type="dxa"/>
            </w:tcMar>
            <w:vAlign w:val="center"/>
          </w:tcPr>
          <w:p>
            <w:pPr>
              <w:pStyle w:val="TableContents"/>
              <w:bidi w:val="0"/>
              <w:spacing w:before="0" w:after="283"/>
              <w:ind w:left="0" w:right="0" w:hanging="0"/>
              <w:jc w:val="both"/>
              <w:rPr/>
            </w:pPr>
            <w:hyperlink r:id="rId59">
              <w:r>
                <w:rPr>
                  <w:rStyle w:val="InternetLink"/>
                </w:rPr>
                <w:t>Loan Agreement, dated December 1, 2010, between the State of New Jersey and the Company (Series MM), filed as Exhibit 10.41 of the Company’s Annual Report on Form 10-K for the year ended December 31, 2010.</w:t>
              </w:r>
            </w:hyperlink>
          </w:p>
        </w:tc>
        <w:tc>
          <w:tcPr>
            <w:tcW w:w="1070" w:type="dxa"/>
            <w:tcBorders/>
            <w:tcMar>
              <w:bottom w:w="0" w:type="dxa"/>
            </w:tcMar>
            <w:vAlign w:val="center"/>
          </w:tcPr>
          <w:p>
            <w:pPr>
              <w:pStyle w:val="TableContents"/>
              <w:bidi w:val="0"/>
              <w:spacing w:before="0" w:after="283"/>
              <w:ind w:left="0" w:right="0" w:hanging="0"/>
              <w:jc w:val="left"/>
              <w:rPr/>
            </w:pPr>
            <w:r>
              <w:rPr/>
              <w:t> </w:t>
            </w:r>
          </w:p>
        </w:tc>
        <w:tc>
          <w:tcPr>
            <w:tcW w:w="798" w:type="dxa"/>
            <w:tcBorders/>
            <w:tcMar>
              <w:bottom w:w="0" w:type="dxa"/>
            </w:tcMar>
            <w:vAlign w:val="center"/>
          </w:tcPr>
          <w:p>
            <w:pPr>
              <w:pStyle w:val="TableContents"/>
              <w:bidi w:val="0"/>
              <w:spacing w:before="0" w:after="283"/>
              <w:ind w:left="0" w:right="0" w:hanging="0"/>
              <w:jc w:val="left"/>
              <w:rPr/>
            </w:pPr>
            <w:r>
              <w:rPr/>
              <w:t> </w:t>
            </w:r>
          </w:p>
        </w:tc>
      </w:tr>
      <w:tr>
        <w:trPr/>
        <w:tc>
          <w:tcPr>
            <w:tcW w:w="864" w:type="dxa"/>
            <w:tcBorders/>
            <w:tcMar>
              <w:bottom w:w="0" w:type="dxa"/>
            </w:tcMar>
            <w:vAlign w:val="center"/>
          </w:tcPr>
          <w:p>
            <w:pPr>
              <w:pStyle w:val="TableContents"/>
              <w:bidi w:val="0"/>
              <w:spacing w:before="0" w:after="283"/>
              <w:ind w:left="0" w:right="0" w:hanging="0"/>
              <w:jc w:val="center"/>
              <w:rPr/>
            </w:pPr>
            <w:r>
              <w:rPr/>
              <w:t>10.30</w:t>
            </w:r>
          </w:p>
        </w:tc>
        <w:tc>
          <w:tcPr>
            <w:tcW w:w="7473" w:type="dxa"/>
            <w:tcBorders/>
            <w:tcMar>
              <w:bottom w:w="0" w:type="dxa"/>
            </w:tcMar>
            <w:vAlign w:val="center"/>
          </w:tcPr>
          <w:p>
            <w:pPr>
              <w:pStyle w:val="TableContents"/>
              <w:bidi w:val="0"/>
              <w:spacing w:before="0" w:after="283"/>
              <w:ind w:left="0" w:right="0" w:hanging="0"/>
              <w:jc w:val="both"/>
              <w:rPr/>
            </w:pPr>
            <w:hyperlink r:id="rId60">
              <w:r>
                <w:rPr>
                  <w:rStyle w:val="InternetLink"/>
                </w:rPr>
                <w:t>Loan Agreement, dated December 1, 2010, between New Jersey Environmental Infrastructure Trust and the Company (Series NN), filed as Exhibit 10.42 of the Company’s Annual Report on Form 10-K for the year ended December 31, 2010.</w:t>
              </w:r>
            </w:hyperlink>
          </w:p>
        </w:tc>
        <w:tc>
          <w:tcPr>
            <w:tcW w:w="1070" w:type="dxa"/>
            <w:tcBorders/>
            <w:tcMar>
              <w:bottom w:w="0" w:type="dxa"/>
            </w:tcMar>
            <w:vAlign w:val="center"/>
          </w:tcPr>
          <w:p>
            <w:pPr>
              <w:pStyle w:val="TableContents"/>
              <w:bidi w:val="0"/>
              <w:spacing w:before="0" w:after="283"/>
              <w:ind w:left="0" w:right="0" w:hanging="0"/>
              <w:jc w:val="left"/>
              <w:rPr/>
            </w:pPr>
            <w:r>
              <w:rPr/>
              <w:t> </w:t>
            </w:r>
          </w:p>
        </w:tc>
        <w:tc>
          <w:tcPr>
            <w:tcW w:w="798" w:type="dxa"/>
            <w:tcBorders/>
            <w:tcMar>
              <w:bottom w:w="0" w:type="dxa"/>
            </w:tcMar>
            <w:vAlign w:val="center"/>
          </w:tcPr>
          <w:p>
            <w:pPr>
              <w:pStyle w:val="TableContents"/>
              <w:bidi w:val="0"/>
              <w:spacing w:before="0" w:after="283"/>
              <w:ind w:left="0" w:right="0" w:hanging="0"/>
              <w:jc w:val="left"/>
              <w:rPr/>
            </w:pPr>
            <w:r>
              <w:rPr/>
              <w:t> </w:t>
            </w:r>
          </w:p>
        </w:tc>
      </w:tr>
      <w:tr>
        <w:trPr/>
        <w:tc>
          <w:tcPr>
            <w:tcW w:w="864" w:type="dxa"/>
            <w:tcBorders/>
            <w:tcMar>
              <w:bottom w:w="0" w:type="dxa"/>
            </w:tcMar>
            <w:vAlign w:val="center"/>
          </w:tcPr>
          <w:p>
            <w:pPr>
              <w:pStyle w:val="TableContents"/>
              <w:bidi w:val="0"/>
              <w:spacing w:before="0" w:after="283"/>
              <w:ind w:left="0" w:right="0" w:hanging="0"/>
              <w:jc w:val="center"/>
              <w:rPr/>
            </w:pPr>
            <w:r>
              <w:rPr/>
              <w:t>10.31</w:t>
            </w:r>
          </w:p>
        </w:tc>
        <w:tc>
          <w:tcPr>
            <w:tcW w:w="7473" w:type="dxa"/>
            <w:tcBorders/>
            <w:tcMar>
              <w:bottom w:w="0" w:type="dxa"/>
            </w:tcMar>
            <w:vAlign w:val="center"/>
          </w:tcPr>
          <w:p>
            <w:pPr>
              <w:pStyle w:val="TableContents"/>
              <w:bidi w:val="0"/>
              <w:spacing w:before="0" w:after="283"/>
              <w:ind w:left="0" w:right="0" w:hanging="0"/>
              <w:jc w:val="both"/>
              <w:rPr/>
            </w:pPr>
            <w:hyperlink r:id="rId61">
              <w:r>
                <w:rPr>
                  <w:rStyle w:val="InternetLink"/>
                </w:rPr>
                <w:t>Loan Agreement, dated May 1, 2012, between the State of New Jersey and the Company, (Series OO), filed as Exhibit 10.43 of the Company’s Quarterly Report on Form 10-Q for the quarter ended June 30, 2012.</w:t>
              </w:r>
            </w:hyperlink>
          </w:p>
        </w:tc>
        <w:tc>
          <w:tcPr>
            <w:tcW w:w="1070" w:type="dxa"/>
            <w:tcBorders/>
            <w:tcMar>
              <w:bottom w:w="0" w:type="dxa"/>
            </w:tcMar>
            <w:vAlign w:val="center"/>
          </w:tcPr>
          <w:p>
            <w:pPr>
              <w:pStyle w:val="TableContents"/>
              <w:bidi w:val="0"/>
              <w:spacing w:before="0" w:after="283"/>
              <w:ind w:left="0" w:right="0" w:hanging="0"/>
              <w:jc w:val="left"/>
              <w:rPr/>
            </w:pPr>
            <w:r>
              <w:rPr/>
              <w:t> </w:t>
            </w:r>
          </w:p>
        </w:tc>
        <w:tc>
          <w:tcPr>
            <w:tcW w:w="798" w:type="dxa"/>
            <w:tcBorders/>
            <w:tcMar>
              <w:bottom w:w="0" w:type="dxa"/>
            </w:tcMar>
            <w:vAlign w:val="center"/>
          </w:tcPr>
          <w:p>
            <w:pPr>
              <w:pStyle w:val="TableContents"/>
              <w:bidi w:val="0"/>
              <w:spacing w:before="0" w:after="283"/>
              <w:ind w:left="0" w:right="0" w:hanging="0"/>
              <w:jc w:val="left"/>
              <w:rPr/>
            </w:pPr>
            <w:r>
              <w:rPr/>
              <w:t> </w:t>
            </w:r>
          </w:p>
        </w:tc>
      </w:tr>
      <w:tr>
        <w:trPr/>
        <w:tc>
          <w:tcPr>
            <w:tcW w:w="864" w:type="dxa"/>
            <w:tcBorders/>
            <w:tcMar>
              <w:bottom w:w="0" w:type="dxa"/>
            </w:tcMar>
            <w:vAlign w:val="center"/>
          </w:tcPr>
          <w:p>
            <w:pPr>
              <w:pStyle w:val="TableContents"/>
              <w:bidi w:val="0"/>
              <w:spacing w:before="0" w:after="283"/>
              <w:ind w:left="0" w:right="0" w:hanging="0"/>
              <w:jc w:val="center"/>
              <w:rPr/>
            </w:pPr>
            <w:r>
              <w:rPr/>
              <w:t>10.32</w:t>
            </w:r>
          </w:p>
        </w:tc>
        <w:tc>
          <w:tcPr>
            <w:tcW w:w="7473" w:type="dxa"/>
            <w:tcBorders/>
            <w:tcMar>
              <w:bottom w:w="0" w:type="dxa"/>
            </w:tcMar>
            <w:vAlign w:val="center"/>
          </w:tcPr>
          <w:p>
            <w:pPr>
              <w:pStyle w:val="TableContents"/>
              <w:bidi w:val="0"/>
              <w:spacing w:before="0" w:after="283"/>
              <w:ind w:left="0" w:right="0" w:hanging="0"/>
              <w:jc w:val="both"/>
              <w:rPr/>
            </w:pPr>
            <w:hyperlink r:id="rId62">
              <w:r>
                <w:rPr>
                  <w:rStyle w:val="InternetLink"/>
                </w:rPr>
                <w:t>Loan Agreement, dated May 1, 2012, between New Jersey Environmental Infrastructure Trust and the Company (Series PP), filed as Exhibit 10.44 of the Company’s Quarterly Report on Form 10-Q for the quarter ended June 30, 2012.</w:t>
              </w:r>
            </w:hyperlink>
          </w:p>
        </w:tc>
        <w:tc>
          <w:tcPr>
            <w:tcW w:w="1070" w:type="dxa"/>
            <w:tcBorders/>
            <w:tcMar>
              <w:bottom w:w="0" w:type="dxa"/>
            </w:tcMar>
            <w:vAlign w:val="center"/>
          </w:tcPr>
          <w:p>
            <w:pPr>
              <w:pStyle w:val="TableContents"/>
              <w:bidi w:val="0"/>
              <w:spacing w:before="0" w:after="283"/>
              <w:ind w:left="0" w:right="0" w:hanging="0"/>
              <w:jc w:val="left"/>
              <w:rPr/>
            </w:pPr>
            <w:r>
              <w:rPr/>
              <w:t> </w:t>
            </w:r>
          </w:p>
        </w:tc>
        <w:tc>
          <w:tcPr>
            <w:tcW w:w="798" w:type="dxa"/>
            <w:tcBorders/>
            <w:tcMar>
              <w:bottom w:w="0" w:type="dxa"/>
            </w:tcMar>
            <w:vAlign w:val="center"/>
          </w:tcPr>
          <w:p>
            <w:pPr>
              <w:pStyle w:val="TableContents"/>
              <w:bidi w:val="0"/>
              <w:spacing w:before="0" w:after="283"/>
              <w:ind w:left="0" w:right="0" w:hanging="0"/>
              <w:jc w:val="left"/>
              <w:rPr/>
            </w:pPr>
            <w:r>
              <w:rPr/>
              <w:t> </w:t>
            </w:r>
          </w:p>
        </w:tc>
      </w:tr>
      <w:tr>
        <w:trPr/>
        <w:tc>
          <w:tcPr>
            <w:tcW w:w="864" w:type="dxa"/>
            <w:tcBorders/>
            <w:tcMar>
              <w:bottom w:w="0" w:type="dxa"/>
            </w:tcMar>
            <w:vAlign w:val="center"/>
          </w:tcPr>
          <w:p>
            <w:pPr>
              <w:pStyle w:val="TableContents"/>
              <w:bidi w:val="0"/>
              <w:spacing w:before="0" w:after="283"/>
              <w:ind w:left="0" w:right="0" w:hanging="0"/>
              <w:jc w:val="center"/>
              <w:rPr/>
            </w:pPr>
            <w:r>
              <w:rPr/>
              <w:t>10.33</w:t>
            </w:r>
          </w:p>
        </w:tc>
        <w:tc>
          <w:tcPr>
            <w:tcW w:w="7473" w:type="dxa"/>
            <w:tcBorders/>
            <w:tcMar>
              <w:bottom w:w="0" w:type="dxa"/>
            </w:tcMar>
            <w:vAlign w:val="center"/>
          </w:tcPr>
          <w:p>
            <w:pPr>
              <w:pStyle w:val="TableContents"/>
              <w:bidi w:val="0"/>
              <w:spacing w:before="0" w:after="283"/>
              <w:ind w:left="0" w:right="0" w:hanging="0"/>
              <w:jc w:val="both"/>
              <w:rPr/>
            </w:pPr>
            <w:hyperlink r:id="rId63">
              <w:r>
                <w:rPr>
                  <w:rStyle w:val="InternetLink"/>
                </w:rPr>
                <w:t>Loan Agreement, dated November 1, 2012, between the New Jersey Economic Development Authority and the Company (Series QQ]), filed as Exhibit 10.41 of the Company’s Annual Report on Form 10-K for the year ended December 31, 2012.</w:t>
              </w:r>
            </w:hyperlink>
          </w:p>
        </w:tc>
        <w:tc>
          <w:tcPr>
            <w:tcW w:w="1070" w:type="dxa"/>
            <w:tcBorders/>
            <w:tcMar>
              <w:bottom w:w="0" w:type="dxa"/>
            </w:tcMar>
            <w:vAlign w:val="center"/>
          </w:tcPr>
          <w:p>
            <w:pPr>
              <w:pStyle w:val="TableContents"/>
              <w:bidi w:val="0"/>
              <w:spacing w:before="0" w:after="283"/>
              <w:ind w:left="0" w:right="0" w:hanging="0"/>
              <w:jc w:val="left"/>
              <w:rPr/>
            </w:pPr>
            <w:r>
              <w:rPr/>
              <w:t> </w:t>
            </w:r>
          </w:p>
        </w:tc>
        <w:tc>
          <w:tcPr>
            <w:tcW w:w="798" w:type="dxa"/>
            <w:tcBorders/>
            <w:tcMar>
              <w:bottom w:w="0" w:type="dxa"/>
            </w:tcMar>
            <w:vAlign w:val="center"/>
          </w:tcPr>
          <w:p>
            <w:pPr>
              <w:pStyle w:val="TableContents"/>
              <w:bidi w:val="0"/>
              <w:spacing w:before="0" w:after="283"/>
              <w:ind w:left="0" w:right="0" w:hanging="0"/>
              <w:jc w:val="left"/>
              <w:rPr/>
            </w:pPr>
            <w:r>
              <w:rPr/>
              <w:t> </w:t>
            </w:r>
          </w:p>
        </w:tc>
      </w:tr>
      <w:tr>
        <w:trPr/>
        <w:tc>
          <w:tcPr>
            <w:tcW w:w="864" w:type="dxa"/>
            <w:tcBorders/>
            <w:tcMar>
              <w:bottom w:w="0" w:type="dxa"/>
            </w:tcMar>
            <w:vAlign w:val="center"/>
          </w:tcPr>
          <w:p>
            <w:pPr>
              <w:pStyle w:val="TableContents"/>
              <w:bidi w:val="0"/>
              <w:spacing w:before="0" w:after="283"/>
              <w:ind w:left="0" w:right="0" w:hanging="0"/>
              <w:jc w:val="center"/>
              <w:rPr/>
            </w:pPr>
            <w:r>
              <w:rPr/>
              <w:t>10.34</w:t>
            </w:r>
          </w:p>
        </w:tc>
        <w:tc>
          <w:tcPr>
            <w:tcW w:w="7473" w:type="dxa"/>
            <w:tcBorders/>
            <w:tcMar>
              <w:bottom w:w="0" w:type="dxa"/>
            </w:tcMar>
            <w:vAlign w:val="center"/>
          </w:tcPr>
          <w:p>
            <w:pPr>
              <w:pStyle w:val="TableContents"/>
              <w:bidi w:val="0"/>
              <w:spacing w:before="0" w:after="283"/>
              <w:ind w:left="0" w:right="0" w:hanging="0"/>
              <w:jc w:val="both"/>
              <w:rPr/>
            </w:pPr>
            <w:hyperlink r:id="rId64">
              <w:r>
                <w:rPr>
                  <w:rStyle w:val="InternetLink"/>
                </w:rPr>
                <w:t>Loan Agreement, dated May 1, 2013, between the State of New Jersey and the Company (Series TT), filed as Exhibit 10.42 of the Company’s Quarterly Report on Form 10-Q for the quarter ended June 30, 2013.</w:t>
              </w:r>
            </w:hyperlink>
          </w:p>
        </w:tc>
        <w:tc>
          <w:tcPr>
            <w:tcW w:w="1070" w:type="dxa"/>
            <w:tcBorders/>
            <w:tcMar>
              <w:bottom w:w="0" w:type="dxa"/>
            </w:tcMar>
            <w:vAlign w:val="center"/>
          </w:tcPr>
          <w:p>
            <w:pPr>
              <w:pStyle w:val="TableContents"/>
              <w:bidi w:val="0"/>
              <w:spacing w:before="0" w:after="283"/>
              <w:ind w:left="0" w:right="0" w:hanging="0"/>
              <w:jc w:val="left"/>
              <w:rPr/>
            </w:pPr>
            <w:r>
              <w:rPr/>
              <w:t> </w:t>
            </w:r>
          </w:p>
        </w:tc>
        <w:tc>
          <w:tcPr>
            <w:tcW w:w="798" w:type="dxa"/>
            <w:tcBorders/>
            <w:tcMar>
              <w:bottom w:w="0" w:type="dxa"/>
            </w:tcMar>
            <w:vAlign w:val="center"/>
          </w:tcPr>
          <w:p>
            <w:pPr>
              <w:pStyle w:val="TableContents"/>
              <w:bidi w:val="0"/>
              <w:spacing w:before="0" w:after="283"/>
              <w:ind w:left="0" w:right="0" w:hanging="0"/>
              <w:jc w:val="left"/>
              <w:rPr/>
            </w:pPr>
            <w:r>
              <w:rPr/>
              <w:t> </w:t>
            </w:r>
          </w:p>
        </w:tc>
      </w:tr>
      <w:tr>
        <w:trPr/>
        <w:tc>
          <w:tcPr>
            <w:tcW w:w="864" w:type="dxa"/>
            <w:tcBorders/>
            <w:tcMar>
              <w:bottom w:w="0" w:type="dxa"/>
            </w:tcMar>
            <w:vAlign w:val="center"/>
          </w:tcPr>
          <w:p>
            <w:pPr>
              <w:pStyle w:val="TableContents"/>
              <w:bidi w:val="0"/>
              <w:spacing w:before="0" w:after="283"/>
              <w:ind w:left="0" w:right="0" w:hanging="0"/>
              <w:jc w:val="center"/>
              <w:rPr/>
            </w:pPr>
            <w:r>
              <w:rPr/>
              <w:t>10.35</w:t>
            </w:r>
          </w:p>
        </w:tc>
        <w:tc>
          <w:tcPr>
            <w:tcW w:w="7473" w:type="dxa"/>
            <w:tcBorders/>
            <w:tcMar>
              <w:bottom w:w="0" w:type="dxa"/>
            </w:tcMar>
            <w:vAlign w:val="center"/>
          </w:tcPr>
          <w:p>
            <w:pPr>
              <w:pStyle w:val="TableContents"/>
              <w:bidi w:val="0"/>
              <w:spacing w:before="0" w:after="283"/>
              <w:ind w:left="0" w:right="0" w:hanging="0"/>
              <w:jc w:val="both"/>
              <w:rPr/>
            </w:pPr>
            <w:hyperlink r:id="rId65">
              <w:r>
                <w:rPr>
                  <w:rStyle w:val="InternetLink"/>
                </w:rPr>
                <w:t>Loan Agreement, dated May 1, 2013, between New Jersey Environmental Infrastructure Trust and the Company (Series UU), filed as Exhibit 10.43 of the Company’s Quarterly Report on Form 10-Q for the quarter ended June 30, 2013.</w:t>
              </w:r>
            </w:hyperlink>
          </w:p>
        </w:tc>
        <w:tc>
          <w:tcPr>
            <w:tcW w:w="1070" w:type="dxa"/>
            <w:tcBorders/>
            <w:tcMar>
              <w:bottom w:w="0" w:type="dxa"/>
            </w:tcMar>
            <w:vAlign w:val="center"/>
          </w:tcPr>
          <w:p>
            <w:pPr>
              <w:pStyle w:val="TableContents"/>
              <w:bidi w:val="0"/>
              <w:spacing w:before="0" w:after="283"/>
              <w:ind w:left="0" w:right="0" w:hanging="0"/>
              <w:jc w:val="left"/>
              <w:rPr/>
            </w:pPr>
            <w:r>
              <w:rPr/>
              <w:t> </w:t>
            </w:r>
          </w:p>
        </w:tc>
        <w:tc>
          <w:tcPr>
            <w:tcW w:w="798" w:type="dxa"/>
            <w:tcBorders/>
            <w:tcMar>
              <w:bottom w:w="0" w:type="dxa"/>
            </w:tcMar>
            <w:vAlign w:val="center"/>
          </w:tcPr>
          <w:p>
            <w:pPr>
              <w:pStyle w:val="TableContents"/>
              <w:bidi w:val="0"/>
              <w:spacing w:before="0" w:after="283"/>
              <w:ind w:left="0" w:right="0" w:hanging="0"/>
              <w:jc w:val="left"/>
              <w:rPr/>
            </w:pPr>
            <w:r>
              <w:rPr/>
              <w:t> </w:t>
            </w:r>
          </w:p>
        </w:tc>
      </w:tr>
      <w:tr>
        <w:trPr/>
        <w:tc>
          <w:tcPr>
            <w:tcW w:w="864" w:type="dxa"/>
            <w:tcBorders/>
            <w:tcMar>
              <w:bottom w:w="0" w:type="dxa"/>
            </w:tcMar>
            <w:vAlign w:val="center"/>
          </w:tcPr>
          <w:p>
            <w:pPr>
              <w:pStyle w:val="TableContents"/>
              <w:bidi w:val="0"/>
              <w:spacing w:before="0" w:after="283"/>
              <w:ind w:left="0" w:right="0" w:hanging="0"/>
              <w:jc w:val="center"/>
              <w:rPr/>
            </w:pPr>
            <w:r>
              <w:rPr/>
              <w:t>10.36</w:t>
            </w:r>
          </w:p>
        </w:tc>
        <w:tc>
          <w:tcPr>
            <w:tcW w:w="7473" w:type="dxa"/>
            <w:tcBorders/>
            <w:tcMar>
              <w:bottom w:w="0" w:type="dxa"/>
            </w:tcMar>
            <w:vAlign w:val="center"/>
          </w:tcPr>
          <w:p>
            <w:pPr>
              <w:pStyle w:val="TableContents"/>
              <w:bidi w:val="0"/>
              <w:spacing w:before="0" w:after="283"/>
              <w:ind w:left="0" w:right="0" w:hanging="0"/>
              <w:jc w:val="both"/>
              <w:rPr/>
            </w:pPr>
            <w:hyperlink r:id="rId66">
              <w:r>
                <w:rPr>
                  <w:rStyle w:val="InternetLink"/>
                </w:rPr>
                <w:t>Loan Agreement, dated May 1, 2014, between New Jersey Environmental Infrastructure Trust and the Company (Series VV), filed as Exhibit 10.43 of the Company’s Quarterly Report on Form 10-Q for the quarter ended June 30, 2014</w:t>
              </w:r>
            </w:hyperlink>
            <w:r>
              <w:rPr/>
              <w:t>.</w:t>
            </w:r>
          </w:p>
        </w:tc>
        <w:tc>
          <w:tcPr>
            <w:tcW w:w="1070" w:type="dxa"/>
            <w:tcBorders/>
            <w:tcMar>
              <w:bottom w:w="0" w:type="dxa"/>
            </w:tcMar>
            <w:vAlign w:val="center"/>
          </w:tcPr>
          <w:p>
            <w:pPr>
              <w:pStyle w:val="TableContents"/>
              <w:bidi w:val="0"/>
              <w:spacing w:before="0" w:after="283"/>
              <w:ind w:left="0" w:right="0" w:hanging="0"/>
              <w:jc w:val="left"/>
              <w:rPr/>
            </w:pPr>
            <w:r>
              <w:rPr/>
              <w:t> </w:t>
            </w:r>
          </w:p>
        </w:tc>
        <w:tc>
          <w:tcPr>
            <w:tcW w:w="798" w:type="dxa"/>
            <w:tcBorders/>
            <w:tcMar>
              <w:bottom w:w="0"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85 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tbl>
      <w:tblPr>
        <w:tblW w:w="10205" w:type="dxa"/>
        <w:jc w:val="left"/>
        <w:tblInd w:w="0" w:type="dxa"/>
        <w:tblLayout w:type="fixed"/>
        <w:tblCellMar>
          <w:top w:w="0" w:type="dxa"/>
          <w:left w:w="0" w:type="dxa"/>
          <w:bottom w:w="28" w:type="dxa"/>
          <w:right w:w="0" w:type="dxa"/>
        </w:tblCellMar>
      </w:tblPr>
      <w:tblGrid>
        <w:gridCol w:w="868"/>
        <w:gridCol w:w="7460"/>
        <w:gridCol w:w="1078"/>
        <w:gridCol w:w="799"/>
      </w:tblGrid>
      <w:tr>
        <w:trPr/>
        <w:tc>
          <w:tcPr>
            <w:tcW w:w="868" w:type="dxa"/>
            <w:tcBorders>
              <w:bottom w:val="single" w:sz="12" w:space="0" w:color="000000"/>
            </w:tcBorders>
            <w:vAlign w:val="center"/>
          </w:tcPr>
          <w:p>
            <w:pPr>
              <w:pStyle w:val="TableContents"/>
              <w:bidi w:val="0"/>
              <w:spacing w:before="0" w:after="283"/>
              <w:ind w:left="0" w:right="0" w:hanging="0"/>
              <w:jc w:val="center"/>
              <w:rPr>
                <w:b/>
              </w:rPr>
            </w:pPr>
            <w:r>
              <w:rPr>
                <w:b/>
              </w:rPr>
              <w:t>Exhibit No.</w:t>
            </w:r>
          </w:p>
        </w:tc>
        <w:tc>
          <w:tcPr>
            <w:tcW w:w="7460" w:type="dxa"/>
            <w:tcBorders>
              <w:bottom w:val="single" w:sz="12" w:space="0" w:color="000000"/>
            </w:tcBorders>
            <w:vAlign w:val="center"/>
          </w:tcPr>
          <w:p>
            <w:pPr>
              <w:pStyle w:val="TableContents"/>
              <w:bidi w:val="0"/>
              <w:spacing w:before="0" w:after="283"/>
              <w:ind w:left="0" w:right="0" w:hanging="0"/>
              <w:jc w:val="center"/>
              <w:rPr>
                <w:b/>
              </w:rPr>
            </w:pPr>
            <w:r>
              <w:rPr>
                <w:b/>
              </w:rPr>
              <w:t>Document Description</w:t>
            </w:r>
          </w:p>
        </w:tc>
        <w:tc>
          <w:tcPr>
            <w:tcW w:w="1078" w:type="dxa"/>
            <w:tcBorders>
              <w:bottom w:val="single" w:sz="12" w:space="0" w:color="000000"/>
            </w:tcBorders>
            <w:vAlign w:val="center"/>
          </w:tcPr>
          <w:p>
            <w:pPr>
              <w:pStyle w:val="TableContents"/>
              <w:bidi w:val="0"/>
              <w:spacing w:before="0" w:after="283"/>
              <w:ind w:left="0" w:right="0" w:hanging="0"/>
              <w:jc w:val="center"/>
              <w:rPr>
                <w:b/>
              </w:rPr>
            </w:pPr>
            <w:r>
              <w:rPr>
                <w:b/>
              </w:rPr>
              <w:t xml:space="preserve">Previous </w:t>
            </w:r>
            <w:r>
              <w:rPr>
                <w:b/>
                <w:sz w:val="20"/>
              </w:rPr>
              <w:br/>
              <w:t xml:space="preserve">Registration </w:t>
            </w:r>
            <w:r>
              <w:rPr>
                <w:b/>
              </w:rPr>
              <w:br/>
              <w:t>No.</w:t>
            </w:r>
          </w:p>
        </w:tc>
        <w:tc>
          <w:tcPr>
            <w:tcW w:w="799" w:type="dxa"/>
            <w:tcBorders>
              <w:bottom w:val="single" w:sz="12" w:space="0" w:color="000000"/>
            </w:tcBorders>
            <w:vAlign w:val="center"/>
          </w:tcPr>
          <w:p>
            <w:pPr>
              <w:pStyle w:val="TableContents"/>
              <w:bidi w:val="0"/>
              <w:spacing w:before="0" w:after="283"/>
              <w:ind w:left="0" w:right="0" w:hanging="0"/>
              <w:jc w:val="center"/>
              <w:rPr>
                <w:b/>
              </w:rPr>
            </w:pPr>
            <w:r>
              <w:rPr>
                <w:b/>
              </w:rPr>
              <w:t xml:space="preserve">Filing’s </w:t>
              <w:br/>
              <w:t xml:space="preserve">Exhibit </w:t>
              <w:br/>
              <w:t>No.</w:t>
            </w:r>
          </w:p>
        </w:tc>
      </w:tr>
      <w:tr>
        <w:trPr/>
        <w:tc>
          <w:tcPr>
            <w:tcW w:w="868" w:type="dxa"/>
            <w:tcBorders/>
            <w:tcMar>
              <w:bottom w:w="0" w:type="dxa"/>
            </w:tcMar>
            <w:vAlign w:val="center"/>
          </w:tcPr>
          <w:p>
            <w:pPr>
              <w:pStyle w:val="TableContents"/>
              <w:bidi w:val="0"/>
              <w:spacing w:before="0" w:after="283"/>
              <w:ind w:left="0" w:right="0" w:hanging="0"/>
              <w:jc w:val="center"/>
              <w:rPr/>
            </w:pPr>
            <w:r>
              <w:rPr/>
              <w:t>10.37</w:t>
            </w:r>
          </w:p>
        </w:tc>
        <w:tc>
          <w:tcPr>
            <w:tcW w:w="7460" w:type="dxa"/>
            <w:tcBorders/>
            <w:tcMar>
              <w:bottom w:w="0" w:type="dxa"/>
            </w:tcMar>
            <w:vAlign w:val="center"/>
          </w:tcPr>
          <w:p>
            <w:pPr>
              <w:pStyle w:val="TableContents"/>
              <w:bidi w:val="0"/>
              <w:spacing w:before="0" w:after="283"/>
              <w:ind w:left="0" w:right="0" w:hanging="0"/>
              <w:jc w:val="both"/>
              <w:rPr/>
            </w:pPr>
            <w:hyperlink r:id="rId67">
              <w:r>
                <w:rPr>
                  <w:rStyle w:val="InternetLink"/>
                </w:rPr>
                <w:t>Loan Agreement, dated May 1, 2014, between New Jersey Environmental Infrastructure Trust and the Company (Series WW), filed as Exhibit 10.44 of the Company’s Quarterly Report on Form 10-Q for the quarter ended June 30, 2014.</w:t>
              </w:r>
            </w:hyperlink>
          </w:p>
        </w:tc>
        <w:tc>
          <w:tcPr>
            <w:tcW w:w="1078" w:type="dxa"/>
            <w:tcBorders/>
            <w:tcMar>
              <w:bottom w:w="0" w:type="dxa"/>
            </w:tcMar>
            <w:vAlign w:val="center"/>
          </w:tcPr>
          <w:p>
            <w:pPr>
              <w:pStyle w:val="TableContents"/>
              <w:bidi w:val="0"/>
              <w:spacing w:before="0" w:after="283"/>
              <w:ind w:left="0" w:right="0" w:hanging="0"/>
              <w:jc w:val="left"/>
              <w:rPr/>
            </w:pPr>
            <w:r>
              <w:rPr/>
              <w:t> </w:t>
            </w:r>
          </w:p>
        </w:tc>
        <w:tc>
          <w:tcPr>
            <w:tcW w:w="799" w:type="dxa"/>
            <w:tcBorders/>
            <w:tcMar>
              <w:bottom w:w="0" w:type="dxa"/>
            </w:tcMar>
            <w:vAlign w:val="center"/>
          </w:tcPr>
          <w:p>
            <w:pPr>
              <w:pStyle w:val="TableContents"/>
              <w:bidi w:val="0"/>
              <w:spacing w:before="0" w:after="283"/>
              <w:ind w:left="0" w:right="0" w:hanging="0"/>
              <w:jc w:val="left"/>
              <w:rPr/>
            </w:pPr>
            <w:r>
              <w:rPr/>
              <w:t> </w:t>
            </w:r>
          </w:p>
        </w:tc>
      </w:tr>
      <w:tr>
        <w:trPr/>
        <w:tc>
          <w:tcPr>
            <w:tcW w:w="868" w:type="dxa"/>
            <w:tcBorders/>
            <w:tcMar>
              <w:bottom w:w="0" w:type="dxa"/>
            </w:tcMar>
            <w:vAlign w:val="center"/>
          </w:tcPr>
          <w:p>
            <w:pPr>
              <w:pStyle w:val="TableContents"/>
              <w:bidi w:val="0"/>
              <w:spacing w:before="0" w:after="283"/>
              <w:ind w:left="0" w:right="0" w:hanging="0"/>
              <w:jc w:val="center"/>
              <w:rPr/>
            </w:pPr>
            <w:r>
              <w:rPr/>
              <w:t>10.38</w:t>
            </w:r>
          </w:p>
        </w:tc>
        <w:tc>
          <w:tcPr>
            <w:tcW w:w="7460" w:type="dxa"/>
            <w:tcBorders/>
            <w:tcMar>
              <w:bottom w:w="0" w:type="dxa"/>
            </w:tcMar>
            <w:vAlign w:val="center"/>
          </w:tcPr>
          <w:p>
            <w:pPr>
              <w:pStyle w:val="TableContents"/>
              <w:bidi w:val="0"/>
              <w:spacing w:before="0" w:after="283"/>
              <w:ind w:left="0" w:right="0" w:hanging="0"/>
              <w:jc w:val="both"/>
              <w:rPr/>
            </w:pPr>
            <w:hyperlink r:id="rId68">
              <w:r>
                <w:rPr>
                  <w:rStyle w:val="InternetLink"/>
                </w:rPr>
                <w:t>Loan Agreement, dated November 1, 2017, between New Jersey Environmental Infrastructure Trust and the Company (Series XX), filed as Exhibit 10.44 of the Company’s Annual Report on Form 10-K for the year ended December 31, 2017.</w:t>
              </w:r>
            </w:hyperlink>
          </w:p>
        </w:tc>
        <w:tc>
          <w:tcPr>
            <w:tcW w:w="1078" w:type="dxa"/>
            <w:tcBorders/>
            <w:tcMar>
              <w:bottom w:w="0" w:type="dxa"/>
            </w:tcMar>
            <w:vAlign w:val="center"/>
          </w:tcPr>
          <w:p>
            <w:pPr>
              <w:pStyle w:val="TableContents"/>
              <w:bidi w:val="0"/>
              <w:spacing w:before="0" w:after="283"/>
              <w:ind w:left="0" w:right="0" w:hanging="0"/>
              <w:jc w:val="left"/>
              <w:rPr/>
            </w:pPr>
            <w:r>
              <w:rPr/>
              <w:t> </w:t>
            </w:r>
          </w:p>
        </w:tc>
        <w:tc>
          <w:tcPr>
            <w:tcW w:w="799" w:type="dxa"/>
            <w:tcBorders/>
            <w:tcMar>
              <w:bottom w:w="0" w:type="dxa"/>
            </w:tcMar>
            <w:vAlign w:val="center"/>
          </w:tcPr>
          <w:p>
            <w:pPr>
              <w:pStyle w:val="TableContents"/>
              <w:bidi w:val="0"/>
              <w:spacing w:before="0" w:after="283"/>
              <w:ind w:left="0" w:right="0" w:hanging="0"/>
              <w:jc w:val="left"/>
              <w:rPr/>
            </w:pPr>
            <w:r>
              <w:rPr/>
              <w:t> </w:t>
            </w:r>
          </w:p>
        </w:tc>
      </w:tr>
      <w:tr>
        <w:trPr/>
        <w:tc>
          <w:tcPr>
            <w:tcW w:w="868" w:type="dxa"/>
            <w:tcBorders/>
            <w:tcMar>
              <w:bottom w:w="0" w:type="dxa"/>
            </w:tcMar>
            <w:vAlign w:val="center"/>
          </w:tcPr>
          <w:p>
            <w:pPr>
              <w:pStyle w:val="TableContents"/>
              <w:bidi w:val="0"/>
              <w:spacing w:before="0" w:after="283"/>
              <w:ind w:left="0" w:right="0" w:hanging="0"/>
              <w:jc w:val="center"/>
              <w:rPr/>
            </w:pPr>
            <w:r>
              <w:rPr/>
              <w:t>10.39</w:t>
            </w:r>
          </w:p>
        </w:tc>
        <w:tc>
          <w:tcPr>
            <w:tcW w:w="7460" w:type="dxa"/>
            <w:tcBorders/>
            <w:tcMar>
              <w:bottom w:w="0" w:type="dxa"/>
            </w:tcMar>
            <w:vAlign w:val="center"/>
          </w:tcPr>
          <w:p>
            <w:pPr>
              <w:pStyle w:val="TableContents"/>
              <w:bidi w:val="0"/>
              <w:spacing w:before="0" w:after="283"/>
              <w:ind w:left="0" w:right="0" w:hanging="0"/>
              <w:jc w:val="both"/>
              <w:rPr/>
            </w:pPr>
            <w:hyperlink r:id="rId69">
              <w:r>
                <w:rPr>
                  <w:rStyle w:val="InternetLink"/>
                </w:rPr>
                <w:t>Loan Agreement, dated November 1, 2017, between New Jersey Environmental Infrastructure Trust and the Company (Series YY), filed as Exhibit 10.45 of the Company’s Annual Report on Form 10-K for the year ended December 31, 2017.</w:t>
              </w:r>
            </w:hyperlink>
          </w:p>
        </w:tc>
        <w:tc>
          <w:tcPr>
            <w:tcW w:w="1078" w:type="dxa"/>
            <w:tcBorders/>
            <w:tcMar>
              <w:bottom w:w="0" w:type="dxa"/>
            </w:tcMar>
            <w:vAlign w:val="center"/>
          </w:tcPr>
          <w:p>
            <w:pPr>
              <w:pStyle w:val="TableContents"/>
              <w:bidi w:val="0"/>
              <w:spacing w:before="0" w:after="283"/>
              <w:ind w:left="0" w:right="0" w:hanging="0"/>
              <w:jc w:val="left"/>
              <w:rPr/>
            </w:pPr>
            <w:r>
              <w:rPr/>
              <w:t> </w:t>
            </w:r>
          </w:p>
        </w:tc>
        <w:tc>
          <w:tcPr>
            <w:tcW w:w="799" w:type="dxa"/>
            <w:tcBorders/>
            <w:tcMar>
              <w:bottom w:w="0" w:type="dxa"/>
            </w:tcMar>
            <w:vAlign w:val="center"/>
          </w:tcPr>
          <w:p>
            <w:pPr>
              <w:pStyle w:val="TableContents"/>
              <w:bidi w:val="0"/>
              <w:spacing w:before="0" w:after="283"/>
              <w:ind w:left="0" w:right="0" w:hanging="0"/>
              <w:jc w:val="left"/>
              <w:rPr/>
            </w:pPr>
            <w:r>
              <w:rPr/>
              <w:t> </w:t>
            </w:r>
          </w:p>
        </w:tc>
      </w:tr>
      <w:tr>
        <w:trPr/>
        <w:tc>
          <w:tcPr>
            <w:tcW w:w="868" w:type="dxa"/>
            <w:tcBorders/>
            <w:tcMar>
              <w:bottom w:w="0" w:type="dxa"/>
            </w:tcMar>
            <w:vAlign w:val="center"/>
          </w:tcPr>
          <w:p>
            <w:pPr>
              <w:pStyle w:val="TableContents"/>
              <w:bidi w:val="0"/>
              <w:spacing w:before="0" w:after="283"/>
              <w:ind w:left="0" w:right="0" w:hanging="0"/>
              <w:jc w:val="center"/>
              <w:rPr/>
            </w:pPr>
            <w:r>
              <w:rPr/>
              <w:t>10.40</w:t>
            </w:r>
          </w:p>
        </w:tc>
        <w:tc>
          <w:tcPr>
            <w:tcW w:w="7460" w:type="dxa"/>
            <w:tcBorders/>
            <w:tcMar>
              <w:bottom w:w="0" w:type="dxa"/>
            </w:tcMar>
            <w:vAlign w:val="center"/>
          </w:tcPr>
          <w:p>
            <w:pPr>
              <w:pStyle w:val="TableContents"/>
              <w:bidi w:val="0"/>
              <w:spacing w:before="0" w:after="283"/>
              <w:ind w:left="0" w:right="0" w:hanging="0"/>
              <w:jc w:val="both"/>
              <w:rPr/>
            </w:pPr>
            <w:hyperlink r:id="rId70">
              <w:r>
                <w:rPr>
                  <w:rStyle w:val="InternetLink"/>
                </w:rPr>
                <w:t>Loan Agreement, dated May 1, 2018, between New Jersey Environmental Infrastructure Trust and the Company (Series 2018A), filed as Exhibit 10.46 of the Company’s Quarterly Report on Form 10-Q for the quarter ended June 30, 2018.</w:t>
              </w:r>
            </w:hyperlink>
          </w:p>
        </w:tc>
        <w:tc>
          <w:tcPr>
            <w:tcW w:w="1078" w:type="dxa"/>
            <w:tcBorders/>
            <w:tcMar>
              <w:bottom w:w="0" w:type="dxa"/>
            </w:tcMar>
            <w:vAlign w:val="center"/>
          </w:tcPr>
          <w:p>
            <w:pPr>
              <w:pStyle w:val="TableContents"/>
              <w:bidi w:val="0"/>
              <w:spacing w:before="0" w:after="283"/>
              <w:ind w:left="0" w:right="0" w:hanging="0"/>
              <w:jc w:val="left"/>
              <w:rPr/>
            </w:pPr>
            <w:r>
              <w:rPr/>
              <w:t> </w:t>
            </w:r>
          </w:p>
        </w:tc>
        <w:tc>
          <w:tcPr>
            <w:tcW w:w="799" w:type="dxa"/>
            <w:tcBorders/>
            <w:tcMar>
              <w:bottom w:w="0" w:type="dxa"/>
            </w:tcMar>
            <w:vAlign w:val="center"/>
          </w:tcPr>
          <w:p>
            <w:pPr>
              <w:pStyle w:val="TableContents"/>
              <w:bidi w:val="0"/>
              <w:spacing w:before="0" w:after="283"/>
              <w:ind w:left="0" w:right="0" w:hanging="0"/>
              <w:jc w:val="left"/>
              <w:rPr/>
            </w:pPr>
            <w:r>
              <w:rPr/>
              <w:t> </w:t>
            </w:r>
          </w:p>
        </w:tc>
      </w:tr>
      <w:tr>
        <w:trPr/>
        <w:tc>
          <w:tcPr>
            <w:tcW w:w="868" w:type="dxa"/>
            <w:tcBorders/>
            <w:tcMar>
              <w:bottom w:w="0" w:type="dxa"/>
            </w:tcMar>
            <w:vAlign w:val="center"/>
          </w:tcPr>
          <w:p>
            <w:pPr>
              <w:pStyle w:val="TableContents"/>
              <w:bidi w:val="0"/>
              <w:spacing w:before="0" w:after="283"/>
              <w:ind w:left="0" w:right="0" w:hanging="0"/>
              <w:jc w:val="center"/>
              <w:rPr/>
            </w:pPr>
            <w:r>
              <w:rPr/>
              <w:t>10.41</w:t>
            </w:r>
          </w:p>
        </w:tc>
        <w:tc>
          <w:tcPr>
            <w:tcW w:w="7460" w:type="dxa"/>
            <w:tcBorders/>
            <w:tcMar>
              <w:bottom w:w="0" w:type="dxa"/>
            </w:tcMar>
            <w:vAlign w:val="center"/>
          </w:tcPr>
          <w:p>
            <w:pPr>
              <w:pStyle w:val="TableContents"/>
              <w:bidi w:val="0"/>
              <w:spacing w:before="0" w:after="283"/>
              <w:ind w:left="0" w:right="0" w:hanging="0"/>
              <w:jc w:val="both"/>
              <w:rPr/>
            </w:pPr>
            <w:hyperlink r:id="rId71">
              <w:r>
                <w:rPr>
                  <w:rStyle w:val="InternetLink"/>
                </w:rPr>
                <w:t>Loan Agreement, dated May 1, 2018, between New Jersey Environmental Infrastructure Trust and the Company (Series 2018B), filed as Exhibit 10.47 of the Company’s Quarterly Report on Form 10-Q for the quarter ended June 30, 2018.</w:t>
              </w:r>
            </w:hyperlink>
          </w:p>
        </w:tc>
        <w:tc>
          <w:tcPr>
            <w:tcW w:w="1078" w:type="dxa"/>
            <w:tcBorders/>
            <w:tcMar>
              <w:bottom w:w="0" w:type="dxa"/>
            </w:tcMar>
            <w:vAlign w:val="center"/>
          </w:tcPr>
          <w:p>
            <w:pPr>
              <w:pStyle w:val="TableContents"/>
              <w:bidi w:val="0"/>
              <w:spacing w:before="0" w:after="283"/>
              <w:ind w:left="0" w:right="0" w:hanging="0"/>
              <w:jc w:val="left"/>
              <w:rPr/>
            </w:pPr>
            <w:r>
              <w:rPr/>
              <w:t> </w:t>
            </w:r>
          </w:p>
        </w:tc>
        <w:tc>
          <w:tcPr>
            <w:tcW w:w="799" w:type="dxa"/>
            <w:tcBorders/>
            <w:tcMar>
              <w:bottom w:w="0" w:type="dxa"/>
            </w:tcMar>
            <w:vAlign w:val="center"/>
          </w:tcPr>
          <w:p>
            <w:pPr>
              <w:pStyle w:val="TableContents"/>
              <w:bidi w:val="0"/>
              <w:spacing w:before="0" w:after="283"/>
              <w:ind w:left="0" w:right="0" w:hanging="0"/>
              <w:jc w:val="left"/>
              <w:rPr/>
            </w:pPr>
            <w:r>
              <w:rPr/>
              <w:t> </w:t>
            </w:r>
          </w:p>
        </w:tc>
      </w:tr>
      <w:tr>
        <w:trPr/>
        <w:tc>
          <w:tcPr>
            <w:tcW w:w="868" w:type="dxa"/>
            <w:tcBorders/>
            <w:tcMar>
              <w:bottom w:w="0" w:type="dxa"/>
            </w:tcMar>
            <w:vAlign w:val="center"/>
          </w:tcPr>
          <w:p>
            <w:pPr>
              <w:pStyle w:val="TableContents"/>
              <w:bidi w:val="0"/>
              <w:spacing w:before="0" w:after="283"/>
              <w:ind w:left="0" w:right="0" w:hanging="0"/>
              <w:jc w:val="center"/>
              <w:rPr/>
            </w:pPr>
            <w:r>
              <w:rPr/>
              <w:t>10.42</w:t>
            </w:r>
          </w:p>
        </w:tc>
        <w:tc>
          <w:tcPr>
            <w:tcW w:w="7460" w:type="dxa"/>
            <w:tcBorders/>
            <w:tcMar>
              <w:bottom w:w="0" w:type="dxa"/>
            </w:tcMar>
            <w:vAlign w:val="center"/>
          </w:tcPr>
          <w:p>
            <w:pPr>
              <w:pStyle w:val="TableContents"/>
              <w:bidi w:val="0"/>
              <w:spacing w:before="0" w:after="283"/>
              <w:ind w:left="0" w:right="0" w:hanging="0"/>
              <w:jc w:val="both"/>
              <w:rPr/>
            </w:pPr>
            <w:hyperlink r:id="rId72">
              <w:r>
                <w:rPr>
                  <w:rStyle w:val="InternetLink"/>
                </w:rPr>
                <w:t>Loan Agreement, dated August 1, 2019, between New Jersey Economic Development Authority and the Company (Series 2019A and Series 2019B), filed as Exhibit 10.50 to the Company’s Current Report on Form 8-K filed September 6, 2019.</w:t>
              </w:r>
            </w:hyperlink>
          </w:p>
        </w:tc>
        <w:tc>
          <w:tcPr>
            <w:tcW w:w="1078" w:type="dxa"/>
            <w:tcBorders/>
            <w:tcMar>
              <w:bottom w:w="0" w:type="dxa"/>
            </w:tcMar>
            <w:vAlign w:val="center"/>
          </w:tcPr>
          <w:p>
            <w:pPr>
              <w:pStyle w:val="TableContents"/>
              <w:bidi w:val="0"/>
              <w:spacing w:before="0" w:after="283"/>
              <w:ind w:left="0" w:right="0" w:hanging="0"/>
              <w:jc w:val="left"/>
              <w:rPr/>
            </w:pPr>
            <w:r>
              <w:rPr/>
              <w:t> </w:t>
            </w:r>
          </w:p>
        </w:tc>
        <w:tc>
          <w:tcPr>
            <w:tcW w:w="799" w:type="dxa"/>
            <w:tcBorders/>
            <w:tcMar>
              <w:bottom w:w="0" w:type="dxa"/>
            </w:tcMar>
            <w:vAlign w:val="center"/>
          </w:tcPr>
          <w:p>
            <w:pPr>
              <w:pStyle w:val="TableContents"/>
              <w:bidi w:val="0"/>
              <w:spacing w:before="0" w:after="283"/>
              <w:ind w:left="0" w:right="0" w:hanging="0"/>
              <w:jc w:val="left"/>
              <w:rPr/>
            </w:pPr>
            <w:r>
              <w:rPr/>
              <w:t> </w:t>
            </w:r>
          </w:p>
        </w:tc>
      </w:tr>
      <w:tr>
        <w:trPr/>
        <w:tc>
          <w:tcPr>
            <w:tcW w:w="868" w:type="dxa"/>
            <w:tcBorders/>
            <w:tcMar>
              <w:bottom w:w="0" w:type="dxa"/>
            </w:tcMar>
            <w:vAlign w:val="center"/>
          </w:tcPr>
          <w:p>
            <w:pPr>
              <w:pStyle w:val="TableContents"/>
              <w:bidi w:val="0"/>
              <w:spacing w:before="0" w:after="283"/>
              <w:ind w:left="0" w:right="0" w:hanging="0"/>
              <w:jc w:val="center"/>
              <w:rPr/>
            </w:pPr>
            <w:r>
              <w:rPr/>
              <w:t>10.43</w:t>
            </w:r>
          </w:p>
        </w:tc>
        <w:tc>
          <w:tcPr>
            <w:tcW w:w="7460" w:type="dxa"/>
            <w:tcBorders/>
            <w:tcMar>
              <w:bottom w:w="0" w:type="dxa"/>
            </w:tcMar>
            <w:vAlign w:val="center"/>
          </w:tcPr>
          <w:p>
            <w:pPr>
              <w:pStyle w:val="TableContents"/>
              <w:bidi w:val="0"/>
              <w:spacing w:before="0" w:after="283"/>
              <w:ind w:left="0" w:right="0" w:hanging="0"/>
              <w:jc w:val="both"/>
              <w:rPr/>
            </w:pPr>
            <w:hyperlink r:id="rId73">
              <w:r>
                <w:rPr>
                  <w:rStyle w:val="InternetLink"/>
                </w:rPr>
                <w:t>Bond Purchase Agreement, dated November 16, 2020, between New York Life Insurance Company and Affiliates and the Company (Series 2020A), filed as Exhibit 10.48 of the Company’s Annual Report on Form 10-K for the year ended December 31, 2020.</w:t>
              </w:r>
            </w:hyperlink>
          </w:p>
        </w:tc>
        <w:tc>
          <w:tcPr>
            <w:tcW w:w="1078" w:type="dxa"/>
            <w:tcBorders/>
            <w:tcMar>
              <w:bottom w:w="0" w:type="dxa"/>
            </w:tcMar>
            <w:vAlign w:val="center"/>
          </w:tcPr>
          <w:p>
            <w:pPr>
              <w:pStyle w:val="TableContents"/>
              <w:bidi w:val="0"/>
              <w:spacing w:before="0" w:after="283"/>
              <w:ind w:left="0" w:right="0" w:hanging="0"/>
              <w:jc w:val="left"/>
              <w:rPr/>
            </w:pPr>
            <w:r>
              <w:rPr/>
              <w:t> </w:t>
            </w:r>
          </w:p>
        </w:tc>
        <w:tc>
          <w:tcPr>
            <w:tcW w:w="799" w:type="dxa"/>
            <w:tcBorders/>
            <w:tcMar>
              <w:bottom w:w="0" w:type="dxa"/>
            </w:tcMar>
            <w:vAlign w:val="center"/>
          </w:tcPr>
          <w:p>
            <w:pPr>
              <w:pStyle w:val="TableContents"/>
              <w:bidi w:val="0"/>
              <w:spacing w:before="0" w:after="283"/>
              <w:ind w:left="0" w:right="0" w:hanging="0"/>
              <w:jc w:val="left"/>
              <w:rPr/>
            </w:pPr>
            <w:r>
              <w:rPr/>
              <w:t> </w:t>
            </w:r>
          </w:p>
        </w:tc>
      </w:tr>
      <w:tr>
        <w:trPr/>
        <w:tc>
          <w:tcPr>
            <w:tcW w:w="868" w:type="dxa"/>
            <w:tcBorders/>
            <w:tcMar>
              <w:bottom w:w="0" w:type="dxa"/>
            </w:tcMar>
            <w:vAlign w:val="center"/>
          </w:tcPr>
          <w:p>
            <w:pPr>
              <w:pStyle w:val="TableContents"/>
              <w:bidi w:val="0"/>
              <w:spacing w:before="0" w:after="283"/>
              <w:ind w:left="0" w:right="0" w:hanging="0"/>
              <w:jc w:val="center"/>
              <w:rPr/>
            </w:pPr>
            <w:r>
              <w:rPr/>
              <w:t>10.44</w:t>
            </w:r>
          </w:p>
        </w:tc>
        <w:tc>
          <w:tcPr>
            <w:tcW w:w="7460" w:type="dxa"/>
            <w:tcBorders/>
            <w:tcMar>
              <w:bottom w:w="0" w:type="dxa"/>
            </w:tcMar>
            <w:vAlign w:val="center"/>
          </w:tcPr>
          <w:p>
            <w:pPr>
              <w:pStyle w:val="TableContents"/>
              <w:bidi w:val="0"/>
              <w:spacing w:before="0" w:after="283"/>
              <w:ind w:left="0" w:right="0" w:hanging="0"/>
              <w:jc w:val="both"/>
              <w:rPr/>
            </w:pPr>
            <w:hyperlink r:id="rId74">
              <w:r>
                <w:rPr>
                  <w:rStyle w:val="InternetLink"/>
                </w:rPr>
                <w:t>Bond Purchase Agreement, dated November 5, 2021, between New York Life Insurance Company and Affiliates and the Company (Series 2021A and Series 2021B), filed as Exhibit 10.46 of the Company’s Annual Report on Form 10-K for the year ended December 31, 2021.</w:t>
              </w:r>
            </w:hyperlink>
          </w:p>
        </w:tc>
        <w:tc>
          <w:tcPr>
            <w:tcW w:w="1078" w:type="dxa"/>
            <w:tcBorders/>
            <w:tcMar>
              <w:bottom w:w="0" w:type="dxa"/>
            </w:tcMar>
            <w:vAlign w:val="center"/>
          </w:tcPr>
          <w:p>
            <w:pPr>
              <w:pStyle w:val="TableContents"/>
              <w:bidi w:val="0"/>
              <w:spacing w:before="0" w:after="283"/>
              <w:ind w:left="0" w:right="0" w:hanging="0"/>
              <w:jc w:val="left"/>
              <w:rPr/>
            </w:pPr>
            <w:r>
              <w:rPr/>
              <w:t> </w:t>
            </w:r>
          </w:p>
        </w:tc>
        <w:tc>
          <w:tcPr>
            <w:tcW w:w="799" w:type="dxa"/>
            <w:tcBorders/>
            <w:tcMar>
              <w:bottom w:w="0" w:type="dxa"/>
            </w:tcMar>
            <w:vAlign w:val="center"/>
          </w:tcPr>
          <w:p>
            <w:pPr>
              <w:pStyle w:val="TableContents"/>
              <w:bidi w:val="0"/>
              <w:spacing w:before="0" w:after="283"/>
              <w:ind w:left="0" w:right="0" w:hanging="0"/>
              <w:jc w:val="left"/>
              <w:rPr/>
            </w:pPr>
            <w:r>
              <w:rPr/>
              <w:t> </w:t>
            </w:r>
          </w:p>
        </w:tc>
      </w:tr>
      <w:tr>
        <w:trPr/>
        <w:tc>
          <w:tcPr>
            <w:tcW w:w="868" w:type="dxa"/>
            <w:tcBorders/>
            <w:tcMar>
              <w:bottom w:w="0" w:type="dxa"/>
            </w:tcMar>
            <w:vAlign w:val="center"/>
          </w:tcPr>
          <w:p>
            <w:pPr>
              <w:pStyle w:val="TableContents"/>
              <w:bidi w:val="0"/>
              <w:spacing w:before="0" w:after="283"/>
              <w:ind w:left="0" w:right="0" w:hanging="0"/>
              <w:jc w:val="center"/>
              <w:rPr/>
            </w:pPr>
            <w:r>
              <w:rPr/>
              <w:t>10.45</w:t>
            </w:r>
          </w:p>
        </w:tc>
        <w:tc>
          <w:tcPr>
            <w:tcW w:w="7460" w:type="dxa"/>
            <w:tcBorders/>
            <w:tcMar>
              <w:bottom w:w="0" w:type="dxa"/>
            </w:tcMar>
            <w:vAlign w:val="center"/>
          </w:tcPr>
          <w:p>
            <w:pPr>
              <w:pStyle w:val="TableContents"/>
              <w:bidi w:val="0"/>
              <w:spacing w:before="0" w:after="283"/>
              <w:ind w:left="0" w:right="0" w:hanging="0"/>
              <w:jc w:val="both"/>
              <w:rPr/>
            </w:pPr>
            <w:hyperlink r:id="rId75">
              <w:r>
                <w:rPr>
                  <w:rStyle w:val="InternetLink"/>
                </w:rPr>
                <w:t>Financing Agreement, dated December 16, 2021, between the Delaware Drinking Water State Revolving Fund, acting by and through the Delaware Department of Health &amp; Social Services, and Tidewater Utilities, Inc, filed as Exhibit 10.46 of the Company’s Annual Report on Form 10-K for the year ended December 31, 2021.</w:t>
              </w:r>
            </w:hyperlink>
          </w:p>
        </w:tc>
        <w:tc>
          <w:tcPr>
            <w:tcW w:w="1078" w:type="dxa"/>
            <w:tcBorders/>
            <w:tcMar>
              <w:bottom w:w="0" w:type="dxa"/>
            </w:tcMar>
            <w:vAlign w:val="center"/>
          </w:tcPr>
          <w:p>
            <w:pPr>
              <w:pStyle w:val="TableContents"/>
              <w:bidi w:val="0"/>
              <w:spacing w:before="0" w:after="283"/>
              <w:ind w:left="0" w:right="0" w:hanging="0"/>
              <w:jc w:val="left"/>
              <w:rPr/>
            </w:pPr>
            <w:r>
              <w:rPr/>
              <w:t> </w:t>
            </w:r>
          </w:p>
        </w:tc>
        <w:tc>
          <w:tcPr>
            <w:tcW w:w="799" w:type="dxa"/>
            <w:tcBorders/>
            <w:tcMar>
              <w:bottom w:w="0" w:type="dxa"/>
            </w:tcMar>
            <w:vAlign w:val="center"/>
          </w:tcPr>
          <w:p>
            <w:pPr>
              <w:pStyle w:val="TableContents"/>
              <w:bidi w:val="0"/>
              <w:spacing w:before="0" w:after="283"/>
              <w:ind w:left="0" w:right="0" w:hanging="0"/>
              <w:jc w:val="left"/>
              <w:rPr/>
            </w:pPr>
            <w:r>
              <w:rPr/>
              <w:t> </w:t>
            </w:r>
          </w:p>
        </w:tc>
      </w:tr>
      <w:tr>
        <w:trPr/>
        <w:tc>
          <w:tcPr>
            <w:tcW w:w="868" w:type="dxa"/>
            <w:tcBorders/>
            <w:tcMar>
              <w:bottom w:w="0" w:type="dxa"/>
            </w:tcMar>
            <w:vAlign w:val="center"/>
          </w:tcPr>
          <w:p>
            <w:pPr>
              <w:pStyle w:val="TableContents"/>
              <w:bidi w:val="0"/>
              <w:spacing w:before="0" w:after="283"/>
              <w:ind w:left="0" w:right="0" w:hanging="0"/>
              <w:jc w:val="center"/>
              <w:rPr/>
            </w:pPr>
            <w:r>
              <w:rPr/>
              <w:t>10.46</w:t>
            </w:r>
          </w:p>
        </w:tc>
        <w:tc>
          <w:tcPr>
            <w:tcW w:w="7460" w:type="dxa"/>
            <w:tcBorders/>
            <w:tcMar>
              <w:bottom w:w="0" w:type="dxa"/>
            </w:tcMar>
            <w:vAlign w:val="center"/>
          </w:tcPr>
          <w:p>
            <w:pPr>
              <w:pStyle w:val="TableContents"/>
              <w:bidi w:val="0"/>
              <w:spacing w:before="0" w:after="283"/>
              <w:ind w:left="0" w:right="0" w:hanging="0"/>
              <w:jc w:val="both"/>
              <w:rPr/>
            </w:pPr>
            <w:hyperlink r:id="rId76">
              <w:r>
                <w:rPr>
                  <w:rStyle w:val="InternetLink"/>
                </w:rPr>
                <w:t>Loan Agreement, dated May 1, 2022, between New Jersey Infrastructure Bank and the Company (Series 2022A), filed as Exhibit 10.40 of the Company’s Quarterly Report on Form 10-Q for the quarterly period ended June 30, 2022.</w:t>
              </w:r>
            </w:hyperlink>
          </w:p>
        </w:tc>
        <w:tc>
          <w:tcPr>
            <w:tcW w:w="1078" w:type="dxa"/>
            <w:tcBorders/>
            <w:tcMar>
              <w:bottom w:w="0" w:type="dxa"/>
            </w:tcMar>
            <w:vAlign w:val="center"/>
          </w:tcPr>
          <w:p>
            <w:pPr>
              <w:pStyle w:val="TableContents"/>
              <w:bidi w:val="0"/>
              <w:spacing w:before="0" w:after="283"/>
              <w:ind w:left="0" w:right="0" w:hanging="0"/>
              <w:jc w:val="left"/>
              <w:rPr/>
            </w:pPr>
            <w:r>
              <w:rPr/>
              <w:t> </w:t>
            </w:r>
          </w:p>
        </w:tc>
        <w:tc>
          <w:tcPr>
            <w:tcW w:w="799" w:type="dxa"/>
            <w:tcBorders/>
            <w:tcMar>
              <w:bottom w:w="0"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86 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28"/>
        <w:gridCol w:w="7717"/>
        <w:gridCol w:w="1078"/>
        <w:gridCol w:w="682"/>
      </w:tblGrid>
      <w:tr>
        <w:trPr/>
        <w:tc>
          <w:tcPr>
            <w:tcW w:w="728" w:type="dxa"/>
            <w:tcBorders>
              <w:bottom w:val="single" w:sz="12" w:space="0" w:color="000000"/>
            </w:tcBorders>
            <w:vAlign w:val="center"/>
          </w:tcPr>
          <w:p>
            <w:pPr>
              <w:pStyle w:val="TableContents"/>
              <w:bidi w:val="0"/>
              <w:spacing w:before="0" w:after="283"/>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7717" w:type="dxa"/>
            <w:tcBorders>
              <w:bottom w:val="single" w:sz="12" w:space="0" w:color="000000"/>
            </w:tcBorders>
            <w:vAlign w:val="center"/>
          </w:tcPr>
          <w:p>
            <w:pPr>
              <w:pStyle w:val="TableContents"/>
              <w:bidi w:val="0"/>
              <w:spacing w:before="0" w:after="283"/>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Document Description</w:t>
            </w:r>
          </w:p>
        </w:tc>
        <w:tc>
          <w:tcPr>
            <w:tcW w:w="1078" w:type="dxa"/>
            <w:tcBorders>
              <w:bottom w:val="single" w:sz="12" w:space="0" w:color="000000"/>
            </w:tcBorders>
            <w:vAlign w:val="center"/>
          </w:tcPr>
          <w:p>
            <w:pPr>
              <w:pStyle w:val="TableContents"/>
              <w:bidi w:val="0"/>
              <w:spacing w:before="0" w:after="283"/>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Previous </w:t>
              <w:br/>
              <w:t xml:space="preserve">Registration </w:t>
              <w:br/>
              <w:t>No.</w:t>
            </w:r>
          </w:p>
        </w:tc>
        <w:tc>
          <w:tcPr>
            <w:tcW w:w="682" w:type="dxa"/>
            <w:tcBorders>
              <w:bottom w:val="single" w:sz="12" w:space="0" w:color="000000"/>
            </w:tcBorders>
            <w:vAlign w:val="center"/>
          </w:tcPr>
          <w:p>
            <w:pPr>
              <w:pStyle w:val="TableContents"/>
              <w:bidi w:val="0"/>
              <w:spacing w:before="0" w:after="283"/>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Filing’s</w:t>
              <w:br/>
              <w:t>Exhibit</w:t>
              <w:br/>
              <w:t>No.</w:t>
            </w:r>
          </w:p>
        </w:tc>
      </w:tr>
      <w:tr>
        <w:trPr/>
        <w:tc>
          <w:tcPr>
            <w:tcW w:w="728" w:type="dxa"/>
            <w:tcBorders/>
            <w:tcMar>
              <w:bottom w:w="0" w:type="dxa"/>
            </w:tcMar>
            <w:vAlign w:val="center"/>
          </w:tcPr>
          <w:p>
            <w:pPr>
              <w:pStyle w:val="TableContents"/>
              <w:bidi w:val="0"/>
              <w:spacing w:before="0" w:after="283"/>
              <w:ind w:left="0" w:right="0" w:hanging="0"/>
              <w:jc w:val="center"/>
              <w:rPr/>
            </w:pPr>
            <w:r>
              <w:rPr/>
              <w:t>10.47</w:t>
            </w:r>
          </w:p>
        </w:tc>
        <w:tc>
          <w:tcPr>
            <w:tcW w:w="7717" w:type="dxa"/>
            <w:tcBorders/>
            <w:tcMar>
              <w:bottom w:w="0" w:type="dxa"/>
            </w:tcMar>
            <w:vAlign w:val="center"/>
          </w:tcPr>
          <w:p>
            <w:pPr>
              <w:pStyle w:val="TableContents"/>
              <w:bidi w:val="0"/>
              <w:spacing w:before="0" w:after="283"/>
              <w:ind w:left="0" w:right="0" w:hanging="0"/>
              <w:jc w:val="both"/>
              <w:rPr/>
            </w:pPr>
            <w:hyperlink r:id="rId77">
              <w:r>
                <w:rPr>
                  <w:rStyle w:val="InternetLink"/>
                </w:rPr>
                <w:t>Loan Agreement, dated May 1, 2022, between the State of New Jersey, acting by and through the New Jersey Department of Environmental Protection, and the Company (Series 2022B) filed as Exhibit 10.41 of the Company’s Quarterly Report on Form 10-Q for the quarterly period ended June 30, 2022.</w:t>
              </w:r>
            </w:hyperlink>
          </w:p>
        </w:tc>
        <w:tc>
          <w:tcPr>
            <w:tcW w:w="1078" w:type="dxa"/>
            <w:tcBorders/>
            <w:tcMar>
              <w:bottom w:w="0" w:type="dxa"/>
            </w:tcMar>
            <w:vAlign w:val="center"/>
          </w:tcPr>
          <w:p>
            <w:pPr>
              <w:pStyle w:val="TableContents"/>
              <w:bidi w:val="0"/>
              <w:spacing w:before="0" w:after="283"/>
              <w:ind w:left="0" w:right="0" w:hanging="0"/>
              <w:jc w:val="left"/>
              <w:rPr/>
            </w:pPr>
            <w:r>
              <w:rPr/>
              <w:t> </w:t>
            </w:r>
          </w:p>
        </w:tc>
        <w:tc>
          <w:tcPr>
            <w:tcW w:w="682" w:type="dxa"/>
            <w:tcBorders/>
            <w:tcMar>
              <w:bottom w:w="0" w:type="dxa"/>
            </w:tcMar>
            <w:vAlign w:val="center"/>
          </w:tcPr>
          <w:p>
            <w:pPr>
              <w:pStyle w:val="TableContents"/>
              <w:bidi w:val="0"/>
              <w:spacing w:before="0" w:after="283"/>
              <w:ind w:left="0" w:right="0" w:hanging="0"/>
              <w:jc w:val="left"/>
              <w:rPr/>
            </w:pPr>
            <w:r>
              <w:rPr/>
              <w:t> </w:t>
            </w:r>
          </w:p>
        </w:tc>
      </w:tr>
      <w:tr>
        <w:trPr/>
        <w:tc>
          <w:tcPr>
            <w:tcW w:w="728" w:type="dxa"/>
            <w:tcBorders/>
            <w:tcMar>
              <w:bottom w:w="0" w:type="dxa"/>
            </w:tcMar>
            <w:vAlign w:val="center"/>
          </w:tcPr>
          <w:p>
            <w:pPr>
              <w:pStyle w:val="TableContents"/>
              <w:bidi w:val="0"/>
              <w:spacing w:before="0" w:after="283"/>
              <w:ind w:left="0" w:right="0" w:hanging="0"/>
              <w:jc w:val="center"/>
              <w:rPr/>
            </w:pPr>
            <w:r>
              <w:rPr/>
              <w:t>10.48</w:t>
            </w:r>
          </w:p>
        </w:tc>
        <w:tc>
          <w:tcPr>
            <w:tcW w:w="7717" w:type="dxa"/>
            <w:tcBorders/>
            <w:tcMar>
              <w:bottom w:w="0" w:type="dxa"/>
            </w:tcMar>
            <w:vAlign w:val="center"/>
          </w:tcPr>
          <w:p>
            <w:pPr>
              <w:pStyle w:val="TableContents"/>
              <w:bidi w:val="0"/>
              <w:spacing w:before="0" w:after="283"/>
              <w:ind w:left="0" w:right="0" w:hanging="0"/>
              <w:jc w:val="both"/>
              <w:rPr/>
            </w:pPr>
            <w:hyperlink r:id="rId78">
              <w:r>
                <w:rPr>
                  <w:rStyle w:val="InternetLink"/>
                </w:rPr>
                <w:t>Bond Purchase Agreement, dated March 2, 2023, between New York Life Insurance Company and Affiliates and the Company (Series 2023A) filed as Exhibit 10.48 of the Company’s Quarterly Report on Form 10-Q for the quarterly period ended March 31, 2023.</w:t>
              </w:r>
            </w:hyperlink>
          </w:p>
        </w:tc>
        <w:tc>
          <w:tcPr>
            <w:tcW w:w="1078" w:type="dxa"/>
            <w:tcBorders/>
            <w:tcMar>
              <w:bottom w:w="0" w:type="dxa"/>
            </w:tcMar>
            <w:vAlign w:val="center"/>
          </w:tcPr>
          <w:p>
            <w:pPr>
              <w:pStyle w:val="TableContents"/>
              <w:bidi w:val="0"/>
              <w:spacing w:before="0" w:after="283"/>
              <w:ind w:left="0" w:right="0" w:hanging="0"/>
              <w:jc w:val="left"/>
              <w:rPr/>
            </w:pPr>
            <w:r>
              <w:rPr/>
              <w:t> </w:t>
            </w:r>
          </w:p>
        </w:tc>
        <w:tc>
          <w:tcPr>
            <w:tcW w:w="682" w:type="dxa"/>
            <w:tcBorders/>
            <w:tcMar>
              <w:bottom w:w="0" w:type="dxa"/>
            </w:tcMar>
            <w:vAlign w:val="center"/>
          </w:tcPr>
          <w:p>
            <w:pPr>
              <w:pStyle w:val="TableContents"/>
              <w:bidi w:val="0"/>
              <w:spacing w:before="0" w:after="283"/>
              <w:ind w:left="0" w:right="0" w:hanging="0"/>
              <w:jc w:val="left"/>
              <w:rPr/>
            </w:pPr>
            <w:r>
              <w:rPr/>
              <w:t> </w:t>
            </w:r>
          </w:p>
        </w:tc>
      </w:tr>
      <w:tr>
        <w:trPr/>
        <w:tc>
          <w:tcPr>
            <w:tcW w:w="728" w:type="dxa"/>
            <w:tcBorders/>
            <w:tcMar>
              <w:bottom w:w="0" w:type="dxa"/>
            </w:tcMar>
            <w:vAlign w:val="center"/>
          </w:tcPr>
          <w:p>
            <w:pPr>
              <w:pStyle w:val="TableContents"/>
              <w:bidi w:val="0"/>
              <w:spacing w:before="0" w:after="283"/>
              <w:ind w:left="0" w:right="0" w:hanging="0"/>
              <w:jc w:val="center"/>
              <w:rPr/>
            </w:pPr>
            <w:r>
              <w:rPr/>
              <w:t>10.49</w:t>
            </w:r>
          </w:p>
        </w:tc>
        <w:tc>
          <w:tcPr>
            <w:tcW w:w="7717" w:type="dxa"/>
            <w:tcBorders/>
            <w:tcMar>
              <w:bottom w:w="0" w:type="dxa"/>
            </w:tcMar>
            <w:vAlign w:val="center"/>
          </w:tcPr>
          <w:p>
            <w:pPr>
              <w:pStyle w:val="TableContents"/>
              <w:bidi w:val="0"/>
              <w:spacing w:before="0" w:after="283"/>
              <w:ind w:left="0" w:right="0" w:hanging="0"/>
              <w:jc w:val="both"/>
              <w:rPr/>
            </w:pPr>
            <w:hyperlink r:id="rId79">
              <w:r>
                <w:rPr>
                  <w:rStyle w:val="InternetLink"/>
                </w:rPr>
                <w:t>Financing Agreement, dated April 5, 2023, between the Delaware Drinking Water State Revolving Fund, acting by and through the Delaware Department of Health and Social Services, Division of Public Health and Tidewater Utilities, Inc., filed as Exhibit 10.49 of the Company’s Quarterly Report on Form 10-Q for the quarterly period ended March 31, 2023.</w:t>
              </w:r>
            </w:hyperlink>
          </w:p>
        </w:tc>
        <w:tc>
          <w:tcPr>
            <w:tcW w:w="1078" w:type="dxa"/>
            <w:tcBorders/>
            <w:tcMar>
              <w:bottom w:w="0" w:type="dxa"/>
            </w:tcMar>
            <w:vAlign w:val="center"/>
          </w:tcPr>
          <w:p>
            <w:pPr>
              <w:pStyle w:val="TableContents"/>
              <w:bidi w:val="0"/>
              <w:spacing w:before="0" w:after="283"/>
              <w:ind w:left="0" w:right="0" w:hanging="0"/>
              <w:jc w:val="left"/>
              <w:rPr/>
            </w:pPr>
            <w:r>
              <w:rPr/>
              <w:t> </w:t>
            </w:r>
          </w:p>
        </w:tc>
        <w:tc>
          <w:tcPr>
            <w:tcW w:w="682" w:type="dxa"/>
            <w:tcBorders/>
            <w:tcMar>
              <w:bottom w:w="0" w:type="dxa"/>
            </w:tcMar>
            <w:vAlign w:val="center"/>
          </w:tcPr>
          <w:p>
            <w:pPr>
              <w:pStyle w:val="TableContents"/>
              <w:bidi w:val="0"/>
              <w:spacing w:before="0" w:after="283"/>
              <w:ind w:left="0" w:right="0" w:hanging="0"/>
              <w:jc w:val="left"/>
              <w:rPr/>
            </w:pPr>
            <w:r>
              <w:rPr/>
              <w:t> </w:t>
            </w:r>
          </w:p>
        </w:tc>
      </w:tr>
      <w:tr>
        <w:trPr/>
        <w:tc>
          <w:tcPr>
            <w:tcW w:w="728" w:type="dxa"/>
            <w:tcBorders/>
            <w:tcMar>
              <w:bottom w:w="0" w:type="dxa"/>
            </w:tcMar>
            <w:vAlign w:val="center"/>
          </w:tcPr>
          <w:p>
            <w:pPr>
              <w:pStyle w:val="TableContents"/>
              <w:bidi w:val="0"/>
              <w:spacing w:before="0" w:after="283"/>
              <w:ind w:left="0" w:right="0" w:hanging="0"/>
              <w:jc w:val="center"/>
              <w:rPr/>
            </w:pPr>
            <w:r>
              <w:rPr/>
              <w:t>10.50</w:t>
            </w:r>
          </w:p>
        </w:tc>
        <w:tc>
          <w:tcPr>
            <w:tcW w:w="7717" w:type="dxa"/>
            <w:tcBorders/>
            <w:tcMar>
              <w:bottom w:w="0" w:type="dxa"/>
            </w:tcMar>
            <w:vAlign w:val="center"/>
          </w:tcPr>
          <w:p>
            <w:pPr>
              <w:pStyle w:val="TableContents"/>
              <w:bidi w:val="0"/>
              <w:spacing w:before="0" w:after="283"/>
              <w:ind w:left="0" w:right="0" w:hanging="0"/>
              <w:jc w:val="both"/>
              <w:rPr/>
            </w:pPr>
            <w:hyperlink r:id="rId80">
              <w:r>
                <w:rPr>
                  <w:rStyle w:val="InternetLink"/>
                </w:rPr>
                <w:t>Financing Agreement, dated April 5, 2023, between the Delaware Drinking Water State Revolving Fund, acting by and through the Delaware Department of Health and Social Services, Division of Public Health and Tidewater Utilities, Inc, filed as Exhibit 10.50 of the Company’s Quarterly Report on Form 10-Q for the quarterly period ended March 31, 2023.</w:t>
              </w:r>
            </w:hyperlink>
          </w:p>
        </w:tc>
        <w:tc>
          <w:tcPr>
            <w:tcW w:w="1078" w:type="dxa"/>
            <w:tcBorders/>
            <w:tcMar>
              <w:bottom w:w="0" w:type="dxa"/>
            </w:tcMar>
            <w:vAlign w:val="center"/>
          </w:tcPr>
          <w:p>
            <w:pPr>
              <w:pStyle w:val="TableContents"/>
              <w:bidi w:val="0"/>
              <w:spacing w:before="0" w:after="283"/>
              <w:ind w:left="0" w:right="0" w:hanging="0"/>
              <w:jc w:val="left"/>
              <w:rPr/>
            </w:pPr>
            <w:r>
              <w:rPr/>
              <w:t> </w:t>
            </w:r>
          </w:p>
        </w:tc>
        <w:tc>
          <w:tcPr>
            <w:tcW w:w="682" w:type="dxa"/>
            <w:tcBorders/>
            <w:tcMar>
              <w:bottom w:w="0" w:type="dxa"/>
            </w:tcMar>
            <w:vAlign w:val="center"/>
          </w:tcPr>
          <w:p>
            <w:pPr>
              <w:pStyle w:val="TableContents"/>
              <w:bidi w:val="0"/>
              <w:spacing w:before="0" w:after="283"/>
              <w:ind w:left="0" w:right="0" w:hanging="0"/>
              <w:jc w:val="left"/>
              <w:rPr/>
            </w:pPr>
            <w:r>
              <w:rPr/>
              <w:t> </w:t>
            </w:r>
          </w:p>
        </w:tc>
      </w:tr>
      <w:tr>
        <w:trPr/>
        <w:tc>
          <w:tcPr>
            <w:tcW w:w="728" w:type="dxa"/>
            <w:tcBorders/>
            <w:tcMar>
              <w:bottom w:w="0" w:type="dxa"/>
            </w:tcMar>
            <w:vAlign w:val="center"/>
          </w:tcPr>
          <w:p>
            <w:pPr>
              <w:pStyle w:val="TableContents"/>
              <w:bidi w:val="0"/>
              <w:spacing w:before="0" w:after="283"/>
              <w:ind w:left="0" w:right="0" w:hanging="0"/>
              <w:jc w:val="center"/>
              <w:rPr/>
            </w:pPr>
            <w:r>
              <w:rPr/>
              <w:t>10.51</w:t>
            </w:r>
          </w:p>
        </w:tc>
        <w:tc>
          <w:tcPr>
            <w:tcW w:w="7717" w:type="dxa"/>
            <w:tcBorders/>
            <w:tcMar>
              <w:bottom w:w="0" w:type="dxa"/>
            </w:tcMar>
            <w:vAlign w:val="center"/>
          </w:tcPr>
          <w:p>
            <w:pPr>
              <w:pStyle w:val="TableContents"/>
              <w:bidi w:val="0"/>
              <w:spacing w:before="0" w:after="283"/>
              <w:ind w:left="0" w:right="0" w:hanging="0"/>
              <w:jc w:val="both"/>
              <w:rPr/>
            </w:pPr>
            <w:hyperlink r:id="rId81">
              <w:r>
                <w:rPr>
                  <w:rStyle w:val="InternetLink"/>
                </w:rPr>
                <w:t>Financing Agreement, dated April 5, 2023, between the Delaware Drinking Water State Revolving Fund, acting by and through the Delaware Department of Health and Social Services, Division of Public Health and Tidewater Utilities, Inc, filed as Exhibit 10.51 of the Company’s Quarterly Report on Form 10-Q for the quarterly period ended March 31, 2023.</w:t>
              </w:r>
            </w:hyperlink>
          </w:p>
        </w:tc>
        <w:tc>
          <w:tcPr>
            <w:tcW w:w="1078" w:type="dxa"/>
            <w:tcBorders/>
            <w:tcMar>
              <w:bottom w:w="0" w:type="dxa"/>
            </w:tcMar>
            <w:vAlign w:val="center"/>
          </w:tcPr>
          <w:p>
            <w:pPr>
              <w:pStyle w:val="TableContents"/>
              <w:bidi w:val="0"/>
              <w:spacing w:before="0" w:after="283"/>
              <w:ind w:left="0" w:right="0" w:hanging="0"/>
              <w:jc w:val="left"/>
              <w:rPr/>
            </w:pPr>
            <w:r>
              <w:rPr/>
              <w:t> </w:t>
            </w:r>
          </w:p>
        </w:tc>
        <w:tc>
          <w:tcPr>
            <w:tcW w:w="682" w:type="dxa"/>
            <w:tcBorders/>
            <w:tcMar>
              <w:bottom w:w="0" w:type="dxa"/>
            </w:tcMar>
            <w:vAlign w:val="center"/>
          </w:tcPr>
          <w:p>
            <w:pPr>
              <w:pStyle w:val="TableContents"/>
              <w:bidi w:val="0"/>
              <w:spacing w:before="0" w:after="283"/>
              <w:ind w:left="0" w:right="0" w:hanging="0"/>
              <w:jc w:val="left"/>
              <w:rPr/>
            </w:pPr>
            <w:r>
              <w:rPr/>
              <w:t> </w:t>
            </w:r>
          </w:p>
        </w:tc>
      </w:tr>
      <w:tr>
        <w:trPr/>
        <w:tc>
          <w:tcPr>
            <w:tcW w:w="728" w:type="dxa"/>
            <w:tcBorders/>
            <w:tcMar>
              <w:bottom w:w="0" w:type="dxa"/>
            </w:tcMar>
            <w:vAlign w:val="center"/>
          </w:tcPr>
          <w:p>
            <w:pPr>
              <w:pStyle w:val="TableContents"/>
              <w:bidi w:val="0"/>
              <w:spacing w:before="0" w:after="283"/>
              <w:ind w:left="0" w:right="0" w:hanging="0"/>
              <w:jc w:val="center"/>
              <w:rPr/>
            </w:pPr>
            <w:r>
              <w:rPr/>
              <w:t>10.52</w:t>
            </w:r>
          </w:p>
        </w:tc>
        <w:tc>
          <w:tcPr>
            <w:tcW w:w="7717" w:type="dxa"/>
            <w:tcBorders/>
            <w:tcMar>
              <w:bottom w:w="0" w:type="dxa"/>
            </w:tcMar>
            <w:vAlign w:val="center"/>
          </w:tcPr>
          <w:p>
            <w:pPr>
              <w:pStyle w:val="TableContents"/>
              <w:bidi w:val="0"/>
              <w:spacing w:before="0" w:after="283"/>
              <w:ind w:left="0" w:right="0" w:hanging="0"/>
              <w:jc w:val="both"/>
              <w:rPr/>
            </w:pPr>
            <w:hyperlink r:id="rId82">
              <w:r>
                <w:rPr>
                  <w:rStyle w:val="InternetLink"/>
                </w:rPr>
                <w:t>Multiple Advance Term Promissory Note, dated May 22, 2023, between Pinelands Water Company and CoBank, ACB, filed as Exhibit 10.53 of the Company’s Quarterly Report on Form 10-Q for the quarterly period ended September 30, 2023.</w:t>
              </w:r>
            </w:hyperlink>
          </w:p>
        </w:tc>
        <w:tc>
          <w:tcPr>
            <w:tcW w:w="1078" w:type="dxa"/>
            <w:tcBorders/>
            <w:tcMar>
              <w:bottom w:w="0" w:type="dxa"/>
            </w:tcMar>
            <w:vAlign w:val="center"/>
          </w:tcPr>
          <w:p>
            <w:pPr>
              <w:pStyle w:val="TableContents"/>
              <w:bidi w:val="0"/>
              <w:spacing w:before="0" w:after="283"/>
              <w:ind w:left="0" w:right="0" w:hanging="0"/>
              <w:jc w:val="left"/>
              <w:rPr/>
            </w:pPr>
            <w:r>
              <w:rPr/>
              <w:t> </w:t>
            </w:r>
          </w:p>
        </w:tc>
        <w:tc>
          <w:tcPr>
            <w:tcW w:w="682" w:type="dxa"/>
            <w:tcBorders/>
            <w:tcMar>
              <w:bottom w:w="0" w:type="dxa"/>
            </w:tcMar>
            <w:vAlign w:val="center"/>
          </w:tcPr>
          <w:p>
            <w:pPr>
              <w:pStyle w:val="TableContents"/>
              <w:bidi w:val="0"/>
              <w:spacing w:before="0" w:after="283"/>
              <w:ind w:left="0" w:right="0" w:hanging="0"/>
              <w:jc w:val="left"/>
              <w:rPr/>
            </w:pPr>
            <w:r>
              <w:rPr/>
              <w:t> </w:t>
            </w:r>
          </w:p>
        </w:tc>
      </w:tr>
      <w:tr>
        <w:trPr/>
        <w:tc>
          <w:tcPr>
            <w:tcW w:w="728" w:type="dxa"/>
            <w:tcBorders/>
            <w:tcMar>
              <w:bottom w:w="0" w:type="dxa"/>
            </w:tcMar>
            <w:vAlign w:val="center"/>
          </w:tcPr>
          <w:p>
            <w:pPr>
              <w:pStyle w:val="TableContents"/>
              <w:bidi w:val="0"/>
              <w:spacing w:before="0" w:after="283"/>
              <w:ind w:left="0" w:right="0" w:hanging="0"/>
              <w:jc w:val="center"/>
              <w:rPr/>
            </w:pPr>
            <w:r>
              <w:rPr/>
              <w:t>10.53</w:t>
            </w:r>
          </w:p>
        </w:tc>
        <w:tc>
          <w:tcPr>
            <w:tcW w:w="7717" w:type="dxa"/>
            <w:tcBorders/>
            <w:tcMar>
              <w:bottom w:w="0" w:type="dxa"/>
            </w:tcMar>
            <w:vAlign w:val="center"/>
          </w:tcPr>
          <w:p>
            <w:pPr>
              <w:pStyle w:val="TableContents"/>
              <w:bidi w:val="0"/>
              <w:spacing w:before="0" w:after="283"/>
              <w:ind w:left="0" w:right="0" w:hanging="0"/>
              <w:jc w:val="both"/>
              <w:rPr/>
            </w:pPr>
            <w:hyperlink r:id="rId83">
              <w:r>
                <w:rPr>
                  <w:rStyle w:val="InternetLink"/>
                </w:rPr>
                <w:t>Multiple Advance Term Promissory Note, dated May 22, 2023, between Pinelands Wastewater Company and CoBank, ACB, filed as Exhibit 10.54 of the Company’s Quarterly Report on Form 10-Q for the quarterly period ended September 30, 2023.</w:t>
              </w:r>
            </w:hyperlink>
          </w:p>
        </w:tc>
        <w:tc>
          <w:tcPr>
            <w:tcW w:w="1078" w:type="dxa"/>
            <w:tcBorders/>
            <w:tcMar>
              <w:bottom w:w="0" w:type="dxa"/>
            </w:tcMar>
            <w:vAlign w:val="center"/>
          </w:tcPr>
          <w:p>
            <w:pPr>
              <w:pStyle w:val="TableContents"/>
              <w:bidi w:val="0"/>
              <w:spacing w:before="0" w:after="283"/>
              <w:ind w:left="0" w:right="0" w:hanging="0"/>
              <w:jc w:val="left"/>
              <w:rPr/>
            </w:pPr>
            <w:r>
              <w:rPr/>
              <w:t> </w:t>
            </w:r>
          </w:p>
        </w:tc>
        <w:tc>
          <w:tcPr>
            <w:tcW w:w="682" w:type="dxa"/>
            <w:tcBorders/>
            <w:tcMar>
              <w:bottom w:w="0" w:type="dxa"/>
            </w:tcMar>
            <w:vAlign w:val="center"/>
          </w:tcPr>
          <w:p>
            <w:pPr>
              <w:pStyle w:val="TableContents"/>
              <w:bidi w:val="0"/>
              <w:spacing w:before="0" w:after="283"/>
              <w:ind w:left="0" w:right="0" w:hanging="0"/>
              <w:jc w:val="left"/>
              <w:rPr/>
            </w:pPr>
            <w:r>
              <w:rPr/>
              <w:t> </w:t>
            </w:r>
          </w:p>
        </w:tc>
      </w:tr>
      <w:tr>
        <w:trPr/>
        <w:tc>
          <w:tcPr>
            <w:tcW w:w="728" w:type="dxa"/>
            <w:tcBorders/>
            <w:tcMar>
              <w:bottom w:w="0" w:type="dxa"/>
            </w:tcMar>
            <w:vAlign w:val="center"/>
          </w:tcPr>
          <w:p>
            <w:pPr>
              <w:pStyle w:val="TableContents"/>
              <w:bidi w:val="0"/>
              <w:spacing w:before="0" w:after="283"/>
              <w:ind w:left="0" w:right="0" w:hanging="0"/>
              <w:jc w:val="center"/>
              <w:rPr/>
            </w:pPr>
            <w:r>
              <w:rPr/>
              <w:t>10.54</w:t>
            </w:r>
          </w:p>
        </w:tc>
        <w:tc>
          <w:tcPr>
            <w:tcW w:w="7717" w:type="dxa"/>
            <w:tcBorders/>
            <w:tcMar>
              <w:bottom w:w="0" w:type="dxa"/>
            </w:tcMar>
            <w:vAlign w:val="center"/>
          </w:tcPr>
          <w:p>
            <w:pPr>
              <w:pStyle w:val="TableContents"/>
              <w:bidi w:val="0"/>
              <w:spacing w:before="0" w:after="283"/>
              <w:ind w:left="0" w:right="0" w:hanging="0"/>
              <w:jc w:val="both"/>
              <w:rPr/>
            </w:pPr>
            <w:hyperlink r:id="rId84">
              <w:r>
                <w:rPr>
                  <w:rStyle w:val="InternetLink"/>
                </w:rPr>
                <w:t>Settlement Agreement, dated as of August 28, 2023, between Middlesex Water Company and 3M Company, filed as Exhibit 10.55 of the Company’s Quarterly Report on Form 10-Q for the quarterly period ended September 30, 2023.</w:t>
              </w:r>
            </w:hyperlink>
          </w:p>
        </w:tc>
        <w:tc>
          <w:tcPr>
            <w:tcW w:w="1078" w:type="dxa"/>
            <w:tcBorders/>
            <w:tcMar>
              <w:bottom w:w="0" w:type="dxa"/>
            </w:tcMar>
            <w:vAlign w:val="center"/>
          </w:tcPr>
          <w:p>
            <w:pPr>
              <w:pStyle w:val="TableContents"/>
              <w:bidi w:val="0"/>
              <w:spacing w:before="0" w:after="283"/>
              <w:ind w:left="0" w:right="0" w:hanging="0"/>
              <w:jc w:val="left"/>
              <w:rPr/>
            </w:pPr>
            <w:r>
              <w:rPr/>
              <w:t> </w:t>
            </w:r>
          </w:p>
        </w:tc>
        <w:tc>
          <w:tcPr>
            <w:tcW w:w="682" w:type="dxa"/>
            <w:tcBorders/>
            <w:tcMar>
              <w:bottom w:w="0" w:type="dxa"/>
            </w:tcMar>
            <w:vAlign w:val="center"/>
          </w:tcPr>
          <w:p>
            <w:pPr>
              <w:pStyle w:val="TableContents"/>
              <w:bidi w:val="0"/>
              <w:spacing w:before="0" w:after="283"/>
              <w:ind w:left="0" w:right="0" w:hanging="0"/>
              <w:jc w:val="left"/>
              <w:rPr/>
            </w:pPr>
            <w:r>
              <w:rPr/>
              <w:t> </w:t>
            </w:r>
          </w:p>
        </w:tc>
      </w:tr>
      <w:tr>
        <w:trPr/>
        <w:tc>
          <w:tcPr>
            <w:tcW w:w="728" w:type="dxa"/>
            <w:tcBorders/>
            <w:tcMar>
              <w:bottom w:w="0" w:type="dxa"/>
            </w:tcMar>
            <w:vAlign w:val="center"/>
          </w:tcPr>
          <w:p>
            <w:pPr>
              <w:pStyle w:val="TableContents"/>
              <w:bidi w:val="0"/>
              <w:spacing w:before="0" w:after="283"/>
              <w:ind w:left="0" w:right="0" w:hanging="0"/>
              <w:jc w:val="center"/>
              <w:rPr/>
            </w:pPr>
            <w:r>
              <w:rPr/>
              <w:t>10.55</w:t>
            </w:r>
          </w:p>
        </w:tc>
        <w:tc>
          <w:tcPr>
            <w:tcW w:w="7717" w:type="dxa"/>
            <w:tcBorders/>
            <w:tcMar>
              <w:bottom w:w="0" w:type="dxa"/>
            </w:tcMar>
            <w:vAlign w:val="center"/>
          </w:tcPr>
          <w:p>
            <w:pPr>
              <w:pStyle w:val="TableContents"/>
              <w:bidi w:val="0"/>
              <w:spacing w:before="0" w:after="283"/>
              <w:ind w:left="0" w:right="0" w:hanging="0"/>
              <w:jc w:val="both"/>
              <w:rPr/>
            </w:pPr>
            <w:hyperlink r:id="rId85">
              <w:r>
                <w:rPr>
                  <w:rStyle w:val="InternetLink"/>
                </w:rPr>
                <w:t>Consulting Agreement, dated March 1, 2024, between the Company and Dennis W. Doll, filed as Exhibit 99.4 of the Company’s Current Report on Form 8-K dated January 23, 2024.</w:t>
              </w:r>
            </w:hyperlink>
          </w:p>
        </w:tc>
        <w:tc>
          <w:tcPr>
            <w:tcW w:w="1078" w:type="dxa"/>
            <w:tcBorders/>
            <w:tcMar>
              <w:bottom w:w="0" w:type="dxa"/>
            </w:tcMar>
            <w:vAlign w:val="center"/>
          </w:tcPr>
          <w:p>
            <w:pPr>
              <w:pStyle w:val="TableContents"/>
              <w:bidi w:val="0"/>
              <w:spacing w:before="0" w:after="283"/>
              <w:ind w:left="0" w:right="0" w:hanging="0"/>
              <w:jc w:val="left"/>
              <w:rPr/>
            </w:pPr>
            <w:r>
              <w:rPr/>
              <w:t> </w:t>
            </w:r>
          </w:p>
        </w:tc>
        <w:tc>
          <w:tcPr>
            <w:tcW w:w="682"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87 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tbl>
      <w:tblPr>
        <w:tblW w:w="10205" w:type="dxa"/>
        <w:jc w:val="left"/>
        <w:tblInd w:w="0" w:type="dxa"/>
        <w:tblLayout w:type="fixed"/>
        <w:tblCellMar>
          <w:top w:w="0" w:type="dxa"/>
          <w:left w:w="0" w:type="dxa"/>
          <w:bottom w:w="28" w:type="dxa"/>
          <w:right w:w="0" w:type="dxa"/>
        </w:tblCellMar>
      </w:tblPr>
      <w:tblGrid>
        <w:gridCol w:w="955"/>
        <w:gridCol w:w="7394"/>
        <w:gridCol w:w="1070"/>
        <w:gridCol w:w="786"/>
      </w:tblGrid>
      <w:tr>
        <w:trPr/>
        <w:tc>
          <w:tcPr>
            <w:tcW w:w="955" w:type="dxa"/>
            <w:tcBorders>
              <w:bottom w:val="single" w:sz="12" w:space="0" w:color="000000"/>
            </w:tcBorders>
            <w:vAlign w:val="center"/>
          </w:tcPr>
          <w:p>
            <w:pPr>
              <w:pStyle w:val="TableContents"/>
              <w:bidi w:val="0"/>
              <w:spacing w:before="0" w:after="283"/>
              <w:ind w:left="0" w:right="0" w:hanging="0"/>
              <w:jc w:val="center"/>
              <w:rPr>
                <w:b/>
              </w:rPr>
            </w:pPr>
            <w:r>
              <w:rPr>
                <w:b/>
              </w:rPr>
              <w:t>Exhibit No.</w:t>
            </w:r>
          </w:p>
        </w:tc>
        <w:tc>
          <w:tcPr>
            <w:tcW w:w="7394" w:type="dxa"/>
            <w:tcBorders>
              <w:bottom w:val="single" w:sz="12" w:space="0" w:color="000000"/>
            </w:tcBorders>
            <w:vAlign w:val="center"/>
          </w:tcPr>
          <w:p>
            <w:pPr>
              <w:pStyle w:val="TableContents"/>
              <w:bidi w:val="0"/>
              <w:spacing w:before="0" w:after="283"/>
              <w:ind w:left="0" w:right="0" w:hanging="0"/>
              <w:jc w:val="center"/>
              <w:rPr>
                <w:b/>
              </w:rPr>
            </w:pPr>
            <w:r>
              <w:rPr>
                <w:b/>
              </w:rPr>
              <w:t>Document Description</w:t>
            </w:r>
          </w:p>
        </w:tc>
        <w:tc>
          <w:tcPr>
            <w:tcW w:w="1070" w:type="dxa"/>
            <w:tcBorders>
              <w:bottom w:val="single" w:sz="12" w:space="0" w:color="000000"/>
            </w:tcBorders>
            <w:vAlign w:val="center"/>
          </w:tcPr>
          <w:p>
            <w:pPr>
              <w:pStyle w:val="TableContents"/>
              <w:bidi w:val="0"/>
              <w:spacing w:before="0" w:after="283"/>
              <w:ind w:left="0" w:right="0" w:hanging="0"/>
              <w:jc w:val="center"/>
              <w:rPr>
                <w:b/>
              </w:rPr>
            </w:pPr>
            <w:r>
              <w:rPr>
                <w:b/>
              </w:rPr>
              <w:t xml:space="preserve">Previous </w:t>
              <w:br/>
            </w:r>
            <w:r>
              <w:rPr>
                <w:b/>
                <w:sz w:val="20"/>
              </w:rPr>
              <w:t>Registration</w:t>
              <w:br/>
            </w:r>
            <w:r>
              <w:rPr>
                <w:b/>
              </w:rPr>
              <w:t>No.</w:t>
            </w:r>
          </w:p>
        </w:tc>
        <w:tc>
          <w:tcPr>
            <w:tcW w:w="786" w:type="dxa"/>
            <w:tcBorders>
              <w:bottom w:val="single" w:sz="12" w:space="0" w:color="000000"/>
            </w:tcBorders>
            <w:vAlign w:val="center"/>
          </w:tcPr>
          <w:p>
            <w:pPr>
              <w:pStyle w:val="TableContents"/>
              <w:bidi w:val="0"/>
              <w:spacing w:before="0" w:after="283"/>
              <w:ind w:left="0" w:right="0" w:hanging="0"/>
              <w:jc w:val="center"/>
              <w:rPr>
                <w:b/>
              </w:rPr>
            </w:pPr>
            <w:r>
              <w:rPr>
                <w:b/>
              </w:rPr>
              <w:t>Filing’s</w:t>
              <w:br/>
              <w:t>Exhibit</w:t>
              <w:br/>
              <w:t>No.</w:t>
            </w:r>
          </w:p>
        </w:tc>
      </w:tr>
      <w:tr>
        <w:trPr/>
        <w:tc>
          <w:tcPr>
            <w:tcW w:w="955" w:type="dxa"/>
            <w:tcBorders/>
            <w:tcMar>
              <w:bottom w:w="0" w:type="dxa"/>
            </w:tcMar>
            <w:vAlign w:val="center"/>
          </w:tcPr>
          <w:p>
            <w:pPr>
              <w:pStyle w:val="TableContents"/>
              <w:bidi w:val="0"/>
              <w:spacing w:before="0" w:after="283"/>
              <w:ind w:left="0" w:right="0" w:hanging="0"/>
              <w:jc w:val="center"/>
              <w:rPr/>
            </w:pPr>
            <w:r>
              <w:rPr/>
              <w:t>*19</w:t>
            </w:r>
          </w:p>
        </w:tc>
        <w:tc>
          <w:tcPr>
            <w:tcW w:w="7394" w:type="dxa"/>
            <w:tcBorders/>
            <w:tcMar>
              <w:bottom w:w="0" w:type="dxa"/>
            </w:tcMar>
            <w:vAlign w:val="center"/>
          </w:tcPr>
          <w:p>
            <w:pPr>
              <w:pStyle w:val="TableContents"/>
              <w:bidi w:val="0"/>
              <w:spacing w:before="0" w:after="283"/>
              <w:ind w:left="0" w:right="0" w:hanging="0"/>
              <w:jc w:val="both"/>
              <w:rPr/>
            </w:pPr>
            <w:hyperlink w:anchor="ex19.htm">
              <w:r>
                <w:rPr>
                  <w:rStyle w:val="InternetLink"/>
                </w:rPr>
                <w:t>Middlesex Water Company Insider Trading Policy.</w:t>
              </w:r>
            </w:hyperlink>
          </w:p>
        </w:tc>
        <w:tc>
          <w:tcPr>
            <w:tcW w:w="1070" w:type="dxa"/>
            <w:tcBorders/>
            <w:tcMar>
              <w:bottom w:w="0" w:type="dxa"/>
            </w:tcMar>
            <w:vAlign w:val="center"/>
          </w:tcPr>
          <w:p>
            <w:pPr>
              <w:pStyle w:val="TableContents"/>
              <w:bidi w:val="0"/>
              <w:spacing w:before="0" w:after="283"/>
              <w:ind w:left="0" w:right="0" w:hanging="0"/>
              <w:jc w:val="both"/>
              <w:rPr/>
            </w:pPr>
            <w:r>
              <w:rPr/>
              <w:t> </w:t>
            </w:r>
          </w:p>
        </w:tc>
        <w:tc>
          <w:tcPr>
            <w:tcW w:w="786" w:type="dxa"/>
            <w:tcBorders/>
            <w:tcMar>
              <w:bottom w:w="0" w:type="dxa"/>
            </w:tcMar>
            <w:vAlign w:val="center"/>
          </w:tcPr>
          <w:p>
            <w:pPr>
              <w:pStyle w:val="TableContents"/>
              <w:bidi w:val="0"/>
              <w:spacing w:before="0" w:after="283"/>
              <w:ind w:left="0" w:right="0" w:hanging="0"/>
              <w:jc w:val="both"/>
              <w:rPr/>
            </w:pPr>
            <w:r>
              <w:rPr/>
              <w:t> </w:t>
            </w:r>
          </w:p>
        </w:tc>
      </w:tr>
      <w:tr>
        <w:trPr/>
        <w:tc>
          <w:tcPr>
            <w:tcW w:w="955" w:type="dxa"/>
            <w:tcBorders/>
            <w:tcMar>
              <w:bottom w:w="0" w:type="dxa"/>
            </w:tcMar>
            <w:vAlign w:val="center"/>
          </w:tcPr>
          <w:p>
            <w:pPr>
              <w:pStyle w:val="TableContents"/>
              <w:bidi w:val="0"/>
              <w:spacing w:before="0" w:after="283"/>
              <w:ind w:left="0" w:right="0" w:hanging="0"/>
              <w:jc w:val="center"/>
              <w:rPr/>
            </w:pPr>
            <w:r>
              <w:rPr/>
              <w:t>*21</w:t>
            </w:r>
          </w:p>
        </w:tc>
        <w:tc>
          <w:tcPr>
            <w:tcW w:w="7394" w:type="dxa"/>
            <w:tcBorders/>
            <w:tcMar>
              <w:bottom w:w="0" w:type="dxa"/>
            </w:tcMar>
            <w:vAlign w:val="center"/>
          </w:tcPr>
          <w:p>
            <w:pPr>
              <w:pStyle w:val="TableContents"/>
              <w:bidi w:val="0"/>
              <w:spacing w:before="0" w:after="283"/>
              <w:ind w:left="0" w:right="0" w:hanging="0"/>
              <w:jc w:val="both"/>
              <w:rPr/>
            </w:pPr>
            <w:hyperlink w:anchor="ex21.htm">
              <w:r>
                <w:rPr>
                  <w:rStyle w:val="InternetLink"/>
                </w:rPr>
                <w:t>Middlesex Water Company Subsidiaries.</w:t>
              </w:r>
            </w:hyperlink>
          </w:p>
        </w:tc>
        <w:tc>
          <w:tcPr>
            <w:tcW w:w="1070" w:type="dxa"/>
            <w:tcBorders/>
            <w:tcMar>
              <w:bottom w:w="0" w:type="dxa"/>
            </w:tcMar>
            <w:vAlign w:val="center"/>
          </w:tcPr>
          <w:p>
            <w:pPr>
              <w:pStyle w:val="TableContents"/>
              <w:bidi w:val="0"/>
              <w:spacing w:before="0" w:after="283"/>
              <w:ind w:left="0" w:right="0" w:hanging="0"/>
              <w:jc w:val="both"/>
              <w:rPr/>
            </w:pPr>
            <w:r>
              <w:rPr/>
              <w:t> </w:t>
            </w:r>
          </w:p>
        </w:tc>
        <w:tc>
          <w:tcPr>
            <w:tcW w:w="786" w:type="dxa"/>
            <w:tcBorders/>
            <w:tcMar>
              <w:bottom w:w="0" w:type="dxa"/>
            </w:tcMar>
            <w:vAlign w:val="center"/>
          </w:tcPr>
          <w:p>
            <w:pPr>
              <w:pStyle w:val="TableContents"/>
              <w:bidi w:val="0"/>
              <w:spacing w:before="0" w:after="283"/>
              <w:ind w:left="0" w:right="0" w:hanging="0"/>
              <w:jc w:val="both"/>
              <w:rPr/>
            </w:pPr>
            <w:r>
              <w:rPr/>
              <w:t> </w:t>
            </w:r>
          </w:p>
        </w:tc>
      </w:tr>
      <w:tr>
        <w:trPr/>
        <w:tc>
          <w:tcPr>
            <w:tcW w:w="955" w:type="dxa"/>
            <w:tcBorders/>
            <w:tcMar>
              <w:bottom w:w="0" w:type="dxa"/>
            </w:tcMar>
            <w:vAlign w:val="center"/>
          </w:tcPr>
          <w:p>
            <w:pPr>
              <w:pStyle w:val="TableContents"/>
              <w:bidi w:val="0"/>
              <w:spacing w:before="0" w:after="283"/>
              <w:ind w:left="0" w:right="0" w:hanging="0"/>
              <w:jc w:val="center"/>
              <w:rPr/>
            </w:pPr>
            <w:r>
              <w:rPr/>
              <w:t>*23.1</w:t>
            </w:r>
          </w:p>
        </w:tc>
        <w:tc>
          <w:tcPr>
            <w:tcW w:w="7394" w:type="dxa"/>
            <w:tcBorders/>
            <w:tcMar>
              <w:bottom w:w="0" w:type="dxa"/>
            </w:tcMar>
            <w:vAlign w:val="center"/>
          </w:tcPr>
          <w:p>
            <w:pPr>
              <w:pStyle w:val="TableContents"/>
              <w:bidi w:val="0"/>
              <w:spacing w:before="0" w:after="283"/>
              <w:ind w:left="0" w:right="0" w:hanging="0"/>
              <w:jc w:val="both"/>
              <w:rPr/>
            </w:pPr>
            <w:hyperlink w:anchor="ex23-1.htm">
              <w:r>
                <w:rPr>
                  <w:rStyle w:val="InternetLink"/>
                </w:rPr>
                <w:t>Consent of Independent Registered Public Accounting Firm, Baker Tilly US, LLP.</w:t>
              </w:r>
            </w:hyperlink>
          </w:p>
        </w:tc>
        <w:tc>
          <w:tcPr>
            <w:tcW w:w="1070" w:type="dxa"/>
            <w:tcBorders/>
            <w:tcMar>
              <w:bottom w:w="0" w:type="dxa"/>
            </w:tcMar>
            <w:vAlign w:val="center"/>
          </w:tcPr>
          <w:p>
            <w:pPr>
              <w:pStyle w:val="TableContents"/>
              <w:bidi w:val="0"/>
              <w:spacing w:before="0" w:after="283"/>
              <w:ind w:left="0" w:right="0" w:hanging="0"/>
              <w:jc w:val="both"/>
              <w:rPr/>
            </w:pPr>
            <w:r>
              <w:rPr/>
              <w:t> </w:t>
            </w:r>
          </w:p>
        </w:tc>
        <w:tc>
          <w:tcPr>
            <w:tcW w:w="786" w:type="dxa"/>
            <w:tcBorders/>
            <w:tcMar>
              <w:bottom w:w="0" w:type="dxa"/>
            </w:tcMar>
            <w:vAlign w:val="center"/>
          </w:tcPr>
          <w:p>
            <w:pPr>
              <w:pStyle w:val="TableContents"/>
              <w:bidi w:val="0"/>
              <w:spacing w:before="0" w:after="283"/>
              <w:ind w:left="0" w:right="0" w:hanging="0"/>
              <w:jc w:val="both"/>
              <w:rPr/>
            </w:pPr>
            <w:r>
              <w:rPr/>
              <w:t> </w:t>
            </w:r>
          </w:p>
        </w:tc>
      </w:tr>
      <w:tr>
        <w:trPr/>
        <w:tc>
          <w:tcPr>
            <w:tcW w:w="955" w:type="dxa"/>
            <w:tcBorders/>
            <w:tcMar>
              <w:bottom w:w="0" w:type="dxa"/>
            </w:tcMar>
            <w:vAlign w:val="center"/>
          </w:tcPr>
          <w:p>
            <w:pPr>
              <w:pStyle w:val="TableContents"/>
              <w:bidi w:val="0"/>
              <w:spacing w:before="0" w:after="283"/>
              <w:ind w:left="0" w:right="0" w:hanging="0"/>
              <w:jc w:val="center"/>
              <w:rPr/>
            </w:pPr>
            <w:r>
              <w:rPr/>
              <w:t>*31</w:t>
            </w:r>
          </w:p>
        </w:tc>
        <w:tc>
          <w:tcPr>
            <w:tcW w:w="7394" w:type="dxa"/>
            <w:tcBorders/>
            <w:tcMar>
              <w:bottom w:w="0" w:type="dxa"/>
            </w:tcMar>
            <w:vAlign w:val="center"/>
          </w:tcPr>
          <w:p>
            <w:pPr>
              <w:pStyle w:val="TableContents"/>
              <w:bidi w:val="0"/>
              <w:spacing w:before="0" w:after="283"/>
              <w:ind w:left="0" w:right="0" w:hanging="0"/>
              <w:jc w:val="both"/>
              <w:rPr/>
            </w:pPr>
            <w:hyperlink w:anchor="ex31.htm">
              <w:r>
                <w:rPr>
                  <w:rStyle w:val="InternetLink"/>
                </w:rPr>
                <w:t>Section 302 Certification by Dennis W. Doll pursuant to Rules 13a-14 and 15d-14 of the Securities Exchange Act of 1934.</w:t>
              </w:r>
            </w:hyperlink>
          </w:p>
        </w:tc>
        <w:tc>
          <w:tcPr>
            <w:tcW w:w="1070" w:type="dxa"/>
            <w:tcBorders/>
            <w:tcMar>
              <w:bottom w:w="0" w:type="dxa"/>
            </w:tcMar>
            <w:vAlign w:val="center"/>
          </w:tcPr>
          <w:p>
            <w:pPr>
              <w:pStyle w:val="TableContents"/>
              <w:bidi w:val="0"/>
              <w:spacing w:before="0" w:after="283"/>
              <w:ind w:left="0" w:right="0" w:hanging="0"/>
              <w:jc w:val="both"/>
              <w:rPr/>
            </w:pPr>
            <w:r>
              <w:rPr/>
              <w:t> </w:t>
            </w:r>
          </w:p>
        </w:tc>
        <w:tc>
          <w:tcPr>
            <w:tcW w:w="786" w:type="dxa"/>
            <w:tcBorders/>
            <w:tcMar>
              <w:bottom w:w="0" w:type="dxa"/>
            </w:tcMar>
            <w:vAlign w:val="center"/>
          </w:tcPr>
          <w:p>
            <w:pPr>
              <w:pStyle w:val="TableContents"/>
              <w:bidi w:val="0"/>
              <w:spacing w:before="0" w:after="283"/>
              <w:ind w:left="0" w:right="0" w:hanging="0"/>
              <w:jc w:val="both"/>
              <w:rPr/>
            </w:pPr>
            <w:r>
              <w:rPr/>
              <w:t> </w:t>
            </w:r>
          </w:p>
        </w:tc>
      </w:tr>
      <w:tr>
        <w:trPr/>
        <w:tc>
          <w:tcPr>
            <w:tcW w:w="955" w:type="dxa"/>
            <w:tcBorders/>
            <w:tcMar>
              <w:bottom w:w="0" w:type="dxa"/>
            </w:tcMar>
            <w:vAlign w:val="center"/>
          </w:tcPr>
          <w:p>
            <w:pPr>
              <w:pStyle w:val="TableContents"/>
              <w:bidi w:val="0"/>
              <w:spacing w:before="0" w:after="283"/>
              <w:ind w:left="0" w:right="0" w:hanging="0"/>
              <w:jc w:val="center"/>
              <w:rPr/>
            </w:pPr>
            <w:r>
              <w:rPr/>
              <w:t>*31.1</w:t>
            </w:r>
          </w:p>
        </w:tc>
        <w:tc>
          <w:tcPr>
            <w:tcW w:w="7394" w:type="dxa"/>
            <w:tcBorders/>
            <w:tcMar>
              <w:bottom w:w="0" w:type="dxa"/>
            </w:tcMar>
            <w:vAlign w:val="center"/>
          </w:tcPr>
          <w:p>
            <w:pPr>
              <w:pStyle w:val="TableContents"/>
              <w:bidi w:val="0"/>
              <w:spacing w:before="0" w:after="283"/>
              <w:ind w:left="0" w:right="0" w:hanging="0"/>
              <w:jc w:val="both"/>
              <w:rPr/>
            </w:pPr>
            <w:hyperlink w:anchor="ex31-1.htm">
              <w:r>
                <w:rPr>
                  <w:rStyle w:val="InternetLink"/>
                </w:rPr>
                <w:t>Section 302 Certification by A. Bruce O’Connor pursuant to Rules 13a-14 and 15d-14 of the Securities Exchange Act of 1934.</w:t>
              </w:r>
            </w:hyperlink>
          </w:p>
        </w:tc>
        <w:tc>
          <w:tcPr>
            <w:tcW w:w="1070" w:type="dxa"/>
            <w:tcBorders/>
            <w:tcMar>
              <w:bottom w:w="0" w:type="dxa"/>
            </w:tcMar>
            <w:vAlign w:val="center"/>
          </w:tcPr>
          <w:p>
            <w:pPr>
              <w:pStyle w:val="TableContents"/>
              <w:bidi w:val="0"/>
              <w:spacing w:before="0" w:after="283"/>
              <w:ind w:left="0" w:right="0" w:hanging="0"/>
              <w:jc w:val="both"/>
              <w:rPr/>
            </w:pPr>
            <w:r>
              <w:rPr/>
              <w:t> </w:t>
            </w:r>
          </w:p>
        </w:tc>
        <w:tc>
          <w:tcPr>
            <w:tcW w:w="786" w:type="dxa"/>
            <w:tcBorders/>
            <w:tcMar>
              <w:bottom w:w="0" w:type="dxa"/>
            </w:tcMar>
            <w:vAlign w:val="center"/>
          </w:tcPr>
          <w:p>
            <w:pPr>
              <w:pStyle w:val="TableContents"/>
              <w:bidi w:val="0"/>
              <w:spacing w:before="0" w:after="283"/>
              <w:ind w:left="0" w:right="0" w:hanging="0"/>
              <w:jc w:val="both"/>
              <w:rPr/>
            </w:pPr>
            <w:r>
              <w:rPr/>
              <w:t> </w:t>
            </w:r>
          </w:p>
        </w:tc>
      </w:tr>
      <w:tr>
        <w:trPr/>
        <w:tc>
          <w:tcPr>
            <w:tcW w:w="955" w:type="dxa"/>
            <w:tcBorders/>
            <w:tcMar>
              <w:bottom w:w="0" w:type="dxa"/>
            </w:tcMar>
            <w:vAlign w:val="center"/>
          </w:tcPr>
          <w:p>
            <w:pPr>
              <w:pStyle w:val="TableContents"/>
              <w:bidi w:val="0"/>
              <w:spacing w:before="0" w:after="283"/>
              <w:ind w:left="0" w:right="0" w:hanging="0"/>
              <w:jc w:val="center"/>
              <w:rPr/>
            </w:pPr>
            <w:r>
              <w:rPr/>
              <w:t>*32</w:t>
            </w:r>
          </w:p>
        </w:tc>
        <w:tc>
          <w:tcPr>
            <w:tcW w:w="7394" w:type="dxa"/>
            <w:tcBorders/>
            <w:tcMar>
              <w:bottom w:w="0" w:type="dxa"/>
            </w:tcMar>
            <w:vAlign w:val="center"/>
          </w:tcPr>
          <w:p>
            <w:pPr>
              <w:pStyle w:val="TableContents"/>
              <w:bidi w:val="0"/>
              <w:spacing w:before="0" w:after="283"/>
              <w:ind w:left="0" w:right="0" w:hanging="0"/>
              <w:jc w:val="both"/>
              <w:rPr/>
            </w:pPr>
            <w:hyperlink w:anchor="ex32.htm">
              <w:r>
                <w:rPr>
                  <w:rStyle w:val="InternetLink"/>
                </w:rPr>
                <w:t>Section 906 Certification by Dennis W. Doll pursuant to 18 U.S.C.§1350.</w:t>
              </w:r>
            </w:hyperlink>
          </w:p>
        </w:tc>
        <w:tc>
          <w:tcPr>
            <w:tcW w:w="1070" w:type="dxa"/>
            <w:tcBorders/>
            <w:tcMar>
              <w:bottom w:w="0" w:type="dxa"/>
            </w:tcMar>
            <w:vAlign w:val="center"/>
          </w:tcPr>
          <w:p>
            <w:pPr>
              <w:pStyle w:val="TableContents"/>
              <w:bidi w:val="0"/>
              <w:spacing w:before="0" w:after="283"/>
              <w:ind w:left="0" w:right="0" w:hanging="0"/>
              <w:jc w:val="both"/>
              <w:rPr/>
            </w:pPr>
            <w:r>
              <w:rPr/>
              <w:t> </w:t>
            </w:r>
          </w:p>
        </w:tc>
        <w:tc>
          <w:tcPr>
            <w:tcW w:w="786" w:type="dxa"/>
            <w:tcBorders/>
            <w:tcMar>
              <w:bottom w:w="0" w:type="dxa"/>
            </w:tcMar>
            <w:vAlign w:val="center"/>
          </w:tcPr>
          <w:p>
            <w:pPr>
              <w:pStyle w:val="TableContents"/>
              <w:bidi w:val="0"/>
              <w:spacing w:before="0" w:after="283"/>
              <w:ind w:left="0" w:right="0" w:hanging="0"/>
              <w:jc w:val="both"/>
              <w:rPr/>
            </w:pPr>
            <w:r>
              <w:rPr/>
              <w:t> </w:t>
            </w:r>
          </w:p>
        </w:tc>
      </w:tr>
      <w:tr>
        <w:trPr/>
        <w:tc>
          <w:tcPr>
            <w:tcW w:w="955" w:type="dxa"/>
            <w:tcBorders/>
            <w:tcMar>
              <w:bottom w:w="0" w:type="dxa"/>
            </w:tcMar>
            <w:vAlign w:val="center"/>
          </w:tcPr>
          <w:p>
            <w:pPr>
              <w:pStyle w:val="TableContents"/>
              <w:bidi w:val="0"/>
              <w:spacing w:before="0" w:after="283"/>
              <w:ind w:left="0" w:right="0" w:hanging="0"/>
              <w:jc w:val="center"/>
              <w:rPr/>
            </w:pPr>
            <w:r>
              <w:rPr/>
              <w:t>*32.1</w:t>
            </w:r>
          </w:p>
        </w:tc>
        <w:tc>
          <w:tcPr>
            <w:tcW w:w="7394" w:type="dxa"/>
            <w:tcBorders/>
            <w:tcMar>
              <w:bottom w:w="0" w:type="dxa"/>
            </w:tcMar>
            <w:vAlign w:val="center"/>
          </w:tcPr>
          <w:p>
            <w:pPr>
              <w:pStyle w:val="TableContents"/>
              <w:bidi w:val="0"/>
              <w:spacing w:before="0" w:after="283"/>
              <w:ind w:left="0" w:right="0" w:hanging="0"/>
              <w:jc w:val="both"/>
              <w:rPr/>
            </w:pPr>
            <w:hyperlink w:anchor="ex32-1.htm">
              <w:r>
                <w:rPr>
                  <w:rStyle w:val="InternetLink"/>
                </w:rPr>
                <w:t>Section 906 Certification by A. Bruce O’Connor pursuant to 18 U.S.C.§1350.</w:t>
              </w:r>
            </w:hyperlink>
          </w:p>
        </w:tc>
        <w:tc>
          <w:tcPr>
            <w:tcW w:w="1070" w:type="dxa"/>
            <w:tcBorders/>
            <w:tcMar>
              <w:bottom w:w="0" w:type="dxa"/>
            </w:tcMar>
            <w:vAlign w:val="center"/>
          </w:tcPr>
          <w:p>
            <w:pPr>
              <w:pStyle w:val="TableContents"/>
              <w:bidi w:val="0"/>
              <w:spacing w:before="0" w:after="283"/>
              <w:ind w:left="0" w:right="0" w:hanging="0"/>
              <w:jc w:val="both"/>
              <w:rPr/>
            </w:pPr>
            <w:r>
              <w:rPr/>
              <w:t> </w:t>
            </w:r>
          </w:p>
        </w:tc>
        <w:tc>
          <w:tcPr>
            <w:tcW w:w="786" w:type="dxa"/>
            <w:tcBorders/>
            <w:tcMar>
              <w:bottom w:w="0" w:type="dxa"/>
            </w:tcMar>
            <w:vAlign w:val="center"/>
          </w:tcPr>
          <w:p>
            <w:pPr>
              <w:pStyle w:val="TableContents"/>
              <w:bidi w:val="0"/>
              <w:spacing w:before="0" w:after="283"/>
              <w:ind w:left="0" w:right="0" w:hanging="0"/>
              <w:jc w:val="both"/>
              <w:rPr/>
            </w:pPr>
            <w:r>
              <w:rPr/>
              <w:t> </w:t>
            </w:r>
          </w:p>
        </w:tc>
      </w:tr>
      <w:tr>
        <w:trPr/>
        <w:tc>
          <w:tcPr>
            <w:tcW w:w="955" w:type="dxa"/>
            <w:tcBorders/>
            <w:tcMar>
              <w:bottom w:w="0" w:type="dxa"/>
            </w:tcMar>
            <w:vAlign w:val="center"/>
          </w:tcPr>
          <w:p>
            <w:pPr>
              <w:pStyle w:val="TableContents"/>
              <w:bidi w:val="0"/>
              <w:spacing w:before="0" w:after="283"/>
              <w:ind w:left="0" w:right="0" w:hanging="0"/>
              <w:jc w:val="center"/>
              <w:rPr/>
            </w:pPr>
            <w:r>
              <w:rPr/>
              <w:t>*97</w:t>
            </w:r>
          </w:p>
        </w:tc>
        <w:tc>
          <w:tcPr>
            <w:tcW w:w="7394" w:type="dxa"/>
            <w:tcBorders/>
            <w:tcMar>
              <w:bottom w:w="0" w:type="dxa"/>
            </w:tcMar>
            <w:vAlign w:val="center"/>
          </w:tcPr>
          <w:p>
            <w:pPr>
              <w:pStyle w:val="TableContents"/>
              <w:bidi w:val="0"/>
              <w:spacing w:before="0" w:after="283"/>
              <w:ind w:left="0" w:right="0" w:hanging="0"/>
              <w:jc w:val="both"/>
              <w:rPr/>
            </w:pPr>
            <w:hyperlink w:anchor="ex97.htm">
              <w:r>
                <w:rPr>
                  <w:rStyle w:val="InternetLink"/>
                </w:rPr>
                <w:t>Middlesex Water Company Incentive-Based Award Clawback Policy.</w:t>
              </w:r>
            </w:hyperlink>
          </w:p>
        </w:tc>
        <w:tc>
          <w:tcPr>
            <w:tcW w:w="1070" w:type="dxa"/>
            <w:tcBorders/>
            <w:tcMar>
              <w:bottom w:w="0" w:type="dxa"/>
            </w:tcMar>
            <w:vAlign w:val="center"/>
          </w:tcPr>
          <w:p>
            <w:pPr>
              <w:pStyle w:val="TableContents"/>
              <w:bidi w:val="0"/>
              <w:spacing w:before="0" w:after="283"/>
              <w:ind w:left="0" w:right="0" w:hanging="0"/>
              <w:jc w:val="both"/>
              <w:rPr/>
            </w:pPr>
            <w:r>
              <w:rPr/>
              <w:t> </w:t>
            </w:r>
          </w:p>
        </w:tc>
        <w:tc>
          <w:tcPr>
            <w:tcW w:w="786" w:type="dxa"/>
            <w:tcBorders/>
            <w:tcMar>
              <w:bottom w:w="0" w:type="dxa"/>
            </w:tcMar>
            <w:vAlign w:val="center"/>
          </w:tcPr>
          <w:p>
            <w:pPr>
              <w:pStyle w:val="TableContents"/>
              <w:bidi w:val="0"/>
              <w:spacing w:before="0" w:after="283"/>
              <w:ind w:left="0" w:right="0" w:hanging="0"/>
              <w:jc w:val="both"/>
              <w:rPr/>
            </w:pPr>
            <w:r>
              <w:rPr/>
              <w:t> </w:t>
            </w:r>
          </w:p>
        </w:tc>
      </w:tr>
      <w:tr>
        <w:trPr/>
        <w:tc>
          <w:tcPr>
            <w:tcW w:w="955" w:type="dxa"/>
            <w:tcBorders/>
            <w:tcMar>
              <w:bottom w:w="0" w:type="dxa"/>
            </w:tcMar>
            <w:vAlign w:val="center"/>
          </w:tcPr>
          <w:p>
            <w:pPr>
              <w:pStyle w:val="TableContents"/>
              <w:bidi w:val="0"/>
              <w:spacing w:before="0" w:after="283"/>
              <w:ind w:left="0" w:right="0" w:hanging="0"/>
              <w:jc w:val="center"/>
              <w:rPr/>
            </w:pPr>
            <w:r>
              <w:rPr/>
              <w:t>101.INS</w:t>
            </w:r>
          </w:p>
        </w:tc>
        <w:tc>
          <w:tcPr>
            <w:tcW w:w="7394" w:type="dxa"/>
            <w:tcBorders/>
            <w:tcMar>
              <w:bottom w:w="0" w:type="dxa"/>
            </w:tcMar>
            <w:vAlign w:val="center"/>
          </w:tcPr>
          <w:p>
            <w:pPr>
              <w:pStyle w:val="TableContents"/>
              <w:bidi w:val="0"/>
              <w:spacing w:before="0" w:after="283"/>
              <w:ind w:left="0" w:right="0" w:hanging="0"/>
              <w:jc w:val="both"/>
              <w:rPr/>
            </w:pPr>
            <w:r>
              <w:rPr/>
              <w:t>XBRL Instance Document– the instance document does not appear in the Interactive Data File because its XBRL tags are embedded within the Inline XBRL document.</w:t>
            </w:r>
          </w:p>
        </w:tc>
        <w:tc>
          <w:tcPr>
            <w:tcW w:w="1070" w:type="dxa"/>
            <w:tcBorders/>
            <w:tcMar>
              <w:bottom w:w="0" w:type="dxa"/>
            </w:tcMar>
            <w:vAlign w:val="center"/>
          </w:tcPr>
          <w:p>
            <w:pPr>
              <w:pStyle w:val="TableContents"/>
              <w:bidi w:val="0"/>
              <w:spacing w:before="0" w:after="283"/>
              <w:ind w:left="0" w:right="0" w:hanging="0"/>
              <w:jc w:val="both"/>
              <w:rPr/>
            </w:pPr>
            <w:r>
              <w:rPr/>
              <w:t> </w:t>
            </w:r>
          </w:p>
        </w:tc>
        <w:tc>
          <w:tcPr>
            <w:tcW w:w="786" w:type="dxa"/>
            <w:tcBorders/>
            <w:tcMar>
              <w:bottom w:w="0" w:type="dxa"/>
            </w:tcMar>
            <w:vAlign w:val="center"/>
          </w:tcPr>
          <w:p>
            <w:pPr>
              <w:pStyle w:val="TableContents"/>
              <w:bidi w:val="0"/>
              <w:spacing w:before="0" w:after="283"/>
              <w:ind w:left="0" w:right="0" w:hanging="0"/>
              <w:jc w:val="both"/>
              <w:rPr/>
            </w:pPr>
            <w:r>
              <w:rPr/>
              <w:t> </w:t>
            </w:r>
          </w:p>
        </w:tc>
      </w:tr>
      <w:tr>
        <w:trPr/>
        <w:tc>
          <w:tcPr>
            <w:tcW w:w="955" w:type="dxa"/>
            <w:tcBorders/>
            <w:tcMar>
              <w:bottom w:w="0" w:type="dxa"/>
            </w:tcMar>
            <w:vAlign w:val="center"/>
          </w:tcPr>
          <w:p>
            <w:pPr>
              <w:pStyle w:val="TableContents"/>
              <w:bidi w:val="0"/>
              <w:spacing w:before="0" w:after="283"/>
              <w:ind w:left="0" w:right="0" w:hanging="0"/>
              <w:jc w:val="center"/>
              <w:rPr/>
            </w:pPr>
            <w:r>
              <w:rPr/>
              <w:t>101.SCH</w:t>
            </w:r>
          </w:p>
        </w:tc>
        <w:tc>
          <w:tcPr>
            <w:tcW w:w="7394" w:type="dxa"/>
            <w:tcBorders/>
            <w:tcMar>
              <w:bottom w:w="0" w:type="dxa"/>
            </w:tcMar>
            <w:vAlign w:val="center"/>
          </w:tcPr>
          <w:p>
            <w:pPr>
              <w:pStyle w:val="TableContents"/>
              <w:bidi w:val="0"/>
              <w:spacing w:before="0" w:after="283"/>
              <w:ind w:left="0" w:right="0" w:hanging="0"/>
              <w:jc w:val="both"/>
              <w:rPr/>
            </w:pPr>
            <w:r>
              <w:rPr/>
              <w:t>Inline XBRL Taxonomy Extension Schema Document</w:t>
            </w:r>
          </w:p>
        </w:tc>
        <w:tc>
          <w:tcPr>
            <w:tcW w:w="1070" w:type="dxa"/>
            <w:tcBorders/>
            <w:tcMar>
              <w:bottom w:w="0" w:type="dxa"/>
            </w:tcMar>
            <w:vAlign w:val="center"/>
          </w:tcPr>
          <w:p>
            <w:pPr>
              <w:pStyle w:val="TableContents"/>
              <w:bidi w:val="0"/>
              <w:spacing w:before="0" w:after="283"/>
              <w:ind w:left="0" w:right="0" w:hanging="0"/>
              <w:jc w:val="both"/>
              <w:rPr/>
            </w:pPr>
            <w:r>
              <w:rPr/>
              <w:t> </w:t>
            </w:r>
          </w:p>
        </w:tc>
        <w:tc>
          <w:tcPr>
            <w:tcW w:w="786" w:type="dxa"/>
            <w:tcBorders/>
            <w:tcMar>
              <w:bottom w:w="0" w:type="dxa"/>
            </w:tcMar>
            <w:vAlign w:val="center"/>
          </w:tcPr>
          <w:p>
            <w:pPr>
              <w:pStyle w:val="TableContents"/>
              <w:bidi w:val="0"/>
              <w:spacing w:before="0" w:after="283"/>
              <w:ind w:left="0" w:right="0" w:hanging="0"/>
              <w:jc w:val="both"/>
              <w:rPr/>
            </w:pPr>
            <w:r>
              <w:rPr/>
              <w:t> </w:t>
            </w:r>
          </w:p>
        </w:tc>
      </w:tr>
      <w:tr>
        <w:trPr/>
        <w:tc>
          <w:tcPr>
            <w:tcW w:w="955" w:type="dxa"/>
            <w:tcBorders/>
            <w:tcMar>
              <w:bottom w:w="0" w:type="dxa"/>
            </w:tcMar>
            <w:vAlign w:val="center"/>
          </w:tcPr>
          <w:p>
            <w:pPr>
              <w:pStyle w:val="TableContents"/>
              <w:bidi w:val="0"/>
              <w:spacing w:before="0" w:after="283"/>
              <w:ind w:left="0" w:right="0" w:hanging="0"/>
              <w:jc w:val="center"/>
              <w:rPr/>
            </w:pPr>
            <w:r>
              <w:rPr/>
              <w:t>101.CAL</w:t>
            </w:r>
          </w:p>
        </w:tc>
        <w:tc>
          <w:tcPr>
            <w:tcW w:w="7394" w:type="dxa"/>
            <w:tcBorders/>
            <w:tcMar>
              <w:bottom w:w="0" w:type="dxa"/>
            </w:tcMar>
            <w:vAlign w:val="center"/>
          </w:tcPr>
          <w:p>
            <w:pPr>
              <w:pStyle w:val="TableContents"/>
              <w:bidi w:val="0"/>
              <w:spacing w:before="0" w:after="283"/>
              <w:ind w:left="0" w:right="0" w:hanging="0"/>
              <w:jc w:val="both"/>
              <w:rPr/>
            </w:pPr>
            <w:r>
              <w:rPr/>
              <w:t>Inline XBRL Taxonomy Extension Calculation Linkbase Document</w:t>
            </w:r>
          </w:p>
        </w:tc>
        <w:tc>
          <w:tcPr>
            <w:tcW w:w="1070" w:type="dxa"/>
            <w:tcBorders/>
            <w:tcMar>
              <w:bottom w:w="0" w:type="dxa"/>
            </w:tcMar>
            <w:vAlign w:val="center"/>
          </w:tcPr>
          <w:p>
            <w:pPr>
              <w:pStyle w:val="TableContents"/>
              <w:bidi w:val="0"/>
              <w:spacing w:before="0" w:after="283"/>
              <w:ind w:left="0" w:right="0" w:hanging="0"/>
              <w:jc w:val="both"/>
              <w:rPr/>
            </w:pPr>
            <w:r>
              <w:rPr/>
              <w:t> </w:t>
            </w:r>
          </w:p>
        </w:tc>
        <w:tc>
          <w:tcPr>
            <w:tcW w:w="786" w:type="dxa"/>
            <w:tcBorders/>
            <w:tcMar>
              <w:bottom w:w="0" w:type="dxa"/>
            </w:tcMar>
            <w:vAlign w:val="center"/>
          </w:tcPr>
          <w:p>
            <w:pPr>
              <w:pStyle w:val="TableContents"/>
              <w:bidi w:val="0"/>
              <w:spacing w:before="0" w:after="283"/>
              <w:jc w:val="both"/>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88 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71" w:right="554" w:hanging="0"/>
        <w:jc w:val="right"/>
        <w:rPr>
          <w:rFonts w:ascii="Times New Roman;Times;Serif" w:hAnsi="Times New Roman;Times;Serif"/>
          <w:b/>
          <w:i w:val="false"/>
          <w:caps w:val="false"/>
          <w:smallCaps w:val="false"/>
          <w:color w:val="000000"/>
          <w:sz w:val="20"/>
        </w:rPr>
      </w:pPr>
      <w:bookmarkStart w:id="64" w:name="ex10-6.htm"/>
      <w:bookmarkStart w:id="65" w:name="ksex106"/>
      <w:bookmarkEnd w:id="64"/>
      <w:bookmarkEnd w:id="65"/>
      <w:r>
        <w:rPr>
          <w:rFonts w:ascii="Times New Roman;Times;Serif" w:hAnsi="Times New Roman;Times;Serif"/>
          <w:b/>
          <w:i w:val="false"/>
          <w:caps w:val="false"/>
          <w:smallCaps w:val="false"/>
          <w:color w:val="000000"/>
          <w:sz w:val="20"/>
        </w:rPr>
        <w:t>Exhibit 10.6</w:t>
      </w:r>
      <w:r>
        <w:br w:type="page"/>
      </w:r>
    </w:p>
    <w:p>
      <w:pPr>
        <w:pStyle w:val="TextBody"/>
        <w:bidi w:val="0"/>
        <w:spacing w:before="0" w:after="0"/>
        <w:ind w:left="271" w:right="554" w:hanging="0"/>
        <w:jc w:val="center"/>
        <w:rPr>
          <w:caps w:val="false"/>
          <w:smallCaps w:val="false"/>
          <w:color w:val="000000"/>
        </w:rPr>
      </w:pPr>
      <w:r>
        <w:rPr>
          <w:caps w:val="false"/>
          <w:smallCaps w:val="false"/>
          <w:color w:val="000000"/>
        </w:rPr>
        <w:t> </w:t>
      </w:r>
    </w:p>
    <w:p>
      <w:pPr>
        <w:pStyle w:val="TextBody"/>
        <w:bidi w:val="0"/>
        <w:spacing w:before="0" w:after="0"/>
        <w:ind w:left="271" w:right="554"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 xml:space="preserve">WATER PURCHASE </w:t>
      </w:r>
      <w:r>
        <w:rPr>
          <w:rFonts w:ascii="Times New Roman;Times;Serif" w:hAnsi="Times New Roman;Times;Serif"/>
          <w:b/>
          <w:i w:val="false"/>
          <w:caps w:val="false"/>
          <w:smallCaps w:val="false"/>
          <w:color w:val="000000"/>
          <w:sz w:val="20"/>
          <w:u w:val="single"/>
        </w:rPr>
        <w:t>CONTRACT RBS-2B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16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z w:val="20"/>
        </w:rPr>
        <w:t>THIS WATER PURCHASE CONTRACT</w:t>
      </w:r>
      <w:r>
        <w:rPr>
          <w:rFonts w:ascii="Times New Roman;Times;Serif" w:hAnsi="Times New Roman;Times;Serif"/>
          <w:b w:val="false"/>
          <w:i w:val="false"/>
          <w:caps w:val="false"/>
          <w:smallCaps w:val="false"/>
          <w:color w:val="000000"/>
          <w:sz w:val="20"/>
        </w:rPr>
        <w:t xml:space="preserve"> (Contract) dated October 24, 2023</w:t>
      </w:r>
    </w:p>
    <w:p>
      <w:pPr>
        <w:pStyle w:val="TextBody"/>
        <w:bidi w:val="0"/>
        <w:spacing w:lineRule="auto" w:line="499" w:before="0" w:after="0"/>
        <w:ind w:left="454" w:right="0" w:hanging="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is made by and between the New Jersey Water Supply Authority (the "Authority"), an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00"/>
          <w:sz w:val="20"/>
        </w:rPr>
        <w:t xml:space="preserve">instrumentality of the State of New Jersey created pursuant to the provisions of the New Jersey Water Supply Authority Act, P.L. 1981, C. 293, as amended, </w:t>
      </w:r>
      <w:r>
        <w:rPr>
          <w:rFonts w:ascii="Times New Roman;Times;Serif" w:hAnsi="Times New Roman;Times;Serif"/>
          <w:b w:val="false"/>
          <w:i w:val="false"/>
          <w:caps w:val="false"/>
          <w:smallCaps w:val="false"/>
          <w:color w:val="000000"/>
          <w:sz w:val="20"/>
          <w:u w:val="single"/>
        </w:rPr>
        <w:t>N.J.S.A.</w:t>
      </w:r>
      <w:r>
        <w:rPr>
          <w:rFonts w:ascii="Times New Roman;Times;Serif" w:hAnsi="Times New Roman;Times;Serif"/>
          <w:b w:val="false"/>
          <w:i w:val="false"/>
          <w:caps w:val="false"/>
          <w:smallCaps w:val="false"/>
          <w:color w:val="000000"/>
          <w:sz w:val="20"/>
        </w:rPr>
        <w:t xml:space="preserve"> 58:lB-1 </w:t>
      </w:r>
      <w:r>
        <w:rPr>
          <w:rFonts w:ascii="Times New Roman;Times;Serif" w:hAnsi="Times New Roman;Times;Serif"/>
          <w:b w:val="false"/>
          <w:i w:val="false"/>
          <w:caps w:val="false"/>
          <w:smallCaps w:val="false"/>
          <w:color w:val="000000"/>
          <w:sz w:val="20"/>
          <w:u w:val="single"/>
        </w:rPr>
        <w:t>et seq.</w:t>
      </w:r>
      <w:r>
        <w:rPr>
          <w:rFonts w:ascii="Times New Roman;Times;Serif" w:hAnsi="Times New Roman;Times;Serif"/>
          <w:b w:val="false"/>
          <w:i w:val="false"/>
          <w:caps w:val="false"/>
          <w:smallCaps w:val="false"/>
          <w:color w:val="000000"/>
          <w:sz w:val="20"/>
        </w:rPr>
        <w:t xml:space="preserve"> and Middlesex Water Company ("Purchaser").</w:t>
      </w:r>
    </w:p>
    <w:p>
      <w:pPr>
        <w:pStyle w:val="TextBody"/>
        <w:bidi w:val="0"/>
        <w:spacing w:before="0" w:after="0"/>
        <w:ind w:left="416" w:right="283"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BACKGROUND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499" w:before="0" w:after="0"/>
        <w:ind w:left="460" w:right="303" w:firstLine="69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The parties hereto are entering into this Contract to provide for the sale to and purchase of water by the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00"/>
          <w:sz w:val="20"/>
        </w:rPr>
        <w:t>Purchaser consistent with the Purchaser's projected needs.</w:t>
      </w:r>
    </w:p>
    <w:p>
      <w:pPr>
        <w:pStyle w:val="TextBody"/>
        <w:bidi w:val="0"/>
        <w:spacing w:lineRule="auto" w:line="499" w:before="0" w:after="0"/>
        <w:ind w:left="448" w:right="302" w:firstLine="712"/>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z w:val="20"/>
        </w:rPr>
        <w:t xml:space="preserve">WHEREAS, </w:t>
      </w:r>
      <w:r>
        <w:rPr>
          <w:rFonts w:ascii="Times New Roman;Times;Serif" w:hAnsi="Times New Roman;Times;Serif"/>
          <w:b w:val="false"/>
          <w:i w:val="false"/>
          <w:caps w:val="false"/>
          <w:smallCaps w:val="false"/>
          <w:color w:val="000000"/>
          <w:sz w:val="20"/>
        </w:rPr>
        <w:t>the Raritan River Basin located in Central New Jersey in Hunterdon, Mercer, Middlesex, Monmouth, Morris, Somerset and Union Counties, has an area of approximately 1,100 square miles, and consists of a collection of numerous watersheds; and</w:t>
      </w:r>
    </w:p>
    <w:p>
      <w:pPr>
        <w:pStyle w:val="TextBody"/>
        <w:bidi w:val="0"/>
        <w:spacing w:lineRule="atLeast" w:line="260" w:before="0" w:after="0"/>
        <w:ind w:left="1161"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z w:val="20"/>
        </w:rPr>
        <w:t>WHEREAS,</w:t>
      </w:r>
      <w:r>
        <w:rPr>
          <w:rFonts w:ascii="Times New Roman;Times;Serif" w:hAnsi="Times New Roman;Times;Serif"/>
          <w:b w:val="false"/>
          <w:i w:val="false"/>
          <w:caps w:val="false"/>
          <w:smallCaps w:val="false"/>
          <w:color w:val="000000"/>
          <w:sz w:val="20"/>
        </w:rPr>
        <w:t xml:space="preserve"> pursuant to the State's long-range water conservation and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499" w:before="0" w:after="0"/>
        <w:ind w:left="453" w:right="285" w:firstLine="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program authorized by the 1958 Water Supply Law, </w:t>
      </w:r>
      <w:r>
        <w:rPr>
          <w:rFonts w:ascii="Times New Roman;Times;Serif" w:hAnsi="Times New Roman;Times;Serif"/>
          <w:b w:val="false"/>
          <w:i w:val="false"/>
          <w:caps w:val="false"/>
          <w:smallCaps w:val="false"/>
          <w:color w:val="000000"/>
          <w:sz w:val="20"/>
          <w:u w:val="single"/>
        </w:rPr>
        <w:t>N.J.S.A.</w:t>
      </w:r>
      <w:r>
        <w:rPr>
          <w:rFonts w:ascii="Times New Roman;Times;Serif" w:hAnsi="Times New Roman;Times;Serif"/>
          <w:b w:val="false"/>
          <w:i w:val="false"/>
          <w:caps w:val="false"/>
          <w:smallCaps w:val="false"/>
          <w:color w:val="000000"/>
          <w:sz w:val="20"/>
        </w:rPr>
        <w:t xml:space="preserve"> 58:22-1 </w:t>
      </w:r>
      <w:r>
        <w:rPr>
          <w:rFonts w:ascii="Times New Roman;Times;Serif" w:hAnsi="Times New Roman;Times;Serif"/>
          <w:b w:val="false"/>
          <w:i w:val="false"/>
          <w:caps w:val="false"/>
          <w:smallCaps w:val="false"/>
          <w:color w:val="000000"/>
          <w:sz w:val="20"/>
          <w:u w:val="single"/>
        </w:rPr>
        <w:t>et seq.,</w:t>
      </w:r>
      <w:r>
        <w:rPr>
          <w:rFonts w:ascii="Times New Roman;Times;Serif" w:hAnsi="Times New Roman;Times;Serif"/>
          <w:b w:val="false"/>
          <w:i w:val="false"/>
          <w:caps w:val="false"/>
          <w:smallCaps w:val="false"/>
          <w:color w:val="000000"/>
          <w:sz w:val="20"/>
        </w:rPr>
        <w:t xml:space="preserve"> the Spruce Run and Round Valley Reservoirs System was constructed to, among other things, augment stream flows in the Raritan Basin during periods of low natural runoff, deliver 176 million gallons of water per day (MGD) for consumptive use at Bound Brook based on the drought of record, and maintain a minimum passing flow of 90 MGD at Bound Brook; and</w:t>
      </w:r>
    </w:p>
    <w:p>
      <w:pPr>
        <w:pStyle w:val="TextBody"/>
        <w:bidi w:val="0"/>
        <w:spacing w:lineRule="auto" w:line="499" w:before="0" w:after="0"/>
        <w:ind w:left="459" w:right="292" w:firstLine="711"/>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z w:val="20"/>
        </w:rPr>
        <w:t xml:space="preserve">WHEREAS, </w:t>
      </w:r>
      <w:r>
        <w:rPr>
          <w:rFonts w:ascii="Times New Roman;Times;Serif" w:hAnsi="Times New Roman;Times;Serif"/>
          <w:b w:val="false"/>
          <w:i w:val="false"/>
          <w:caps w:val="false"/>
          <w:smallCaps w:val="false"/>
          <w:color w:val="000000"/>
          <w:sz w:val="20"/>
        </w:rPr>
        <w:t>the Delaware and Raritan Canal serves as a supply of potable water, delivering 65 MGD for consumptive use at Port Mercer based on the drought of record; and</w:t>
      </w:r>
    </w:p>
    <w:p>
      <w:pPr>
        <w:pStyle w:val="TextBody"/>
        <w:bidi w:val="0"/>
        <w:spacing w:lineRule="auto" w:line="499" w:before="0" w:after="0"/>
        <w:ind w:left="458" w:right="289" w:firstLine="712"/>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z w:val="20"/>
        </w:rPr>
        <w:t xml:space="preserve">WHEREAS, </w:t>
      </w:r>
      <w:r>
        <w:rPr>
          <w:rFonts w:ascii="Times New Roman;Times;Serif" w:hAnsi="Times New Roman;Times;Serif"/>
          <w:b w:val="false"/>
          <w:i w:val="false"/>
          <w:caps w:val="false"/>
          <w:smallCaps w:val="false"/>
          <w:color w:val="000000"/>
          <w:sz w:val="20"/>
        </w:rPr>
        <w:t>together the Raritan River Basin and the Delaware and Raritan Canal comprise the Raritan Basin System (System) for a combined safe yield of 241 MGD;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6" w:space="1" w:color="000000"/>
        </w:rPr>
      </w:pPr>
      <w:r>
        <w:rPr>
          <w:caps w:val="false"/>
          <w:smallCaps w:val="false"/>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499" w:before="0" w:after="0"/>
        <w:ind w:left="487" w:right="293" w:firstLine="721"/>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00000"/>
          <w:sz w:val="20"/>
        </w:rPr>
        <w:t xml:space="preserve">WHEREAS, </w:t>
      </w:r>
      <w:r>
        <w:rPr>
          <w:rFonts w:ascii="Times New Roman;Times;Serif" w:hAnsi="Times New Roman;Times;Serif"/>
          <w:b w:val="false"/>
          <w:i w:val="false"/>
          <w:caps w:val="false"/>
          <w:smallCaps w:val="false"/>
          <w:color w:val="000000"/>
          <w:sz w:val="20"/>
        </w:rPr>
        <w:t>the Authority is responsible for ensuring that consumptive and depletive uses of water from the System comply with System safe or dependable yield; and</w:t>
      </w:r>
    </w:p>
    <w:p>
      <w:pPr>
        <w:pStyle w:val="TextBody"/>
        <w:bidi w:val="0"/>
        <w:spacing w:lineRule="auto" w:line="499" w:before="0" w:after="0"/>
        <w:ind w:left="488" w:right="0" w:firstLine="716"/>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00000"/>
          <w:sz w:val="20"/>
        </w:rPr>
        <w:t>WHEREAS,</w:t>
      </w:r>
      <w:r>
        <w:rPr>
          <w:rFonts w:ascii="Times New Roman;Times;Serif" w:hAnsi="Times New Roman;Times;Serif"/>
          <w:b w:val="false"/>
          <w:i w:val="false"/>
          <w:caps w:val="false"/>
          <w:smallCaps w:val="false"/>
          <w:color w:val="000000"/>
          <w:sz w:val="20"/>
        </w:rPr>
        <w:t xml:space="preserve"> withdrawals of water from the System shall only be in accordance with the terms of formal agreements between the Authority and System water purchasers; and</w:t>
      </w:r>
    </w:p>
    <w:p>
      <w:pPr>
        <w:pStyle w:val="TextBody"/>
        <w:bidi w:val="0"/>
        <w:spacing w:lineRule="auto" w:line="499" w:before="0" w:after="0"/>
        <w:ind w:left="489" w:right="304" w:firstLine="715"/>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00000"/>
          <w:sz w:val="20"/>
        </w:rPr>
        <w:t>WHEREAS,</w:t>
      </w:r>
      <w:r>
        <w:rPr>
          <w:rFonts w:ascii="Times New Roman;Times;Serif" w:hAnsi="Times New Roman;Times;Serif"/>
          <w:b w:val="false"/>
          <w:i w:val="false"/>
          <w:caps w:val="false"/>
          <w:smallCaps w:val="false"/>
          <w:color w:val="000000"/>
          <w:sz w:val="20"/>
        </w:rPr>
        <w:t xml:space="preserve"> depletive and consumptive uses of water throughout the System reduce the water supply available for consumptive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00"/>
          <w:sz w:val="20"/>
        </w:rPr>
        <w:t>use at Bound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00"/>
          <w:sz w:val="20"/>
        </w:rPr>
        <w:t>Brook; and</w:t>
      </w:r>
    </w:p>
    <w:p>
      <w:pPr>
        <w:pStyle w:val="TextBody"/>
        <w:bidi w:val="0"/>
        <w:spacing w:before="0" w:after="0"/>
        <w:ind w:left="1209"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00000"/>
          <w:sz w:val="20"/>
        </w:rPr>
        <w:t>WHEREAS,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00"/>
          <w:sz w:val="20"/>
        </w:rPr>
        <w:t>the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00"/>
          <w:sz w:val="20"/>
        </w:rPr>
        <w:t>Authority and Purchaser previously entered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00"/>
          <w:sz w:val="20"/>
        </w:rPr>
        <w:t>into</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00"/>
          <w:sz w:val="20"/>
        </w:rPr>
        <w:t>Contract RBS-2A;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09"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z w:val="20"/>
        </w:rPr>
        <w:t>WHEREAS,</w:t>
      </w:r>
      <w:r>
        <w:rPr>
          <w:rFonts w:ascii="Times New Roman;Times;Serif" w:hAnsi="Times New Roman;Times;Serif"/>
          <w:b w:val="false"/>
          <w:i w:val="false"/>
          <w:caps w:val="false"/>
          <w:smallCaps w:val="false"/>
          <w:color w:val="000000"/>
          <w:sz w:val="20"/>
        </w:rPr>
        <w:t xml:space="preserve"> Contract RBS-2A will expire on November 30, 2023;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499" w:before="0" w:after="0"/>
        <w:ind w:left="488" w:right="244" w:firstLine="716"/>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00000"/>
          <w:sz w:val="20"/>
        </w:rPr>
        <w:t>WHEREAS,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00"/>
          <w:sz w:val="20"/>
        </w:rPr>
        <w:t>Purchaser has applied to the Authority for renewal of Contract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00"/>
          <w:sz w:val="20"/>
        </w:rPr>
        <w:t>RBS-2A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00"/>
          <w:sz w:val="20"/>
        </w:rPr>
        <w:t>for its existing supply provided from</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00"/>
          <w:sz w:val="20"/>
        </w:rPr>
        <w:t>intake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00"/>
          <w:sz w:val="20"/>
        </w:rPr>
        <w:t>facilities on the Delaware and Raritan Canal within the Raritan Basin identifying requirements for an uninterruptable daily average of 27 MGD and peaking needs of up to 47 MGD.</w:t>
      </w:r>
    </w:p>
    <w:p>
      <w:pPr>
        <w:pStyle w:val="TextBody"/>
        <w:bidi w:val="0"/>
        <w:spacing w:lineRule="auto" w:line="499" w:before="0" w:after="0"/>
        <w:ind w:left="487" w:right="257" w:firstLine="721"/>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00000"/>
          <w:sz w:val="20"/>
        </w:rPr>
        <w:t xml:space="preserve">NOW THEREFORE, </w:t>
      </w:r>
      <w:r>
        <w:rPr>
          <w:rFonts w:ascii="Times New Roman;Times;Serif" w:hAnsi="Times New Roman;Times;Serif"/>
          <w:b w:val="false"/>
          <w:i w:val="false"/>
          <w:caps w:val="false"/>
          <w:smallCaps w:val="false"/>
          <w:color w:val="000000"/>
          <w:sz w:val="20"/>
        </w:rPr>
        <w:t>in consideration of the mutual covenants and premises herein contained, the parties hereto, intending to be legally bound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00"/>
          <w:sz w:val="20"/>
        </w:rPr>
        <w:t>hereby,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00"/>
          <w:sz w:val="20"/>
        </w:rPr>
        <w:t>agree as follows:</w:t>
      </w:r>
    </w:p>
    <w:p>
      <w:pPr>
        <w:pStyle w:val="TextBody"/>
        <w:bidi w:val="0"/>
        <w:spacing w:before="0" w:after="0"/>
        <w:ind w:left="1204"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color w:val="000000"/>
          <w:sz w:val="20"/>
        </w:rPr>
        <w:t>SECTION 1.</w:t>
      </w:r>
      <w:r>
        <w:rPr>
          <w:rFonts w:ascii="Times New Roman;Times;Serif" w:hAnsi="Times New Roman;Times;Serif"/>
          <w:b/>
          <w:i w:val="false"/>
          <w:caps w:val="false"/>
          <w:smallCaps w:val="false"/>
          <w:sz w:val="20"/>
        </w:rPr>
        <w:t xml:space="preserve"> </w:t>
      </w:r>
      <w:r>
        <w:rPr>
          <w:rFonts w:ascii="Times New Roman;Times;Serif" w:hAnsi="Times New Roman;Times;Serif"/>
          <w:b/>
          <w:i w:val="false"/>
          <w:caps w:val="false"/>
          <w:smallCaps w:val="false"/>
          <w:color w:val="000000"/>
          <w:sz w:val="20"/>
          <w:u w:val="single"/>
        </w:rPr>
        <w:t>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499" w:before="0" w:after="0"/>
        <w:ind w:left="496" w:right="250" w:firstLine="71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Unless the context clearly establishes otherwise, the following terms, when used in this Contract or in the Background hereto, shall have the following meanings:</w:t>
      </w:r>
    </w:p>
    <w:p>
      <w:pPr>
        <w:pStyle w:val="TextBody"/>
        <w:bidi w:val="0"/>
        <w:spacing w:lineRule="auto" w:line="504" w:before="0" w:after="0"/>
        <w:ind w:left="498" w:right="241" w:firstLine="71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"Annual Budget" means </w:t>
      </w:r>
      <w:r>
        <w:rPr>
          <w:rFonts w:ascii="Times New Roman;Times;Serif" w:hAnsi="Times New Roman;Times;Serif"/>
          <w:b w:val="false"/>
          <w:i w:val="false"/>
          <w:caps w:val="false"/>
          <w:smallCaps w:val="false"/>
          <w:color w:val="1A1A1A"/>
          <w:sz w:val="20"/>
        </w:rPr>
        <w:t xml:space="preserve">the </w:t>
      </w:r>
      <w:r>
        <w:rPr>
          <w:rFonts w:ascii="Times New Roman;Times;Serif" w:hAnsi="Times New Roman;Times;Serif"/>
          <w:b w:val="false"/>
          <w:i w:val="false"/>
          <w:caps w:val="false"/>
          <w:smallCaps w:val="false"/>
          <w:color w:val="000000"/>
          <w:sz w:val="20"/>
        </w:rPr>
        <w:t>annual budget of the Authority relating to the System (which shall include all costs, obligations and expenses properly allocable to the System in accordance with generally accepted accounting principles and cost allocation principles), as amended or supplemented, adopted or in effect for a particular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00"/>
          <w:sz w:val="20"/>
        </w:rPr>
        <w:t>Fiscal Year.</w:t>
      </w:r>
    </w:p>
    <w:p>
      <w:pPr>
        <w:pStyle w:val="TextBody"/>
        <w:bidi w:val="0"/>
        <w:spacing w:lineRule="auto" w:line="504" w:before="0" w:after="0"/>
        <w:ind w:left="501" w:right="244"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"Annual Overdraft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00"/>
          <w:sz w:val="20"/>
        </w:rPr>
        <w:t>Rate" means the rate for a System water user's average daily diversion for any calendar year in excess of the System water user's daily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00"/>
          <w:sz w:val="20"/>
        </w:rPr>
        <w:t>uninterruptible service, determined</w:t>
      </w:r>
    </w:p>
    <w:tbl>
      <w:tblPr>
        <w:tblW w:w="4345" w:type="dxa"/>
        <w:jc w:val="left"/>
        <w:tblInd w:w="0" w:type="dxa"/>
        <w:tblLayout w:type="fixed"/>
        <w:tblCellMar>
          <w:top w:w="0" w:type="dxa"/>
          <w:left w:w="0" w:type="dxa"/>
          <w:bottom w:w="0" w:type="dxa"/>
          <w:right w:w="0" w:type="dxa"/>
        </w:tblCellMar>
      </w:tblPr>
      <w:tblGrid>
        <w:gridCol w:w="3485"/>
        <w:gridCol w:w="860"/>
      </w:tblGrid>
      <w:tr>
        <w:trPr/>
        <w:tc>
          <w:tcPr>
            <w:tcW w:w="3485" w:type="dxa"/>
            <w:tcBorders/>
            <w:vAlign w:val="center"/>
          </w:tcPr>
          <w:p>
            <w:pPr>
              <w:pStyle w:val="TableContents"/>
              <w:bidi w:val="0"/>
              <w:spacing w:before="0" w:after="283"/>
              <w:jc w:val="left"/>
              <w:rPr/>
            </w:pPr>
            <w:r>
              <w:rPr/>
              <w:t>New Jersey Water Supply Authority</w:t>
            </w:r>
          </w:p>
        </w:tc>
        <w:tc>
          <w:tcPr>
            <w:tcW w:w="860" w:type="dxa"/>
            <w:tcBorders/>
            <w:vAlign w:val="center"/>
          </w:tcPr>
          <w:p>
            <w:pPr>
              <w:pStyle w:val="TableContents"/>
              <w:bidi w:val="0"/>
              <w:spacing w:before="0" w:after="283"/>
              <w:jc w:val="right"/>
              <w:rPr/>
            </w:pPr>
            <w:r>
              <w:rPr/>
              <w:t>RBS-2B</w:t>
            </w:r>
          </w:p>
        </w:tc>
      </w:tr>
    </w:tbl>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468" w:before="0" w:after="0"/>
        <w:ind w:left="416" w:right="332" w:hanging="2"/>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and established from time to time by the Authority in accordance with the Rate Schedule, currently set forth in N.J.A.C. 7:11-2.18: rate * one-hundred and fifteen percent of the average million gallons diverted each day during the calendar year or fraction thereof.</w:t>
      </w:r>
    </w:p>
    <w:p>
      <w:pPr>
        <w:pStyle w:val="TextBody"/>
        <w:bidi w:val="0"/>
        <w:spacing w:lineRule="auto" w:line="499" w:before="0" w:after="0"/>
        <w:ind w:left="407" w:right="324" w:firstLine="72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"Annual Payment" means the aggregate amount projected by the Authority to be payable to the Authority by the Purchaser for Uninterruptible Service during each Annual Payment Period, which Annual Payment shall be determined by (a) multiplying the applicable rates and charges for Uninterruptible Service set forth in the Rate Schedule in effect during the relevant Annual Payment Period by the number of MG of water contracted for by the Purchaser for Uninterruptible Service on an annual basis as set forth in this Contract, subject to adjustment </w:t>
      </w:r>
      <w:r>
        <w:rPr>
          <w:rFonts w:ascii="Times New Roman;Times;Serif" w:hAnsi="Times New Roman;Times;Serif"/>
          <w:b w:val="false"/>
          <w:i w:val="false"/>
          <w:caps w:val="false"/>
          <w:smallCaps w:val="false"/>
          <w:color w:val="4B4B4B"/>
          <w:sz w:val="20"/>
        </w:rPr>
        <w:t xml:space="preserve">to </w:t>
      </w:r>
      <w:r>
        <w:rPr>
          <w:rFonts w:ascii="Times New Roman;Times;Serif" w:hAnsi="Times New Roman;Times;Serif"/>
          <w:b w:val="false"/>
          <w:i w:val="false"/>
          <w:caps w:val="false"/>
          <w:smallCaps w:val="false"/>
          <w:color w:val="000000"/>
          <w:sz w:val="20"/>
        </w:rPr>
        <w:t xml:space="preserve">reflect any special allocations, charges, credits or adjustments provided for pursuant to the provisions of this Contract or any Rate Schedule, which may include but not be </w:t>
      </w:r>
      <w:r>
        <w:rPr>
          <w:rFonts w:ascii="Times New Roman;Times;Serif" w:hAnsi="Times New Roman;Times;Serif"/>
          <w:b w:val="false"/>
          <w:i w:val="false"/>
          <w:caps w:val="false"/>
          <w:smallCaps w:val="false"/>
          <w:color w:val="181818"/>
          <w:sz w:val="20"/>
        </w:rPr>
        <w:t>limited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00"/>
          <w:sz w:val="20"/>
        </w:rPr>
        <w:t>to: (i) adjustments based upon the water being derived from the System within the Delaware River Basin; (ii) debt service allocated specifically to those customers of the Authority who benefit from the debt to which such debt service relates; and (iii) for withdrawals within the Raritan Basin, an evaluation of the equivalent sustained supply and the application of an appropriate production factor, all as contemplated by and/or set forth in the Rate Schedule and (b) adding thereto any charges for access to the System and any other charges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81818"/>
          <w:sz w:val="20"/>
        </w:rPr>
        <w:t>imposed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00"/>
          <w:sz w:val="20"/>
        </w:rPr>
        <w:t>on the Purchaser by this Contract.</w:t>
      </w:r>
    </w:p>
    <w:p>
      <w:pPr>
        <w:pStyle w:val="TextBody"/>
        <w:bidi w:val="0"/>
        <w:spacing w:lineRule="auto" w:line="499" w:before="0" w:after="0"/>
        <w:ind w:left="412" w:right="328" w:firstLine="721"/>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"Annual Payment Period" means the calendar year, commencing January 1, during which Uninterruptible Service is to be provided to the Purchaser hereunder.</w:t>
      </w:r>
    </w:p>
    <w:p>
      <w:pPr>
        <w:pStyle w:val="TextBody"/>
        <w:bidi w:val="0"/>
        <w:spacing w:lineRule="auto" w:line="499" w:before="0" w:after="0"/>
        <w:ind w:left="419" w:right="313" w:firstLine="719"/>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"Annual Requirements" means the aggregate amount required during each Annual Payment Period to pay, or make provision for, all (i) Operation and Maintenance Expenses; (ii) Debt Service; and (iii) other requirements of the System required to be paid as is set forth in the Resolution, or in any Rate Schedule, or in any documents relating to Other Indebtedness, including</w:t>
      </w:r>
    </w:p>
    <w:tbl>
      <w:tblPr>
        <w:tblW w:w="4345" w:type="dxa"/>
        <w:jc w:val="left"/>
        <w:tblInd w:w="0" w:type="dxa"/>
        <w:tblLayout w:type="fixed"/>
        <w:tblCellMar>
          <w:top w:w="0" w:type="dxa"/>
          <w:left w:w="0" w:type="dxa"/>
          <w:bottom w:w="0" w:type="dxa"/>
          <w:right w:w="0" w:type="dxa"/>
        </w:tblCellMar>
      </w:tblPr>
      <w:tblGrid>
        <w:gridCol w:w="3485"/>
        <w:gridCol w:w="860"/>
      </w:tblGrid>
      <w:tr>
        <w:trPr/>
        <w:tc>
          <w:tcPr>
            <w:tcW w:w="3485" w:type="dxa"/>
            <w:tcBorders/>
            <w:vAlign w:val="center"/>
          </w:tcPr>
          <w:p>
            <w:pPr>
              <w:pStyle w:val="TableContents"/>
              <w:bidi w:val="0"/>
              <w:spacing w:before="0" w:after="283"/>
              <w:jc w:val="left"/>
              <w:rPr/>
            </w:pPr>
            <w:r>
              <w:rPr/>
              <w:t>New Jersey Water Supply Authority</w:t>
            </w:r>
          </w:p>
        </w:tc>
        <w:tc>
          <w:tcPr>
            <w:tcW w:w="860" w:type="dxa"/>
            <w:tcBorders/>
            <w:vAlign w:val="center"/>
          </w:tcPr>
          <w:p>
            <w:pPr>
              <w:pStyle w:val="TableContents"/>
              <w:bidi w:val="0"/>
              <w:spacing w:before="0" w:after="283"/>
              <w:jc w:val="right"/>
              <w:rPr/>
            </w:pPr>
            <w:r>
              <w:rPr/>
              <w:t>RBS-2B</w:t>
            </w:r>
          </w:p>
        </w:tc>
      </w:tr>
    </w:tbl>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499" w:before="0" w:after="0"/>
        <w:ind w:left="433" w:right="314" w:firstLine="9"/>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but not limited to amounts required to meet the rate covenant set forth in Section 713 of the Resolution; provided, however, that the amount to be included for Debt Service in each Annual Payment Period shall be that amount accruing in the Bond Year or Bond Years, or corresponding portion thereof, commencing during the Fiscal Year within which such Annual Payment Period or portion thereof falls.</w:t>
      </w:r>
    </w:p>
    <w:p>
      <w:pPr>
        <w:pStyle w:val="TextBody"/>
        <w:bidi w:val="0"/>
        <w:spacing w:lineRule="auto" w:line="494" w:before="0" w:after="0"/>
        <w:ind w:left="431" w:right="317" w:firstLine="71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"Authority" means the New </w:t>
      </w:r>
      <w:r>
        <w:rPr>
          <w:rFonts w:ascii="Times New Roman;Times;Serif" w:hAnsi="Times New Roman;Times;Serif"/>
          <w:b w:val="false"/>
          <w:i w:val="false"/>
          <w:caps w:val="false"/>
          <w:smallCaps w:val="false"/>
          <w:color w:val="181818"/>
          <w:sz w:val="20"/>
        </w:rPr>
        <w:t xml:space="preserve">Jersey </w:t>
      </w:r>
      <w:r>
        <w:rPr>
          <w:rFonts w:ascii="Times New Roman;Times;Serif" w:hAnsi="Times New Roman;Times;Serif"/>
          <w:b w:val="false"/>
          <w:i w:val="false"/>
          <w:caps w:val="false"/>
          <w:smallCaps w:val="false"/>
          <w:color w:val="000000"/>
          <w:sz w:val="20"/>
        </w:rPr>
        <w:t>Water Supply Authority established pursuant to the Authority Act.</w:t>
      </w:r>
    </w:p>
    <w:p>
      <w:pPr>
        <w:pStyle w:val="TextBody"/>
        <w:bidi w:val="0"/>
        <w:spacing w:before="0" w:after="0"/>
        <w:ind w:left="1143"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"Authority Act" means the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00"/>
          <w:sz w:val="20"/>
        </w:rPr>
        <w:t>"New Jersey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00"/>
          <w:sz w:val="20"/>
        </w:rPr>
        <w:t>Water Supply Authority Act", P.L. 1981, c.293,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34"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as amended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00"/>
          <w:sz w:val="20"/>
          <w:u w:val="single"/>
        </w:rPr>
        <w:t>(N.J.S.A.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00"/>
          <w:sz w:val="20"/>
        </w:rPr>
        <w:t xml:space="preserve">58: lB-1 </w:t>
      </w:r>
      <w:r>
        <w:rPr>
          <w:rFonts w:ascii="Times New Roman;Times;Serif" w:hAnsi="Times New Roman;Times;Serif"/>
          <w:b w:val="false"/>
          <w:i w:val="false"/>
          <w:caps w:val="false"/>
          <w:smallCaps w:val="false"/>
          <w:color w:val="000000"/>
          <w:sz w:val="20"/>
          <w:u w:val="single"/>
        </w:rPr>
        <w:t>et seq.)</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499" w:before="0" w:after="0"/>
        <w:ind w:left="433" w:right="310" w:firstLine="70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"Authorized Officer" means the Chairman, Vice Chairman, Treasurer, Secretary or Executive Director of</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00"/>
          <w:sz w:val="20"/>
        </w:rPr>
        <w:t>the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00"/>
          <w:sz w:val="20"/>
        </w:rPr>
        <w:t>Authority or any person or persons designated by the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00"/>
          <w:sz w:val="20"/>
        </w:rPr>
        <w:t>Authority to act on behalf of the Authority.</w:t>
      </w:r>
    </w:p>
    <w:p>
      <w:pPr>
        <w:pStyle w:val="TextBody"/>
        <w:bidi w:val="0"/>
        <w:spacing w:lineRule="auto" w:line="499" w:before="0" w:after="0"/>
        <w:ind w:left="429" w:right="308" w:firstLine="71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"Bonds" means all bonds, notes, or other evidences of indebtedness issued by the Authority and outstanding</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00"/>
          <w:sz w:val="20"/>
        </w:rPr>
        <w:t>under the Resolution and each Supplemental Resolution to finance or refinance any cost, expense or liability paid or incurred or to be paid or incurred by the Authority in connection with the financing, planning, designing, constructing, acquiring, operating or maintaining of any part of the System.</w:t>
      </w:r>
    </w:p>
    <w:p>
      <w:pPr>
        <w:pStyle w:val="TextBody"/>
        <w:bidi w:val="0"/>
        <w:spacing w:lineRule="auto" w:line="499" w:before="0" w:after="0"/>
        <w:ind w:left="438" w:right="298" w:firstLine="709"/>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"Bond Year" means, with respect to any Bonds, the twelve-month period (and such shorter initial period, if any) established with respect to the issuance of such Bonds in a Supplemental Resolution, and with respect to Other Indebtedness, the twelve-month period (and such shorter initial period, if any) established with respect to the issuance of such Other Indebtedness in the documents relating to the issuance of such Other Indebtedness.</w:t>
      </w:r>
    </w:p>
    <w:p>
      <w:pPr>
        <w:pStyle w:val="TextBody"/>
        <w:bidi w:val="0"/>
        <w:spacing w:before="0" w:after="0"/>
        <w:ind w:left="1143"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"Contract"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00"/>
          <w:sz w:val="20"/>
        </w:rPr>
        <w:t>means this Water Purchase Contract.</w:t>
      </w:r>
    </w:p>
    <w:tbl>
      <w:tblPr>
        <w:tblW w:w="4345" w:type="dxa"/>
        <w:jc w:val="left"/>
        <w:tblInd w:w="0" w:type="dxa"/>
        <w:tblLayout w:type="fixed"/>
        <w:tblCellMar>
          <w:top w:w="0" w:type="dxa"/>
          <w:left w:w="0" w:type="dxa"/>
          <w:bottom w:w="0" w:type="dxa"/>
          <w:right w:w="0" w:type="dxa"/>
        </w:tblCellMar>
      </w:tblPr>
      <w:tblGrid>
        <w:gridCol w:w="3485"/>
        <w:gridCol w:w="860"/>
      </w:tblGrid>
      <w:tr>
        <w:trPr/>
        <w:tc>
          <w:tcPr>
            <w:tcW w:w="3485" w:type="dxa"/>
            <w:tcBorders/>
            <w:vAlign w:val="center"/>
          </w:tcPr>
          <w:p>
            <w:pPr>
              <w:pStyle w:val="TableContents"/>
              <w:bidi w:val="0"/>
              <w:spacing w:before="0" w:after="283"/>
              <w:jc w:val="left"/>
              <w:rPr/>
            </w:pPr>
            <w:r>
              <w:rPr/>
              <w:t>New Jersey Water Supply Authority</w:t>
            </w:r>
          </w:p>
        </w:tc>
        <w:tc>
          <w:tcPr>
            <w:tcW w:w="860" w:type="dxa"/>
            <w:tcBorders/>
            <w:vAlign w:val="center"/>
          </w:tcPr>
          <w:p>
            <w:pPr>
              <w:pStyle w:val="TableContents"/>
              <w:bidi w:val="0"/>
              <w:spacing w:before="0" w:after="283"/>
              <w:jc w:val="right"/>
              <w:rPr/>
            </w:pPr>
            <w:r>
              <w:rPr/>
              <w:t>RBS-2B</w:t>
            </w:r>
          </w:p>
        </w:tc>
      </w:tr>
    </w:tbl>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499" w:before="0" w:after="0"/>
        <w:ind w:left="438" w:right="308" w:firstLine="709"/>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"Credit Facility" means a policy of municipal bond insurance, a letter of credit, a surety bond, a loan agreement, a standby bond purchase agreement or other type of credit agreement, facility, insurance or guaranty arrangement pursuant to which funds can be obtained to pay the principal or redemption price of Bonds or Other Indebtedness and interest thereon.</w:t>
      </w:r>
    </w:p>
    <w:p>
      <w:pPr>
        <w:pStyle w:val="TextBody"/>
        <w:bidi w:val="0"/>
        <w:spacing w:lineRule="auto" w:line="487" w:before="0" w:after="0"/>
        <w:ind w:left="419" w:right="306" w:firstLine="734"/>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"Debt Service" for any period means, as of any date of calculation, with respect to (A) Outstanding Bonds, an amount equal to the sum of (i) the interest accruing during such period on such Bonds, and (ii) that of the principal of such Bonds accruing during such period, all as </w:t>
      </w:r>
      <w:r>
        <w:rPr>
          <w:rFonts w:ascii="Times New Roman;Times;Serif" w:hAnsi="Times New Roman;Times;Serif"/>
          <w:b w:val="false"/>
          <w:i/>
          <w:caps w:val="false"/>
          <w:smallCaps w:val="false"/>
          <w:color w:val="000000"/>
          <w:sz w:val="24"/>
        </w:rPr>
        <w:t>is</w:t>
      </w:r>
      <w:r>
        <w:rPr>
          <w:rFonts w:ascii="Times New Roman;Times;Serif" w:hAnsi="Times New Roman;Times;Serif"/>
          <w:b w:val="false"/>
          <w:i w:val="false"/>
          <w:caps w:val="false"/>
          <w:smallCaps w:val="false"/>
          <w:color w:val="000000"/>
          <w:sz w:val="20"/>
        </w:rPr>
        <w:t xml:space="preserve"> set forth in the Resolution and (B) Other Indebtedness, an amount equal to (i) the interest accruing during such period on such Other Indebtedness and (ii) that portion of the principal accruing on such Other Indebtedness during such period, all as is set forth in the documents relating to the issuance of such Other Indebtedness.</w:t>
      </w:r>
    </w:p>
    <w:p>
      <w:pPr>
        <w:pStyle w:val="TextBody"/>
        <w:bidi w:val="0"/>
        <w:spacing w:lineRule="auto" w:line="487" w:before="0" w:after="0"/>
        <w:ind w:left="419" w:right="306" w:firstLine="734"/>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"Department" means the New Jersey Department of Environmental Protection. "Division" means the Division of Water Resources in the Department.</w:t>
      </w:r>
    </w:p>
    <w:p>
      <w:pPr>
        <w:pStyle w:val="TextBody"/>
        <w:bidi w:val="0"/>
        <w:spacing w:lineRule="auto" w:line="499" w:before="0" w:after="0"/>
        <w:ind w:left="441" w:right="310" w:firstLine="712"/>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"Event of Default" means a default by the Purchaser of the provisions of this Contract as a result of the occurrence of any of the events set forth in Section 10 hereof.</w:t>
      </w:r>
    </w:p>
    <w:p>
      <w:pPr>
        <w:pStyle w:val="TextBody"/>
        <w:bidi w:val="0"/>
        <w:spacing w:lineRule="auto" w:line="499" w:before="0" w:after="0"/>
        <w:ind w:left="445" w:right="303" w:firstLine="707"/>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"Existing Contracts" means the existing water use contracts for the System between the Authority and System Water Purchasers covering the provisions of water from the System.</w:t>
      </w:r>
    </w:p>
    <w:p>
      <w:pPr>
        <w:pStyle w:val="TextBody"/>
        <w:bidi w:val="0"/>
        <w:spacing w:lineRule="auto" w:line="499" w:before="0" w:after="0"/>
        <w:ind w:left="439" w:right="311" w:firstLine="71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"Fiscal Year" means the twelve-month period commencing on July I of each year and continuing through the following June 30.</w:t>
      </w:r>
    </w:p>
    <w:p>
      <w:pPr>
        <w:pStyle w:val="TextBody"/>
        <w:bidi w:val="0"/>
        <w:spacing w:lineRule="auto" w:line="504" w:before="0" w:after="0"/>
        <w:ind w:left="444" w:right="302" w:firstLine="709"/>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"Force Majeure" means acts of God, strikes, lockouts or other industrial disturbances; orders of the Government of the United States or the State or any agency or instrumentality thereof or of any civil or military authority; acts of terrorism, insurrections, riots, epidemics, landslides, lightning, earthquakes, fires, hurricanes, storms, floods, washouts, droughts and explosions;</w:t>
      </w:r>
    </w:p>
    <w:tbl>
      <w:tblPr>
        <w:tblW w:w="4345" w:type="dxa"/>
        <w:jc w:val="left"/>
        <w:tblInd w:w="0" w:type="dxa"/>
        <w:tblLayout w:type="fixed"/>
        <w:tblCellMar>
          <w:top w:w="0" w:type="dxa"/>
          <w:left w:w="0" w:type="dxa"/>
          <w:bottom w:w="0" w:type="dxa"/>
          <w:right w:w="0" w:type="dxa"/>
        </w:tblCellMar>
      </w:tblPr>
      <w:tblGrid>
        <w:gridCol w:w="3485"/>
        <w:gridCol w:w="860"/>
      </w:tblGrid>
      <w:tr>
        <w:trPr/>
        <w:tc>
          <w:tcPr>
            <w:tcW w:w="3485" w:type="dxa"/>
            <w:tcBorders/>
            <w:vAlign w:val="center"/>
          </w:tcPr>
          <w:p>
            <w:pPr>
              <w:pStyle w:val="TableContents"/>
              <w:bidi w:val="0"/>
              <w:spacing w:before="0" w:after="283"/>
              <w:jc w:val="left"/>
              <w:rPr/>
            </w:pPr>
            <w:r>
              <w:rPr/>
              <w:t>New Jersey Water Supply Authority</w:t>
            </w:r>
          </w:p>
        </w:tc>
        <w:tc>
          <w:tcPr>
            <w:tcW w:w="860" w:type="dxa"/>
            <w:tcBorders/>
            <w:vAlign w:val="center"/>
          </w:tcPr>
          <w:p>
            <w:pPr>
              <w:pStyle w:val="TableContents"/>
              <w:bidi w:val="0"/>
              <w:spacing w:before="0" w:after="283"/>
              <w:jc w:val="right"/>
              <w:rPr/>
            </w:pPr>
            <w:r>
              <w:rPr/>
              <w:t>RBS-2B</w:t>
            </w:r>
          </w:p>
        </w:tc>
      </w:tr>
    </w:tbl>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499" w:before="0" w:after="0"/>
        <w:ind w:left="416" w:right="325" w:firstLine="12"/>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breakage or accidents to machinery, pipelines, dams or canals, other than as a result of the negligence of the party claiming inability to comply with its obligations; partial or entire failure of water supply, other than as a result of the negligence of the party claiming inability to comply with its obligations; arrests, civil disturbances; acts of any public enemy; and any other events not reasonably within the control of and not as a result of the negligence of the party claiming inability to comply with its obligations.</w:t>
      </w:r>
    </w:p>
    <w:p>
      <w:pPr>
        <w:pStyle w:val="TextBody"/>
        <w:bidi w:val="0"/>
        <w:spacing w:before="0" w:after="0"/>
        <w:ind w:left="1129"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"GPM" means gallons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00"/>
          <w:sz w:val="20"/>
        </w:rPr>
        <w:t>of</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00"/>
          <w:sz w:val="20"/>
        </w:rPr>
        <w:t>water per minute.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499" w:before="0" w:after="0"/>
        <w:ind w:left="419" w:right="332" w:firstLine="709"/>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"General Fund" means the fund denominated as such and created pursuant to the Resolution.</w:t>
      </w:r>
    </w:p>
    <w:p>
      <w:pPr>
        <w:pStyle w:val="TextBody"/>
        <w:bidi w:val="0"/>
        <w:spacing w:lineRule="auto" w:line="499" w:before="0" w:after="0"/>
        <w:ind w:left="416" w:right="342" w:firstLine="702"/>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"Interconnection System" means a water supply connection with another water supply system or systems.</w:t>
      </w:r>
    </w:p>
    <w:p>
      <w:pPr>
        <w:pStyle w:val="TextBody"/>
        <w:bidi w:val="0"/>
        <w:spacing w:lineRule="auto" w:line="496" w:before="0" w:after="0"/>
        <w:ind w:left="411" w:right="330" w:firstLine="71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"Liquidity Facility" means an irrevocable letter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00"/>
          <w:sz w:val="20"/>
        </w:rPr>
        <w:t xml:space="preserve">of credit or other irrevocable Credit Facility issued by a financial institution or insurance company, which letter of credit or Credit Facility is payable on demand in the event the terms under which such letter of credit or Credit Facility was issued require payment </w:t>
      </w:r>
      <w:r>
        <w:rPr>
          <w:rFonts w:ascii="Times New Roman;Times;Serif" w:hAnsi="Times New Roman;Times;Serif"/>
          <w:b w:val="false"/>
          <w:i w:val="false"/>
          <w:caps w:val="false"/>
          <w:smallCaps w:val="false"/>
          <w:color w:val="161616"/>
          <w:sz w:val="20"/>
        </w:rPr>
        <w:t>thereunder.</w:t>
      </w:r>
    </w:p>
    <w:p>
      <w:pPr>
        <w:pStyle w:val="TextBody"/>
        <w:bidi w:val="0"/>
        <w:spacing w:lineRule="auto" w:line="494" w:before="0" w:after="0"/>
        <w:ind w:left="421" w:right="327" w:firstLine="708"/>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"Major Rehabilitation Fund" means the fund denominated as such and created pursuant to the Resolution.</w:t>
      </w:r>
    </w:p>
    <w:p>
      <w:pPr>
        <w:pStyle w:val="TextBody"/>
        <w:bidi w:val="0"/>
        <w:spacing w:before="0" w:after="0"/>
        <w:ind w:left="1129"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"MG" means million gallons of water.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129"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"MGD" means million gallons of water per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504" w:before="0" w:after="0"/>
        <w:ind w:left="419" w:right="315" w:firstLine="7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"Monthly Overdraft Rate" means the rate for overdraft service determined and established from time to time by the Authority in accordance with the Rate Schedule, currently set forth in N.JA.C. 7:11-2.17: rate* one-hundred and twenty percent of the average million gallons diverted each day during the calendar month or fraction thereof.</w:t>
      </w:r>
    </w:p>
    <w:tbl>
      <w:tblPr>
        <w:tblW w:w="4345" w:type="dxa"/>
        <w:jc w:val="left"/>
        <w:tblInd w:w="0" w:type="dxa"/>
        <w:tblLayout w:type="fixed"/>
        <w:tblCellMar>
          <w:top w:w="0" w:type="dxa"/>
          <w:left w:w="0" w:type="dxa"/>
          <w:bottom w:w="0" w:type="dxa"/>
          <w:right w:w="0" w:type="dxa"/>
        </w:tblCellMar>
      </w:tblPr>
      <w:tblGrid>
        <w:gridCol w:w="3485"/>
        <w:gridCol w:w="860"/>
      </w:tblGrid>
      <w:tr>
        <w:trPr/>
        <w:tc>
          <w:tcPr>
            <w:tcW w:w="3485" w:type="dxa"/>
            <w:tcBorders/>
            <w:vAlign w:val="center"/>
          </w:tcPr>
          <w:p>
            <w:pPr>
              <w:pStyle w:val="TableContents"/>
              <w:bidi w:val="0"/>
              <w:spacing w:before="0" w:after="283"/>
              <w:jc w:val="left"/>
              <w:rPr/>
            </w:pPr>
            <w:r>
              <w:rPr/>
              <w:t>New Jersey Water Supply Authority</w:t>
            </w:r>
          </w:p>
        </w:tc>
        <w:tc>
          <w:tcPr>
            <w:tcW w:w="860" w:type="dxa"/>
            <w:tcBorders/>
            <w:vAlign w:val="center"/>
          </w:tcPr>
          <w:p>
            <w:pPr>
              <w:pStyle w:val="TableContents"/>
              <w:bidi w:val="0"/>
              <w:spacing w:before="0" w:after="283"/>
              <w:jc w:val="right"/>
              <w:rPr/>
            </w:pPr>
            <w:r>
              <w:rPr/>
              <w:t>RBS-2B</w:t>
            </w:r>
          </w:p>
        </w:tc>
      </w:tr>
    </w:tbl>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499" w:before="0" w:after="0"/>
        <w:ind w:left="474" w:right="263" w:firstLine="722"/>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"Monthly Water Payments" means either (i) the amount obtained by dividing the amount of the Annual Payment for any Fiscal Year by twelve or (ii) such other or different required monthly payments for which the Authority gives notice to the Purchaser pursuant to Sections 4B, or 4E hereof.</w:t>
      </w:r>
    </w:p>
    <w:p>
      <w:pPr>
        <w:pStyle w:val="TextBody"/>
        <w:bidi w:val="0"/>
        <w:spacing w:lineRule="auto" w:line="499" w:before="0" w:after="0"/>
        <w:ind w:left="477" w:right="256" w:firstLine="71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"Operation and Maintenance Expenses" for any period means the amount (as set forth in the Annual Budget of the Authority, as from time to time amended) of all current costs, obligations and expenses of, or arising in connection with, the (i) operation, maintenance and administration of the System, and minor additions or improvements thereof or thereto, or (ii) performance of any Water Purchase Contract, including, but not limited to, the items set forth hereinbelow and items set forth in the Resolution as Operation and Maintenance Expenses, in each case, to the extent properly allocable to the System and, as applicable, determined on the cash basis of accounting and/or in accordance with generally accepted accounting and cost allocation principles, (iii) all repairs and ordinary replacements and reconstruction of the System; all wages, salaries and other personnel costs, including costs of pension, retirement, health and other employee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D1D1D"/>
          <w:sz w:val="20"/>
        </w:rPr>
        <w:t xml:space="preserve">benefit </w:t>
      </w:r>
      <w:r>
        <w:rPr>
          <w:rFonts w:ascii="Times New Roman;Times;Serif" w:hAnsi="Times New Roman;Times;Serif"/>
          <w:b w:val="false"/>
          <w:i w:val="false"/>
          <w:caps w:val="false"/>
          <w:smallCaps w:val="false"/>
          <w:color w:val="000000"/>
          <w:sz w:val="20"/>
        </w:rPr>
        <w:t>programs; all fuel, utilities, supplies and equipment; and all supervisory, engineering, accounting, auditing, legal and financial advisory services; (iv) all taxes and payments in lieu of taxes; (v) all costs of insurance for the System, including any forms of self-insurance (or self insurance reserves) maintained by the Authority, and payment of all claims not covered by the Authority's insurance; (vi) all fees and expenses incurred in connection with any Credit Facility, Liquidity Facility, Reserve Account Credit Facility, the issuance of any Bonds or the issuance of any Other Indebtedness, and all fees and expenses of counsel, fiduciaries and others in connection with any such Credit Facility, Liquidity Facility, Reserve Account Credit Facility, Bonds or Other Indebtedness; provided, however, that none of the foregoing shall be considered as Operation and</w:t>
      </w:r>
    </w:p>
    <w:tbl>
      <w:tblPr>
        <w:tblW w:w="4345" w:type="dxa"/>
        <w:jc w:val="left"/>
        <w:tblInd w:w="0" w:type="dxa"/>
        <w:tblLayout w:type="fixed"/>
        <w:tblCellMar>
          <w:top w:w="0" w:type="dxa"/>
          <w:left w:w="0" w:type="dxa"/>
          <w:bottom w:w="0" w:type="dxa"/>
          <w:right w:w="0" w:type="dxa"/>
        </w:tblCellMar>
      </w:tblPr>
      <w:tblGrid>
        <w:gridCol w:w="3485"/>
        <w:gridCol w:w="860"/>
      </w:tblGrid>
      <w:tr>
        <w:trPr/>
        <w:tc>
          <w:tcPr>
            <w:tcW w:w="3485" w:type="dxa"/>
            <w:tcBorders/>
            <w:vAlign w:val="center"/>
          </w:tcPr>
          <w:p>
            <w:pPr>
              <w:pStyle w:val="TableContents"/>
              <w:bidi w:val="0"/>
              <w:spacing w:before="0" w:after="283"/>
              <w:jc w:val="left"/>
              <w:rPr/>
            </w:pPr>
            <w:r>
              <w:rPr/>
              <w:t>New Jersey Water Supply Authority</w:t>
            </w:r>
          </w:p>
        </w:tc>
        <w:tc>
          <w:tcPr>
            <w:tcW w:w="860" w:type="dxa"/>
            <w:tcBorders/>
            <w:vAlign w:val="center"/>
          </w:tcPr>
          <w:p>
            <w:pPr>
              <w:pStyle w:val="TableContents"/>
              <w:bidi w:val="0"/>
              <w:spacing w:before="0" w:after="283"/>
              <w:jc w:val="right"/>
              <w:rPr/>
            </w:pPr>
            <w:r>
              <w:rPr/>
              <w:t>RBS-2B</w:t>
            </w:r>
          </w:p>
        </w:tc>
      </w:tr>
    </w:tbl>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499" w:before="0" w:after="0"/>
        <w:ind w:left="443" w:right="299" w:firstLine="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Maintenance Expenses to the extent required to be capitalized under the Supplemental Resolution authorizing such Bonds or the documents authorizing such Other Indebtedness or paid out of the proceeds of such Bonds or Other Indebtedness; (vii) all amounts required, pursuant to applicable law, to be deposited into the Rebate Fund;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00"/>
          <w:sz w:val="20"/>
        </w:rPr>
        <w:t>(viii) all amounts required to be deposited, in accordance with the Resolution, into any reserve fund established for Operation and Maintenance Expenses; and (ix) allowance for depreciation with respect to equipment and property having a depreciable life of greater than three (3) years but less than ten (10) years; and (x) any other costs, expenses or obligations required to be paid by the Authority under the provisions of any Water Purchase Contract, contract relating to the System, any agreement or instrument relating to the Bonds or Other Indebtedness or by law.</w:t>
      </w:r>
    </w:p>
    <w:p>
      <w:pPr>
        <w:pStyle w:val="TextBody"/>
        <w:bidi w:val="0"/>
        <w:spacing w:lineRule="auto" w:line="499" w:before="0" w:after="0"/>
        <w:ind w:left="443" w:right="298" w:firstLine="714"/>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"Other Indebtedness" means all bonds, other than the Bonds or other obligations issued pursuant to the Resolution, notes or other evidences of indebtedness issued by the Authority, and Outstanding, including financing agreements and arrangements with the State, to finance or refinance any cost, expense or liability paid or incurred or to be paid or incurred by the Authority in connection with the financing, planning, designing, constructing, acquiring, operating or maintaining of any part of the System; provided, however, that Other Indebtedness shall not include obligations for supplies and services which are to be paid by the Authority out of current revenues, or obligations under leases which are not required to be capitalized under generally accepted accounting principles.</w:t>
      </w:r>
    </w:p>
    <w:p>
      <w:pPr>
        <w:pStyle w:val="TextBody"/>
        <w:bidi w:val="0"/>
        <w:spacing w:lineRule="auto" w:line="504" w:before="0" w:after="0"/>
        <w:ind w:left="449" w:right="294" w:firstLine="71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"Outstanding" means (A) with reference to Bonds, as of any date, Bonds theretofore or thereupon being authenticated and delivered under the Resolution or any Supplemental Resolution except to the extent that any particular Bonds are not deemed to be outstanding pursuant to the provisions of the Resolution and (B) with respect to Other Indebtedness, such Other Indebtedness</w:t>
      </w:r>
    </w:p>
    <w:tbl>
      <w:tblPr>
        <w:tblW w:w="4345" w:type="dxa"/>
        <w:jc w:val="left"/>
        <w:tblInd w:w="0" w:type="dxa"/>
        <w:tblLayout w:type="fixed"/>
        <w:tblCellMar>
          <w:top w:w="0" w:type="dxa"/>
          <w:left w:w="0" w:type="dxa"/>
          <w:bottom w:w="0" w:type="dxa"/>
          <w:right w:w="0" w:type="dxa"/>
        </w:tblCellMar>
      </w:tblPr>
      <w:tblGrid>
        <w:gridCol w:w="3485"/>
        <w:gridCol w:w="860"/>
      </w:tblGrid>
      <w:tr>
        <w:trPr/>
        <w:tc>
          <w:tcPr>
            <w:tcW w:w="3485" w:type="dxa"/>
            <w:tcBorders/>
            <w:vAlign w:val="center"/>
          </w:tcPr>
          <w:p>
            <w:pPr>
              <w:pStyle w:val="TableContents"/>
              <w:bidi w:val="0"/>
              <w:spacing w:before="0" w:after="283"/>
              <w:jc w:val="left"/>
              <w:rPr/>
            </w:pPr>
            <w:r>
              <w:rPr/>
              <w:t>New Jersey Water Supply Authority</w:t>
            </w:r>
          </w:p>
        </w:tc>
        <w:tc>
          <w:tcPr>
            <w:tcW w:w="860" w:type="dxa"/>
            <w:tcBorders/>
            <w:vAlign w:val="center"/>
          </w:tcPr>
          <w:p>
            <w:pPr>
              <w:pStyle w:val="TableContents"/>
              <w:bidi w:val="0"/>
              <w:spacing w:before="0" w:after="283"/>
              <w:jc w:val="right"/>
              <w:rPr/>
            </w:pPr>
            <w:r>
              <w:rPr/>
              <w:t>RBS-2B</w:t>
            </w:r>
          </w:p>
        </w:tc>
      </w:tr>
    </w:tbl>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8 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499" w:before="0" w:after="0"/>
        <w:ind w:left="445" w:right="304"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theretofore or thereupon being authenticated and delivered pursuant to any documents relating to the issuance thereof except to the extent that any particular Other Indebtedness is not deemed to be outstanding as specifically provided therein.</w:t>
      </w:r>
    </w:p>
    <w:p>
      <w:pPr>
        <w:pStyle w:val="TextBody"/>
        <w:bidi w:val="0"/>
        <w:spacing w:lineRule="auto" w:line="499" w:before="0" w:after="0"/>
        <w:ind w:left="435" w:right="296" w:firstLine="71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"Overdraft Service" means (i) the supply of water from the System to the extent and from time to time available in excess of aggregate Uninterruptible Service, for certain, interim, interruptible, non-guaranteed uses which a System Water Purchaser is authorized to withdraw pursuant to a Contract or (ii) such other definition as is set forth in the Rate Schedule.</w:t>
      </w:r>
    </w:p>
    <w:p>
      <w:pPr>
        <w:pStyle w:val="TextBody"/>
        <w:bidi w:val="0"/>
        <w:spacing w:lineRule="auto" w:line="499" w:before="0" w:after="0"/>
        <w:ind w:left="433" w:right="300" w:firstLine="714"/>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"Overdraft Service Rate" means the rate for overdraft service determined and established from time to time by the Authority in accordance with the Rate Schedule, currently set forth in N.J.A.C. 7:11-2.17: rate* one-hundred and twenty percent of the average million gallons diverted each day during the calendar month or fraction thereof.</w:t>
      </w:r>
    </w:p>
    <w:p>
      <w:pPr>
        <w:pStyle w:val="TextBody"/>
        <w:bidi w:val="0"/>
        <w:spacing w:lineRule="auto" w:line="496" w:before="0" w:after="0"/>
        <w:ind w:left="444" w:right="281" w:firstLine="709"/>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"Peaking Factor" means (i) the percentage equivalent of that volume of Overdraft Service available from the System for a given period in excess of Uninterruptible Service, which a customer may divert without charge or (ii) such other definition as is set forth in the Rate Schedule</w:t>
      </w:r>
      <w:r>
        <w:rPr>
          <w:rFonts w:ascii="Times New Roman;Times;Serif" w:hAnsi="Times New Roman;Times;Serif"/>
          <w:b w:val="false"/>
          <w:i w:val="false"/>
          <w:caps w:val="false"/>
          <w:smallCaps w:val="false"/>
          <w:color w:val="0E0E0E"/>
          <w:sz w:val="20"/>
        </w:rPr>
        <w:t xml:space="preserve">. </w:t>
      </w:r>
      <w:r>
        <w:rPr>
          <w:rFonts w:ascii="Times New Roman;Times;Serif" w:hAnsi="Times New Roman;Times;Serif"/>
          <w:b w:val="false"/>
          <w:i w:val="false"/>
          <w:caps w:val="false"/>
          <w:smallCaps w:val="false"/>
          <w:color w:val="000000"/>
          <w:sz w:val="20"/>
        </w:rPr>
        <w:t xml:space="preserve">"Point of Delivery" or "Point of Diversion" means the location where the System, including </w:t>
      </w:r>
      <w:r>
        <w:rPr>
          <w:rFonts w:ascii="Times New Roman;Times;Serif" w:hAnsi="Times New Roman;Times;Serif"/>
          <w:b w:val="false"/>
          <w:i w:val="false"/>
          <w:caps w:val="false"/>
          <w:smallCaps w:val="false"/>
          <w:sz w:val="20"/>
        </w:rPr>
        <w:t>surface and ground water supplies, interconnects with the Purchaser's Interconnection System.</w:t>
      </w:r>
    </w:p>
    <w:p>
      <w:pPr>
        <w:pStyle w:val="TextBody"/>
        <w:bidi w:val="0"/>
        <w:spacing w:lineRule="auto" w:line="456" w:before="0" w:after="0"/>
        <w:ind w:left="444" w:right="281" w:firstLine="709"/>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"Production Factor" means the inverse ratio between any upstream allocation for a </w:t>
      </w:r>
      <w:r>
        <w:rPr>
          <w:rFonts w:ascii="Times New Roman;Times;Serif" w:hAnsi="Times New Roman;Times;Serif"/>
          <w:b w:val="false"/>
          <w:i w:val="false"/>
          <w:caps w:val="false"/>
          <w:smallCaps w:val="false"/>
          <w:sz w:val="20"/>
        </w:rPr>
        <w:t xml:space="preserve">consumptive or depletive water diversion and its equivalent in sustained supply at the confluence at the Millstone and Raritan Rivers as follows: Production factor </w:t>
      </w:r>
      <w:r>
        <w:rPr>
          <w:rFonts w:ascii="Times New Roman;Times;Serif" w:hAnsi="Times New Roman;Times;Serif"/>
          <w:b w:val="false"/>
          <w:i w:val="false"/>
          <w:caps w:val="false"/>
          <w:smallCaps w:val="false"/>
          <w:color w:val="000000"/>
          <w:sz w:val="24"/>
        </w:rPr>
        <w:t xml:space="preserve">= </w:t>
      </w:r>
      <w:r>
        <w:rPr>
          <w:rFonts w:ascii="Times New Roman;Times;Serif" w:hAnsi="Times New Roman;Times;Serif"/>
          <w:b w:val="false"/>
          <w:i w:val="false"/>
          <w:caps w:val="false"/>
          <w:smallCaps w:val="false"/>
          <w:color w:val="000000"/>
          <w:sz w:val="20"/>
        </w:rPr>
        <w:t xml:space="preserve">Safe yield at the confluence </w:t>
      </w:r>
      <w:r>
        <w:rPr>
          <w:rFonts w:ascii="Times New Roman;Times;Serif" w:hAnsi="Times New Roman;Times;Serif"/>
          <w:b w:val="false"/>
          <w:i/>
          <w:caps w:val="false"/>
          <w:smallCaps w:val="false"/>
          <w:color w:val="000000"/>
          <w:sz w:val="20"/>
        </w:rPr>
        <w:t xml:space="preserve">I </w:t>
      </w:r>
      <w:r>
        <w:rPr>
          <w:rFonts w:ascii="Times New Roman;Times;Serif" w:hAnsi="Times New Roman;Times;Serif"/>
          <w:b w:val="false"/>
          <w:i w:val="false"/>
          <w:caps w:val="false"/>
          <w:smallCaps w:val="false"/>
          <w:sz w:val="20"/>
        </w:rPr>
        <w:t xml:space="preserve">yield at the point of diversion (see </w:t>
      </w:r>
      <w:r>
        <w:rPr>
          <w:rFonts w:ascii="Times New Roman;Times;Serif" w:hAnsi="Times New Roman;Times;Serif"/>
          <w:b w:val="false"/>
          <w:i w:val="false"/>
          <w:caps w:val="false"/>
          <w:smallCaps w:val="false"/>
          <w:sz w:val="20"/>
          <w:u w:val="single"/>
        </w:rPr>
        <w:t>N.J.A.C.</w:t>
      </w:r>
      <w:r>
        <w:rPr>
          <w:rFonts w:ascii="Times New Roman;Times;Serif" w:hAnsi="Times New Roman;Times;Serif"/>
          <w:b w:val="false"/>
          <w:i w:val="false"/>
          <w:caps w:val="false"/>
          <w:smallCaps w:val="false"/>
          <w:sz w:val="20"/>
        </w:rPr>
        <w:t xml:space="preserve"> 7:11-2.8).</w:t>
      </w:r>
    </w:p>
    <w:p>
      <w:pPr>
        <w:pStyle w:val="TextBody"/>
        <w:bidi w:val="0"/>
        <w:spacing w:lineRule="auto" w:line="504" w:before="0" w:after="0"/>
        <w:ind w:left="454" w:right="294" w:firstLine="722"/>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"Projected Annual Requirements" means the aggregate amount projected by the Authority in its Annual Budget, as from time to time amended, to be required during each Annual Payment Period to pay all Annual Requirements.</w:t>
      </w:r>
    </w:p>
    <w:tbl>
      <w:tblPr>
        <w:tblW w:w="4345" w:type="dxa"/>
        <w:jc w:val="left"/>
        <w:tblInd w:w="0" w:type="dxa"/>
        <w:tblLayout w:type="fixed"/>
        <w:tblCellMar>
          <w:top w:w="0" w:type="dxa"/>
          <w:left w:w="0" w:type="dxa"/>
          <w:bottom w:w="0" w:type="dxa"/>
          <w:right w:w="0" w:type="dxa"/>
        </w:tblCellMar>
      </w:tblPr>
      <w:tblGrid>
        <w:gridCol w:w="3485"/>
        <w:gridCol w:w="860"/>
      </w:tblGrid>
      <w:tr>
        <w:trPr/>
        <w:tc>
          <w:tcPr>
            <w:tcW w:w="3485" w:type="dxa"/>
            <w:tcBorders/>
            <w:vAlign w:val="center"/>
          </w:tcPr>
          <w:p>
            <w:pPr>
              <w:pStyle w:val="TableContents"/>
              <w:bidi w:val="0"/>
              <w:spacing w:before="0" w:after="283"/>
              <w:jc w:val="left"/>
              <w:rPr/>
            </w:pPr>
            <w:r>
              <w:rPr/>
              <w:t>New Jersey Water Supply Authority</w:t>
            </w:r>
          </w:p>
        </w:tc>
        <w:tc>
          <w:tcPr>
            <w:tcW w:w="860" w:type="dxa"/>
            <w:tcBorders/>
            <w:vAlign w:val="center"/>
          </w:tcPr>
          <w:p>
            <w:pPr>
              <w:pStyle w:val="TableContents"/>
              <w:bidi w:val="0"/>
              <w:spacing w:before="0" w:after="283"/>
              <w:jc w:val="right"/>
              <w:rPr/>
            </w:pPr>
            <w:r>
              <w:rPr/>
              <w:t>RBS-2B</w:t>
            </w:r>
          </w:p>
        </w:tc>
      </w:tr>
    </w:tbl>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9 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499" w:before="0" w:after="0"/>
        <w:ind w:left="415" w:right="324" w:firstLine="72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"Prudent Water Supply Practices" means, as of any particular time, any practices, methods and acts engaged in or approved by a significant portion of the water supply industry operating in areas having comparable characteristics to those of the System, or any of the practices, methods and acts which, in the exercise of reasonable judgment in the light of the facts known at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00"/>
          <w:sz w:val="20"/>
        </w:rPr>
        <w:t>the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00"/>
          <w:sz w:val="20"/>
        </w:rPr>
        <w:t>time the decision was made, could have been expected to accomplish the desired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00"/>
          <w:sz w:val="20"/>
        </w:rPr>
        <w:t>result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00"/>
          <w:sz w:val="20"/>
        </w:rPr>
        <w:t>at a reasonable cost consistent with good practices, reliability, safety and expedition. Prudent Water Supply Practices are not intended to be limited to the optimum practice, method or act, to the exclusion of all others, but rather are intended to be a spectrum of possible practices, methods or acts expected to accomplish the desired results.</w:t>
      </w:r>
    </w:p>
    <w:p>
      <w:pPr>
        <w:pStyle w:val="TextBody"/>
        <w:bidi w:val="0"/>
        <w:spacing w:lineRule="auto" w:line="499" w:before="0" w:after="0"/>
        <w:ind w:left="415" w:right="324" w:firstLine="72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"Purchaser" means the party to this Contract, which is purchasing water from the Authority. "Purchaser's Interconnection System" means the buildings, structures, piping, valves, meters and other control apparatus and equipment, installed or to be installed by or on behalf of, and owned and/or used by, the Purchaser (i) to connect Purchaser's system with the System at the Point of Delivery and to withdraw, measure, control and monitor the flow and quality of the water that the Purchaser withdraws from the System, and (ii) to transport such water to the Purchaser's system.</w:t>
      </w:r>
    </w:p>
    <w:p>
      <w:pPr>
        <w:pStyle w:val="TextBody"/>
        <w:bidi w:val="0"/>
        <w:spacing w:lineRule="auto" w:line="499" w:before="0" w:after="0"/>
        <w:ind w:left="416" w:right="346" w:firstLine="717"/>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"Rates" means the charges from time to time determined and established by the Authority in accordance with the Rate Schedule.</w:t>
      </w:r>
    </w:p>
    <w:p>
      <w:pPr>
        <w:pStyle w:val="TextBody"/>
        <w:bidi w:val="0"/>
        <w:spacing w:lineRule="auto" w:line="499" w:before="0" w:after="0"/>
        <w:ind w:left="420" w:right="318" w:firstLine="71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"Rate Schedule" means the "Schedule of Rates, Charges and Debt Service Assessments for the Sale of Water from the Raritan Basin System" promulgated from time to time by the Authority and set forth in the New Jersey Administrative Code 7:11-2, all in accordance with applicable laws and regulations, as the same may from time to time be amended, and in accordance with the provisions of the System Rules and Regulations, which Rate Schedule establishes the rates,</w:t>
      </w:r>
    </w:p>
    <w:tbl>
      <w:tblPr>
        <w:tblW w:w="4345" w:type="dxa"/>
        <w:jc w:val="left"/>
        <w:tblInd w:w="0" w:type="dxa"/>
        <w:tblLayout w:type="fixed"/>
        <w:tblCellMar>
          <w:top w:w="0" w:type="dxa"/>
          <w:left w:w="0" w:type="dxa"/>
          <w:bottom w:w="0" w:type="dxa"/>
          <w:right w:w="0" w:type="dxa"/>
        </w:tblCellMar>
      </w:tblPr>
      <w:tblGrid>
        <w:gridCol w:w="3485"/>
        <w:gridCol w:w="860"/>
      </w:tblGrid>
      <w:tr>
        <w:trPr/>
        <w:tc>
          <w:tcPr>
            <w:tcW w:w="3485" w:type="dxa"/>
            <w:tcBorders/>
            <w:vAlign w:val="center"/>
          </w:tcPr>
          <w:p>
            <w:pPr>
              <w:pStyle w:val="TableContents"/>
              <w:bidi w:val="0"/>
              <w:spacing w:before="0" w:after="283"/>
              <w:jc w:val="left"/>
              <w:rPr/>
            </w:pPr>
            <w:r>
              <w:rPr/>
              <w:t>New Jersey Water Supply Authority</w:t>
            </w:r>
          </w:p>
        </w:tc>
        <w:tc>
          <w:tcPr>
            <w:tcW w:w="860" w:type="dxa"/>
            <w:tcBorders/>
            <w:vAlign w:val="center"/>
          </w:tcPr>
          <w:p>
            <w:pPr>
              <w:pStyle w:val="TableContents"/>
              <w:bidi w:val="0"/>
              <w:spacing w:before="0" w:after="283"/>
              <w:jc w:val="right"/>
              <w:rPr/>
            </w:pPr>
            <w:r>
              <w:rPr/>
              <w:t>RBS-2B</w:t>
            </w:r>
          </w:p>
        </w:tc>
      </w:tr>
    </w:tbl>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10 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494" w:before="0" w:after="0"/>
        <w:ind w:left="449" w:right="295"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charges and debt service assessments by the Authority for water derived from the System in accordance with the following:</w:t>
      </w:r>
    </w:p>
    <w:p>
      <w:pPr>
        <w:pStyle w:val="TextBody"/>
        <w:bidi w:val="0"/>
        <w:spacing w:lineRule="auto" w:line="499" w:before="0" w:after="0"/>
        <w:ind w:left="442" w:right="297" w:firstLine="716"/>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(a)       </w:t>
      </w:r>
      <w:r>
        <w:rPr>
          <w:rFonts w:ascii="Times New Roman;Times;Serif" w:hAnsi="Times New Roman;Times;Serif"/>
          <w:b w:val="false"/>
          <w:i w:val="false"/>
          <w:caps w:val="false"/>
          <w:smallCaps w:val="false"/>
          <w:color w:val="000000"/>
          <w:sz w:val="20"/>
          <w:u w:val="single"/>
        </w:rPr>
        <w:t>Uninterruptible Service.</w:t>
      </w:r>
      <w:r>
        <w:rPr>
          <w:rFonts w:ascii="Times New Roman;Times;Serif" w:hAnsi="Times New Roman;Times;Serif"/>
          <w:b w:val="false"/>
          <w:i w:val="false"/>
          <w:caps w:val="false"/>
          <w:smallCaps w:val="false"/>
          <w:color w:val="000000"/>
          <w:sz w:val="20"/>
        </w:rPr>
        <w:t xml:space="preserve"> The Rates per MG set forth in such Rate Schedule for Uninterruptible Service shall be established for each Annual Payment Period on the basis of: (i) the Projected Annual Requirements for such Fiscal Year; (ii) multiplied by the production factor for the diversion; (iii) divided by the lesser of: (a) the annualized amount of MGD of water from the System during such Fiscal Year which the Authority determines is available for Uninterruptible Service and for Standby Service or (b) the annualized amount of MGD of water from the System which is required to be provided by the Authority by the terms of all Water Supply Contracts for Uninterruptible Service and for Standby Service in effect during such Fiscal Year, in each case, times 365 (366 during a leap year); provided, however, that the Authority may exclude for any period, for purposes of computation hereunder, the Uninterruptible Service and Standby Service under any Water Purchase Contract where an Event of Default has occurred and is continuing.</w:t>
      </w:r>
    </w:p>
    <w:p>
      <w:pPr>
        <w:pStyle w:val="TextBody"/>
        <w:bidi w:val="0"/>
        <w:spacing w:lineRule="auto" w:line="499" w:before="0" w:after="0"/>
        <w:ind w:left="442" w:right="298" w:firstLine="716"/>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(b)   </w:t>
      </w:r>
      <w:r>
        <w:rPr>
          <w:rFonts w:ascii="Times New Roman;Times;Serif" w:hAnsi="Times New Roman;Times;Serif"/>
          <w:b w:val="false"/>
          <w:i w:val="false"/>
          <w:caps w:val="false"/>
          <w:smallCaps w:val="false"/>
          <w:color w:val="000000"/>
          <w:sz w:val="20"/>
          <w:u w:val="single"/>
        </w:rPr>
        <w:t>Overdraft Service.</w:t>
      </w:r>
      <w:r>
        <w:rPr>
          <w:rFonts w:ascii="Times New Roman;Times;Serif" w:hAnsi="Times New Roman;Times;Serif"/>
          <w:b w:val="false"/>
          <w:i w:val="false"/>
          <w:caps w:val="false"/>
          <w:smallCaps w:val="false"/>
          <w:color w:val="000000"/>
          <w:sz w:val="20"/>
        </w:rPr>
        <w:t xml:space="preserve"> The Rate(s) per MG for average daily diversions in excess of the Peaking Factor during a calendar month and year shall be the amounts set forth in the Rate Schedule.</w:t>
      </w:r>
    </w:p>
    <w:p>
      <w:pPr>
        <w:pStyle w:val="TextBody"/>
        <w:bidi w:val="0"/>
        <w:spacing w:lineRule="auto" w:line="499" w:before="0" w:after="0"/>
        <w:ind w:left="448" w:right="316" w:firstLine="705"/>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(c)    </w:t>
      </w:r>
      <w:r>
        <w:rPr>
          <w:rFonts w:ascii="Times New Roman;Times;Serif" w:hAnsi="Times New Roman;Times;Serif"/>
          <w:b w:val="false"/>
          <w:i w:val="false"/>
          <w:caps w:val="false"/>
          <w:smallCaps w:val="false"/>
          <w:color w:val="000000"/>
          <w:sz w:val="20"/>
          <w:u w:val="single"/>
        </w:rPr>
        <w:t>Short-term</w:t>
      </w:r>
      <w:r>
        <w:rPr>
          <w:rFonts w:ascii="Times New Roman;Times;Serif" w:hAnsi="Times New Roman;Times;Serif"/>
          <w:b w:val="false"/>
          <w:i w:val="false"/>
          <w:caps w:val="false"/>
          <w:smallCaps w:val="false"/>
          <w:color w:val="000000"/>
          <w:sz w:val="20"/>
        </w:rPr>
        <w:t xml:space="preserve"> Service.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00"/>
          <w:sz w:val="20"/>
        </w:rPr>
        <w:t>The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00"/>
          <w:sz w:val="20"/>
        </w:rPr>
        <w:t>Rates for Short-term Service established for each Annual Payment Period shall be the amounts set forth in the Rate Schedule.</w:t>
      </w:r>
    </w:p>
    <w:p>
      <w:pPr>
        <w:pStyle w:val="TextBody"/>
        <w:bidi w:val="0"/>
        <w:spacing w:lineRule="auto" w:line="499" w:before="0" w:after="0"/>
        <w:ind w:left="444" w:right="288" w:firstLine="71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(d)   </w:t>
      </w:r>
      <w:r>
        <w:rPr>
          <w:rFonts w:ascii="Times New Roman;Times;Serif" w:hAnsi="Times New Roman;Times;Serif"/>
          <w:b w:val="false"/>
          <w:i w:val="false"/>
          <w:caps w:val="false"/>
          <w:smallCaps w:val="false"/>
          <w:color w:val="000000"/>
          <w:sz w:val="20"/>
          <w:u w:val="single"/>
        </w:rPr>
        <w:t>Standby Service.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00"/>
          <w:sz w:val="20"/>
        </w:rPr>
        <w:t>The Rates set forth in such Rate Schedule for Standby Service shall be established for each Annual Payment Period on the basis of (i) a standby charge for each month during which Standby Service is available, equal to the capacity, in MGD, of the Purchaser's withdrawal facilities to be served by such Standby Service plus (ii) a charge (against which the standby charge for such month shall be credited), for water actually consumed in any month, at</w:t>
      </w:r>
    </w:p>
    <w:tbl>
      <w:tblPr>
        <w:tblW w:w="4345" w:type="dxa"/>
        <w:jc w:val="left"/>
        <w:tblInd w:w="0" w:type="dxa"/>
        <w:tblLayout w:type="fixed"/>
        <w:tblCellMar>
          <w:top w:w="0" w:type="dxa"/>
          <w:left w:w="0" w:type="dxa"/>
          <w:bottom w:w="0" w:type="dxa"/>
          <w:right w:w="0" w:type="dxa"/>
        </w:tblCellMar>
      </w:tblPr>
      <w:tblGrid>
        <w:gridCol w:w="3485"/>
        <w:gridCol w:w="860"/>
      </w:tblGrid>
      <w:tr>
        <w:trPr/>
        <w:tc>
          <w:tcPr>
            <w:tcW w:w="3485" w:type="dxa"/>
            <w:tcBorders/>
            <w:vAlign w:val="center"/>
          </w:tcPr>
          <w:p>
            <w:pPr>
              <w:pStyle w:val="TableContents"/>
              <w:bidi w:val="0"/>
              <w:spacing w:before="0" w:after="283"/>
              <w:jc w:val="left"/>
              <w:rPr/>
            </w:pPr>
            <w:r>
              <w:rPr/>
              <w:t>New Jersey Water Supply Authority</w:t>
            </w:r>
          </w:p>
        </w:tc>
        <w:tc>
          <w:tcPr>
            <w:tcW w:w="860" w:type="dxa"/>
            <w:tcBorders/>
            <w:vAlign w:val="center"/>
          </w:tcPr>
          <w:p>
            <w:pPr>
              <w:pStyle w:val="TableContents"/>
              <w:bidi w:val="0"/>
              <w:spacing w:before="0" w:after="283"/>
              <w:jc w:val="right"/>
              <w:rPr/>
            </w:pPr>
            <w:r>
              <w:rPr/>
              <w:t>RBS-2B</w:t>
            </w:r>
          </w:p>
        </w:tc>
      </w:tr>
    </w:tbl>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11 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54"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rate per MG established by the Rate Schedule for Uninterruptible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499" w:before="0" w:after="0"/>
        <w:ind w:left="458" w:right="307" w:firstLine="7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(e)    </w:t>
      </w:r>
      <w:r>
        <w:rPr>
          <w:rFonts w:ascii="Times New Roman;Times;Serif" w:hAnsi="Times New Roman;Times;Serif"/>
          <w:b w:val="false"/>
          <w:i w:val="false"/>
          <w:caps w:val="false"/>
          <w:smallCaps w:val="false"/>
          <w:color w:val="000000"/>
          <w:sz w:val="20"/>
          <w:u w:val="single"/>
        </w:rPr>
        <w:t>Special User Service.</w:t>
      </w:r>
      <w:r>
        <w:rPr>
          <w:rFonts w:ascii="Times New Roman;Times;Serif" w:hAnsi="Times New Roman;Times;Serif"/>
          <w:b w:val="false"/>
          <w:i w:val="false"/>
          <w:caps w:val="false"/>
          <w:smallCaps w:val="false"/>
          <w:color w:val="000000"/>
          <w:sz w:val="20"/>
        </w:rPr>
        <w:t xml:space="preserve"> The Rates for Special User Service established for each Annual Payment Period shall be the amounts set forth in the Rate Schedule.</w:t>
      </w:r>
    </w:p>
    <w:p>
      <w:pPr>
        <w:pStyle w:val="TextBody"/>
        <w:bidi w:val="0"/>
        <w:spacing w:lineRule="auto" w:line="499" w:before="0" w:after="0"/>
        <w:ind w:left="455" w:right="287" w:firstLine="712"/>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"Rebate Fund" means the fund denominated as such and created pursuant to the Resolution. "Reserve Account Credit Facility" means a surety bond, insurance policy, letter of credit, line of credit or other Credit Facility satisfying the requirements set forth in Section 518 of the Resolution.</w:t>
      </w:r>
    </w:p>
    <w:p>
      <w:pPr>
        <w:pStyle w:val="TextBody"/>
        <w:bidi w:val="0"/>
        <w:spacing w:lineRule="auto" w:line="499" w:before="0" w:after="0"/>
        <w:ind w:left="457" w:right="294" w:firstLine="705"/>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"Resolution" means the resolution adopted by the Authority authorizing the issuance of Bonds, and all Supplemental Resolutions.</w:t>
      </w:r>
    </w:p>
    <w:p>
      <w:pPr>
        <w:pStyle w:val="TextBody"/>
        <w:bidi w:val="0"/>
        <w:spacing w:lineRule="auto" w:line="504" w:before="0" w:after="0"/>
        <w:ind w:left="457" w:right="289" w:firstLine="705"/>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"Revenue Fund" means the fund denominated as such and created pursuant to the Resolution.</w:t>
      </w:r>
    </w:p>
    <w:p>
      <w:pPr>
        <w:pStyle w:val="TextBody"/>
        <w:bidi w:val="0"/>
        <w:spacing w:lineRule="auto" w:line="499" w:before="0" w:after="0"/>
        <w:ind w:left="455" w:right="287" w:firstLine="712"/>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"Safe or Dependable Yield" means that amount of water, from time to time determined by the Authority in accordance with applicable laws or regulations and presently estimated to be 241 MGD, which the System is capable of supplying continuously throughout a repetition of the most severe drought of record.</w:t>
      </w:r>
    </w:p>
    <w:p>
      <w:pPr>
        <w:pStyle w:val="TextBody"/>
        <w:bidi w:val="0"/>
        <w:spacing w:lineRule="auto" w:line="499" w:before="0" w:after="0"/>
        <w:ind w:left="464" w:right="274" w:firstLine="70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"Short-term Service" means (i) the supply of water from the System, to the extent from time to time available, in excess of aggregate Uninterruptible Service, for certain interim, interruptible, non-guaranteed or short-term uses, such as growing agricultural or horticultural products or meeting extraordinary requirements in consumer demand for potable or industrial water, which a System Water Purchaser is authorized to withdraw pursuant to a Contract or (ii) such other definition as is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00"/>
          <w:sz w:val="20"/>
        </w:rPr>
        <w:t>set forth in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00"/>
          <w:sz w:val="20"/>
        </w:rPr>
        <w:t>the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00"/>
          <w:sz w:val="20"/>
        </w:rPr>
        <w:t>Rate Schedule</w:t>
      </w:r>
      <w:r>
        <w:rPr>
          <w:rFonts w:ascii="Times New Roman;Times;Serif" w:hAnsi="Times New Roman;Times;Serif"/>
          <w:b w:val="false"/>
          <w:i w:val="false"/>
          <w:caps w:val="false"/>
          <w:smallCaps w:val="false"/>
          <w:color w:val="0E0E0E"/>
          <w:sz w:val="20"/>
        </w:rPr>
        <w:t>.</w:t>
      </w:r>
    </w:p>
    <w:p>
      <w:pPr>
        <w:pStyle w:val="TextBody"/>
        <w:bidi w:val="0"/>
        <w:spacing w:lineRule="auto" w:line="499" w:before="0" w:after="0"/>
        <w:ind w:left="471" w:right="262" w:firstLine="705"/>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"Special User Service" means the supply of water from the Raritan River Basin, which a System Water Purchaser is authorized to continuously withdraw, without interruption, to be</w:t>
      </w:r>
    </w:p>
    <w:tbl>
      <w:tblPr>
        <w:tblW w:w="4345" w:type="dxa"/>
        <w:jc w:val="left"/>
        <w:tblInd w:w="0" w:type="dxa"/>
        <w:tblLayout w:type="fixed"/>
        <w:tblCellMar>
          <w:top w:w="0" w:type="dxa"/>
          <w:left w:w="0" w:type="dxa"/>
          <w:bottom w:w="0" w:type="dxa"/>
          <w:right w:w="0" w:type="dxa"/>
        </w:tblCellMar>
      </w:tblPr>
      <w:tblGrid>
        <w:gridCol w:w="3485"/>
        <w:gridCol w:w="860"/>
      </w:tblGrid>
      <w:tr>
        <w:trPr/>
        <w:tc>
          <w:tcPr>
            <w:tcW w:w="3485" w:type="dxa"/>
            <w:tcBorders/>
            <w:vAlign w:val="center"/>
          </w:tcPr>
          <w:p>
            <w:pPr>
              <w:pStyle w:val="TableContents"/>
              <w:bidi w:val="0"/>
              <w:spacing w:before="0" w:after="283"/>
              <w:jc w:val="left"/>
              <w:rPr/>
            </w:pPr>
            <w:r>
              <w:rPr/>
              <w:t>New Jersey Water Supply Authority</w:t>
            </w:r>
          </w:p>
        </w:tc>
        <w:tc>
          <w:tcPr>
            <w:tcW w:w="860" w:type="dxa"/>
            <w:tcBorders/>
            <w:vAlign w:val="center"/>
          </w:tcPr>
          <w:p>
            <w:pPr>
              <w:pStyle w:val="TableContents"/>
              <w:bidi w:val="0"/>
              <w:spacing w:before="0" w:after="283"/>
              <w:jc w:val="right"/>
              <w:rPr/>
            </w:pPr>
            <w:r>
              <w:rPr/>
              <w:t>RBS-2B</w:t>
            </w:r>
          </w:p>
        </w:tc>
      </w:tr>
    </w:tbl>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12 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499" w:before="0" w:after="0"/>
        <w:ind w:left="474" w:right="284"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returned by the Purchaser to the stream channel of the System at a point reasonably considered by the Authority to be at or in the near vicinity of the point of withdrawal, substantially undiminished in quantity and not substantially degraded in quality, all as is determined by the Authority.</w:t>
      </w:r>
    </w:p>
    <w:p>
      <w:pPr>
        <w:pStyle w:val="TextBody"/>
        <w:bidi w:val="0"/>
        <w:spacing w:lineRule="auto" w:line="504" w:before="0" w:after="0"/>
        <w:ind w:left="474" w:right="283" w:firstLine="717"/>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"Standby Service" means the supply of water from the System for certain occasional uses, such as fire protection or other emergencies, natural or otherwise, which a System Water Purchaser is authorized to withdraw pursuant to a Contract.</w:t>
      </w:r>
    </w:p>
    <w:p>
      <w:pPr>
        <w:pStyle w:val="TextBody"/>
        <w:bidi w:val="0"/>
        <w:spacing w:lineRule="atLeast" w:line="262" w:before="0" w:after="0"/>
        <w:ind w:left="1191"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"State" means the State of New Jersey.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499" w:before="0" w:after="0"/>
        <w:ind w:left="474" w:right="286" w:firstLine="717"/>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"Supplemental Resolution" means any resolution enacted by the Authority supplemental to the Resolution in connection with the issuance of any particular Bonds, which Supplemental Resolution shall, </w:t>
      </w:r>
      <w:r>
        <w:rPr>
          <w:rFonts w:ascii="Times New Roman;Times;Serif" w:hAnsi="Times New Roman;Times;Serif"/>
          <w:b w:val="false"/>
          <w:i w:val="false"/>
          <w:caps w:val="false"/>
          <w:smallCaps w:val="false"/>
          <w:color w:val="000000"/>
          <w:sz w:val="20"/>
          <w:u w:val="single"/>
        </w:rPr>
        <w:t>inter alia,</w:t>
      </w:r>
      <w:r>
        <w:rPr>
          <w:rFonts w:ascii="Times New Roman;Times;Serif" w:hAnsi="Times New Roman;Times;Serif"/>
          <w:b w:val="false"/>
          <w:i w:val="false"/>
          <w:caps w:val="false"/>
          <w:smallCaps w:val="false"/>
          <w:color w:val="000000"/>
          <w:sz w:val="20"/>
        </w:rPr>
        <w:t xml:space="preserve"> establish the specific terms applicable to such particular Bonds.</w:t>
      </w:r>
    </w:p>
    <w:p>
      <w:pPr>
        <w:pStyle w:val="TextBody"/>
        <w:bidi w:val="0"/>
        <w:spacing w:lineRule="auto" w:line="499" w:before="0" w:after="0"/>
        <w:ind w:left="474" w:right="286" w:firstLine="717"/>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"System" means the water supply system operated by the Authority known as the Raritan Basin System, and any expansion thereof, the major components of which presently consist of the Delaware and Raritan Canal water supply transmission facility, the Spruce Run and Round Valley Reservoirs and an interconnecting pumping station located where the Raritan and Millstone Rivers meet adjacent to the Delaware and Raritan Canal, together with all component plants, structures and other real or personal property, and additions and improvements thereto, necessary or useful and convenient for the accumulation, supply or transmission of water including but not limited to: reservoir facilities, settling and sediment storage basins, dams, dikes, intake and reservoir pipelines, force mains, pump stations and intake structures.</w:t>
      </w:r>
    </w:p>
    <w:p>
      <w:pPr>
        <w:pStyle w:val="TextBody"/>
        <w:bidi w:val="0"/>
        <w:spacing w:lineRule="auto" w:line="504" w:before="0" w:after="0"/>
        <w:ind w:left="491" w:right="264" w:firstLine="714"/>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"System Rules and Regulations" means the Rules for the Use of Water from the Raritan Basin System presently set forth in New Jersey Administrative Code, 7:11-3.1 to 3.28, and any amendments from time to time hereafter made thereto.</w:t>
      </w:r>
    </w:p>
    <w:p>
      <w:pPr>
        <w:pStyle w:val="TextBody"/>
        <w:bidi w:val="0"/>
        <w:spacing w:lineRule="atLeast" w:line="262" w:before="0" w:after="0"/>
        <w:ind w:left="1211"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"System Water Purchaser" means any party to a Water Purchase Contract with the</w:t>
      </w:r>
    </w:p>
    <w:tbl>
      <w:tblPr>
        <w:tblW w:w="4345" w:type="dxa"/>
        <w:jc w:val="left"/>
        <w:tblInd w:w="0" w:type="dxa"/>
        <w:tblLayout w:type="fixed"/>
        <w:tblCellMar>
          <w:top w:w="0" w:type="dxa"/>
          <w:left w:w="0" w:type="dxa"/>
          <w:bottom w:w="0" w:type="dxa"/>
          <w:right w:w="0" w:type="dxa"/>
        </w:tblCellMar>
      </w:tblPr>
      <w:tblGrid>
        <w:gridCol w:w="3485"/>
        <w:gridCol w:w="860"/>
      </w:tblGrid>
      <w:tr>
        <w:trPr/>
        <w:tc>
          <w:tcPr>
            <w:tcW w:w="3485" w:type="dxa"/>
            <w:tcBorders/>
            <w:vAlign w:val="center"/>
          </w:tcPr>
          <w:p>
            <w:pPr>
              <w:pStyle w:val="TableContents"/>
              <w:bidi w:val="0"/>
              <w:spacing w:before="0" w:after="283"/>
              <w:jc w:val="left"/>
              <w:rPr/>
            </w:pPr>
            <w:r>
              <w:rPr/>
              <w:t>New Jersey Water Supply Authority</w:t>
            </w:r>
          </w:p>
        </w:tc>
        <w:tc>
          <w:tcPr>
            <w:tcW w:w="860" w:type="dxa"/>
            <w:tcBorders/>
            <w:vAlign w:val="center"/>
          </w:tcPr>
          <w:p>
            <w:pPr>
              <w:pStyle w:val="TableContents"/>
              <w:bidi w:val="0"/>
              <w:spacing w:before="0" w:after="283"/>
              <w:jc w:val="right"/>
              <w:rPr/>
            </w:pPr>
            <w:r>
              <w:rPr/>
              <w:t>RBS-2B</w:t>
            </w:r>
          </w:p>
        </w:tc>
      </w:tr>
    </w:tbl>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13 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5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Authority.</w:t>
      </w:r>
    </w:p>
    <w:p>
      <w:pPr>
        <w:pStyle w:val="TextBody"/>
        <w:bidi w:val="0"/>
        <w:spacing w:before="0" w:after="0"/>
        <w:ind w:left="450" w:right="0" w:hanging="0"/>
        <w:jc w:val="left"/>
        <w:rPr>
          <w:caps w:val="false"/>
          <w:smallCaps w:val="false"/>
          <w:color w:val="000000"/>
        </w:rPr>
      </w:pPr>
      <w:r>
        <w:rPr>
          <w:caps w:val="false"/>
          <w:smallCaps w:val="false"/>
          <w:color w:val="000000"/>
        </w:rPr>
        <w:t> </w:t>
      </w:r>
    </w:p>
    <w:p>
      <w:pPr>
        <w:pStyle w:val="TextBody"/>
        <w:bidi w:val="0"/>
        <w:spacing w:lineRule="auto" w:line="499" w:before="0" w:after="0"/>
        <w:ind w:left="445" w:right="300" w:firstLine="71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"Uninterruptible </w:t>
      </w:r>
      <w:r>
        <w:rPr>
          <w:rFonts w:ascii="Times New Roman;Times;Serif" w:hAnsi="Times New Roman;Times;Serif"/>
          <w:b w:val="false"/>
          <w:i w:val="false"/>
          <w:caps w:val="false"/>
          <w:smallCaps w:val="false"/>
          <w:color w:val="242424"/>
          <w:sz w:val="20"/>
        </w:rPr>
        <w:t xml:space="preserve">Service" </w:t>
      </w:r>
      <w:r>
        <w:rPr>
          <w:rFonts w:ascii="Times New Roman;Times;Serif" w:hAnsi="Times New Roman;Times;Serif"/>
          <w:b w:val="false"/>
          <w:i w:val="false"/>
          <w:caps w:val="false"/>
          <w:smallCaps w:val="false"/>
          <w:color w:val="000000"/>
          <w:sz w:val="20"/>
        </w:rPr>
        <w:t xml:space="preserve">means the supply of water from the System which a System Water Purchaser is authorized continuously to withdraw, without </w:t>
      </w:r>
      <w:r>
        <w:rPr>
          <w:rFonts w:ascii="Times New Roman;Times;Serif" w:hAnsi="Times New Roman;Times;Serif"/>
          <w:b w:val="false"/>
          <w:i w:val="false"/>
          <w:caps w:val="false"/>
          <w:smallCaps w:val="false"/>
          <w:color w:val="242424"/>
          <w:sz w:val="20"/>
        </w:rPr>
        <w:t>interruption</w:t>
      </w:r>
      <w:r>
        <w:rPr>
          <w:rFonts w:ascii="Times New Roman;Times;Serif" w:hAnsi="Times New Roman;Times;Serif"/>
          <w:b w:val="false"/>
          <w:i w:val="false"/>
          <w:caps w:val="false"/>
          <w:smallCaps w:val="false"/>
          <w:color w:val="505050"/>
          <w:sz w:val="20"/>
        </w:rPr>
        <w:t xml:space="preserve">, </w:t>
      </w:r>
      <w:r>
        <w:rPr>
          <w:rFonts w:ascii="Times New Roman;Times;Serif" w:hAnsi="Times New Roman;Times;Serif"/>
          <w:b w:val="false"/>
          <w:i w:val="false"/>
          <w:caps w:val="false"/>
          <w:smallCaps w:val="false"/>
          <w:color w:val="000000"/>
          <w:sz w:val="20"/>
        </w:rPr>
        <w:t xml:space="preserve">for potable or </w:t>
      </w:r>
      <w:r>
        <w:rPr>
          <w:rFonts w:ascii="Times New Roman;Times;Serif" w:hAnsi="Times New Roman;Times;Serif"/>
          <w:b w:val="false"/>
          <w:i w:val="false"/>
          <w:caps w:val="false"/>
          <w:smallCaps w:val="false"/>
          <w:color w:val="242424"/>
          <w:sz w:val="20"/>
        </w:rPr>
        <w:t>industrial</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00"/>
          <w:sz w:val="20"/>
        </w:rPr>
        <w:t>water supply purposes, pursuant to a Contract.</w:t>
      </w:r>
    </w:p>
    <w:p>
      <w:pPr>
        <w:pStyle w:val="TextBody"/>
        <w:bidi w:val="0"/>
        <w:spacing w:lineRule="auto" w:line="499" w:before="0" w:after="0"/>
        <w:ind w:left="445" w:right="301" w:firstLine="71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"Water Act" means the </w:t>
      </w:r>
      <w:r>
        <w:rPr>
          <w:rFonts w:ascii="Times New Roman;Times;Serif" w:hAnsi="Times New Roman;Times;Serif"/>
          <w:b w:val="false"/>
          <w:i w:val="false"/>
          <w:caps w:val="false"/>
          <w:smallCaps w:val="false"/>
          <w:color w:val="242424"/>
          <w:sz w:val="20"/>
        </w:rPr>
        <w:t>"Water</w:t>
      </w:r>
      <w:r>
        <w:rPr>
          <w:rFonts w:ascii="Times New Roman;Times;Serif" w:hAnsi="Times New Roman;Times;Serif"/>
          <w:b w:val="false"/>
          <w:i w:val="false"/>
          <w:caps w:val="false"/>
          <w:smallCaps w:val="false"/>
          <w:color w:val="000000"/>
          <w:sz w:val="20"/>
        </w:rPr>
        <w:t xml:space="preserve"> Supply Management Act", P</w:t>
      </w:r>
      <w:r>
        <w:rPr>
          <w:rFonts w:ascii="Times New Roman;Times;Serif" w:hAnsi="Times New Roman;Times;Serif"/>
          <w:b w:val="false"/>
          <w:i w:val="false"/>
          <w:caps w:val="false"/>
          <w:smallCaps w:val="false"/>
          <w:color w:val="0E0E0E"/>
          <w:sz w:val="20"/>
        </w:rPr>
        <w:t>.</w:t>
      </w:r>
      <w:r>
        <w:rPr>
          <w:rFonts w:ascii="Times New Roman;Times;Serif" w:hAnsi="Times New Roman;Times;Serif"/>
          <w:b w:val="false"/>
          <w:i w:val="false"/>
          <w:caps w:val="false"/>
          <w:smallCaps w:val="false"/>
          <w:color w:val="000000"/>
          <w:sz w:val="20"/>
        </w:rPr>
        <w:t>L. 1981, c. 262, as amended (N.J</w:t>
      </w:r>
      <w:r>
        <w:rPr>
          <w:rFonts w:ascii="Times New Roman;Times;Serif" w:hAnsi="Times New Roman;Times;Serif"/>
          <w:b w:val="false"/>
          <w:i w:val="false"/>
          <w:caps w:val="false"/>
          <w:smallCaps w:val="false"/>
          <w:color w:val="0E0E0E"/>
          <w:sz w:val="20"/>
          <w:u w:val="single"/>
        </w:rPr>
        <w:t>.</w:t>
      </w:r>
      <w:r>
        <w:rPr>
          <w:rFonts w:ascii="Times New Roman;Times;Serif" w:hAnsi="Times New Roman;Times;Serif"/>
          <w:b w:val="false"/>
          <w:i w:val="false"/>
          <w:caps w:val="false"/>
          <w:smallCaps w:val="false"/>
          <w:color w:val="000000"/>
          <w:sz w:val="20"/>
          <w:u w:val="single"/>
        </w:rPr>
        <w:t xml:space="preserve">S.A. </w:t>
      </w:r>
      <w:r>
        <w:rPr>
          <w:rFonts w:ascii="Times New Roman;Times;Serif" w:hAnsi="Times New Roman;Times;Serif"/>
          <w:b w:val="false"/>
          <w:i w:val="false"/>
          <w:caps w:val="false"/>
          <w:smallCaps w:val="false"/>
          <w:color w:val="000000"/>
          <w:sz w:val="20"/>
        </w:rPr>
        <w:t>58:IA-1 et seq.) and the rules promulgated thereunder.</w:t>
      </w:r>
    </w:p>
    <w:p>
      <w:pPr>
        <w:pStyle w:val="TextBody"/>
        <w:bidi w:val="0"/>
        <w:spacing w:lineRule="auto" w:line="499" w:before="0" w:after="0"/>
        <w:ind w:left="445" w:right="301" w:firstLine="71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"Water Purchase Contracts" or "Contracts" means the contracts, and all supplements thereto, providing for Uninterruptible, Short-term, Standby Service or Special User Service with respect to water from the System to one or more System Water Purchasers.</w:t>
      </w:r>
    </w:p>
    <w:p>
      <w:pPr>
        <w:pStyle w:val="TextBody"/>
        <w:bidi w:val="0"/>
        <w:spacing w:lineRule="auto" w:line="499" w:before="0" w:after="0"/>
        <w:ind w:left="444" w:right="298" w:firstLine="71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"Water Supply Plan Approval" means any approval by the </w:t>
      </w:r>
      <w:r>
        <w:rPr>
          <w:rFonts w:ascii="Times New Roman;Times;Serif" w:hAnsi="Times New Roman;Times;Serif"/>
          <w:b w:val="false"/>
          <w:i w:val="false"/>
          <w:caps w:val="false"/>
          <w:smallCaps w:val="false"/>
          <w:color w:val="242424"/>
          <w:sz w:val="20"/>
        </w:rPr>
        <w:t xml:space="preserve">Department </w:t>
      </w:r>
      <w:r>
        <w:rPr>
          <w:rFonts w:ascii="Times New Roman;Times;Serif" w:hAnsi="Times New Roman;Times;Serif"/>
          <w:b w:val="false"/>
          <w:i w:val="false"/>
          <w:caps w:val="false"/>
          <w:smallCaps w:val="false"/>
          <w:color w:val="000000"/>
          <w:sz w:val="20"/>
        </w:rPr>
        <w:t>of the purchase of water from the System, whether in the form of a water supply allocation permit, an interim approval of a water supply plan submitted as may be required by the Department for a water supply allocation permit, or otherwise.</w:t>
      </w:r>
    </w:p>
    <w:p>
      <w:pPr>
        <w:pStyle w:val="TextBody"/>
        <w:bidi w:val="0"/>
        <w:spacing w:lineRule="auto" w:line="499" w:before="0" w:after="0"/>
        <w:ind w:left="449" w:right="295"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Except where the context otherwise requires, words </w:t>
      </w:r>
      <w:r>
        <w:rPr>
          <w:rFonts w:ascii="Times New Roman;Times;Serif" w:hAnsi="Times New Roman;Times;Serif"/>
          <w:b w:val="false"/>
          <w:i w:val="false"/>
          <w:caps w:val="false"/>
          <w:smallCaps w:val="false"/>
          <w:color w:val="242424"/>
          <w:sz w:val="20"/>
        </w:rPr>
        <w:t xml:space="preserve">importing </w:t>
      </w:r>
      <w:r>
        <w:rPr>
          <w:rFonts w:ascii="Times New Roman;Times;Serif" w:hAnsi="Times New Roman;Times;Serif"/>
          <w:b w:val="false"/>
          <w:i w:val="false"/>
          <w:caps w:val="false"/>
          <w:smallCaps w:val="false"/>
          <w:color w:val="000000"/>
          <w:sz w:val="20"/>
        </w:rPr>
        <w:t>the singular number shall include the plural number and vice versa, and words importing persons shall include firms, associations, corporations, districts, agencies and bodies. Any capitalized term used herein and not otherwise defined shall have the meaning set forth in the Resolution.</w:t>
      </w:r>
    </w:p>
    <w:p>
      <w:pPr>
        <w:pStyle w:val="TextBody"/>
        <w:bidi w:val="0"/>
        <w:spacing w:before="0" w:after="0"/>
        <w:ind w:left="1872"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 xml:space="preserve">SECTION 2. </w:t>
      </w:r>
      <w:r>
        <w:rPr>
          <w:rFonts w:ascii="Times New Roman;Times;Serif" w:hAnsi="Times New Roman;Times;Serif"/>
          <w:b/>
          <w:i w:val="false"/>
          <w:caps w:val="false"/>
          <w:smallCaps w:val="false"/>
          <w:color w:val="000000"/>
          <w:sz w:val="20"/>
          <w:u w:val="single"/>
        </w:rPr>
        <w:t>Water Service To Be Provided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504" w:before="0" w:after="0"/>
        <w:ind w:left="449" w:right="290" w:firstLine="143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A.        The Authority shall supply and make available for delivery to the </w:t>
      </w:r>
      <w:r>
        <w:rPr>
          <w:rFonts w:ascii="Times New Roman;Times;Serif" w:hAnsi="Times New Roman;Times;Serif"/>
          <w:b w:val="false"/>
          <w:i w:val="false"/>
          <w:caps w:val="false"/>
          <w:smallCaps w:val="false"/>
          <w:color w:val="242424"/>
          <w:sz w:val="20"/>
        </w:rPr>
        <w:t xml:space="preserve">Purchaser, </w:t>
      </w:r>
      <w:r>
        <w:rPr>
          <w:rFonts w:ascii="Times New Roman;Times;Serif" w:hAnsi="Times New Roman;Times;Serif"/>
          <w:b w:val="false"/>
          <w:i w:val="false"/>
          <w:caps w:val="false"/>
          <w:smallCaps w:val="false"/>
          <w:color w:val="000000"/>
          <w:sz w:val="20"/>
        </w:rPr>
        <w:t xml:space="preserve">on and after </w:t>
      </w:r>
      <w:r>
        <w:rPr>
          <w:rFonts w:ascii="Times New Roman;Times;Serif" w:hAnsi="Times New Roman;Times;Serif"/>
          <w:b w:val="false"/>
          <w:i w:val="false"/>
          <w:caps w:val="false"/>
          <w:smallCaps w:val="false"/>
          <w:color w:val="242424"/>
          <w:sz w:val="20"/>
        </w:rPr>
        <w:t xml:space="preserve">the </w:t>
      </w:r>
      <w:r>
        <w:rPr>
          <w:rFonts w:ascii="Times New Roman;Times;Serif" w:hAnsi="Times New Roman;Times;Serif"/>
          <w:b w:val="false"/>
          <w:i w:val="false"/>
          <w:caps w:val="false"/>
          <w:smallCaps w:val="false"/>
          <w:color w:val="000000"/>
          <w:sz w:val="20"/>
        </w:rPr>
        <w:t xml:space="preserve">date hereof, and the Purchaser shall be entitled to utilize the following water service, subject to the other terms and conditions of this Contract and </w:t>
      </w:r>
      <w:r>
        <w:rPr>
          <w:rFonts w:ascii="Times New Roman;Times;Serif" w:hAnsi="Times New Roman;Times;Serif"/>
          <w:b w:val="false"/>
          <w:i w:val="false"/>
          <w:caps w:val="false"/>
          <w:smallCaps w:val="false"/>
          <w:color w:val="242424"/>
          <w:sz w:val="20"/>
        </w:rPr>
        <w:t xml:space="preserve">the </w:t>
      </w:r>
      <w:r>
        <w:rPr>
          <w:rFonts w:ascii="Times New Roman;Times;Serif" w:hAnsi="Times New Roman;Times;Serif"/>
          <w:b w:val="false"/>
          <w:i w:val="false"/>
          <w:caps w:val="false"/>
          <w:smallCaps w:val="false"/>
          <w:color w:val="000000"/>
          <w:sz w:val="20"/>
        </w:rPr>
        <w:t>System Rules and Regulations:</w:t>
      </w:r>
    </w:p>
    <w:tbl>
      <w:tblPr>
        <w:tblW w:w="5000" w:type="pct"/>
        <w:jc w:val="left"/>
        <w:tblInd w:w="0" w:type="dxa"/>
        <w:tblLayout w:type="fixed"/>
        <w:tblCellMar>
          <w:top w:w="0" w:type="dxa"/>
          <w:left w:w="0" w:type="dxa"/>
          <w:bottom w:w="0" w:type="dxa"/>
          <w:right w:w="0" w:type="dxa"/>
        </w:tblCellMar>
      </w:tblPr>
      <w:tblGrid>
        <w:gridCol w:w="49"/>
        <w:gridCol w:w="298"/>
        <w:gridCol w:w="9858"/>
      </w:tblGrid>
      <w:tr>
        <w:trPr/>
        <w:tc>
          <w:tcPr>
            <w:tcW w:w="4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color w:val="000000"/>
              </w:rPr>
            </w:pPr>
            <w:r>
              <w:rPr>
                <w:color w:val="000000"/>
              </w:rPr>
              <w:t>(i)</w:t>
            </w:r>
          </w:p>
        </w:tc>
        <w:tc>
          <w:tcPr>
            <w:tcW w:w="9858" w:type="dxa"/>
            <w:tcBorders/>
            <w:vAlign w:val="center"/>
          </w:tcPr>
          <w:p>
            <w:pPr>
              <w:pStyle w:val="TableContents"/>
              <w:bidi w:val="0"/>
              <w:spacing w:before="0" w:after="283"/>
              <w:jc w:val="left"/>
              <w:rPr/>
            </w:pPr>
            <w:r>
              <w:rPr>
                <w:color w:val="000000"/>
              </w:rPr>
              <w:t>Uninterruptible Service in</w:t>
            </w:r>
            <w:r>
              <w:rPr/>
              <w:t xml:space="preserve"> </w:t>
            </w:r>
            <w:r>
              <w:rPr>
                <w:color w:val="242424"/>
              </w:rPr>
              <w:t>the</w:t>
            </w:r>
            <w:r>
              <w:rPr/>
              <w:t xml:space="preserve"> </w:t>
            </w:r>
            <w:r>
              <w:rPr>
                <w:color w:val="000000"/>
              </w:rPr>
              <w:t>amount of 27 MGD, which is the average amount</w:t>
            </w:r>
          </w:p>
        </w:tc>
      </w:tr>
    </w:tbl>
    <w:p>
      <w:pPr>
        <w:pStyle w:val="TextBody"/>
        <w:bidi w:val="0"/>
        <w:spacing w:before="0" w:after="0"/>
        <w:ind w:left="0" w:right="0" w:hanging="0"/>
        <w:jc w:val="left"/>
        <w:rPr>
          <w:caps w:val="false"/>
          <w:smallCaps w:val="false"/>
        </w:rPr>
      </w:pPr>
      <w:r>
        <w:rPr>
          <w:caps w:val="false"/>
          <w:smallCaps w:val="false"/>
        </w:rPr>
        <w:t> </w:t>
      </w:r>
    </w:p>
    <w:tbl>
      <w:tblPr>
        <w:tblW w:w="4345" w:type="dxa"/>
        <w:jc w:val="left"/>
        <w:tblInd w:w="0" w:type="dxa"/>
        <w:tblLayout w:type="fixed"/>
        <w:tblCellMar>
          <w:top w:w="0" w:type="dxa"/>
          <w:left w:w="0" w:type="dxa"/>
          <w:bottom w:w="0" w:type="dxa"/>
          <w:right w:w="0" w:type="dxa"/>
        </w:tblCellMar>
      </w:tblPr>
      <w:tblGrid>
        <w:gridCol w:w="3485"/>
        <w:gridCol w:w="860"/>
      </w:tblGrid>
      <w:tr>
        <w:trPr/>
        <w:tc>
          <w:tcPr>
            <w:tcW w:w="3485" w:type="dxa"/>
            <w:tcBorders/>
            <w:vAlign w:val="center"/>
          </w:tcPr>
          <w:p>
            <w:pPr>
              <w:pStyle w:val="TableContents"/>
              <w:bidi w:val="0"/>
              <w:spacing w:before="0" w:after="283"/>
              <w:jc w:val="left"/>
              <w:rPr/>
            </w:pPr>
            <w:r>
              <w:rPr/>
              <w:t>New Jersey Water Supply Authority</w:t>
            </w:r>
          </w:p>
        </w:tc>
        <w:tc>
          <w:tcPr>
            <w:tcW w:w="860" w:type="dxa"/>
            <w:tcBorders/>
            <w:vAlign w:val="center"/>
          </w:tcPr>
          <w:p>
            <w:pPr>
              <w:pStyle w:val="TableContents"/>
              <w:bidi w:val="0"/>
              <w:spacing w:before="0" w:after="283"/>
              <w:jc w:val="right"/>
              <w:rPr/>
            </w:pPr>
            <w:r>
              <w:rPr/>
              <w:t>RBS-2B</w:t>
            </w:r>
          </w:p>
        </w:tc>
      </w:tr>
    </w:tbl>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14 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499" w:before="0" w:after="0"/>
        <w:ind w:left="423" w:right="307" w:firstLine="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of Uninterruptible </w:t>
      </w:r>
      <w:r>
        <w:rPr>
          <w:rFonts w:ascii="Times New Roman;Times;Serif" w:hAnsi="Times New Roman;Times;Serif"/>
          <w:b w:val="false"/>
          <w:i w:val="false"/>
          <w:caps w:val="false"/>
          <w:smallCaps w:val="false"/>
          <w:color w:val="232323"/>
          <w:sz w:val="20"/>
        </w:rPr>
        <w:t xml:space="preserve">Service </w:t>
      </w:r>
      <w:r>
        <w:rPr>
          <w:rFonts w:ascii="Times New Roman;Times;Serif" w:hAnsi="Times New Roman;Times;Serif"/>
          <w:b w:val="false"/>
          <w:i w:val="false"/>
          <w:caps w:val="false"/>
          <w:smallCaps w:val="false"/>
          <w:color w:val="000000"/>
          <w:sz w:val="20"/>
        </w:rPr>
        <w:t>permitted to be withdrawn by the Purchaser</w:t>
      </w:r>
      <w:r>
        <w:rPr>
          <w:rFonts w:ascii="Times New Roman;Times;Serif" w:hAnsi="Times New Roman;Times;Serif"/>
          <w:b w:val="false"/>
          <w:i w:val="false"/>
          <w:caps w:val="false"/>
          <w:smallCaps w:val="false"/>
          <w:color w:val="0E0E0E"/>
          <w:sz w:val="20"/>
        </w:rPr>
        <w:t xml:space="preserve">. </w:t>
      </w:r>
      <w:r>
        <w:rPr>
          <w:rFonts w:ascii="Times New Roman;Times;Serif" w:hAnsi="Times New Roman;Times;Serif"/>
          <w:b w:val="false"/>
          <w:i w:val="false"/>
          <w:caps w:val="false"/>
          <w:smallCaps w:val="false"/>
          <w:color w:val="000000"/>
          <w:sz w:val="20"/>
        </w:rPr>
        <w:t>This Uninterruptible Service is subject to (a) any supplemental agreement between the parties; and (b) the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32323"/>
          <w:sz w:val="20"/>
        </w:rPr>
        <w:t xml:space="preserve">limitations </w:t>
      </w:r>
      <w:r>
        <w:rPr>
          <w:rFonts w:ascii="Times New Roman;Times;Serif" w:hAnsi="Times New Roman;Times;Serif"/>
          <w:b w:val="false"/>
          <w:i w:val="false"/>
          <w:caps w:val="false"/>
          <w:smallCaps w:val="false"/>
          <w:color w:val="000000"/>
          <w:sz w:val="20"/>
        </w:rPr>
        <w:t>in Section 2B hereof. Purchaser's annual diversion shall not exceed 9,855 million gallons per year (MGY) (for non-leap years) or an average daily diversion of 27 MGD for public community supply purposes. The impact of this supply on System safe yield is 9,855 MGY and 27 MGD;</w:t>
      </w:r>
    </w:p>
    <w:p>
      <w:pPr>
        <w:pStyle w:val="TextBody"/>
        <w:bidi w:val="0"/>
        <w:spacing w:lineRule="auto" w:line="499" w:before="0" w:after="0"/>
        <w:ind w:left="420" w:right="331" w:firstLine="143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(ii)    Overdraft Service of that number of MGD necessary to meet Purchaser's diversionary needs in excess of Uninterruptible Service. It is anticipated that the total diversion may be up to, but shall not exceed 47 MGD; and</w:t>
      </w:r>
    </w:p>
    <w:p>
      <w:pPr>
        <w:pStyle w:val="TextBody"/>
        <w:bidi w:val="0"/>
        <w:spacing w:lineRule="auto" w:line="499" w:before="0" w:after="0"/>
        <w:ind w:left="426" w:right="312" w:firstLine="1487"/>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(iii)   The Purchaser may withdraw water with respect to Standby Service without prior notification to the Authority. Subsequent thereto, the Purchaser shall immediately notify the Authority of any such withdrawals. The Purchaser may withdraw water between the ranges of 27 MGD and 47 MGD, conditions allowing, without prior notification to the Authority; however, any increases more than 10 MGD above the previous day's average should be done concurrent with notification to the Authority when the reason for the increase is attributed to emergency conditions or non-emergency technical problems. Any anticipated diversion in excess of 47 MGD, as conditions may require, shall require the prior written consent of the Authority.</w:t>
      </w:r>
    </w:p>
    <w:p>
      <w:pPr>
        <w:pStyle w:val="TextBody"/>
        <w:bidi w:val="0"/>
        <w:spacing w:lineRule="auto" w:line="499" w:before="0" w:after="0"/>
        <w:ind w:left="434" w:right="303" w:firstLine="1426"/>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B.                 Purchaser shall not, without the prior written consent of the Authority, withdraw water for public water supply purposes, in the aggregate for all services provided hereunder, at rates greater than an average of 27 million gallons in any twenty-four (24) hour period, 822 million gallons per month, which per minute, daily and monthly amounts shall be appropriately adjusted to reflect fluctuations in water use; and an average of nine thousand, eight hundred and fifty-five (9,855) million gallons in any year for the term of this contract. The Purchaser shall immediately notify the Authority of any such withdrawals in excess of said</w:t>
      </w:r>
    </w:p>
    <w:tbl>
      <w:tblPr>
        <w:tblW w:w="4345" w:type="dxa"/>
        <w:jc w:val="left"/>
        <w:tblInd w:w="0" w:type="dxa"/>
        <w:tblLayout w:type="fixed"/>
        <w:tblCellMar>
          <w:top w:w="0" w:type="dxa"/>
          <w:left w:w="0" w:type="dxa"/>
          <w:bottom w:w="0" w:type="dxa"/>
          <w:right w:w="0" w:type="dxa"/>
        </w:tblCellMar>
      </w:tblPr>
      <w:tblGrid>
        <w:gridCol w:w="3485"/>
        <w:gridCol w:w="860"/>
      </w:tblGrid>
      <w:tr>
        <w:trPr/>
        <w:tc>
          <w:tcPr>
            <w:tcW w:w="3485" w:type="dxa"/>
            <w:tcBorders/>
            <w:vAlign w:val="center"/>
          </w:tcPr>
          <w:p>
            <w:pPr>
              <w:pStyle w:val="TableContents"/>
              <w:bidi w:val="0"/>
              <w:spacing w:before="0" w:after="283"/>
              <w:jc w:val="left"/>
              <w:rPr/>
            </w:pPr>
            <w:r>
              <w:rPr/>
              <w:t>New Jersey Water Supply Authority</w:t>
            </w:r>
          </w:p>
        </w:tc>
        <w:tc>
          <w:tcPr>
            <w:tcW w:w="860" w:type="dxa"/>
            <w:tcBorders/>
            <w:vAlign w:val="center"/>
          </w:tcPr>
          <w:p>
            <w:pPr>
              <w:pStyle w:val="TableContents"/>
              <w:bidi w:val="0"/>
              <w:spacing w:before="0" w:after="283"/>
              <w:jc w:val="right"/>
              <w:rPr/>
            </w:pPr>
            <w:r>
              <w:rPr/>
              <w:t>RBS-2B</w:t>
            </w:r>
          </w:p>
        </w:tc>
      </w:tr>
    </w:tbl>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1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496" w:before="0" w:after="0"/>
        <w:ind w:left="405" w:right="328" w:firstLine="1437"/>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C.                 If the Authority determines that rationing the water derived from the System is necessary by reason of drought conditions or an emergency, it shall allocate all available water first to providing Uninterruptible Service under all Water Purchase Contracts, without any preference or priority, except that the Authority, in its sole discretion, may exclude Water Purchase Contracts where an Event of Default has occurred and is continuing, at the Authority's election, unless the Authority, in accordance with applicable law or regulation, is otherwise directed or required to allocate water in a specific manner, (i) pro rata, in accordance with the volume of water available, to each System Water Purchaser of Uninterruptible Service provided in all Water Purchase Contracts then in effect; or (ii) pro rata in accordance with the volume of water actually provided each System Water Purchaser of Uninterruptible Service pursuant to Water Purchase Contracts during the last preceding Annual Payment Period in which rationing of water was not necessary; or (iii) upon such other basis as shall be, in the judgment of the Authority, appropriate to distribute fairly among all System Water Purchasers of Uninterruptible Service pursuant to Water Purchase Contracts, the burden of such rationing. </w:t>
      </w:r>
      <w:r>
        <w:rPr>
          <w:rFonts w:ascii="Times New Roman;Times;Serif" w:hAnsi="Times New Roman;Times;Serif"/>
          <w:b w:val="false"/>
          <w:i w:val="false"/>
          <w:caps w:val="false"/>
          <w:smallCaps w:val="false"/>
          <w:color w:val="000000"/>
          <w:sz w:val="24"/>
        </w:rPr>
        <w:t>In</w:t>
      </w:r>
      <w:r>
        <w:rPr>
          <w:rFonts w:ascii="Times New Roman;Times;Serif" w:hAnsi="Times New Roman;Times;Serif"/>
          <w:b w:val="false"/>
          <w:i w:val="false"/>
          <w:caps w:val="false"/>
          <w:smallCaps w:val="false"/>
          <w:color w:val="000000"/>
          <w:sz w:val="20"/>
        </w:rPr>
        <w:t xml:space="preserve"> the event that rationing is to be imposed by reason of an emergency for more than a seven-day period, the Authority shall consult with and give appropriate effect to the recommendations, if any, of the Department.</w:t>
      </w:r>
    </w:p>
    <w:p>
      <w:pPr>
        <w:pStyle w:val="TextBody"/>
        <w:bidi w:val="0"/>
        <w:spacing w:lineRule="auto" w:line="499" w:before="0" w:after="0"/>
        <w:ind w:left="413" w:right="312" w:firstLine="1428"/>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                If rationing is instituted, or if, other than as a result of an Event of Default, the Authority does not provide to the Purchaser the amount of water constituting Uninterruptible Service hereunder, or advises the Purchaser that it will be unable to do so other than as a result of an Event of Default, the Purchaser shall nevertheless at all times be required to pay for all water from the System constituting Uninterruptible Service available for delivery to the Purchaser.</w:t>
      </w:r>
    </w:p>
    <w:tbl>
      <w:tblPr>
        <w:tblW w:w="5000" w:type="pct"/>
        <w:jc w:val="left"/>
        <w:tblInd w:w="0" w:type="dxa"/>
        <w:tblLayout w:type="fixed"/>
        <w:tblCellMar>
          <w:top w:w="0" w:type="dxa"/>
          <w:left w:w="0" w:type="dxa"/>
          <w:bottom w:w="0" w:type="dxa"/>
          <w:right w:w="0" w:type="dxa"/>
        </w:tblCellMar>
      </w:tblPr>
      <w:tblGrid>
        <w:gridCol w:w="55"/>
        <w:gridCol w:w="337"/>
        <w:gridCol w:w="9813"/>
      </w:tblGrid>
      <w:tr>
        <w:trPr/>
        <w:tc>
          <w:tcPr>
            <w:tcW w:w="55"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pPr>
            <w:r>
              <w:rPr/>
              <w:t>E.</w:t>
            </w:r>
          </w:p>
        </w:tc>
        <w:tc>
          <w:tcPr>
            <w:tcW w:w="9813" w:type="dxa"/>
            <w:tcBorders/>
            <w:vAlign w:val="center"/>
          </w:tcPr>
          <w:p>
            <w:pPr>
              <w:pStyle w:val="TableContents"/>
              <w:bidi w:val="0"/>
              <w:spacing w:before="0" w:after="283"/>
              <w:jc w:val="left"/>
              <w:rPr/>
            </w:pPr>
            <w:r>
              <w:rPr/>
              <w:t>If in the event of an emergency, the Purchaser is legally restricted from</w:t>
            </w:r>
          </w:p>
        </w:tc>
      </w:tr>
    </w:tbl>
    <w:tbl>
      <w:tblPr>
        <w:tblW w:w="4345" w:type="dxa"/>
        <w:jc w:val="left"/>
        <w:tblInd w:w="0" w:type="dxa"/>
        <w:tblLayout w:type="fixed"/>
        <w:tblCellMar>
          <w:top w:w="0" w:type="dxa"/>
          <w:left w:w="0" w:type="dxa"/>
          <w:bottom w:w="0" w:type="dxa"/>
          <w:right w:w="0" w:type="dxa"/>
        </w:tblCellMar>
      </w:tblPr>
      <w:tblGrid>
        <w:gridCol w:w="3485"/>
        <w:gridCol w:w="860"/>
      </w:tblGrid>
      <w:tr>
        <w:trPr/>
        <w:tc>
          <w:tcPr>
            <w:tcW w:w="3485" w:type="dxa"/>
            <w:tcBorders/>
            <w:vAlign w:val="center"/>
          </w:tcPr>
          <w:p>
            <w:pPr>
              <w:pStyle w:val="TableContents"/>
              <w:bidi w:val="0"/>
              <w:spacing w:before="0" w:after="283"/>
              <w:jc w:val="left"/>
              <w:rPr/>
            </w:pPr>
            <w:r>
              <w:rPr/>
              <w:t>New Jersey Water Supply Authority</w:t>
            </w:r>
          </w:p>
        </w:tc>
        <w:tc>
          <w:tcPr>
            <w:tcW w:w="860" w:type="dxa"/>
            <w:tcBorders/>
            <w:vAlign w:val="center"/>
          </w:tcPr>
          <w:p>
            <w:pPr>
              <w:pStyle w:val="TableContents"/>
              <w:bidi w:val="0"/>
              <w:spacing w:before="0" w:after="283"/>
              <w:jc w:val="right"/>
              <w:rPr/>
            </w:pPr>
            <w:r>
              <w:rPr/>
              <w:t>RBS-2B</w:t>
            </w:r>
          </w:p>
        </w:tc>
      </w:tr>
    </w:tbl>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499" w:before="0" w:after="0"/>
        <w:ind w:left="453" w:right="300" w:hanging="5"/>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purchasing all of the water constituting Uninterruptible Service hereunder, the Purchaser shall only be required to pay for such water constituting Uninterruptible Service as it is legally permitted to purchase (and the Authority is able to supply) during the period of such emergency.</w:t>
      </w:r>
    </w:p>
    <w:p>
      <w:pPr>
        <w:pStyle w:val="TextBody"/>
        <w:bidi w:val="0"/>
        <w:spacing w:before="0" w:after="0"/>
        <w:ind w:left="1872"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 xml:space="preserve">SECTION 3. </w:t>
      </w:r>
      <w:r>
        <w:rPr>
          <w:rFonts w:ascii="Times New Roman;Times;Serif" w:hAnsi="Times New Roman;Times;Serif"/>
          <w:b/>
          <w:i w:val="false"/>
          <w:caps w:val="false"/>
          <w:smallCaps w:val="false"/>
          <w:color w:val="000000"/>
          <w:sz w:val="20"/>
          <w:u w:val="single"/>
        </w:rPr>
        <w:t>System Water Quality.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499" w:before="0" w:after="0"/>
        <w:ind w:left="442" w:right="293" w:firstLine="1437"/>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           The water to be supplied by the Authority hereunder shall be raw, untreated water which the Authority shall supply to all System Water Purchasers without distinction as to source or quality variations of the water supplied and subject to the hazards inherent in natural streams. THE AUTHORITY MAKES NO REPRESENTATIONS OR WARRANTIES, EXPRESS OR IMPLIED, AS TO THE QUALITY OF ANY WATER SUPPLIED OR THE CONDITION OF THE SYSTEM, INCLUDING ANY IMPLIED WARRANTY OF MERCHANTABILITY OR FITNESS FOR ANY PARTICULAR PURPOSE. However, the Authority, based upon water quality data supplied to it by any System Water Purchaser or other water quality data which may be obtained by the Authority, will exercise all appropriate administrative and legal rights under applicable law to compel the Department to assure that the stream water quality is in compliance with applicable stream standards.</w:t>
      </w:r>
    </w:p>
    <w:p>
      <w:pPr>
        <w:pStyle w:val="TextBody"/>
        <w:bidi w:val="0"/>
        <w:spacing w:lineRule="auto" w:line="499" w:before="0" w:after="0"/>
        <w:ind w:left="449" w:right="290" w:firstLine="1426"/>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B.                 (1) In the event of contaminant discharges, spills or runoff to the Authority's water supplies which constitute an emergency and require immediate action to maintain the supply of water from the System, the Authority will take immediate corrective action either: (i) through requesting the appropriate agency to take such action or,(ii) directly, by its own personnel and/or outside contractors, to contain and, if necessary to remove such contaminants from the water supply, in the Authority's sole discretion. In addition, to the extent it is legally able to do so and it determines that such action is in the best interests of the Authority, the Authority will seek to recover all costs and damages resulting from any such incidents from the parties responsible.</w:t>
      </w:r>
    </w:p>
    <w:tbl>
      <w:tblPr>
        <w:tblW w:w="4345" w:type="dxa"/>
        <w:jc w:val="left"/>
        <w:tblInd w:w="0" w:type="dxa"/>
        <w:tblLayout w:type="fixed"/>
        <w:tblCellMar>
          <w:top w:w="0" w:type="dxa"/>
          <w:left w:w="0" w:type="dxa"/>
          <w:bottom w:w="0" w:type="dxa"/>
          <w:right w:w="0" w:type="dxa"/>
        </w:tblCellMar>
      </w:tblPr>
      <w:tblGrid>
        <w:gridCol w:w="3485"/>
        <w:gridCol w:w="860"/>
      </w:tblGrid>
      <w:tr>
        <w:trPr/>
        <w:tc>
          <w:tcPr>
            <w:tcW w:w="3485" w:type="dxa"/>
            <w:tcBorders/>
            <w:vAlign w:val="center"/>
          </w:tcPr>
          <w:p>
            <w:pPr>
              <w:pStyle w:val="TableContents"/>
              <w:bidi w:val="0"/>
              <w:spacing w:before="0" w:after="283"/>
              <w:jc w:val="left"/>
              <w:rPr/>
            </w:pPr>
            <w:r>
              <w:rPr/>
              <w:t>New Jersey Water Supply Authority</w:t>
            </w:r>
          </w:p>
        </w:tc>
        <w:tc>
          <w:tcPr>
            <w:tcW w:w="860" w:type="dxa"/>
            <w:tcBorders/>
            <w:vAlign w:val="center"/>
          </w:tcPr>
          <w:p>
            <w:pPr>
              <w:pStyle w:val="TableContents"/>
              <w:bidi w:val="0"/>
              <w:spacing w:before="0" w:after="283"/>
              <w:jc w:val="right"/>
              <w:rPr/>
            </w:pPr>
            <w:r>
              <w:rPr/>
              <w:t>RBS-2B</w:t>
            </w:r>
          </w:p>
        </w:tc>
      </w:tr>
    </w:tbl>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17 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496" w:before="0" w:after="0"/>
        <w:ind w:left="462" w:right="278" w:firstLine="1422"/>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    If the Authority and the Purchaser, at the request of the Purchaser, agree that the quality of the water derived from the System is not of sufficient quality to be treated by the Purchaser for the purposes for which such water is to be used or there is any trend towards degradation of such water as a result of contamination in the quality of water derived from the System, the Authority and such Purchaser shall jointly: (i) request the Department to take appropriate action to implement corrective measures or; (ii) take other administrative or operational measures.</w:t>
      </w:r>
    </w:p>
    <w:p>
      <w:pPr>
        <w:pStyle w:val="TextBody"/>
        <w:bidi w:val="0"/>
        <w:spacing w:before="0" w:after="0"/>
        <w:ind w:left="1886"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SECTION 4. Payment for Water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499" w:before="0" w:after="0"/>
        <w:ind w:left="815" w:right="289" w:firstLine="1071"/>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    General. Purchaser agrees to make all payments for uninterruptible water services available hereunder in the amounts, at the times and places and in the manner provided herein, in the Rate Schedule or in the System Rules and Regulations.</w:t>
      </w:r>
    </w:p>
    <w:p>
      <w:pPr>
        <w:pStyle w:val="TextBody"/>
        <w:bidi w:val="0"/>
        <w:spacing w:lineRule="auto" w:line="499" w:before="0" w:after="0"/>
        <w:ind w:left="815" w:right="289" w:firstLine="1071"/>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B.  </w:t>
      </w:r>
      <w:r>
        <w:rPr>
          <w:rFonts w:ascii="Times New Roman;Times;Serif" w:hAnsi="Times New Roman;Times;Serif"/>
          <w:b w:val="false"/>
          <w:i w:val="false"/>
          <w:caps w:val="false"/>
          <w:smallCaps w:val="false"/>
          <w:color w:val="000000"/>
          <w:sz w:val="20"/>
          <w:u w:val="single"/>
        </w:rPr>
        <w:t>Uninterruptible Service.</w:t>
      </w:r>
      <w:r>
        <w:rPr>
          <w:rFonts w:ascii="Times New Roman;Times;Serif" w:hAnsi="Times New Roman;Times;Serif"/>
          <w:b w:val="false"/>
          <w:i w:val="false"/>
          <w:caps w:val="false"/>
          <w:smallCaps w:val="false"/>
          <w:color w:val="000000"/>
          <w:sz w:val="20"/>
        </w:rPr>
        <w:t xml:space="preserve"> Purchaser agrees to pay the Authority a rate equal to one-hundred percent of the total rate set forth in the Schedule of Rates (See </w:t>
      </w:r>
      <w:r>
        <w:rPr>
          <w:rFonts w:ascii="Times New Roman;Times;Serif" w:hAnsi="Times New Roman;Times;Serif"/>
          <w:b w:val="false"/>
          <w:i w:val="false"/>
          <w:caps w:val="false"/>
          <w:smallCaps w:val="false"/>
          <w:color w:val="000000"/>
          <w:sz w:val="20"/>
          <w:u w:val="single"/>
        </w:rPr>
        <w:t>N.J.A.C.</w:t>
      </w:r>
      <w:r>
        <w:rPr>
          <w:rFonts w:ascii="Times New Roman;Times;Serif" w:hAnsi="Times New Roman;Times;Serif"/>
          <w:b w:val="false"/>
          <w:i w:val="false"/>
          <w:caps w:val="false"/>
          <w:smallCaps w:val="false"/>
          <w:color w:val="000000"/>
          <w:sz w:val="20"/>
        </w:rPr>
        <w:t xml:space="preserve"> 7:11-2.1 (c)) for Uninterruptible Water Services set forth in Section 2 (A)(i) as illustrated in the following formula: 27 MG * # of days in the month * rate</w:t>
      </w:r>
    </w:p>
    <w:p>
      <w:pPr>
        <w:pStyle w:val="TextBody"/>
        <w:bidi w:val="0"/>
        <w:spacing w:lineRule="auto" w:line="499" w:before="0" w:after="0"/>
        <w:ind w:left="823" w:right="264" w:firstLine="1066"/>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C.    </w:t>
      </w:r>
      <w:r>
        <w:rPr>
          <w:rFonts w:ascii="Times New Roman;Times;Serif" w:hAnsi="Times New Roman;Times;Serif"/>
          <w:b w:val="false"/>
          <w:i w:val="false"/>
          <w:caps w:val="false"/>
          <w:smallCaps w:val="false"/>
          <w:color w:val="000000"/>
          <w:sz w:val="20"/>
          <w:u w:val="single"/>
        </w:rPr>
        <w:t>Monthly Overdraft Rate.</w:t>
      </w:r>
      <w:r>
        <w:rPr>
          <w:rFonts w:ascii="Times New Roman;Times;Serif" w:hAnsi="Times New Roman;Times;Serif"/>
          <w:b w:val="false"/>
          <w:i w:val="false"/>
          <w:caps w:val="false"/>
          <w:smallCaps w:val="false"/>
          <w:color w:val="000000"/>
          <w:sz w:val="20"/>
        </w:rPr>
        <w:t xml:space="preserve"> Purchaser agrees to pay the Authority a Monthly Overdraft Rate equal to one-hundred and twenty percent of the total rate set forth in said Rate Schedule for Uninterruptible Service (see Section 2(A)(i))) for its average daily diversions for any calendar month in excess of a Peaking Factor of ten-percent of Uninterruptible Service, as illustrated in the following formula:</w:t>
      </w:r>
    </w:p>
    <w:p>
      <w:pPr>
        <w:pStyle w:val="TextBody"/>
        <w:bidi w:val="0"/>
        <w:spacing w:lineRule="auto" w:line="499" w:before="0" w:after="0"/>
        <w:ind w:left="1892" w:right="278" w:firstLine="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[(actual monthly diversion/# of days in the month)</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696969"/>
          <w:sz w:val="20"/>
        </w:rPr>
        <w: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00"/>
          <w:sz w:val="20"/>
        </w:rPr>
        <w:t>(27 MGD)*1.10)]*overdraft service rate*days in the month;</w:t>
      </w:r>
    </w:p>
    <w:tbl>
      <w:tblPr>
        <w:tblW w:w="5000" w:type="pct"/>
        <w:jc w:val="left"/>
        <w:tblInd w:w="0" w:type="dxa"/>
        <w:tblLayout w:type="fixed"/>
        <w:tblCellMar>
          <w:top w:w="0" w:type="dxa"/>
          <w:left w:w="0" w:type="dxa"/>
          <w:bottom w:w="0" w:type="dxa"/>
          <w:right w:w="0" w:type="dxa"/>
        </w:tblCellMar>
      </w:tblPr>
      <w:tblGrid>
        <w:gridCol w:w="53"/>
        <w:gridCol w:w="367"/>
        <w:gridCol w:w="9785"/>
      </w:tblGrid>
      <w:tr>
        <w:trPr/>
        <w:tc>
          <w:tcPr>
            <w:tcW w:w="53"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pPr>
            <w:r>
              <w:rPr/>
              <w:t>D.</w:t>
            </w:r>
          </w:p>
        </w:tc>
        <w:tc>
          <w:tcPr>
            <w:tcW w:w="9785" w:type="dxa"/>
            <w:tcBorders/>
            <w:vAlign w:val="center"/>
          </w:tcPr>
          <w:p>
            <w:pPr>
              <w:pStyle w:val="TableContents"/>
              <w:bidi w:val="0"/>
              <w:spacing w:before="0" w:after="283"/>
              <w:jc w:val="left"/>
              <w:rPr/>
            </w:pPr>
            <w:r>
              <w:rPr/>
              <w:t>Annual Overdraft Rate. Purchaser agrees to pay the Authority an Annual</w:t>
            </w:r>
          </w:p>
        </w:tc>
      </w:tr>
    </w:tbl>
    <w:tbl>
      <w:tblPr>
        <w:tblW w:w="4345" w:type="dxa"/>
        <w:jc w:val="left"/>
        <w:tblInd w:w="0" w:type="dxa"/>
        <w:tblLayout w:type="fixed"/>
        <w:tblCellMar>
          <w:top w:w="0" w:type="dxa"/>
          <w:left w:w="0" w:type="dxa"/>
          <w:bottom w:w="0" w:type="dxa"/>
          <w:right w:w="0" w:type="dxa"/>
        </w:tblCellMar>
      </w:tblPr>
      <w:tblGrid>
        <w:gridCol w:w="3485"/>
        <w:gridCol w:w="860"/>
      </w:tblGrid>
      <w:tr>
        <w:trPr/>
        <w:tc>
          <w:tcPr>
            <w:tcW w:w="3485" w:type="dxa"/>
            <w:tcBorders/>
            <w:vAlign w:val="center"/>
          </w:tcPr>
          <w:p>
            <w:pPr>
              <w:pStyle w:val="TableContents"/>
              <w:bidi w:val="0"/>
              <w:spacing w:before="0" w:after="283"/>
              <w:jc w:val="left"/>
              <w:rPr/>
            </w:pPr>
            <w:r>
              <w:rPr/>
              <w:t>New Jersey Water Supply Authority</w:t>
            </w:r>
          </w:p>
        </w:tc>
        <w:tc>
          <w:tcPr>
            <w:tcW w:w="860" w:type="dxa"/>
            <w:tcBorders/>
            <w:vAlign w:val="center"/>
          </w:tcPr>
          <w:p>
            <w:pPr>
              <w:pStyle w:val="TableContents"/>
              <w:bidi w:val="0"/>
              <w:spacing w:before="0" w:after="283"/>
              <w:jc w:val="right"/>
              <w:rPr/>
            </w:pPr>
            <w:r>
              <w:rPr/>
              <w:t>RBS-2B</w:t>
            </w:r>
          </w:p>
        </w:tc>
      </w:tr>
    </w:tbl>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18 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499" w:before="0" w:after="0"/>
        <w:ind w:left="788" w:right="311" w:firstLine="6"/>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Overdraft Rate equal to one-hundred and fifteen percent of the total rate set forth in said Rate Schedule for Uninterruptible Service (see Section 2(A)(i)(a)) for average daily diversion for any calendar year in excess of Purchaser's Uninterrupted Service as illustrated in the following formula:</w:t>
      </w:r>
    </w:p>
    <w:p>
      <w:pPr>
        <w:pStyle w:val="TextBody"/>
        <w:bidi w:val="0"/>
        <w:spacing w:lineRule="auto" w:line="499" w:before="0" w:after="0"/>
        <w:ind w:left="434" w:right="303" w:firstLine="1421"/>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[(Total annual diversion)/365) - 27 MGD]*annual overdraft rate*365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499" w:before="0" w:after="0"/>
        <w:ind w:left="434" w:right="303" w:firstLine="1421"/>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E.                 Water </w:t>
      </w:r>
      <w:r>
        <w:rPr>
          <w:rFonts w:ascii="Times New Roman;Times;Serif" w:hAnsi="Times New Roman;Times;Serif"/>
          <w:b w:val="false"/>
          <w:i w:val="false"/>
          <w:caps w:val="false"/>
          <w:smallCaps w:val="false"/>
          <w:color w:val="000000"/>
          <w:sz w:val="20"/>
          <w:u w:val="single"/>
        </w:rPr>
        <w:t>Payments.</w:t>
      </w:r>
      <w:r>
        <w:rPr>
          <w:rFonts w:ascii="Times New Roman;Times;Serif" w:hAnsi="Times New Roman;Times;Serif"/>
          <w:b w:val="false"/>
          <w:i w:val="false"/>
          <w:caps w:val="false"/>
          <w:smallCaps w:val="false"/>
          <w:color w:val="000000"/>
          <w:sz w:val="20"/>
        </w:rPr>
        <w:t xml:space="preserve"> Purchaser agrees to make Monthly Water Payments for Uninterruptible Water Services provided in Section 4, no later than thirty (30) days from the date of each billing by the Authority to the Purchaser. Except as hereinafter provided, payments for Uninterruptible Service shall be based on the number of days in each month, whether or not the Purchaser actually withdraws the full amount of water available to it as Uninterruptible Service; provided, however, that the Purchaser shall not be required to make payment for water that the Authority does not make available to the Purchaser except where such non-provision of water is as a result of an Event of Default. The Authority shall notify the purchaser not later than thirty days prior to the beginning of each Annual Payment Period of the amount of the Purchaser's Annual Payment for Uninterruptible Service and the amounts of the Monthly Water Payments.</w:t>
      </w:r>
    </w:p>
    <w:p>
      <w:pPr>
        <w:pStyle w:val="TextBody"/>
        <w:bidi w:val="0"/>
        <w:spacing w:lineRule="auto" w:line="504" w:before="0" w:after="0"/>
        <w:ind w:left="443" w:right="302" w:firstLine="142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F.                  </w:t>
      </w:r>
      <w:r>
        <w:rPr>
          <w:rFonts w:ascii="Times New Roman;Times;Serif" w:hAnsi="Times New Roman;Times;Serif"/>
          <w:b w:val="false"/>
          <w:i w:val="false"/>
          <w:caps w:val="false"/>
          <w:smallCaps w:val="false"/>
          <w:color w:val="000000"/>
          <w:sz w:val="20"/>
          <w:u w:val="single"/>
        </w:rPr>
        <w:t>Standby Service.</w:t>
      </w:r>
      <w:r>
        <w:rPr>
          <w:rFonts w:ascii="Times New Roman;Times;Serif" w:hAnsi="Times New Roman;Times;Serif"/>
          <w:b w:val="false"/>
          <w:i w:val="false"/>
          <w:caps w:val="false"/>
          <w:smallCaps w:val="false"/>
          <w:color w:val="000000"/>
          <w:sz w:val="20"/>
        </w:rPr>
        <w:t xml:space="preserve"> Purchaser agrees to pay not later than thirty (30) days from the date of each billing by the Authority to the Purchaser, the standby charge for such month established by the Authority from time to time for Standby Service and the charges for water actually consumed as Standby Service in </w:t>
      </w:r>
      <w:r>
        <w:rPr>
          <w:rFonts w:ascii="Times New Roman;Times;Serif" w:hAnsi="Times New Roman;Times;Serif"/>
          <w:b w:val="false"/>
          <w:i w:val="false"/>
          <w:caps w:val="false"/>
          <w:smallCaps w:val="false"/>
          <w:color w:val="1D1D1D"/>
          <w:sz w:val="20"/>
        </w:rPr>
        <w:t xml:space="preserve">the </w:t>
      </w:r>
      <w:r>
        <w:rPr>
          <w:rFonts w:ascii="Times New Roman;Times;Serif" w:hAnsi="Times New Roman;Times;Serif"/>
          <w:b w:val="false"/>
          <w:i w:val="false"/>
          <w:caps w:val="false"/>
          <w:smallCaps w:val="false"/>
          <w:color w:val="000000"/>
          <w:sz w:val="20"/>
        </w:rPr>
        <w:t>immediate preceding month.</w:t>
      </w:r>
    </w:p>
    <w:p>
      <w:pPr>
        <w:pStyle w:val="TextBody"/>
        <w:bidi w:val="0"/>
        <w:spacing w:lineRule="auto" w:line="499" w:before="0" w:after="0"/>
        <w:ind w:left="445" w:right="295" w:firstLine="142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G.                </w:t>
      </w:r>
      <w:r>
        <w:rPr>
          <w:rFonts w:ascii="Times New Roman;Times;Serif" w:hAnsi="Times New Roman;Times;Serif"/>
          <w:b w:val="false"/>
          <w:i w:val="false"/>
          <w:caps w:val="false"/>
          <w:smallCaps w:val="false"/>
          <w:color w:val="000000"/>
          <w:sz w:val="20"/>
          <w:u w:val="single"/>
        </w:rPr>
        <w:t>Overdraft Payments.</w:t>
      </w:r>
      <w:r>
        <w:rPr>
          <w:rFonts w:ascii="Times New Roman;Times;Serif" w:hAnsi="Times New Roman;Times;Serif"/>
          <w:b w:val="false"/>
          <w:i w:val="false"/>
          <w:caps w:val="false"/>
          <w:smallCaps w:val="false"/>
          <w:color w:val="000000"/>
          <w:sz w:val="20"/>
        </w:rPr>
        <w:t xml:space="preserve"> The Purchaser agrees to pay annually, the charges for those diversions referenced in Sects 4 (C) and 4 (D) above.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00"/>
          <w:sz w:val="20"/>
        </w:rPr>
        <w:t>The monthly overdraft payment will be remitted in November of the year in which the overdraft occurs. The annual overdraft payment will be remitted in February of the year following the year in which the overdraft occurred.</w:t>
      </w:r>
    </w:p>
    <w:tbl>
      <w:tblPr>
        <w:tblW w:w="4345" w:type="dxa"/>
        <w:jc w:val="left"/>
        <w:tblInd w:w="0" w:type="dxa"/>
        <w:tblLayout w:type="fixed"/>
        <w:tblCellMar>
          <w:top w:w="0" w:type="dxa"/>
          <w:left w:w="0" w:type="dxa"/>
          <w:bottom w:w="0" w:type="dxa"/>
          <w:right w:w="0" w:type="dxa"/>
        </w:tblCellMar>
      </w:tblPr>
      <w:tblGrid>
        <w:gridCol w:w="3485"/>
        <w:gridCol w:w="860"/>
      </w:tblGrid>
      <w:tr>
        <w:trPr/>
        <w:tc>
          <w:tcPr>
            <w:tcW w:w="3485" w:type="dxa"/>
            <w:tcBorders/>
            <w:vAlign w:val="center"/>
          </w:tcPr>
          <w:p>
            <w:pPr>
              <w:pStyle w:val="TableContents"/>
              <w:bidi w:val="0"/>
              <w:spacing w:before="0" w:after="283"/>
              <w:jc w:val="left"/>
              <w:rPr/>
            </w:pPr>
            <w:r>
              <w:rPr/>
              <w:t>New Jersey Water Supply Authority</w:t>
            </w:r>
          </w:p>
        </w:tc>
        <w:tc>
          <w:tcPr>
            <w:tcW w:w="860" w:type="dxa"/>
            <w:tcBorders/>
            <w:vAlign w:val="center"/>
          </w:tcPr>
          <w:p>
            <w:pPr>
              <w:pStyle w:val="TableContents"/>
              <w:bidi w:val="0"/>
              <w:spacing w:before="0" w:after="283"/>
              <w:jc w:val="right"/>
              <w:rPr/>
            </w:pPr>
            <w:r>
              <w:rPr/>
              <w:t>RBS-2B</w:t>
            </w:r>
          </w:p>
        </w:tc>
      </w:tr>
    </w:tbl>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19 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499" w:before="0" w:after="0"/>
        <w:ind w:left="414" w:right="321" w:firstLine="143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H.                </w:t>
      </w:r>
      <w:r>
        <w:rPr>
          <w:rFonts w:ascii="Times New Roman;Times;Serif" w:hAnsi="Times New Roman;Times;Serif"/>
          <w:b w:val="false"/>
          <w:i w:val="false"/>
          <w:caps w:val="false"/>
          <w:smallCaps w:val="false"/>
          <w:color w:val="232323"/>
          <w:sz w:val="20"/>
        </w:rPr>
        <w:t xml:space="preserve">Production </w:t>
      </w:r>
      <w:r>
        <w:rPr>
          <w:rFonts w:ascii="Times New Roman;Times;Serif" w:hAnsi="Times New Roman;Times;Serif"/>
          <w:b w:val="false"/>
          <w:i w:val="false"/>
          <w:caps w:val="false"/>
          <w:smallCaps w:val="false"/>
          <w:color w:val="000000"/>
          <w:sz w:val="20"/>
        </w:rPr>
        <w:t xml:space="preserve">Factor </w:t>
      </w:r>
      <w:r>
        <w:rPr>
          <w:rFonts w:ascii="Times New Roman;Times;Serif" w:hAnsi="Times New Roman;Times;Serif"/>
          <w:b w:val="false"/>
          <w:i w:val="false"/>
          <w:caps w:val="false"/>
          <w:smallCaps w:val="false"/>
          <w:color w:val="000000"/>
          <w:sz w:val="20"/>
          <w:u w:val="single"/>
        </w:rPr>
        <w:t>Payments.</w:t>
      </w:r>
      <w:r>
        <w:rPr>
          <w:rFonts w:ascii="Times New Roman;Times;Serif" w:hAnsi="Times New Roman;Times;Serif"/>
          <w:b w:val="false"/>
          <w:i w:val="false"/>
          <w:caps w:val="false"/>
          <w:smallCaps w:val="false"/>
          <w:color w:val="000000"/>
          <w:sz w:val="20"/>
        </w:rPr>
        <w:t xml:space="preserve"> The Rate Schedule and System Rules </w:t>
      </w:r>
      <w:r>
        <w:rPr>
          <w:rFonts w:ascii="Times New Roman;Times;Serif" w:hAnsi="Times New Roman;Times;Serif"/>
          <w:b w:val="false"/>
          <w:i w:val="false"/>
          <w:caps w:val="false"/>
          <w:smallCaps w:val="false"/>
          <w:color w:val="232323"/>
          <w:sz w:val="20"/>
        </w:rPr>
        <w:t xml:space="preserve">provide </w:t>
      </w:r>
      <w:r>
        <w:rPr>
          <w:rFonts w:ascii="Times New Roman;Times;Serif" w:hAnsi="Times New Roman;Times;Serif"/>
          <w:b w:val="false"/>
          <w:i w:val="false"/>
          <w:caps w:val="false"/>
          <w:smallCaps w:val="false"/>
          <w:color w:val="000000"/>
          <w:sz w:val="20"/>
        </w:rPr>
        <w:t xml:space="preserve">that for a depletive diversion at any location above the confluence of the Millstone and Raritan Rivers, the Total Daily Allotment Charge shall </w:t>
      </w:r>
      <w:r>
        <w:rPr>
          <w:rFonts w:ascii="Times New Roman;Times;Serif" w:hAnsi="Times New Roman;Times;Serif"/>
          <w:b w:val="false"/>
          <w:i w:val="false"/>
          <w:caps w:val="false"/>
          <w:smallCaps w:val="false"/>
          <w:color w:val="232323"/>
          <w:sz w:val="20"/>
        </w:rPr>
        <w:t xml:space="preserve">be </w:t>
      </w:r>
      <w:r>
        <w:rPr>
          <w:rFonts w:ascii="Times New Roman;Times;Serif" w:hAnsi="Times New Roman;Times;Serif"/>
          <w:b w:val="false"/>
          <w:i w:val="false"/>
          <w:caps w:val="false"/>
          <w:smallCaps w:val="false"/>
          <w:color w:val="000000"/>
          <w:sz w:val="20"/>
        </w:rPr>
        <w:t xml:space="preserve">multiplied by the Production Factor, which is equal to System Safe Yield at the point of delivery. The Authority concludes that no Production Factor applies to </w:t>
      </w:r>
      <w:r>
        <w:rPr>
          <w:rFonts w:ascii="Times New Roman;Times;Serif" w:hAnsi="Times New Roman;Times;Serif"/>
          <w:b w:val="false"/>
          <w:i w:val="false"/>
          <w:caps w:val="false"/>
          <w:smallCaps w:val="false"/>
          <w:color w:val="232323"/>
          <w:sz w:val="20"/>
        </w:rPr>
        <w:t xml:space="preserve">this </w:t>
      </w:r>
      <w:r>
        <w:rPr>
          <w:rFonts w:ascii="Times New Roman;Times;Serif" w:hAnsi="Times New Roman;Times;Serif"/>
          <w:b w:val="false"/>
          <w:i w:val="false"/>
          <w:caps w:val="false"/>
          <w:smallCaps w:val="false"/>
          <w:color w:val="000000"/>
          <w:sz w:val="20"/>
        </w:rPr>
        <w:t>diversion.</w:t>
      </w:r>
    </w:p>
    <w:p>
      <w:pPr>
        <w:pStyle w:val="TextBody"/>
        <w:bidi w:val="0"/>
        <w:spacing w:lineRule="auto" w:line="499" w:before="0" w:after="0"/>
        <w:ind w:left="416" w:right="319" w:firstLine="142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I.                   Absolute </w:t>
      </w:r>
      <w:r>
        <w:rPr>
          <w:rFonts w:ascii="Times New Roman;Times;Serif" w:hAnsi="Times New Roman;Times;Serif"/>
          <w:b w:val="false"/>
          <w:i w:val="false"/>
          <w:caps w:val="false"/>
          <w:smallCaps w:val="false"/>
          <w:color w:val="000000"/>
          <w:sz w:val="20"/>
          <w:u w:val="single"/>
        </w:rPr>
        <w:t>Obligation.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00"/>
          <w:sz w:val="20"/>
        </w:rPr>
        <w:t xml:space="preserve">Purchaser's obligations hereunder to pay for water in the manner set forth in this Contract shall be absolute and unconditional, and shall not be affected by any failure by the Authority to perform its obligations hereunder, other than a failure by the Authority to supply water constituting Uninterruptible Service (in which event, as herein provided, Purchaser shall be unconditionally obligated to pay for the water available for taking), except as a result of an Event of </w:t>
      </w:r>
      <w:r>
        <w:rPr>
          <w:rFonts w:ascii="Times New Roman;Times;Serif" w:hAnsi="Times New Roman;Times;Serif"/>
          <w:b w:val="false"/>
          <w:i w:val="false"/>
          <w:caps w:val="false"/>
          <w:smallCaps w:val="false"/>
          <w:color w:val="232323"/>
          <w:sz w:val="20"/>
        </w:rPr>
        <w:t xml:space="preserve">Default, </w:t>
      </w:r>
      <w:r>
        <w:rPr>
          <w:rFonts w:ascii="Times New Roman;Times;Serif" w:hAnsi="Times New Roman;Times;Serif"/>
          <w:b w:val="false"/>
          <w:i w:val="false"/>
          <w:caps w:val="false"/>
          <w:smallCaps w:val="false"/>
          <w:color w:val="000000"/>
          <w:sz w:val="20"/>
        </w:rPr>
        <w:t>or be subject to any other defense or to any reduction, whether by offset, counterclaim or otherwise, except for any reductions or credits provided for herein, in the Rate Schedule or in the System Rules and Regulations.</w:t>
      </w:r>
    </w:p>
    <w:p>
      <w:pPr>
        <w:pStyle w:val="TextBody"/>
        <w:bidi w:val="0"/>
        <w:spacing w:lineRule="auto" w:line="499" w:before="0" w:after="0"/>
        <w:ind w:left="419" w:right="322" w:firstLine="143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32323"/>
          <w:sz w:val="20"/>
        </w:rPr>
        <w:t xml:space="preserve">J.      </w:t>
      </w:r>
      <w:r>
        <w:rPr>
          <w:rFonts w:ascii="Times New Roman;Times;Serif" w:hAnsi="Times New Roman;Times;Serif"/>
          <w:b w:val="false"/>
          <w:i w:val="false"/>
          <w:caps w:val="false"/>
          <w:smallCaps w:val="false"/>
          <w:color w:val="000000"/>
          <w:sz w:val="20"/>
        </w:rPr>
        <w:t xml:space="preserve">Calculation of </w:t>
      </w:r>
      <w:r>
        <w:rPr>
          <w:rFonts w:ascii="Times New Roman;Times;Serif" w:hAnsi="Times New Roman;Times;Serif"/>
          <w:b w:val="false"/>
          <w:i w:val="false"/>
          <w:caps w:val="false"/>
          <w:smallCaps w:val="false"/>
          <w:color w:val="000000"/>
          <w:sz w:val="20"/>
          <w:u w:val="single"/>
        </w:rPr>
        <w:t>Payments.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00"/>
          <w:sz w:val="20"/>
        </w:rPr>
        <w:t xml:space="preserve">The amounts </w:t>
      </w:r>
      <w:r>
        <w:rPr>
          <w:rFonts w:ascii="Times New Roman;Times;Serif" w:hAnsi="Times New Roman;Times;Serif"/>
          <w:b w:val="false"/>
          <w:i w:val="false"/>
          <w:caps w:val="false"/>
          <w:smallCaps w:val="false"/>
          <w:color w:val="232323"/>
          <w:sz w:val="20"/>
        </w:rPr>
        <w:t xml:space="preserve">to </w:t>
      </w:r>
      <w:r>
        <w:rPr>
          <w:rFonts w:ascii="Times New Roman;Times;Serif" w:hAnsi="Times New Roman;Times;Serif"/>
          <w:b w:val="false"/>
          <w:i w:val="false"/>
          <w:caps w:val="false"/>
          <w:smallCaps w:val="false"/>
          <w:color w:val="000000"/>
          <w:sz w:val="20"/>
        </w:rPr>
        <w:t>be paid by Purchaser for Standby Service and Short-term Service shall be determined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32323"/>
          <w:sz w:val="20"/>
        </w:rPr>
        <w:t xml:space="preserve">by </w:t>
      </w:r>
      <w:r>
        <w:rPr>
          <w:rFonts w:ascii="Times New Roman;Times;Serif" w:hAnsi="Times New Roman;Times;Serif"/>
          <w:b w:val="false"/>
          <w:i w:val="false"/>
          <w:caps w:val="false"/>
          <w:smallCaps w:val="false"/>
          <w:color w:val="000000"/>
          <w:sz w:val="20"/>
        </w:rPr>
        <w:t>the meter reading procedure which is set forth in Section SF hereof.</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00"/>
          <w:sz w:val="20"/>
        </w:rPr>
        <w:t>The Authority shall calculate bills for such services based upon such meter readings.</w:t>
      </w:r>
    </w:p>
    <w:p>
      <w:pPr>
        <w:pStyle w:val="TextBody"/>
        <w:bidi w:val="0"/>
        <w:spacing w:lineRule="auto" w:line="499" w:before="0" w:after="0"/>
        <w:ind w:left="429" w:right="308" w:firstLine="142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K.     Overdue </w:t>
      </w:r>
      <w:r>
        <w:rPr>
          <w:rFonts w:ascii="Times New Roman;Times;Serif" w:hAnsi="Times New Roman;Times;Serif"/>
          <w:b w:val="false"/>
          <w:i w:val="false"/>
          <w:caps w:val="false"/>
          <w:smallCaps w:val="false"/>
          <w:color w:val="000000"/>
          <w:sz w:val="20"/>
          <w:u w:val="single"/>
        </w:rPr>
        <w:t>Payments.</w:t>
      </w:r>
      <w:r>
        <w:rPr>
          <w:rFonts w:ascii="Times New Roman;Times;Serif" w:hAnsi="Times New Roman;Times;Serif"/>
          <w:b w:val="false"/>
          <w:i w:val="false"/>
          <w:caps w:val="false"/>
          <w:smallCaps w:val="false"/>
          <w:color w:val="000000"/>
          <w:sz w:val="20"/>
        </w:rPr>
        <w:t xml:space="preserve"> All payments for service which are not made by the due date therefore and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00"/>
          <w:sz w:val="20"/>
        </w:rPr>
        <w:t>any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00"/>
          <w:sz w:val="20"/>
        </w:rPr>
        <w:t>other sums required to be paid by the Purchaser to the Authority pursuant to this Contract shall bear interest at a per annum rate equal to the prime rate, as from time to time established by the bank holding short-term deposits of the Authority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00"/>
          <w:sz w:val="20"/>
        </w:rPr>
        <w:t xml:space="preserve">as </w:t>
      </w:r>
      <w:r>
        <w:rPr>
          <w:rFonts w:ascii="Times New Roman;Times;Serif" w:hAnsi="Times New Roman;Times;Serif"/>
          <w:b w:val="false"/>
          <w:i w:val="false"/>
          <w:caps w:val="false"/>
          <w:smallCaps w:val="false"/>
          <w:color w:val="232323"/>
          <w:sz w:val="20"/>
        </w:rPr>
        <w:t xml:space="preserve">its </w:t>
      </w:r>
      <w:r>
        <w:rPr>
          <w:rFonts w:ascii="Times New Roman;Times;Serif" w:hAnsi="Times New Roman;Times;Serif"/>
          <w:b w:val="false"/>
          <w:i w:val="false"/>
          <w:caps w:val="false"/>
          <w:smallCaps w:val="false"/>
          <w:color w:val="000000"/>
          <w:sz w:val="20"/>
        </w:rPr>
        <w:t>prime rate (with any changes in such prime rate to be effective on any date that such rate is changed) plus 2%, such interest to be calculated from the due date of any required payment until actual payment thereof.</w:t>
      </w:r>
    </w:p>
    <w:tbl>
      <w:tblPr>
        <w:tblW w:w="4345" w:type="dxa"/>
        <w:jc w:val="left"/>
        <w:tblInd w:w="0" w:type="dxa"/>
        <w:tblLayout w:type="fixed"/>
        <w:tblCellMar>
          <w:top w:w="0" w:type="dxa"/>
          <w:left w:w="0" w:type="dxa"/>
          <w:bottom w:w="0" w:type="dxa"/>
          <w:right w:w="0" w:type="dxa"/>
        </w:tblCellMar>
      </w:tblPr>
      <w:tblGrid>
        <w:gridCol w:w="3485"/>
        <w:gridCol w:w="860"/>
      </w:tblGrid>
      <w:tr>
        <w:trPr/>
        <w:tc>
          <w:tcPr>
            <w:tcW w:w="3485" w:type="dxa"/>
            <w:tcBorders/>
            <w:vAlign w:val="center"/>
          </w:tcPr>
          <w:p>
            <w:pPr>
              <w:pStyle w:val="TableContents"/>
              <w:bidi w:val="0"/>
              <w:spacing w:before="0" w:after="283"/>
              <w:jc w:val="left"/>
              <w:rPr/>
            </w:pPr>
            <w:r>
              <w:rPr/>
              <w:t>New Jersey Water Supply Authority</w:t>
            </w:r>
          </w:p>
        </w:tc>
        <w:tc>
          <w:tcPr>
            <w:tcW w:w="860" w:type="dxa"/>
            <w:tcBorders/>
            <w:vAlign w:val="center"/>
          </w:tcPr>
          <w:p>
            <w:pPr>
              <w:pStyle w:val="TableContents"/>
              <w:bidi w:val="0"/>
              <w:spacing w:before="0" w:after="283"/>
              <w:jc w:val="right"/>
              <w:rPr/>
            </w:pPr>
            <w:r>
              <w:rPr/>
              <w:t>RBS-2B</w:t>
            </w:r>
          </w:p>
        </w:tc>
      </w:tr>
    </w:tbl>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20 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499" w:before="0" w:after="0"/>
        <w:ind w:left="436" w:right="306" w:firstLine="1429"/>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L.      </w:t>
      </w:r>
      <w:r>
        <w:rPr>
          <w:rFonts w:ascii="Times New Roman;Times;Serif" w:hAnsi="Times New Roman;Times;Serif"/>
          <w:b w:val="false"/>
          <w:i w:val="false"/>
          <w:caps w:val="false"/>
          <w:smallCaps w:val="false"/>
          <w:color w:val="000000"/>
          <w:sz w:val="20"/>
          <w:u w:val="single"/>
        </w:rPr>
        <w:t>Rate Adjustments and Procedures.</w:t>
      </w:r>
      <w:r>
        <w:rPr>
          <w:rFonts w:ascii="Times New Roman;Times;Serif" w:hAnsi="Times New Roman;Times;Serif"/>
          <w:b w:val="false"/>
          <w:i w:val="false"/>
          <w:caps w:val="false"/>
          <w:smallCaps w:val="false"/>
          <w:color w:val="000000"/>
          <w:sz w:val="20"/>
        </w:rPr>
        <w:t xml:space="preserve"> The Authority reserves the right from time to time to adopt adjustments to the Rate Schedule and to the System Rules and Regulations in accordance with applicable laws and regulations. If as a result of any such adjustments the payments for service hereunder are adjusted by the Authority, the Authority shall notify the Purchaser of the adjustments and of any revised schedule of Monthly Water Payments required to reflect such adjustments and the same shall, without any further act of the Authority or the Purchaser, constitute an amendment to this Contract.</w:t>
      </w:r>
    </w:p>
    <w:p>
      <w:pPr>
        <w:pStyle w:val="TextBody"/>
        <w:bidi w:val="0"/>
        <w:spacing w:before="0" w:after="0"/>
        <w:ind w:left="1858"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SECTION 5. Delivery and Withdrawal of Water.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499" w:before="0" w:after="0"/>
        <w:ind w:left="438" w:right="307" w:firstLine="1424"/>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     All water shall be withdrawn from the System at the Purchaser's sole cost and expense. Title to all water supplied from the System shall be in the Authority to the Point of Delivery, at which point title shall vest in the Purchaser upon its withdrawal of such water.</w:t>
      </w:r>
    </w:p>
    <w:p>
      <w:pPr>
        <w:pStyle w:val="TextBody"/>
        <w:bidi w:val="0"/>
        <w:spacing w:lineRule="auto" w:line="499" w:before="0" w:after="0"/>
        <w:ind w:left="438" w:right="308" w:firstLine="1418"/>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B.    The Authority hereby grants to the Purchaser for the term of this Contract a right which shall permit access to Purchaser and its designated representatives upon, over and under the System as may be necessary, at Purchaser's sole cost and expense, to install and construct at the Point of Delivery, and to replace, repair, operate and maintain, Purchaser's Interconnection System.</w:t>
      </w:r>
    </w:p>
    <w:p>
      <w:pPr>
        <w:pStyle w:val="TextBody"/>
        <w:bidi w:val="0"/>
        <w:spacing w:lineRule="auto" w:line="499" w:before="0" w:after="0"/>
        <w:ind w:left="440" w:right="305" w:firstLine="1305"/>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     The Purchaser shall not install or construct nor make any material alterations in Purchaser's Interconnection System without the prior written approval of the Authority. Purchaser shall submit engineering plans therefore to the Authority for its review and approval.</w:t>
      </w:r>
    </w:p>
    <w:p>
      <w:pPr>
        <w:pStyle w:val="TextBody"/>
        <w:bidi w:val="0"/>
        <w:spacing w:lineRule="auto" w:line="499" w:before="0" w:after="0"/>
        <w:ind w:left="443" w:right="292" w:firstLine="142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D.     The Authority or its designated representatives shall have the right at any time to examine Purchaser's Interconnection System from the point of Diversion to and including the flow meter or measuring devices (hereafter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00"/>
          <w:sz w:val="20"/>
        </w:rPr>
        <w:t>"flow</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00"/>
          <w:sz w:val="20"/>
        </w:rPr>
        <w:t>meters"). The Authority shall comply with all reasonable security protocols developed by Purchaser in conducting its inspections.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00"/>
          <w:sz w:val="20"/>
        </w:rPr>
        <w:t>The Purchaser shall, at its sole cost and expense, within ten (10) days (or such longer period as may be</w:t>
      </w:r>
    </w:p>
    <w:tbl>
      <w:tblPr>
        <w:tblW w:w="4345" w:type="dxa"/>
        <w:jc w:val="left"/>
        <w:tblInd w:w="0" w:type="dxa"/>
        <w:tblLayout w:type="fixed"/>
        <w:tblCellMar>
          <w:top w:w="0" w:type="dxa"/>
          <w:left w:w="0" w:type="dxa"/>
          <w:bottom w:w="0" w:type="dxa"/>
          <w:right w:w="0" w:type="dxa"/>
        </w:tblCellMar>
      </w:tblPr>
      <w:tblGrid>
        <w:gridCol w:w="3485"/>
        <w:gridCol w:w="860"/>
      </w:tblGrid>
      <w:tr>
        <w:trPr/>
        <w:tc>
          <w:tcPr>
            <w:tcW w:w="3485" w:type="dxa"/>
            <w:tcBorders/>
            <w:vAlign w:val="center"/>
          </w:tcPr>
          <w:p>
            <w:pPr>
              <w:pStyle w:val="TableContents"/>
              <w:bidi w:val="0"/>
              <w:spacing w:before="0" w:after="283"/>
              <w:jc w:val="left"/>
              <w:rPr/>
            </w:pPr>
            <w:r>
              <w:rPr/>
              <w:t>New Jersey Water Supply Authority</w:t>
            </w:r>
          </w:p>
        </w:tc>
        <w:tc>
          <w:tcPr>
            <w:tcW w:w="860" w:type="dxa"/>
            <w:tcBorders/>
            <w:vAlign w:val="center"/>
          </w:tcPr>
          <w:p>
            <w:pPr>
              <w:pStyle w:val="TableContents"/>
              <w:bidi w:val="0"/>
              <w:spacing w:before="0" w:after="283"/>
              <w:jc w:val="right"/>
              <w:rPr/>
            </w:pPr>
            <w:r>
              <w:rPr/>
              <w:t>RBS-2B</w:t>
            </w:r>
          </w:p>
        </w:tc>
      </w:tr>
    </w:tbl>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21 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499" w:before="0" w:after="0"/>
        <w:ind w:left="449" w:right="280" w:firstLine="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required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A2A2A"/>
          <w:sz w:val="20"/>
        </w:rPr>
        <w:t>by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00"/>
          <w:sz w:val="20"/>
        </w:rPr>
        <w:t>law) after receipt of written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A2A2A"/>
          <w:sz w:val="20"/>
        </w:rPr>
        <w:t>demand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00"/>
          <w:sz w:val="20"/>
        </w:rPr>
        <w:t>from</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A2A2A"/>
          <w:sz w:val="20"/>
        </w:rPr>
        <w:t>the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00"/>
          <w:sz w:val="20"/>
        </w:rPr>
        <w:t xml:space="preserve">Authority, make such modifications </w:t>
      </w:r>
      <w:r>
        <w:rPr>
          <w:rFonts w:ascii="Times New Roman;Times;Serif" w:hAnsi="Times New Roman;Times;Serif"/>
          <w:b w:val="false"/>
          <w:i w:val="false"/>
          <w:caps w:val="false"/>
          <w:smallCaps w:val="false"/>
          <w:color w:val="2A2A2A"/>
          <w:sz w:val="20"/>
        </w:rPr>
        <w:t>or repairs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00"/>
          <w:sz w:val="20"/>
        </w:rPr>
        <w:t>to Purchaser's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A2A2A"/>
          <w:sz w:val="20"/>
        </w:rPr>
        <w:t>Interconnection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00"/>
          <w:sz w:val="20"/>
        </w:rPr>
        <w:t>System as, in the opinion of the Authority, may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A2A2A"/>
          <w:sz w:val="20"/>
        </w:rPr>
        <w:t>be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00"/>
          <w:sz w:val="20"/>
        </w:rPr>
        <w:t>required to eliminate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A2A2A"/>
          <w:sz w:val="20"/>
        </w:rPr>
        <w:t>leakage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00"/>
          <w:sz w:val="20"/>
        </w:rPr>
        <w:t>of water from,</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A2A2A"/>
          <w:sz w:val="20"/>
        </w:rPr>
        <w:t>or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00"/>
          <w:sz w:val="20"/>
        </w:rPr>
        <w:t>potential</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A2A2A"/>
          <w:sz w:val="20"/>
        </w:rPr>
        <w:t>damage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00"/>
          <w:sz w:val="20"/>
        </w:rPr>
        <w:t>to</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A2A2A"/>
          <w:sz w:val="20"/>
        </w:rPr>
        <w:t>the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00"/>
          <w:sz w:val="20"/>
        </w:rPr>
        <w:t xml:space="preserve">System. If Purchaser should fail to make such modifications or repairs, the Authority may </w:t>
      </w:r>
      <w:r>
        <w:rPr>
          <w:rFonts w:ascii="Times New Roman;Times;Serif" w:hAnsi="Times New Roman;Times;Serif"/>
          <w:b w:val="false"/>
          <w:i w:val="false"/>
          <w:caps w:val="false"/>
          <w:smallCaps w:val="false"/>
          <w:color w:val="2A2A2A"/>
          <w:sz w:val="20"/>
        </w:rPr>
        <w:t>do</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00"/>
          <w:sz w:val="20"/>
        </w:rPr>
        <w:t xml:space="preserve">so and </w:t>
      </w:r>
      <w:r>
        <w:rPr>
          <w:rFonts w:ascii="Times New Roman;Times;Serif" w:hAnsi="Times New Roman;Times;Serif"/>
          <w:b w:val="false"/>
          <w:i w:val="false"/>
          <w:caps w:val="false"/>
          <w:smallCaps w:val="false"/>
          <w:color w:val="2A2A2A"/>
          <w:sz w:val="20"/>
        </w:rPr>
        <w:t xml:space="preserve">the Purchaser </w:t>
      </w:r>
      <w:r>
        <w:rPr>
          <w:rFonts w:ascii="Times New Roman;Times;Serif" w:hAnsi="Times New Roman;Times;Serif"/>
          <w:b w:val="false"/>
          <w:i w:val="false"/>
          <w:caps w:val="false"/>
          <w:smallCaps w:val="false"/>
          <w:color w:val="000000"/>
          <w:sz w:val="20"/>
        </w:rPr>
        <w:t xml:space="preserve">agrees to reimburse </w:t>
      </w:r>
      <w:r>
        <w:rPr>
          <w:rFonts w:ascii="Times New Roman;Times;Serif" w:hAnsi="Times New Roman;Times;Serif"/>
          <w:b w:val="false"/>
          <w:i w:val="false"/>
          <w:caps w:val="false"/>
          <w:smallCaps w:val="false"/>
          <w:color w:val="2A2A2A"/>
          <w:sz w:val="20"/>
        </w:rPr>
        <w:t xml:space="preserve">the </w:t>
      </w:r>
      <w:r>
        <w:rPr>
          <w:rFonts w:ascii="Times New Roman;Times;Serif" w:hAnsi="Times New Roman;Times;Serif"/>
          <w:b w:val="false"/>
          <w:i w:val="false"/>
          <w:caps w:val="false"/>
          <w:smallCaps w:val="false"/>
          <w:color w:val="000000"/>
          <w:sz w:val="20"/>
        </w:rPr>
        <w:t>Authority on demand for the Authority's cost therefore.</w:t>
      </w:r>
    </w:p>
    <w:p>
      <w:pPr>
        <w:pStyle w:val="TextBody"/>
        <w:bidi w:val="0"/>
        <w:spacing w:lineRule="auto" w:line="499" w:before="0" w:after="0"/>
        <w:ind w:left="458" w:right="265" w:firstLine="14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A2A2A"/>
          <w:sz w:val="20"/>
        </w:rPr>
        <w:t xml:space="preserve">E.   The Purchaser </w:t>
      </w:r>
      <w:r>
        <w:rPr>
          <w:rFonts w:ascii="Times New Roman;Times;Serif" w:hAnsi="Times New Roman;Times;Serif"/>
          <w:b w:val="false"/>
          <w:i w:val="false"/>
          <w:caps w:val="false"/>
          <w:smallCaps w:val="false"/>
          <w:color w:val="000000"/>
          <w:sz w:val="20"/>
        </w:rPr>
        <w:t xml:space="preserve">shall purchase or construct, </w:t>
      </w:r>
      <w:r>
        <w:rPr>
          <w:rFonts w:ascii="Times New Roman;Times;Serif" w:hAnsi="Times New Roman;Times;Serif"/>
          <w:b w:val="false"/>
          <w:i w:val="false"/>
          <w:caps w:val="false"/>
          <w:smallCaps w:val="false"/>
          <w:color w:val="2A2A2A"/>
          <w:sz w:val="20"/>
        </w:rPr>
        <w:t xml:space="preserve">install, </w:t>
      </w:r>
      <w:r>
        <w:rPr>
          <w:rFonts w:ascii="Times New Roman;Times;Serif" w:hAnsi="Times New Roman;Times;Serif"/>
          <w:b w:val="false"/>
          <w:i w:val="false"/>
          <w:caps w:val="false"/>
          <w:smallCaps w:val="false"/>
          <w:color w:val="000000"/>
          <w:sz w:val="20"/>
        </w:rPr>
        <w:t xml:space="preserve">operate, maintain and repair, as a part of </w:t>
      </w:r>
      <w:r>
        <w:rPr>
          <w:rFonts w:ascii="Times New Roman;Times;Serif" w:hAnsi="Times New Roman;Times;Serif"/>
          <w:b w:val="false"/>
          <w:i w:val="false"/>
          <w:caps w:val="false"/>
          <w:smallCaps w:val="false"/>
          <w:color w:val="2A2A2A"/>
          <w:sz w:val="20"/>
        </w:rPr>
        <w:t xml:space="preserve">Purchaser's Interconnection </w:t>
      </w:r>
      <w:r>
        <w:rPr>
          <w:rFonts w:ascii="Times New Roman;Times;Serif" w:hAnsi="Times New Roman;Times;Serif"/>
          <w:b w:val="false"/>
          <w:i w:val="false"/>
          <w:caps w:val="false"/>
          <w:smallCaps w:val="false"/>
          <w:color w:val="000000"/>
          <w:sz w:val="20"/>
        </w:rPr>
        <w:t xml:space="preserve">System, at its sole </w:t>
      </w:r>
      <w:r>
        <w:rPr>
          <w:rFonts w:ascii="Times New Roman;Times;Serif" w:hAnsi="Times New Roman;Times;Serif"/>
          <w:b w:val="false"/>
          <w:i w:val="false"/>
          <w:caps w:val="false"/>
          <w:smallCaps w:val="false"/>
          <w:color w:val="2A2A2A"/>
          <w:sz w:val="20"/>
        </w:rPr>
        <w:t xml:space="preserve">cost </w:t>
      </w:r>
      <w:r>
        <w:rPr>
          <w:rFonts w:ascii="Times New Roman;Times;Serif" w:hAnsi="Times New Roman;Times;Serif"/>
          <w:b w:val="false"/>
          <w:i w:val="false"/>
          <w:caps w:val="false"/>
          <w:smallCaps w:val="false"/>
          <w:color w:val="000000"/>
          <w:sz w:val="20"/>
        </w:rPr>
        <w:t xml:space="preserve">and expense and in a manner which </w:t>
      </w:r>
      <w:r>
        <w:rPr>
          <w:rFonts w:ascii="Times New Roman;Times;Serif" w:hAnsi="Times New Roman;Times;Serif"/>
          <w:b w:val="false"/>
          <w:i w:val="false"/>
          <w:caps w:val="false"/>
          <w:smallCaps w:val="false"/>
          <w:color w:val="2A2A2A"/>
          <w:sz w:val="20"/>
        </w:rPr>
        <w:t xml:space="preserve">the </w:t>
      </w:r>
      <w:r>
        <w:rPr>
          <w:rFonts w:ascii="Times New Roman;Times;Serif" w:hAnsi="Times New Roman;Times;Serif"/>
          <w:b w:val="false"/>
          <w:i w:val="false"/>
          <w:caps w:val="false"/>
          <w:smallCaps w:val="false"/>
          <w:color w:val="000000"/>
          <w:sz w:val="20"/>
        </w:rPr>
        <w:t xml:space="preserve">Authority </w:t>
      </w:r>
      <w:r>
        <w:rPr>
          <w:rFonts w:ascii="Times New Roman;Times;Serif" w:hAnsi="Times New Roman;Times;Serif"/>
          <w:b w:val="false"/>
          <w:i w:val="false"/>
          <w:caps w:val="false"/>
          <w:smallCaps w:val="false"/>
          <w:color w:val="2A2A2A"/>
          <w:sz w:val="20"/>
        </w:rPr>
        <w:t xml:space="preserve">determines </w:t>
      </w:r>
      <w:r>
        <w:rPr>
          <w:rFonts w:ascii="Times New Roman;Times;Serif" w:hAnsi="Times New Roman;Times;Serif"/>
          <w:b w:val="false"/>
          <w:i w:val="false"/>
          <w:caps w:val="false"/>
          <w:smallCaps w:val="false"/>
          <w:color w:val="000000"/>
          <w:sz w:val="20"/>
        </w:rPr>
        <w:t xml:space="preserve">to be </w:t>
      </w:r>
      <w:r>
        <w:rPr>
          <w:rFonts w:ascii="Times New Roman;Times;Serif" w:hAnsi="Times New Roman;Times;Serif"/>
          <w:b w:val="false"/>
          <w:i w:val="false"/>
          <w:caps w:val="false"/>
          <w:smallCaps w:val="false"/>
          <w:color w:val="2A2A2A"/>
          <w:sz w:val="20"/>
        </w:rPr>
        <w:t>in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00"/>
          <w:sz w:val="20"/>
        </w:rPr>
        <w:t xml:space="preserve">accordance with Prudent Water Supply Practices, flow meters or measuring devices of </w:t>
      </w:r>
      <w:r>
        <w:rPr>
          <w:rFonts w:ascii="Times New Roman;Times;Serif" w:hAnsi="Times New Roman;Times;Serif"/>
          <w:b w:val="false"/>
          <w:i w:val="false"/>
          <w:caps w:val="false"/>
          <w:smallCaps w:val="false"/>
          <w:color w:val="2A2A2A"/>
          <w:sz w:val="20"/>
        </w:rPr>
        <w:t xml:space="preserve">the </w:t>
      </w:r>
      <w:r>
        <w:rPr>
          <w:rFonts w:ascii="Times New Roman;Times;Serif" w:hAnsi="Times New Roman;Times;Serif"/>
          <w:b w:val="false"/>
          <w:i w:val="false"/>
          <w:caps w:val="false"/>
          <w:smallCaps w:val="false"/>
          <w:color w:val="000000"/>
          <w:sz w:val="20"/>
        </w:rPr>
        <w:t>type and at a location approved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A2A2A"/>
          <w:sz w:val="20"/>
        </w:rPr>
        <w:t xml:space="preserve">by </w:t>
      </w:r>
      <w:r>
        <w:rPr>
          <w:rFonts w:ascii="Times New Roman;Times;Serif" w:hAnsi="Times New Roman;Times;Serif"/>
          <w:b w:val="false"/>
          <w:i w:val="false"/>
          <w:caps w:val="false"/>
          <w:smallCaps w:val="false"/>
          <w:color w:val="000000"/>
          <w:sz w:val="20"/>
        </w:rPr>
        <w:t>the Authority.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00"/>
          <w:sz w:val="20"/>
        </w:rPr>
        <w:t xml:space="preserve">The </w:t>
      </w:r>
      <w:r>
        <w:rPr>
          <w:rFonts w:ascii="Times New Roman;Times;Serif" w:hAnsi="Times New Roman;Times;Serif"/>
          <w:b w:val="false"/>
          <w:i w:val="false"/>
          <w:caps w:val="false"/>
          <w:smallCaps w:val="false"/>
          <w:color w:val="2A2A2A"/>
          <w:sz w:val="20"/>
        </w:rPr>
        <w:t>Purchaser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00"/>
          <w:sz w:val="20"/>
        </w:rPr>
        <w:t xml:space="preserve">shall have such flow meters tested for accuracy at </w:t>
      </w:r>
      <w:r>
        <w:rPr>
          <w:rFonts w:ascii="Times New Roman;Times;Serif" w:hAnsi="Times New Roman;Times;Serif"/>
          <w:b w:val="false"/>
          <w:i w:val="false"/>
          <w:caps w:val="false"/>
          <w:smallCaps w:val="false"/>
          <w:color w:val="2A2A2A"/>
          <w:sz w:val="20"/>
        </w:rPr>
        <w:t xml:space="preserve">its own </w:t>
      </w:r>
      <w:r>
        <w:rPr>
          <w:rFonts w:ascii="Times New Roman;Times;Serif" w:hAnsi="Times New Roman;Times;Serif"/>
          <w:b w:val="false"/>
          <w:i w:val="false"/>
          <w:caps w:val="false"/>
          <w:smallCaps w:val="false"/>
          <w:color w:val="000000"/>
          <w:sz w:val="20"/>
        </w:rPr>
        <w:t xml:space="preserve">sole cost and expense by a </w:t>
      </w:r>
      <w:r>
        <w:rPr>
          <w:rFonts w:ascii="Times New Roman;Times;Serif" w:hAnsi="Times New Roman;Times;Serif"/>
          <w:b w:val="false"/>
          <w:i w:val="false"/>
          <w:caps w:val="false"/>
          <w:smallCaps w:val="false"/>
          <w:color w:val="2A2A2A"/>
          <w:sz w:val="20"/>
        </w:rPr>
        <w:t xml:space="preserve">testing </w:t>
      </w:r>
      <w:r>
        <w:rPr>
          <w:rFonts w:ascii="Times New Roman;Times;Serif" w:hAnsi="Times New Roman;Times;Serif"/>
          <w:b w:val="false"/>
          <w:i w:val="false"/>
          <w:caps w:val="false"/>
          <w:smallCaps w:val="false"/>
          <w:color w:val="000000"/>
          <w:sz w:val="20"/>
        </w:rPr>
        <w:t>firm approved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A2A2A"/>
          <w:sz w:val="20"/>
        </w:rPr>
        <w:t xml:space="preserve">by </w:t>
      </w:r>
      <w:r>
        <w:rPr>
          <w:rFonts w:ascii="Times New Roman;Times;Serif" w:hAnsi="Times New Roman;Times;Serif"/>
          <w:b w:val="false"/>
          <w:i w:val="false"/>
          <w:caps w:val="false"/>
          <w:smallCaps w:val="false"/>
          <w:color w:val="000000"/>
          <w:sz w:val="20"/>
        </w:rPr>
        <w:t xml:space="preserve">the Authority (I) at least once </w:t>
      </w:r>
      <w:r>
        <w:rPr>
          <w:rFonts w:ascii="Times New Roman;Times;Serif" w:hAnsi="Times New Roman;Times;Serif"/>
          <w:b w:val="false"/>
          <w:i w:val="false"/>
          <w:caps w:val="false"/>
          <w:smallCaps w:val="false"/>
          <w:color w:val="2A2A2A"/>
          <w:sz w:val="20"/>
        </w:rPr>
        <w:t>during</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00"/>
          <w:sz w:val="20"/>
        </w:rPr>
        <w:t>each</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00"/>
          <w:sz w:val="20"/>
        </w:rPr>
        <w:t>Fiscal</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00"/>
          <w:sz w:val="20"/>
        </w:rPr>
        <w:t xml:space="preserve">Year; (ii) following meter repairs; and (iii) at such other times as the Authority may </w:t>
      </w:r>
      <w:r>
        <w:rPr>
          <w:rFonts w:ascii="Times New Roman;Times;Serif" w:hAnsi="Times New Roman;Times;Serif"/>
          <w:b w:val="false"/>
          <w:i w:val="false"/>
          <w:caps w:val="false"/>
          <w:smallCaps w:val="false"/>
          <w:color w:val="2A2A2A"/>
          <w:sz w:val="20"/>
        </w:rPr>
        <w:t>reasonably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00"/>
          <w:sz w:val="20"/>
        </w:rPr>
        <w:t>request. Each test shall</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A2A2A"/>
          <w:sz w:val="20"/>
        </w:rPr>
        <w:t>be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00"/>
          <w:sz w:val="20"/>
        </w:rPr>
        <w:t xml:space="preserve">evidenced by a </w:t>
      </w:r>
      <w:r>
        <w:rPr>
          <w:rFonts w:ascii="Times New Roman;Times;Serif" w:hAnsi="Times New Roman;Times;Serif"/>
          <w:b w:val="false"/>
          <w:i w:val="false"/>
          <w:caps w:val="false"/>
          <w:smallCaps w:val="false"/>
          <w:color w:val="2A2A2A"/>
          <w:sz w:val="20"/>
        </w:rPr>
        <w:t>certified report,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00"/>
          <w:sz w:val="20"/>
        </w:rPr>
        <w:t>which Purchaser will cause such testing</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00"/>
          <w:sz w:val="20"/>
        </w:rPr>
        <w:t xml:space="preserve">firm to furnish </w:t>
      </w:r>
      <w:r>
        <w:rPr>
          <w:rFonts w:ascii="Times New Roman;Times;Serif" w:hAnsi="Times New Roman;Times;Serif"/>
          <w:b w:val="false"/>
          <w:i w:val="false"/>
          <w:caps w:val="false"/>
          <w:smallCaps w:val="false"/>
          <w:color w:val="2A2A2A"/>
          <w:sz w:val="20"/>
        </w:rPr>
        <w:t>to the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00"/>
          <w:sz w:val="20"/>
        </w:rPr>
        <w:t>Authority.</w:t>
      </w:r>
    </w:p>
    <w:p>
      <w:pPr>
        <w:pStyle w:val="TextBody"/>
        <w:bidi w:val="0"/>
        <w:spacing w:lineRule="auto" w:line="499" w:before="0" w:after="0"/>
        <w:ind w:left="458" w:right="265" w:firstLine="14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F.    Monthly meter readings of water shall be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A2A2A"/>
          <w:sz w:val="20"/>
        </w:rPr>
        <w:t>taken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00"/>
          <w:sz w:val="20"/>
        </w:rPr>
        <w:t xml:space="preserve">by the Purchaser on the last day of each month, or </w:t>
      </w:r>
      <w:r>
        <w:rPr>
          <w:rFonts w:ascii="Times New Roman;Times;Serif" w:hAnsi="Times New Roman;Times;Serif"/>
          <w:b w:val="false"/>
          <w:i w:val="false"/>
          <w:caps w:val="false"/>
          <w:smallCaps w:val="false"/>
          <w:color w:val="2A2A2A"/>
          <w:sz w:val="20"/>
        </w:rPr>
        <w:t xml:space="preserve">if </w:t>
      </w:r>
      <w:r>
        <w:rPr>
          <w:rFonts w:ascii="Times New Roman;Times;Serif" w:hAnsi="Times New Roman;Times;Serif"/>
          <w:b w:val="false"/>
          <w:i w:val="false"/>
          <w:caps w:val="false"/>
          <w:smallCaps w:val="false"/>
          <w:color w:val="000000"/>
          <w:sz w:val="20"/>
        </w:rPr>
        <w:t xml:space="preserve">such last day falls on Sunday or </w:t>
      </w:r>
      <w:r>
        <w:rPr>
          <w:rFonts w:ascii="Times New Roman;Times;Serif" w:hAnsi="Times New Roman;Times;Serif"/>
          <w:b w:val="false"/>
          <w:i w:val="false"/>
          <w:caps w:val="false"/>
          <w:smallCaps w:val="false"/>
          <w:color w:val="2A2A2A"/>
          <w:sz w:val="20"/>
        </w:rPr>
        <w:t xml:space="preserve">legal </w:t>
      </w:r>
      <w:r>
        <w:rPr>
          <w:rFonts w:ascii="Times New Roman;Times;Serif" w:hAnsi="Times New Roman;Times;Serif"/>
          <w:b w:val="false"/>
          <w:i w:val="false"/>
          <w:caps w:val="false"/>
          <w:smallCaps w:val="false"/>
          <w:color w:val="000000"/>
          <w:sz w:val="20"/>
        </w:rPr>
        <w:t xml:space="preserve">holiday, on the first working day </w:t>
      </w:r>
      <w:r>
        <w:rPr>
          <w:rFonts w:ascii="Times New Roman;Times;Serif" w:hAnsi="Times New Roman;Times;Serif"/>
          <w:b w:val="false"/>
          <w:i w:val="false"/>
          <w:caps w:val="false"/>
          <w:smallCaps w:val="false"/>
          <w:color w:val="2A2A2A"/>
          <w:sz w:val="20"/>
        </w:rPr>
        <w:t>thereafter.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00"/>
          <w:sz w:val="20"/>
        </w:rPr>
        <w:t>The Purchaser shall keep a daily record of flow rates and cumulative daily water withdrawal totals and shall submit to the Authority,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A2A2A"/>
          <w:sz w:val="20"/>
        </w:rPr>
        <w:t>not later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00"/>
          <w:sz w:val="20"/>
        </w:rPr>
        <w:t>than the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A2A2A"/>
          <w:sz w:val="20"/>
        </w:rPr>
        <w:t>tenth</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00"/>
          <w:sz w:val="20"/>
        </w:rPr>
        <w:t xml:space="preserve">(10th) business day of each month, </w:t>
      </w:r>
      <w:r>
        <w:rPr>
          <w:rFonts w:ascii="Times New Roman;Times;Serif" w:hAnsi="Times New Roman;Times;Serif"/>
          <w:b w:val="false"/>
          <w:i w:val="false"/>
          <w:caps w:val="false"/>
          <w:smallCaps w:val="false"/>
          <w:color w:val="2A2A2A"/>
          <w:sz w:val="20"/>
        </w:rPr>
        <w:t xml:space="preserve">copies </w:t>
      </w:r>
      <w:r>
        <w:rPr>
          <w:rFonts w:ascii="Times New Roman;Times;Serif" w:hAnsi="Times New Roman;Times;Serif"/>
          <w:b w:val="false"/>
          <w:i w:val="false"/>
          <w:caps w:val="false"/>
          <w:smallCaps w:val="false"/>
          <w:color w:val="000000"/>
          <w:sz w:val="20"/>
        </w:rPr>
        <w:t xml:space="preserve">of such </w:t>
      </w:r>
      <w:r>
        <w:rPr>
          <w:rFonts w:ascii="Times New Roman;Times;Serif" w:hAnsi="Times New Roman;Times;Serif"/>
          <w:b w:val="false"/>
          <w:i w:val="false"/>
          <w:caps w:val="false"/>
          <w:smallCaps w:val="false"/>
          <w:color w:val="2A2A2A"/>
          <w:sz w:val="20"/>
        </w:rPr>
        <w:t xml:space="preserve">records </w:t>
      </w:r>
      <w:r>
        <w:rPr>
          <w:rFonts w:ascii="Times New Roman;Times;Serif" w:hAnsi="Times New Roman;Times;Serif"/>
          <w:b w:val="false"/>
          <w:i w:val="false"/>
          <w:caps w:val="false"/>
          <w:smallCaps w:val="false"/>
          <w:color w:val="000000"/>
          <w:sz w:val="20"/>
        </w:rPr>
        <w:t xml:space="preserve">for the </w:t>
      </w:r>
      <w:r>
        <w:rPr>
          <w:rFonts w:ascii="Times New Roman;Times;Serif" w:hAnsi="Times New Roman;Times;Serif"/>
          <w:b w:val="false"/>
          <w:i w:val="false"/>
          <w:caps w:val="false"/>
          <w:smallCaps w:val="false"/>
          <w:color w:val="2A2A2A"/>
          <w:sz w:val="20"/>
        </w:rPr>
        <w:t xml:space="preserve">preceding </w:t>
      </w:r>
      <w:r>
        <w:rPr>
          <w:rFonts w:ascii="Times New Roman;Times;Serif" w:hAnsi="Times New Roman;Times;Serif"/>
          <w:b w:val="false"/>
          <w:i w:val="false"/>
          <w:caps w:val="false"/>
          <w:smallCaps w:val="false"/>
          <w:color w:val="000000"/>
          <w:sz w:val="20"/>
        </w:rPr>
        <w:t xml:space="preserve">month. The Authority or its designated representatives shall have the right at any time to examine the flow meters or other measuring </w:t>
      </w:r>
      <w:r>
        <w:rPr>
          <w:rFonts w:ascii="Times New Roman;Times;Serif" w:hAnsi="Times New Roman;Times;Serif"/>
          <w:b w:val="false"/>
          <w:i w:val="false"/>
          <w:caps w:val="false"/>
          <w:smallCaps w:val="false"/>
          <w:color w:val="2A2A2A"/>
          <w:sz w:val="20"/>
        </w:rPr>
        <w:t xml:space="preserve">device, </w:t>
      </w:r>
      <w:r>
        <w:rPr>
          <w:rFonts w:ascii="Times New Roman;Times;Serif" w:hAnsi="Times New Roman;Times;Serif"/>
          <w:b w:val="false"/>
          <w:i w:val="false"/>
          <w:caps w:val="false"/>
          <w:smallCaps w:val="false"/>
          <w:color w:val="000000"/>
          <w:sz w:val="20"/>
        </w:rPr>
        <w:t xml:space="preserve">and any </w:t>
      </w:r>
      <w:r>
        <w:rPr>
          <w:rFonts w:ascii="Times New Roman;Times;Serif" w:hAnsi="Times New Roman;Times;Serif"/>
          <w:b w:val="false"/>
          <w:i w:val="false"/>
          <w:caps w:val="false"/>
          <w:smallCaps w:val="false"/>
          <w:color w:val="2A2A2A"/>
          <w:sz w:val="20"/>
        </w:rPr>
        <w:t xml:space="preserve">repairs </w:t>
      </w:r>
      <w:r>
        <w:rPr>
          <w:rFonts w:ascii="Times New Roman;Times;Serif" w:hAnsi="Times New Roman;Times;Serif"/>
          <w:b w:val="false"/>
          <w:i w:val="false"/>
          <w:caps w:val="false"/>
          <w:smallCaps w:val="false"/>
          <w:color w:val="000000"/>
          <w:sz w:val="20"/>
        </w:rPr>
        <w:t xml:space="preserve">or replacements made to such flow meter or other measuring </w:t>
      </w:r>
      <w:r>
        <w:rPr>
          <w:rFonts w:ascii="Times New Roman;Times;Serif" w:hAnsi="Times New Roman;Times;Serif"/>
          <w:b w:val="false"/>
          <w:i w:val="false"/>
          <w:caps w:val="false"/>
          <w:smallCaps w:val="false"/>
          <w:color w:val="2A2A2A"/>
          <w:sz w:val="20"/>
        </w:rPr>
        <w:t xml:space="preserve">device. </w:t>
      </w:r>
      <w:r>
        <w:rPr>
          <w:rFonts w:ascii="Times New Roman;Times;Serif" w:hAnsi="Times New Roman;Times;Serif"/>
          <w:b w:val="false"/>
          <w:i w:val="false"/>
          <w:caps w:val="false"/>
          <w:smallCaps w:val="false"/>
          <w:color w:val="000000"/>
          <w:sz w:val="20"/>
        </w:rPr>
        <w:t>Purchaser shall submit written certifications with its monthly meter readings.</w:t>
      </w:r>
    </w:p>
    <w:p>
      <w:pPr>
        <w:pStyle w:val="TextBody"/>
        <w:bidi w:val="0"/>
        <w:spacing w:lineRule="auto" w:line="499" w:before="0" w:after="0"/>
        <w:ind w:left="472" w:right="258" w:firstLine="1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G.     The Purchaser agrees </w:t>
      </w:r>
      <w:r>
        <w:rPr>
          <w:rFonts w:ascii="Times New Roman;Times;Serif" w:hAnsi="Times New Roman;Times;Serif"/>
          <w:b w:val="false"/>
          <w:i w:val="false"/>
          <w:caps w:val="false"/>
          <w:smallCaps w:val="false"/>
          <w:color w:val="2A2A2A"/>
          <w:sz w:val="20"/>
        </w:rPr>
        <w:t xml:space="preserve">to </w:t>
      </w:r>
      <w:r>
        <w:rPr>
          <w:rFonts w:ascii="Times New Roman;Times;Serif" w:hAnsi="Times New Roman;Times;Serif"/>
          <w:b w:val="false"/>
          <w:i w:val="false"/>
          <w:caps w:val="false"/>
          <w:smallCaps w:val="false"/>
          <w:color w:val="000000"/>
          <w:sz w:val="20"/>
        </w:rPr>
        <w:t xml:space="preserve">indemnify, defend and hold </w:t>
      </w:r>
      <w:r>
        <w:rPr>
          <w:rFonts w:ascii="Times New Roman;Times;Serif" w:hAnsi="Times New Roman;Times;Serif"/>
          <w:b w:val="false"/>
          <w:i w:val="false"/>
          <w:caps w:val="false"/>
          <w:smallCaps w:val="false"/>
          <w:color w:val="2A2A2A"/>
          <w:sz w:val="20"/>
        </w:rPr>
        <w:t xml:space="preserve">harmless the </w:t>
      </w:r>
      <w:r>
        <w:rPr>
          <w:rFonts w:ascii="Times New Roman;Times;Serif" w:hAnsi="Times New Roman;Times;Serif"/>
          <w:b w:val="false"/>
          <w:i w:val="false"/>
          <w:caps w:val="false"/>
          <w:smallCaps w:val="false"/>
          <w:color w:val="000000"/>
          <w:sz w:val="20"/>
        </w:rPr>
        <w:t>Authority from and against all claims, damages or losses suffered, sustained or required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A2A2A"/>
          <w:sz w:val="20"/>
        </w:rPr>
        <w:t>to</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00"/>
          <w:sz w:val="20"/>
        </w:rPr>
        <w:t>be paid by the</w:t>
      </w:r>
    </w:p>
    <w:tbl>
      <w:tblPr>
        <w:tblW w:w="4345" w:type="dxa"/>
        <w:jc w:val="left"/>
        <w:tblInd w:w="0" w:type="dxa"/>
        <w:tblLayout w:type="fixed"/>
        <w:tblCellMar>
          <w:top w:w="0" w:type="dxa"/>
          <w:left w:w="0" w:type="dxa"/>
          <w:bottom w:w="0" w:type="dxa"/>
          <w:right w:w="0" w:type="dxa"/>
        </w:tblCellMar>
      </w:tblPr>
      <w:tblGrid>
        <w:gridCol w:w="3485"/>
        <w:gridCol w:w="860"/>
      </w:tblGrid>
      <w:tr>
        <w:trPr/>
        <w:tc>
          <w:tcPr>
            <w:tcW w:w="3485" w:type="dxa"/>
            <w:tcBorders/>
            <w:vAlign w:val="center"/>
          </w:tcPr>
          <w:p>
            <w:pPr>
              <w:pStyle w:val="TableContents"/>
              <w:bidi w:val="0"/>
              <w:spacing w:before="0" w:after="283"/>
              <w:jc w:val="left"/>
              <w:rPr/>
            </w:pPr>
            <w:r>
              <w:rPr/>
              <w:t>New Jersey Water Supply Authority</w:t>
            </w:r>
          </w:p>
        </w:tc>
        <w:tc>
          <w:tcPr>
            <w:tcW w:w="860" w:type="dxa"/>
            <w:tcBorders/>
            <w:vAlign w:val="center"/>
          </w:tcPr>
          <w:p>
            <w:pPr>
              <w:pStyle w:val="TableContents"/>
              <w:bidi w:val="0"/>
              <w:spacing w:before="0" w:after="283"/>
              <w:jc w:val="right"/>
              <w:rPr/>
            </w:pPr>
            <w:r>
              <w:rPr/>
              <w:t>RBS-2B</w:t>
            </w:r>
          </w:p>
        </w:tc>
      </w:tr>
    </w:tbl>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22 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499" w:before="0" w:after="0"/>
        <w:ind w:left="444" w:right="287" w:firstLine="1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Authority, arising from any act or omission of the Purchaser, its officers, agents, representatives or employees, in connection with Purchaser's Interconnection System, the operation thereof</w:t>
      </w:r>
      <w:r>
        <w:rPr>
          <w:rFonts w:ascii="Times New Roman;Times;Serif" w:hAnsi="Times New Roman;Times;Serif"/>
          <w:b w:val="false"/>
          <w:i w:val="false"/>
          <w:caps w:val="false"/>
          <w:smallCaps w:val="false"/>
          <w:color w:val="646464"/>
          <w:sz w:val="20"/>
        </w:rPr>
        <w:t xml:space="preserve">, </w:t>
      </w:r>
      <w:r>
        <w:rPr>
          <w:rFonts w:ascii="Times New Roman;Times;Serif" w:hAnsi="Times New Roman;Times;Serif"/>
          <w:b w:val="false"/>
          <w:i w:val="false"/>
          <w:caps w:val="false"/>
          <w:smallCaps w:val="false"/>
          <w:color w:val="000000"/>
          <w:sz w:val="20"/>
        </w:rPr>
        <w:t>or any activities carried out by the Purchaser, its officers, employees, agents or representatives, on the premises of, or with respect to, the System, or with respect to any of the services which are the subject of this Contract.</w:t>
      </w:r>
    </w:p>
    <w:p>
      <w:pPr>
        <w:pStyle w:val="TextBody"/>
        <w:bidi w:val="0"/>
        <w:spacing w:lineRule="auto" w:line="499" w:before="0" w:after="0"/>
        <w:ind w:left="444" w:right="290" w:firstLine="14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H.       In the event that any of the flow meters required to be maintained by the Purchaser shall fail to properly operate, the Authority may make necessary estimates of or adjustments in accordance with the System Rules and Regulations, to the amounts of water withdrawn by the Purchaser and to be charged by the Authority to the Purchaser for any period during which such failure exists and continues. The Purchaser agrees that at the request of the Authority it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00"/>
          <w:sz w:val="20"/>
        </w:rPr>
        <w:t>will</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00"/>
          <w:sz w:val="20"/>
        </w:rPr>
        <w:t>repair or replace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00"/>
          <w:sz w:val="20"/>
        </w:rPr>
        <w:t>such meters, at its sole cost and expense.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00"/>
          <w:sz w:val="20"/>
        </w:rPr>
        <w:t>If the Purchaser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00"/>
          <w:sz w:val="20"/>
        </w:rPr>
        <w:t>fails to repair or replace the meters within 60 days following notice from the Authority, the Authority, may suspend the withdrawal of water by the Purchaser until such time as the meter is repaired or replaced; provided, however, that the Purchaser shall be required to continue to honor its payment obligations for water pursuant to this Contract during the period of such suspension, as if such suspension had not occurred.</w:t>
      </w:r>
    </w:p>
    <w:p>
      <w:pPr>
        <w:pStyle w:val="TextBody"/>
        <w:bidi w:val="0"/>
        <w:spacing w:lineRule="atLeast" w:line="261" w:before="0" w:after="0"/>
        <w:ind w:left="1882"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SECTION 6. Force Majeure.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499" w:before="0" w:after="0"/>
        <w:ind w:left="455" w:right="273" w:firstLine="1432"/>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If by reason of Force Majeure either the Authority or Purchaser shall be rendered unable to satisfy its obligations under this Contract, in whole or in part, and shall give notice and all of the particulars of such Force Majeure in writing to the other such party hereto within a reasonable time after the occurrence of the event or cause relied on, then the obligation of the party giving such notice, to the extent affected by such Force Majeure, shall be suspended during the continuance of such inability; provided, however, that the existence of Force Majeure shall in no</w:t>
      </w:r>
    </w:p>
    <w:tbl>
      <w:tblPr>
        <w:tblW w:w="4345" w:type="dxa"/>
        <w:jc w:val="left"/>
        <w:tblInd w:w="0" w:type="dxa"/>
        <w:tblLayout w:type="fixed"/>
        <w:tblCellMar>
          <w:top w:w="0" w:type="dxa"/>
          <w:left w:w="0" w:type="dxa"/>
          <w:bottom w:w="0" w:type="dxa"/>
          <w:right w:w="0" w:type="dxa"/>
        </w:tblCellMar>
      </w:tblPr>
      <w:tblGrid>
        <w:gridCol w:w="3485"/>
        <w:gridCol w:w="860"/>
      </w:tblGrid>
      <w:tr>
        <w:trPr/>
        <w:tc>
          <w:tcPr>
            <w:tcW w:w="3485" w:type="dxa"/>
            <w:tcBorders/>
            <w:vAlign w:val="center"/>
          </w:tcPr>
          <w:p>
            <w:pPr>
              <w:pStyle w:val="TableContents"/>
              <w:bidi w:val="0"/>
              <w:spacing w:before="0" w:after="283"/>
              <w:jc w:val="left"/>
              <w:rPr/>
            </w:pPr>
            <w:r>
              <w:rPr/>
              <w:t>New Jersey Water Supply Authority</w:t>
            </w:r>
          </w:p>
        </w:tc>
        <w:tc>
          <w:tcPr>
            <w:tcW w:w="860" w:type="dxa"/>
            <w:tcBorders/>
            <w:vAlign w:val="center"/>
          </w:tcPr>
          <w:p>
            <w:pPr>
              <w:pStyle w:val="TableContents"/>
              <w:bidi w:val="0"/>
              <w:spacing w:before="0" w:after="283"/>
              <w:jc w:val="right"/>
              <w:rPr/>
            </w:pPr>
            <w:r>
              <w:rPr/>
              <w:t>RBS-2B</w:t>
            </w:r>
          </w:p>
        </w:tc>
      </w:tr>
    </w:tbl>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23 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499" w:before="0" w:after="0"/>
        <w:ind w:left="445" w:right="299" w:firstLine="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event affect the obligation of the Purchaser to make the Monthly Water Payments and other payments required under this Contract, but if less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00"/>
          <w:sz w:val="20"/>
        </w:rPr>
        <w:t>than the amount of water required to be supplied hereunder is supplied or available for supply, nothing in this Section 6 shall require the Purchaser to make payment for water other than in an amount equal to the greater of (i) the water actually supplied or (ii) the water available for supply by the Authority.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00"/>
          <w:sz w:val="20"/>
        </w:rPr>
        <w:t>Either party so affected shall use its best efforts to remove or overcome such Force Majeure as quickly as is practicable.</w:t>
      </w:r>
    </w:p>
    <w:p>
      <w:pPr>
        <w:pStyle w:val="TextBody"/>
        <w:bidi w:val="0"/>
        <w:spacing w:before="0" w:after="0"/>
        <w:ind w:left="1867"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color w:val="000000"/>
          <w:sz w:val="20"/>
        </w:rPr>
        <w:t xml:space="preserve">SECTION 7. </w:t>
      </w:r>
      <w:r>
        <w:rPr>
          <w:rFonts w:ascii="Times New Roman;Times;Serif" w:hAnsi="Times New Roman;Times;Serif"/>
          <w:b/>
          <w:i w:val="false"/>
          <w:caps w:val="false"/>
          <w:smallCaps w:val="false"/>
          <w:color w:val="000000"/>
          <w:sz w:val="20"/>
          <w:u w:val="single"/>
        </w:rPr>
        <w:t>Term</w:t>
      </w:r>
      <w:r>
        <w:rPr>
          <w:rFonts w:ascii="Times New Roman;Times;Serif" w:hAnsi="Times New Roman;Times;Serif"/>
          <w:b/>
          <w:i w:val="false"/>
          <w:caps w:val="false"/>
          <w:smallCaps w:val="false"/>
          <w:sz w:val="20"/>
          <w:u w:val="single"/>
        </w:rPr>
        <w:t xml:space="preserve"> </w:t>
      </w:r>
      <w:r>
        <w:rPr>
          <w:rFonts w:ascii="Times New Roman;Times;Serif" w:hAnsi="Times New Roman;Times;Serif"/>
          <w:b/>
          <w:i w:val="false"/>
          <w:caps w:val="false"/>
          <w:smallCaps w:val="false"/>
          <w:color w:val="000000"/>
          <w:sz w:val="20"/>
          <w:u w:val="single"/>
        </w:rPr>
        <w:t>of</w:t>
      </w:r>
      <w:r>
        <w:rPr>
          <w:rFonts w:ascii="Times New Roman;Times;Serif" w:hAnsi="Times New Roman;Times;Serif"/>
          <w:b/>
          <w:i w:val="false"/>
          <w:caps w:val="false"/>
          <w:smallCaps w:val="false"/>
          <w:sz w:val="20"/>
          <w:u w:val="single"/>
        </w:rPr>
        <w:t xml:space="preserve"> </w:t>
      </w:r>
      <w:r>
        <w:rPr>
          <w:rFonts w:ascii="Times New Roman;Times;Serif" w:hAnsi="Times New Roman;Times;Serif"/>
          <w:b/>
          <w:i w:val="false"/>
          <w:caps w:val="false"/>
          <w:smallCaps w:val="false"/>
          <w:color w:val="000000"/>
          <w:sz w:val="20"/>
          <w:u w:val="single"/>
        </w:rPr>
        <w:t>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499" w:before="0" w:after="0"/>
        <w:ind w:left="445" w:right="303" w:firstLine="1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A.        This Contract shall commence on December 1, 2023 and shall expire on November 30, 2048, unless previously terminated as provided herein as a result of an Event of Default described in Section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00"/>
          <w:sz w:val="20"/>
        </w:rPr>
        <w:t>10, or renewed as provided in Section 7B hereof.</w:t>
      </w:r>
    </w:p>
    <w:p>
      <w:pPr>
        <w:pStyle w:val="TextBody"/>
        <w:bidi w:val="0"/>
        <w:spacing w:lineRule="auto" w:line="496" w:before="0" w:after="0"/>
        <w:ind w:left="444" w:right="303" w:firstLine="1431"/>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B.     If the Purchaser desires to continue the withdrawal of water from the System, contracted for pursuant to this Contract, beyond the date set forth in Section 7A hereof, the Purchaser shall submit to the Authority notification of intent to renew not less than 90 days prior to such date.</w:t>
      </w:r>
    </w:p>
    <w:p>
      <w:pPr>
        <w:pStyle w:val="TextBody"/>
        <w:bidi w:val="0"/>
        <w:spacing w:lineRule="auto" w:line="484" w:before="0" w:after="0"/>
        <w:ind w:left="445" w:right="297" w:firstLine="143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C.     If the Purchaser has not submitted a notification of intent to renew as provided in Section 7B hereof, the Authority shall notify the Purchaser of the expiration date of</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00"/>
          <w:sz w:val="20"/>
        </w:rPr>
        <w:t>the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00"/>
          <w:sz w:val="20"/>
        </w:rPr>
        <w:t>Contract. If, after such notification by the Authority, the Purchaser continues withdrawal of water, the charge for such withdrawal shall be twice the rate per million gallons as is specified in the Rate Schedule then in effect.</w:t>
      </w:r>
    </w:p>
    <w:p>
      <w:pPr>
        <w:pStyle w:val="TextBody"/>
        <w:bidi w:val="0"/>
        <w:spacing w:lineRule="auto" w:line="504" w:before="0" w:after="0"/>
        <w:ind w:left="450" w:right="292" w:firstLine="143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D.      Within ninety (90) days after termination of this Contract, the Purchaser shall remove from the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00"/>
          <w:sz w:val="20"/>
        </w:rPr>
        <w:t>System Purchaser's Interconnection System and any other facilities installed by Purchaser on the System, shall restore the System to its former condition as nearly as may be practicable and in a manner satisfactory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00"/>
          <w:sz w:val="20"/>
        </w:rPr>
        <w:t>to the Authority. If Purchaser shall fail to remove and</w:t>
      </w:r>
    </w:p>
    <w:tbl>
      <w:tblPr>
        <w:tblW w:w="4345" w:type="dxa"/>
        <w:jc w:val="left"/>
        <w:tblInd w:w="0" w:type="dxa"/>
        <w:tblLayout w:type="fixed"/>
        <w:tblCellMar>
          <w:top w:w="0" w:type="dxa"/>
          <w:left w:w="0" w:type="dxa"/>
          <w:bottom w:w="0" w:type="dxa"/>
          <w:right w:w="0" w:type="dxa"/>
        </w:tblCellMar>
      </w:tblPr>
      <w:tblGrid>
        <w:gridCol w:w="3485"/>
        <w:gridCol w:w="860"/>
      </w:tblGrid>
      <w:tr>
        <w:trPr/>
        <w:tc>
          <w:tcPr>
            <w:tcW w:w="3485" w:type="dxa"/>
            <w:tcBorders/>
            <w:vAlign w:val="center"/>
          </w:tcPr>
          <w:p>
            <w:pPr>
              <w:pStyle w:val="TableContents"/>
              <w:bidi w:val="0"/>
              <w:spacing w:before="0" w:after="283"/>
              <w:jc w:val="left"/>
              <w:rPr/>
            </w:pPr>
            <w:r>
              <w:rPr/>
              <w:t>New Jersey Water Supply Authority</w:t>
            </w:r>
          </w:p>
        </w:tc>
        <w:tc>
          <w:tcPr>
            <w:tcW w:w="860" w:type="dxa"/>
            <w:tcBorders/>
            <w:vAlign w:val="center"/>
          </w:tcPr>
          <w:p>
            <w:pPr>
              <w:pStyle w:val="TableContents"/>
              <w:bidi w:val="0"/>
              <w:spacing w:before="0" w:after="283"/>
              <w:jc w:val="right"/>
              <w:rPr/>
            </w:pPr>
            <w:r>
              <w:rPr/>
              <w:t>RBS-2B</w:t>
            </w:r>
          </w:p>
        </w:tc>
      </w:tr>
    </w:tbl>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24 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499" w:before="0" w:after="0"/>
        <w:ind w:left="404" w:right="330" w:firstLine="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restore as aforesaid, the Authority may make such removal and restoration at the sole cost and expense of the Purchaser, which cost and expense shall be paid by the Purchaser to the Authority on demand. The Authority further reserves the right to remove and sell Purchaser's Interconnection System and other facilities to the extent it deems appropriate.</w:t>
      </w:r>
    </w:p>
    <w:p>
      <w:pPr>
        <w:pStyle w:val="TextBody"/>
        <w:bidi w:val="0"/>
        <w:spacing w:lineRule="atLeast" w:line="267" w:before="0" w:after="0"/>
        <w:ind w:left="1819"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 xml:space="preserve">SECTION 8. </w:t>
      </w:r>
      <w:r>
        <w:rPr>
          <w:rFonts w:ascii="Times New Roman;Times;Serif" w:hAnsi="Times New Roman;Times;Serif"/>
          <w:b/>
          <w:i w:val="false"/>
          <w:caps w:val="false"/>
          <w:smallCaps w:val="false"/>
          <w:color w:val="000000"/>
          <w:sz w:val="20"/>
          <w:u w:val="single"/>
        </w:rPr>
        <w:t>Insurance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499" w:before="0" w:after="0"/>
        <w:ind w:left="405" w:right="342" w:firstLine="1424"/>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A.    </w:t>
      </w:r>
      <w:r>
        <w:rPr>
          <w:rFonts w:ascii="Times New Roman;Times;Serif" w:hAnsi="Times New Roman;Times;Serif"/>
          <w:b w:val="false"/>
          <w:i w:val="false"/>
          <w:caps w:val="false"/>
          <w:smallCaps w:val="false"/>
          <w:color w:val="000000"/>
          <w:sz w:val="20"/>
          <w:u w:val="single"/>
        </w:rPr>
        <w:t>Authority Insurance.</w:t>
      </w:r>
      <w:r>
        <w:rPr>
          <w:rFonts w:ascii="Times New Roman;Times;Serif" w:hAnsi="Times New Roman;Times;Serif"/>
          <w:b w:val="false"/>
          <w:i w:val="false"/>
          <w:caps w:val="false"/>
          <w:smallCaps w:val="false"/>
          <w:color w:val="000000"/>
          <w:sz w:val="20"/>
        </w:rPr>
        <w:t xml:space="preserve"> The Authority shall use reasonable commercial efforts to purchase and carry fire, casualty, public liability and other insurance on the System, or to otherwise establish and fund its own self-insurance program or participate in any State-administered pooled risk or self-insurance program, for purposes and in amounts which ordinarily would be carried or funded by a person or entity owing and maintaining facilities similar to the System.</w:t>
      </w:r>
    </w:p>
    <w:p>
      <w:pPr>
        <w:pStyle w:val="TextBody"/>
        <w:bidi w:val="0"/>
        <w:spacing w:lineRule="auto" w:line="492" w:before="0" w:after="0"/>
        <w:ind w:left="408" w:right="332" w:firstLine="141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B.     </w:t>
      </w:r>
      <w:r>
        <w:rPr>
          <w:rFonts w:ascii="Times New Roman;Times;Serif" w:hAnsi="Times New Roman;Times;Serif"/>
          <w:b w:val="false"/>
          <w:i w:val="false"/>
          <w:caps w:val="false"/>
          <w:smallCaps w:val="false"/>
          <w:color w:val="000000"/>
          <w:sz w:val="20"/>
          <w:u w:val="single"/>
        </w:rPr>
        <w:t>Purchaser Insurance.</w:t>
      </w:r>
      <w:r>
        <w:rPr>
          <w:rFonts w:ascii="Times New Roman;Times;Serif" w:hAnsi="Times New Roman;Times;Serif"/>
          <w:b w:val="false"/>
          <w:i w:val="false"/>
          <w:caps w:val="false"/>
          <w:smallCaps w:val="false"/>
          <w:color w:val="000000"/>
          <w:sz w:val="20"/>
        </w:rPr>
        <w:t xml:space="preserve"> The Purchaser shall use reasonable commercial efforts to purchase and carry business interruption insurance covering Purchaser's business operations, unless Purchaser is not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A1A1A"/>
          <w:sz w:val="20"/>
        </w:rPr>
        <w:t xml:space="preserve">legally </w:t>
      </w:r>
      <w:r>
        <w:rPr>
          <w:rFonts w:ascii="Times New Roman;Times;Serif" w:hAnsi="Times New Roman;Times;Serif"/>
          <w:b w:val="false"/>
          <w:i w:val="false"/>
          <w:caps w:val="false"/>
          <w:smallCaps w:val="false"/>
          <w:color w:val="000000"/>
          <w:sz w:val="20"/>
        </w:rPr>
        <w:t>able to maintain business interruption insurance and shall purchase and carry insurance covering Purchaser's obligations pursuant to Section 50 hereof. All policies of insurance shall be written by insurance companies authorized to do business in the State and shall provide that no change of coverage shall be effected unless at least thirty (30) days' prior notice is given to the Authority. Certified copies of all replacement policies shall be delivered to the Authority not less than thirty (30) days prior to the expiration of any coverage. The "Authority" shall be named as an "Additional Insured" on all public liability insurance policies maintained by the Purchaser for Purchaser's Interconnection System and any other facilities of the Purchaser located on the System, on all business interruption insurance and all insurance covering Purchaser's obligations pursuant to Section 50 hereof. The proceeds of business interruption insurance shall be payable directly to the Authority to the extent of the Purchaser's obligations to purchase water</w:t>
      </w:r>
    </w:p>
    <w:tbl>
      <w:tblPr>
        <w:tblW w:w="4345" w:type="dxa"/>
        <w:jc w:val="left"/>
        <w:tblInd w:w="0" w:type="dxa"/>
        <w:tblLayout w:type="fixed"/>
        <w:tblCellMar>
          <w:top w:w="0" w:type="dxa"/>
          <w:left w:w="0" w:type="dxa"/>
          <w:bottom w:w="0" w:type="dxa"/>
          <w:right w:w="0" w:type="dxa"/>
        </w:tblCellMar>
      </w:tblPr>
      <w:tblGrid>
        <w:gridCol w:w="3485"/>
        <w:gridCol w:w="860"/>
      </w:tblGrid>
      <w:tr>
        <w:trPr/>
        <w:tc>
          <w:tcPr>
            <w:tcW w:w="3485" w:type="dxa"/>
            <w:tcBorders/>
            <w:vAlign w:val="center"/>
          </w:tcPr>
          <w:p>
            <w:pPr>
              <w:pStyle w:val="TableContents"/>
              <w:bidi w:val="0"/>
              <w:spacing w:before="0" w:after="283"/>
              <w:jc w:val="left"/>
              <w:rPr/>
            </w:pPr>
            <w:r>
              <w:rPr/>
              <w:t>New Jersey Water Supply Authority</w:t>
            </w:r>
          </w:p>
        </w:tc>
        <w:tc>
          <w:tcPr>
            <w:tcW w:w="860" w:type="dxa"/>
            <w:tcBorders/>
            <w:vAlign w:val="center"/>
          </w:tcPr>
          <w:p>
            <w:pPr>
              <w:pStyle w:val="TableContents"/>
              <w:bidi w:val="0"/>
              <w:spacing w:before="0" w:after="283"/>
              <w:jc w:val="right"/>
              <w:rPr/>
            </w:pPr>
            <w:r>
              <w:rPr/>
              <w:t>RBS-2B</w:t>
            </w:r>
          </w:p>
        </w:tc>
      </w:tr>
    </w:tbl>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499" w:before="0" w:after="0"/>
        <w:ind w:left="429" w:right="293" w:hanging="4"/>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hereunder. All insurance policies held by the Purchaser with regard to this Contract shall apply on a primary and noncontributory basis.</w:t>
      </w:r>
    </w:p>
    <w:p>
      <w:pPr>
        <w:pStyle w:val="TextBody"/>
        <w:bidi w:val="0"/>
        <w:spacing w:before="0" w:after="0"/>
        <w:ind w:left="184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 xml:space="preserve">SECTION 9. </w:t>
      </w:r>
      <w:r>
        <w:rPr>
          <w:rFonts w:ascii="Times New Roman;Times;Serif" w:hAnsi="Times New Roman;Times;Serif"/>
          <w:b/>
          <w:i w:val="false"/>
          <w:caps w:val="false"/>
          <w:smallCaps w:val="false"/>
          <w:color w:val="000000"/>
          <w:sz w:val="20"/>
          <w:u w:val="single"/>
        </w:rPr>
        <w:t>Covenants, Representations,</w:t>
      </w:r>
      <w:r>
        <w:rPr>
          <w:rFonts w:ascii="Times New Roman;Times;Serif" w:hAnsi="Times New Roman;Times;Serif"/>
          <w:b/>
          <w:i w:val="false"/>
          <w:caps w:val="false"/>
          <w:smallCaps w:val="false"/>
          <w:color w:val="000000"/>
          <w:sz w:val="20"/>
        </w:rPr>
        <w:t xml:space="preserve"> and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499" w:before="0" w:after="0"/>
        <w:ind w:left="424" w:right="323" w:firstLine="142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A.       The Authority shall continuously operate and maintain the System in an efficient manner in accordance with Prudent Water Supply Practices</w:t>
      </w:r>
      <w:r>
        <w:rPr>
          <w:rFonts w:ascii="Times New Roman;Times;Serif" w:hAnsi="Times New Roman;Times;Serif"/>
          <w:b w:val="false"/>
          <w:i w:val="false"/>
          <w:caps w:val="false"/>
          <w:smallCaps w:val="false"/>
          <w:color w:val="0E0E0E"/>
          <w:sz w:val="20"/>
        </w:rPr>
        <w: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00"/>
          <w:sz w:val="20"/>
        </w:rPr>
        <w:t>The Authority shall have no liability in the event that the water, which is actually available to the System is insufficient to permit the Authority to comply with its obligations hereunder.</w:t>
      </w:r>
    </w:p>
    <w:p>
      <w:pPr>
        <w:pStyle w:val="TextBody"/>
        <w:bidi w:val="0"/>
        <w:spacing w:lineRule="auto" w:line="499" w:before="0" w:after="0"/>
        <w:ind w:left="419" w:right="326" w:firstLine="1432"/>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B.     The Authority shall not enter into any Water Purchase Contract which would result in (i) Uninterruptible Service called for under all Water Purchase Contracts to exceed the Safe or Dependable Yield or (ii) the water supply called for under all contracts or commitments for water of the System to exceed the maximum output capacity of the System.</w:t>
      </w:r>
    </w:p>
    <w:p>
      <w:pPr>
        <w:pStyle w:val="TextBody"/>
        <w:bidi w:val="0"/>
        <w:spacing w:lineRule="auto" w:line="496" w:before="0" w:after="0"/>
        <w:ind w:left="424" w:right="319" w:firstLine="1422"/>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       The Authority represents and warrants that it has all licenses and permits presently obtainable from any federal, state or local governmental authority required in order to enter into this Contract and to provide water to Purchaser as herein set forth.</w:t>
      </w:r>
    </w:p>
    <w:p>
      <w:pPr>
        <w:pStyle w:val="TextBody"/>
        <w:bidi w:val="0"/>
        <w:spacing w:lineRule="auto" w:line="499" w:before="0" w:after="0"/>
        <w:ind w:left="424" w:right="307" w:firstLine="1432"/>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    The Authority shall exercise reasonable effort to execute Contracts, similar in form and content to this Contract, with all other users of the System; provided, however, that notwithstanding the foregoing, the Authority may (i) enter into Contracts for durations other than the term of this Contract and (ii) enter into Contracts, containing terms which may be inconsistent with the terms of this Contract, if the Authority determines it to be necessary in connection with the operation of the System so long as such Contracts do not increase the Purchaser's obligations hereunder for Debt Service unless the Purchaser is benefited as a result of the provisions of such Contract. All Contracts entered into by the Authority shall contain rates and charges for water as are set forth in the Rate Schedule then in effect.</w:t>
      </w:r>
    </w:p>
    <w:tbl>
      <w:tblPr>
        <w:tblW w:w="4345" w:type="dxa"/>
        <w:jc w:val="left"/>
        <w:tblInd w:w="0" w:type="dxa"/>
        <w:tblLayout w:type="fixed"/>
        <w:tblCellMar>
          <w:top w:w="0" w:type="dxa"/>
          <w:left w:w="0" w:type="dxa"/>
          <w:bottom w:w="0" w:type="dxa"/>
          <w:right w:w="0" w:type="dxa"/>
        </w:tblCellMar>
      </w:tblPr>
      <w:tblGrid>
        <w:gridCol w:w="3485"/>
        <w:gridCol w:w="860"/>
      </w:tblGrid>
      <w:tr>
        <w:trPr/>
        <w:tc>
          <w:tcPr>
            <w:tcW w:w="3485" w:type="dxa"/>
            <w:tcBorders/>
            <w:vAlign w:val="center"/>
          </w:tcPr>
          <w:p>
            <w:pPr>
              <w:pStyle w:val="TableContents"/>
              <w:bidi w:val="0"/>
              <w:spacing w:before="0" w:after="283"/>
              <w:jc w:val="left"/>
              <w:rPr/>
            </w:pPr>
            <w:r>
              <w:rPr/>
              <w:t>New Jersey Water Supply Authority</w:t>
            </w:r>
          </w:p>
        </w:tc>
        <w:tc>
          <w:tcPr>
            <w:tcW w:w="860" w:type="dxa"/>
            <w:tcBorders/>
            <w:vAlign w:val="center"/>
          </w:tcPr>
          <w:p>
            <w:pPr>
              <w:pStyle w:val="TableContents"/>
              <w:bidi w:val="0"/>
              <w:spacing w:before="0" w:after="283"/>
              <w:jc w:val="right"/>
              <w:rPr/>
            </w:pPr>
            <w:r>
              <w:rPr/>
              <w:t>RBS-2B</w:t>
            </w:r>
          </w:p>
        </w:tc>
      </w:tr>
    </w:tbl>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499" w:before="0" w:after="0"/>
        <w:ind w:left="454" w:right="295" w:firstLine="1425"/>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E.     The Purchaser represents and warrants that it has all licenses and permits from any federal, state, or local governmental authority required in order to enter into this Contract, to divert water from the System in accordance therewith and to operate the Purchaser's Interconnection System.</w:t>
      </w:r>
    </w:p>
    <w:p>
      <w:pPr>
        <w:pStyle w:val="TextBody"/>
        <w:bidi w:val="0"/>
        <w:spacing w:lineRule="auto" w:line="499" w:before="0" w:after="0"/>
        <w:ind w:left="457" w:right="282" w:firstLine="142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     The Purchaser covenants to (i) maintain in good operating order and repair the Purchaser's Interconnection System; (ii) continually operate the Purchaser's Interconnection System; and (iii) charge and collect taxes, fees and other charges to its customers which, from time to time together with other funds available to the Purchaser, are reasonably estimated to be required by the Purchaser to make the payments to the Authority which are required pursuant to this Contract.</w:t>
      </w:r>
    </w:p>
    <w:p>
      <w:pPr>
        <w:pStyle w:val="TextBody"/>
        <w:bidi w:val="0"/>
        <w:spacing w:before="0" w:after="0"/>
        <w:ind w:left="1877"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 xml:space="preserve">SECTION 10. </w:t>
      </w:r>
      <w:r>
        <w:rPr>
          <w:rFonts w:ascii="Times New Roman;Times;Serif" w:hAnsi="Times New Roman;Times;Serif"/>
          <w:b/>
          <w:i w:val="false"/>
          <w:caps w:val="false"/>
          <w:smallCaps w:val="false"/>
          <w:color w:val="000000"/>
          <w:sz w:val="20"/>
          <w:u w:val="single"/>
        </w:rPr>
        <w:t>Events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87"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Any of the following shall constitute an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504" w:before="0" w:after="0"/>
        <w:ind w:left="460" w:right="279" w:firstLine="1418"/>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If the Purchaser shall (i) fail to make any payment due under this Contract for a period of more than 15 days after any such payment is due or (ii) shall fail or be unable to perform, or shall default in the performance of, any of its obligations under this Contract, and such failure, inability or default in performance is (A) willful or (B) remains uncured for more than 30 days after notice thereof is given by the Authority to Purchaser; provided however, that if such failure, inability or default in performance is incapable of being cured within such 30 day period, the same shall not constitute an Event of Default so long as Purchaser commences to cure such failure, inability or default in performance within such 30 day period and diligently and continuously proceeds to cure the same.</w:t>
      </w:r>
    </w:p>
    <w:p>
      <w:pPr>
        <w:pStyle w:val="TextBody"/>
        <w:bidi w:val="0"/>
        <w:spacing w:lineRule="auto" w:line="487" w:before="0" w:after="0"/>
        <w:ind w:left="474" w:right="277" w:firstLine="1407"/>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If an Event of Default has occurred, then the Authority may, without further notice, take any one or more of the following actions:</w:t>
      </w:r>
    </w:p>
    <w:tbl>
      <w:tblPr>
        <w:tblW w:w="4345" w:type="dxa"/>
        <w:jc w:val="left"/>
        <w:tblInd w:w="0" w:type="dxa"/>
        <w:tblLayout w:type="fixed"/>
        <w:tblCellMar>
          <w:top w:w="0" w:type="dxa"/>
          <w:left w:w="0" w:type="dxa"/>
          <w:bottom w:w="0" w:type="dxa"/>
          <w:right w:w="0" w:type="dxa"/>
        </w:tblCellMar>
      </w:tblPr>
      <w:tblGrid>
        <w:gridCol w:w="3485"/>
        <w:gridCol w:w="860"/>
      </w:tblGrid>
      <w:tr>
        <w:trPr/>
        <w:tc>
          <w:tcPr>
            <w:tcW w:w="3485" w:type="dxa"/>
            <w:tcBorders/>
            <w:vAlign w:val="center"/>
          </w:tcPr>
          <w:p>
            <w:pPr>
              <w:pStyle w:val="TableContents"/>
              <w:bidi w:val="0"/>
              <w:spacing w:before="0" w:after="283"/>
              <w:jc w:val="left"/>
              <w:rPr/>
            </w:pPr>
            <w:r>
              <w:rPr/>
              <w:t>New Jersey Water Supply Authority</w:t>
            </w:r>
          </w:p>
        </w:tc>
        <w:tc>
          <w:tcPr>
            <w:tcW w:w="860" w:type="dxa"/>
            <w:tcBorders/>
            <w:vAlign w:val="center"/>
          </w:tcPr>
          <w:p>
            <w:pPr>
              <w:pStyle w:val="TableContents"/>
              <w:bidi w:val="0"/>
              <w:spacing w:before="0" w:after="283"/>
              <w:jc w:val="right"/>
              <w:rPr/>
            </w:pPr>
            <w:r>
              <w:rPr/>
              <w:t>RBS-2B</w:t>
            </w:r>
          </w:p>
        </w:tc>
      </w:tr>
    </w:tbl>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27 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499" w:before="0" w:after="0"/>
        <w:ind w:left="1166" w:right="289" w:firstLine="717"/>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   Discontinue the supply and delivery of water under this Contract, including disconnecting Purchaser's Interconnection System from the System during the period of such default, without altering the obligation of the Purchaser to make Monthly Water Payments or any other payment required by the terms of this Contract;</w:t>
      </w:r>
    </w:p>
    <w:p>
      <w:pPr>
        <w:pStyle w:val="TextBody"/>
        <w:bidi w:val="0"/>
        <w:spacing w:lineRule="auto" w:line="499" w:before="0" w:after="0"/>
        <w:ind w:left="1166" w:right="301" w:firstLine="71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(b)  Bring any suit, action or proceeding at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C1C1C"/>
          <w:sz w:val="20"/>
        </w:rPr>
        <w:t>law</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00"/>
          <w:sz w:val="20"/>
        </w:rPr>
        <w:t>or in equity necessary or appropriate to enforce any covenant, agreement or obligation against the Purchaser;</w:t>
      </w:r>
    </w:p>
    <w:p>
      <w:pPr>
        <w:pStyle w:val="TextBody"/>
        <w:bidi w:val="0"/>
        <w:spacing w:lineRule="auto" w:line="499" w:before="0" w:after="0"/>
        <w:ind w:left="1169" w:right="292" w:firstLine="71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  Take any other action permitted by law or equity to enforce its rights under this Contract and to recover damages for breach thereof, or</w:t>
      </w:r>
    </w:p>
    <w:tbl>
      <w:tblPr>
        <w:tblW w:w="5000" w:type="pct"/>
        <w:jc w:val="left"/>
        <w:tblInd w:w="0" w:type="dxa"/>
        <w:tblLayout w:type="fixed"/>
        <w:tblCellMar>
          <w:top w:w="0" w:type="dxa"/>
          <w:left w:w="0" w:type="dxa"/>
          <w:bottom w:w="0" w:type="dxa"/>
          <w:right w:w="0" w:type="dxa"/>
        </w:tblCellMar>
      </w:tblPr>
      <w:tblGrid>
        <w:gridCol w:w="146"/>
        <w:gridCol w:w="1120"/>
        <w:gridCol w:w="8939"/>
      </w:tblGrid>
      <w:tr>
        <w:trPr/>
        <w:tc>
          <w:tcPr>
            <w:tcW w:w="146"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color w:val="000000"/>
              </w:rPr>
            </w:pPr>
            <w:r>
              <w:rPr>
                <w:color w:val="000000"/>
              </w:rPr>
              <w:t>(d)</w:t>
            </w:r>
          </w:p>
        </w:tc>
        <w:tc>
          <w:tcPr>
            <w:tcW w:w="8939" w:type="dxa"/>
            <w:tcBorders/>
            <w:vAlign w:val="center"/>
          </w:tcPr>
          <w:p>
            <w:pPr>
              <w:pStyle w:val="TableContents"/>
              <w:bidi w:val="0"/>
              <w:spacing w:before="0" w:after="283"/>
              <w:jc w:val="left"/>
              <w:rPr/>
            </w:pPr>
            <w:r>
              <w:rPr>
                <w:color w:val="000000"/>
              </w:rPr>
              <w:t>Terminate</w:t>
            </w:r>
            <w:r>
              <w:rPr/>
              <w:t xml:space="preserve"> </w:t>
            </w:r>
            <w:r>
              <w:rPr>
                <w:color w:val="000000"/>
              </w:rPr>
              <w:t>this Contract.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82"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SECTION 11. Payments and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499" w:before="0" w:after="0"/>
        <w:ind w:left="452" w:right="284" w:firstLine="143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Unless otherwise provided herein, any payment, notice, communication, request, reply or advice herein provided or permitted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C1C1C"/>
          <w:sz w:val="20"/>
        </w:rPr>
        <w:t>to</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00"/>
          <w:sz w:val="20"/>
        </w:rPr>
        <w:t>be given, made or accepted by the Authority or the Purchaser to each other shall be given or be served either by depositing the same in the United States mail postpaid and registered or certified and addressed to the party to be notified, with return receipt requested, or by delivering the same to an officer of such party, or by prepaid telegram when appropriate, addressed to the party to be notified. Notice deposited in the mail in the manner hereinabove described shall be conclusively deemed to be effective, unless otherwise stated herein, from and after the expiration of three days after it is so deposited. Notice given in any other manner shall be effective only if and when received by the party to be so notified. For the purposes of notice, the addresses of the Authority and Purchaser shall, until changed as hereinafter provided, be as follows:</w:t>
      </w:r>
    </w:p>
    <w:tbl>
      <w:tblPr>
        <w:tblW w:w="4345" w:type="dxa"/>
        <w:jc w:val="left"/>
        <w:tblInd w:w="0" w:type="dxa"/>
        <w:tblLayout w:type="fixed"/>
        <w:tblCellMar>
          <w:top w:w="0" w:type="dxa"/>
          <w:left w:w="0" w:type="dxa"/>
          <w:bottom w:w="0" w:type="dxa"/>
          <w:right w:w="0" w:type="dxa"/>
        </w:tblCellMar>
      </w:tblPr>
      <w:tblGrid>
        <w:gridCol w:w="3485"/>
        <w:gridCol w:w="860"/>
      </w:tblGrid>
      <w:tr>
        <w:trPr/>
        <w:tc>
          <w:tcPr>
            <w:tcW w:w="3485" w:type="dxa"/>
            <w:tcBorders/>
            <w:vAlign w:val="center"/>
          </w:tcPr>
          <w:p>
            <w:pPr>
              <w:pStyle w:val="TableContents"/>
              <w:bidi w:val="0"/>
              <w:spacing w:before="0" w:after="283"/>
              <w:jc w:val="left"/>
              <w:rPr/>
            </w:pPr>
            <w:r>
              <w:rPr/>
              <w:t>New Jersey Water Supply Authority</w:t>
            </w:r>
          </w:p>
        </w:tc>
        <w:tc>
          <w:tcPr>
            <w:tcW w:w="860" w:type="dxa"/>
            <w:tcBorders/>
            <w:vAlign w:val="center"/>
          </w:tcPr>
          <w:p>
            <w:pPr>
              <w:pStyle w:val="TableContents"/>
              <w:bidi w:val="0"/>
              <w:spacing w:before="0" w:after="283"/>
              <w:jc w:val="right"/>
              <w:rPr/>
            </w:pPr>
            <w:r>
              <w:rPr/>
              <w:t>RBS-2B</w:t>
            </w:r>
          </w:p>
        </w:tc>
      </w:tr>
    </w:tbl>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28 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78"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If to the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47" w:before="0" w:after="0"/>
        <w:ind w:left="2597" w:right="3734" w:hanging="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New </w:t>
      </w:r>
      <w:r>
        <w:rPr>
          <w:rFonts w:ascii="Times New Roman;Times;Serif" w:hAnsi="Times New Roman;Times;Serif"/>
          <w:b w:val="false"/>
          <w:i w:val="false"/>
          <w:caps w:val="false"/>
          <w:smallCaps w:val="false"/>
          <w:color w:val="2A2A2A"/>
          <w:sz w:val="20"/>
        </w:rPr>
        <w:t xml:space="preserve">Jersey </w:t>
      </w:r>
      <w:r>
        <w:rPr>
          <w:rFonts w:ascii="Times New Roman;Times;Serif" w:hAnsi="Times New Roman;Times;Serif"/>
          <w:b w:val="false"/>
          <w:i w:val="false"/>
          <w:caps w:val="false"/>
          <w:smallCaps w:val="false"/>
          <w:color w:val="000000"/>
          <w:sz w:val="20"/>
        </w:rPr>
        <w:t>Water Supply Authority 185 I State Highway 31</w:t>
      </w:r>
    </w:p>
    <w:p>
      <w:pPr>
        <w:pStyle w:val="TextBody"/>
        <w:bidi w:val="0"/>
        <w:spacing w:lineRule="auto" w:line="247" w:before="0" w:after="0"/>
        <w:ind w:left="2596" w:right="4681" w:hanging="5"/>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A2A2A"/>
          <w:sz w:val="20"/>
        </w:rPr>
        <w:t xml:space="preserve">Post Office Box 5196 </w:t>
      </w:r>
      <w:r>
        <w:rPr>
          <w:rFonts w:ascii="Times New Roman;Times;Serif" w:hAnsi="Times New Roman;Times;Serif"/>
          <w:b w:val="false"/>
          <w:i w:val="false"/>
          <w:caps w:val="false"/>
          <w:smallCaps w:val="false"/>
          <w:color w:val="000000"/>
          <w:sz w:val="20"/>
        </w:rPr>
        <w:t>Clinton, NJ 08809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499" w:before="0" w:after="0"/>
        <w:ind w:left="1873" w:right="4496" w:firstLine="72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Attention: Executive Director If </w:t>
      </w:r>
      <w:r>
        <w:rPr>
          <w:rFonts w:ascii="Times New Roman;Times;Serif" w:hAnsi="Times New Roman;Times;Serif"/>
          <w:b w:val="false"/>
          <w:i w:val="false"/>
          <w:caps w:val="false"/>
          <w:smallCaps w:val="false"/>
          <w:color w:val="2A2A2A"/>
          <w:sz w:val="20"/>
        </w:rPr>
        <w:t>to the Purchaser:</w:t>
      </w:r>
    </w:p>
    <w:p>
      <w:pPr>
        <w:pStyle w:val="TextBody"/>
        <w:bidi w:val="0"/>
        <w:spacing w:lineRule="auto" w:line="247" w:before="0" w:after="0"/>
        <w:ind w:left="2591" w:right="4496"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Middlesex Water Company 485C </w:t>
      </w:r>
      <w:r>
        <w:rPr>
          <w:rFonts w:ascii="Times New Roman;Times;Serif" w:hAnsi="Times New Roman;Times;Serif"/>
          <w:b w:val="false"/>
          <w:i w:val="false"/>
          <w:caps w:val="false"/>
          <w:smallCaps w:val="false"/>
          <w:color w:val="2A2A2A"/>
          <w:sz w:val="20"/>
        </w:rPr>
        <w:t xml:space="preserve">Route 1 </w:t>
      </w:r>
      <w:r>
        <w:rPr>
          <w:rFonts w:ascii="Times New Roman;Times;Serif" w:hAnsi="Times New Roman;Times;Serif"/>
          <w:b w:val="false"/>
          <w:i w:val="false"/>
          <w:caps w:val="false"/>
          <w:smallCaps w:val="false"/>
          <w:color w:val="000000"/>
          <w:sz w:val="20"/>
        </w:rPr>
        <w:t>South, Suite 400</w:t>
      </w:r>
    </w:p>
    <w:p>
      <w:pPr>
        <w:pStyle w:val="TextBody"/>
        <w:bidi w:val="0"/>
        <w:spacing w:lineRule="atLeast" w:line="262" w:before="0" w:after="0"/>
        <w:ind w:left="2589"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A2A2A"/>
          <w:sz w:val="20"/>
        </w:rPr>
        <w:t xml:space="preserve">Iselin, </w:t>
      </w:r>
      <w:r>
        <w:rPr>
          <w:rFonts w:ascii="Times New Roman;Times;Serif" w:hAnsi="Times New Roman;Times;Serif"/>
          <w:b w:val="false"/>
          <w:i w:val="false"/>
          <w:caps w:val="false"/>
          <w:smallCaps w:val="false"/>
          <w:color w:val="000000"/>
          <w:sz w:val="20"/>
        </w:rPr>
        <w:t>NJ</w:t>
      </w:r>
    </w:p>
    <w:p>
      <w:pPr>
        <w:pStyle w:val="TextBody"/>
        <w:bidi w:val="0"/>
        <w:spacing w:lineRule="atLeast" w:line="262" w:before="0" w:after="0"/>
        <w:ind w:left="2589" w:right="0" w:hanging="0"/>
        <w:jc w:val="left"/>
        <w:rPr>
          <w:rFonts w:ascii="Times New Roman;Times;Serif" w:hAnsi="Times New Roman;Times;Serif"/>
          <w:b w:val="false"/>
          <w:i w:val="false"/>
          <w:caps w:val="false"/>
          <w:smallCaps w:val="false"/>
          <w:color w:val="2A2A2A"/>
          <w:sz w:val="20"/>
        </w:rPr>
      </w:pPr>
      <w:r>
        <w:rPr>
          <w:rFonts w:ascii="Times New Roman;Times;Serif" w:hAnsi="Times New Roman;Times;Serif"/>
          <w:b w:val="false"/>
          <w:i w:val="false"/>
          <w:caps w:val="false"/>
          <w:smallCaps w:val="false"/>
          <w:color w:val="2A2A2A"/>
          <w:sz w:val="20"/>
        </w:rPr>
        <w:t>08830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499" w:before="0" w:after="0"/>
        <w:ind w:left="445" w:right="296" w:hanging="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The Authority and Purchaser shall have the right from </w:t>
      </w:r>
      <w:r>
        <w:rPr>
          <w:rFonts w:ascii="Times New Roman;Times;Serif" w:hAnsi="Times New Roman;Times;Serif"/>
          <w:b w:val="false"/>
          <w:i w:val="false"/>
          <w:caps w:val="false"/>
          <w:smallCaps w:val="false"/>
          <w:color w:val="2A2A2A"/>
          <w:sz w:val="20"/>
        </w:rPr>
        <w:t xml:space="preserve">time </w:t>
      </w:r>
      <w:r>
        <w:rPr>
          <w:rFonts w:ascii="Times New Roman;Times;Serif" w:hAnsi="Times New Roman;Times;Serif"/>
          <w:b w:val="false"/>
          <w:i w:val="false"/>
          <w:caps w:val="false"/>
          <w:smallCaps w:val="false"/>
          <w:color w:val="000000"/>
          <w:sz w:val="20"/>
        </w:rPr>
        <w:t xml:space="preserve">to time and at any time to change their respective addresses by at </w:t>
      </w:r>
      <w:r>
        <w:rPr>
          <w:rFonts w:ascii="Times New Roman;Times;Serif" w:hAnsi="Times New Roman;Times;Serif"/>
          <w:b w:val="false"/>
          <w:i w:val="false"/>
          <w:caps w:val="false"/>
          <w:smallCaps w:val="false"/>
          <w:color w:val="2A2A2A"/>
          <w:sz w:val="20"/>
        </w:rPr>
        <w:t xml:space="preserve">least </w:t>
      </w:r>
      <w:r>
        <w:rPr>
          <w:rFonts w:ascii="Times New Roman;Times;Serif" w:hAnsi="Times New Roman;Times;Serif"/>
          <w:b w:val="false"/>
          <w:i w:val="false"/>
          <w:caps w:val="false"/>
          <w:smallCaps w:val="false"/>
          <w:color w:val="000000"/>
          <w:sz w:val="20"/>
        </w:rPr>
        <w:t xml:space="preserve">fifteen (15) </w:t>
      </w:r>
      <w:r>
        <w:rPr>
          <w:rFonts w:ascii="Times New Roman;Times;Serif" w:hAnsi="Times New Roman;Times;Serif"/>
          <w:b w:val="false"/>
          <w:i w:val="false"/>
          <w:caps w:val="false"/>
          <w:smallCaps w:val="false"/>
          <w:color w:val="2A2A2A"/>
          <w:sz w:val="20"/>
        </w:rPr>
        <w:t>days'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00"/>
          <w:sz w:val="20"/>
        </w:rPr>
        <w:t>written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A2A2A"/>
          <w:sz w:val="20"/>
        </w:rPr>
        <w:t xml:space="preserve">notice to </w:t>
      </w:r>
      <w:r>
        <w:rPr>
          <w:rFonts w:ascii="Times New Roman;Times;Serif" w:hAnsi="Times New Roman;Times;Serif"/>
          <w:b w:val="false"/>
          <w:i w:val="false"/>
          <w:caps w:val="false"/>
          <w:smallCaps w:val="false"/>
          <w:color w:val="000000"/>
          <w:sz w:val="20"/>
        </w:rPr>
        <w:t xml:space="preserve">the other party hereto given in </w:t>
      </w:r>
      <w:r>
        <w:rPr>
          <w:rFonts w:ascii="Times New Roman;Times;Serif" w:hAnsi="Times New Roman;Times;Serif"/>
          <w:b w:val="false"/>
          <w:i w:val="false"/>
          <w:caps w:val="false"/>
          <w:smallCaps w:val="false"/>
          <w:color w:val="2A2A2A"/>
          <w:sz w:val="20"/>
        </w:rPr>
        <w:t xml:space="preserve">the manner </w:t>
      </w:r>
      <w:r>
        <w:rPr>
          <w:rFonts w:ascii="Times New Roman;Times;Serif" w:hAnsi="Times New Roman;Times;Serif"/>
          <w:b w:val="false"/>
          <w:i w:val="false"/>
          <w:caps w:val="false"/>
          <w:smallCaps w:val="false"/>
          <w:color w:val="000000"/>
          <w:sz w:val="20"/>
        </w:rPr>
        <w:t>hereinabove set forth.</w:t>
      </w:r>
    </w:p>
    <w:p>
      <w:pPr>
        <w:pStyle w:val="TextBody"/>
        <w:bidi w:val="0"/>
        <w:spacing w:before="0" w:after="0"/>
        <w:ind w:left="1872"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color w:val="000000"/>
          <w:sz w:val="20"/>
        </w:rPr>
        <w:t>SECTION</w:t>
      </w:r>
      <w:r>
        <w:rPr>
          <w:rFonts w:ascii="Times New Roman;Times;Serif" w:hAnsi="Times New Roman;Times;Serif"/>
          <w:b/>
          <w:i w:val="false"/>
          <w:caps w:val="false"/>
          <w:smallCaps w:val="false"/>
          <w:sz w:val="20"/>
        </w:rPr>
        <w:t xml:space="preserve"> </w:t>
      </w:r>
      <w:r>
        <w:rPr>
          <w:rFonts w:ascii="Times New Roman;Times;Serif" w:hAnsi="Times New Roman;Times;Serif"/>
          <w:b/>
          <w:i w:val="false"/>
          <w:caps w:val="false"/>
          <w:smallCaps w:val="false"/>
          <w:color w:val="2A2A2A"/>
          <w:sz w:val="20"/>
        </w:rPr>
        <w:t>12.</w:t>
      </w:r>
      <w:r>
        <w:rPr>
          <w:rFonts w:ascii="Times New Roman;Times;Serif" w:hAnsi="Times New Roman;Times;Serif"/>
          <w:b/>
          <w:i w:val="false"/>
          <w:caps w:val="false"/>
          <w:smallCaps w:val="false"/>
          <w:sz w:val="20"/>
        </w:rPr>
        <w:t xml:space="preserve"> </w:t>
      </w:r>
      <w:r>
        <w:rPr>
          <w:rFonts w:ascii="Times New Roman;Times;Serif" w:hAnsi="Times New Roman;Times;Serif"/>
          <w:b/>
          <w:i w:val="false"/>
          <w:caps w:val="false"/>
          <w:smallCaps w:val="false"/>
          <w:color w:val="000000"/>
          <w:sz w:val="20"/>
        </w:rPr>
        <w:t>Severability.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496" w:before="0" w:after="0"/>
        <w:ind w:left="443" w:right="296" w:firstLine="141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383838"/>
          <w:sz w:val="20"/>
        </w:rPr>
        <w:t xml:space="preserve">In </w:t>
      </w:r>
      <w:r>
        <w:rPr>
          <w:rFonts w:ascii="Times New Roman;Times;Serif" w:hAnsi="Times New Roman;Times;Serif"/>
          <w:b w:val="false"/>
          <w:i w:val="false"/>
          <w:caps w:val="false"/>
          <w:smallCaps w:val="false"/>
          <w:color w:val="000000"/>
          <w:sz w:val="20"/>
        </w:rPr>
        <w:t xml:space="preserve">the event </w:t>
      </w:r>
      <w:r>
        <w:rPr>
          <w:rFonts w:ascii="Times New Roman;Times;Serif" w:hAnsi="Times New Roman;Times;Serif"/>
          <w:b w:val="false"/>
          <w:i w:val="false"/>
          <w:caps w:val="false"/>
          <w:smallCaps w:val="false"/>
          <w:color w:val="2A2A2A"/>
          <w:sz w:val="20"/>
        </w:rPr>
        <w:t xml:space="preserve">that </w:t>
      </w:r>
      <w:r>
        <w:rPr>
          <w:rFonts w:ascii="Times New Roman;Times;Serif" w:hAnsi="Times New Roman;Times;Serif"/>
          <w:b w:val="false"/>
          <w:i w:val="false"/>
          <w:caps w:val="false"/>
          <w:smallCaps w:val="false"/>
          <w:color w:val="000000"/>
          <w:sz w:val="20"/>
        </w:rPr>
        <w:t xml:space="preserve">any one or more of the provisions of </w:t>
      </w:r>
      <w:r>
        <w:rPr>
          <w:rFonts w:ascii="Times New Roman;Times;Serif" w:hAnsi="Times New Roman;Times;Serif"/>
          <w:b w:val="false"/>
          <w:i w:val="false"/>
          <w:caps w:val="false"/>
          <w:smallCaps w:val="false"/>
          <w:color w:val="2A2A2A"/>
          <w:sz w:val="20"/>
        </w:rPr>
        <w:t xml:space="preserve">this </w:t>
      </w:r>
      <w:r>
        <w:rPr>
          <w:rFonts w:ascii="Times New Roman;Times;Serif" w:hAnsi="Times New Roman;Times;Serif"/>
          <w:b w:val="false"/>
          <w:i w:val="false"/>
          <w:caps w:val="false"/>
          <w:smallCaps w:val="false"/>
          <w:color w:val="000000"/>
          <w:sz w:val="20"/>
        </w:rPr>
        <w:t>Contract shall for any reason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A2A2A"/>
          <w:sz w:val="20"/>
        </w:rPr>
        <w:t xml:space="preserve">be </w:t>
      </w:r>
      <w:r>
        <w:rPr>
          <w:rFonts w:ascii="Times New Roman;Times;Serif" w:hAnsi="Times New Roman;Times;Serif"/>
          <w:b w:val="false"/>
          <w:i w:val="false"/>
          <w:caps w:val="false"/>
          <w:smallCaps w:val="false"/>
          <w:color w:val="000000"/>
          <w:sz w:val="20"/>
        </w:rPr>
        <w:t>held to be illegal or invalid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A2A2A"/>
          <w:sz w:val="20"/>
        </w:rPr>
        <w:t>by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00"/>
          <w:sz w:val="20"/>
        </w:rPr>
        <w:t>a court of competent jurisdiction, it is the intention of each of the parties hereto</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A2A2A"/>
          <w:sz w:val="20"/>
        </w:rPr>
        <w:t xml:space="preserve">that </w:t>
      </w:r>
      <w:r>
        <w:rPr>
          <w:rFonts w:ascii="Times New Roman;Times;Serif" w:hAnsi="Times New Roman;Times;Serif"/>
          <w:b w:val="false"/>
          <w:i w:val="false"/>
          <w:caps w:val="false"/>
          <w:smallCaps w:val="false"/>
          <w:color w:val="000000"/>
          <w:sz w:val="20"/>
        </w:rPr>
        <w:t xml:space="preserve">such </w:t>
      </w:r>
      <w:r>
        <w:rPr>
          <w:rFonts w:ascii="Times New Roman;Times;Serif" w:hAnsi="Times New Roman;Times;Serif"/>
          <w:b w:val="false"/>
          <w:i w:val="false"/>
          <w:caps w:val="false"/>
          <w:smallCaps w:val="false"/>
          <w:color w:val="2A2A2A"/>
          <w:sz w:val="20"/>
        </w:rPr>
        <w:t xml:space="preserve">illegality or </w:t>
      </w:r>
      <w:r>
        <w:rPr>
          <w:rFonts w:ascii="Times New Roman;Times;Serif" w:hAnsi="Times New Roman;Times;Serif"/>
          <w:b w:val="false"/>
          <w:i w:val="false"/>
          <w:caps w:val="false"/>
          <w:smallCaps w:val="false"/>
          <w:color w:val="000000"/>
          <w:sz w:val="20"/>
        </w:rPr>
        <w:t xml:space="preserve">invalidity shall not affect any other provision hereof, </w:t>
      </w:r>
      <w:r>
        <w:rPr>
          <w:rFonts w:ascii="Times New Roman;Times;Serif" w:hAnsi="Times New Roman;Times;Serif"/>
          <w:b w:val="false"/>
          <w:i w:val="false"/>
          <w:caps w:val="false"/>
          <w:smallCaps w:val="false"/>
          <w:color w:val="2A2A2A"/>
          <w:sz w:val="20"/>
        </w:rPr>
        <w:t xml:space="preserve">but </w:t>
      </w:r>
      <w:r>
        <w:rPr>
          <w:rFonts w:ascii="Times New Roman;Times;Serif" w:hAnsi="Times New Roman;Times;Serif"/>
          <w:b w:val="false"/>
          <w:i w:val="false"/>
          <w:caps w:val="false"/>
          <w:smallCaps w:val="false"/>
          <w:color w:val="000000"/>
          <w:sz w:val="20"/>
        </w:rPr>
        <w:t xml:space="preserve">this Contract shall </w:t>
      </w:r>
      <w:r>
        <w:rPr>
          <w:rFonts w:ascii="Times New Roman;Times;Serif" w:hAnsi="Times New Roman;Times;Serif"/>
          <w:b w:val="false"/>
          <w:i w:val="false"/>
          <w:caps w:val="false"/>
          <w:smallCaps w:val="false"/>
          <w:color w:val="2A2A2A"/>
          <w:sz w:val="20"/>
        </w:rPr>
        <w:t>be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00"/>
          <w:sz w:val="20"/>
        </w:rPr>
        <w:t xml:space="preserve">construed and enforced as if such illegal </w:t>
      </w:r>
      <w:r>
        <w:rPr>
          <w:rFonts w:ascii="Times New Roman;Times;Serif" w:hAnsi="Times New Roman;Times;Serif"/>
          <w:b w:val="false"/>
          <w:i w:val="false"/>
          <w:caps w:val="false"/>
          <w:smallCaps w:val="false"/>
          <w:color w:val="2A2A2A"/>
          <w:sz w:val="20"/>
        </w:rPr>
        <w:t xml:space="preserve">or </w:t>
      </w:r>
      <w:r>
        <w:rPr>
          <w:rFonts w:ascii="Times New Roman;Times;Serif" w:hAnsi="Times New Roman;Times;Serif"/>
          <w:b w:val="false"/>
          <w:i w:val="false"/>
          <w:caps w:val="false"/>
          <w:smallCaps w:val="false"/>
          <w:color w:val="000000"/>
          <w:sz w:val="20"/>
        </w:rPr>
        <w:t xml:space="preserve">invalid provision </w:t>
      </w:r>
      <w:r>
        <w:rPr>
          <w:rFonts w:ascii="Times New Roman;Times;Serif" w:hAnsi="Times New Roman;Times;Serif"/>
          <w:b w:val="false"/>
          <w:i w:val="false"/>
          <w:caps w:val="false"/>
          <w:smallCaps w:val="false"/>
          <w:color w:val="2A2A2A"/>
          <w:sz w:val="20"/>
        </w:rPr>
        <w:t xml:space="preserve">had </w:t>
      </w:r>
      <w:r>
        <w:rPr>
          <w:rFonts w:ascii="Times New Roman;Times;Serif" w:hAnsi="Times New Roman;Times;Serif"/>
          <w:b w:val="false"/>
          <w:i w:val="false"/>
          <w:caps w:val="false"/>
          <w:smallCaps w:val="false"/>
          <w:color w:val="000000"/>
          <w:sz w:val="20"/>
        </w:rPr>
        <w:t xml:space="preserve">never </w:t>
      </w:r>
      <w:r>
        <w:rPr>
          <w:rFonts w:ascii="Times New Roman;Times;Serif" w:hAnsi="Times New Roman;Times;Serif"/>
          <w:b w:val="false"/>
          <w:i w:val="false"/>
          <w:caps w:val="false"/>
          <w:smallCaps w:val="false"/>
          <w:color w:val="2A2A2A"/>
          <w:sz w:val="20"/>
        </w:rPr>
        <w:t xml:space="preserve">been </w:t>
      </w:r>
      <w:r>
        <w:rPr>
          <w:rFonts w:ascii="Times New Roman;Times;Serif" w:hAnsi="Times New Roman;Times;Serif"/>
          <w:b w:val="false"/>
          <w:i w:val="false"/>
          <w:caps w:val="false"/>
          <w:smallCaps w:val="false"/>
          <w:color w:val="000000"/>
          <w:sz w:val="20"/>
        </w:rPr>
        <w:t xml:space="preserve">contained </w:t>
      </w:r>
      <w:r>
        <w:rPr>
          <w:rFonts w:ascii="Times New Roman;Times;Serif" w:hAnsi="Times New Roman;Times;Serif"/>
          <w:b w:val="false"/>
          <w:i w:val="false"/>
          <w:caps w:val="false"/>
          <w:smallCaps w:val="false"/>
          <w:color w:val="2A2A2A"/>
          <w:sz w:val="20"/>
        </w:rPr>
        <w:t>herein.</w:t>
      </w:r>
    </w:p>
    <w:p>
      <w:pPr>
        <w:pStyle w:val="TextBody"/>
        <w:bidi w:val="0"/>
        <w:spacing w:before="0" w:after="0"/>
        <w:ind w:left="1877"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color w:val="000000"/>
          <w:sz w:val="20"/>
        </w:rPr>
        <w:t>SECTION</w:t>
      </w:r>
      <w:r>
        <w:rPr>
          <w:rFonts w:ascii="Times New Roman;Times;Serif" w:hAnsi="Times New Roman;Times;Serif"/>
          <w:b/>
          <w:i w:val="false"/>
          <w:caps w:val="false"/>
          <w:smallCaps w:val="false"/>
          <w:sz w:val="20"/>
        </w:rPr>
        <w:t xml:space="preserve"> </w:t>
      </w:r>
      <w:r>
        <w:rPr>
          <w:rFonts w:ascii="Times New Roman;Times;Serif" w:hAnsi="Times New Roman;Times;Serif"/>
          <w:b/>
          <w:i w:val="false"/>
          <w:caps w:val="false"/>
          <w:smallCaps w:val="false"/>
          <w:color w:val="2A2A2A"/>
          <w:sz w:val="20"/>
        </w:rPr>
        <w:t>13. </w:t>
      </w:r>
      <w:r>
        <w:rPr>
          <w:rFonts w:ascii="Times New Roman;Times;Serif" w:hAnsi="Times New Roman;Times;Serif"/>
          <w:b/>
          <w:i w:val="false"/>
          <w:caps w:val="false"/>
          <w:smallCaps w:val="false"/>
          <w:color w:val="2A2A2A"/>
          <w:sz w:val="20"/>
          <w:u w:val="single"/>
        </w:rPr>
        <w:t>Incorporation of Rate</w:t>
      </w:r>
      <w:r>
        <w:rPr>
          <w:rFonts w:ascii="Times New Roman;Times;Serif" w:hAnsi="Times New Roman;Times;Serif"/>
          <w:b/>
          <w:i w:val="false"/>
          <w:caps w:val="false"/>
          <w:smallCaps w:val="false"/>
          <w:sz w:val="20"/>
          <w:u w:val="single"/>
        </w:rPr>
        <w:t xml:space="preserve"> </w:t>
      </w:r>
      <w:r>
        <w:rPr>
          <w:rFonts w:ascii="Times New Roman;Times;Serif" w:hAnsi="Times New Roman;Times;Serif"/>
          <w:b/>
          <w:i w:val="false"/>
          <w:caps w:val="false"/>
          <w:smallCaps w:val="false"/>
          <w:color w:val="000000"/>
          <w:sz w:val="20"/>
          <w:u w:val="single"/>
        </w:rPr>
        <w:t>Schedule</w:t>
      </w:r>
      <w:r>
        <w:rPr>
          <w:rFonts w:ascii="Times New Roman;Times;Serif" w:hAnsi="Times New Roman;Times;Serif"/>
          <w:b/>
          <w:i w:val="false"/>
          <w:caps w:val="false"/>
          <w:smallCaps w:val="false"/>
          <w:sz w:val="20"/>
          <w:u w:val="single"/>
        </w:rPr>
        <w:t xml:space="preserve"> </w:t>
      </w:r>
      <w:r>
        <w:rPr>
          <w:rFonts w:ascii="Times New Roman;Times;Serif" w:hAnsi="Times New Roman;Times;Serif"/>
          <w:b/>
          <w:i w:val="false"/>
          <w:caps w:val="false"/>
          <w:smallCaps w:val="false"/>
          <w:color w:val="2A2A2A"/>
          <w:sz w:val="20"/>
          <w:u w:val="single"/>
        </w:rPr>
        <w:t>and</w:t>
      </w:r>
      <w:r>
        <w:rPr>
          <w:rFonts w:ascii="Times New Roman;Times;Serif" w:hAnsi="Times New Roman;Times;Serif"/>
          <w:b/>
          <w:i w:val="false"/>
          <w:caps w:val="false"/>
          <w:smallCaps w:val="false"/>
          <w:sz w:val="20"/>
          <w:u w:val="single"/>
        </w:rPr>
        <w:t xml:space="preserve"> </w:t>
      </w:r>
      <w:r>
        <w:rPr>
          <w:rFonts w:ascii="Times New Roman;Times;Serif" w:hAnsi="Times New Roman;Times;Serif"/>
          <w:b/>
          <w:i w:val="false"/>
          <w:caps w:val="false"/>
          <w:smallCaps w:val="false"/>
          <w:color w:val="000000"/>
          <w:sz w:val="20"/>
          <w:u w:val="single"/>
        </w:rPr>
        <w:t>System Rules and</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447" w:right="0" w:hanging="0"/>
        <w:jc w:val="left"/>
        <w:rPr>
          <w:rFonts w:ascii="Times New Roman;Times;Serif" w:hAnsi="Times New Roman;Times;Serif"/>
          <w:b/>
          <w:i w:val="false"/>
          <w:caps w:val="false"/>
          <w:smallCaps w:val="false"/>
          <w:color w:val="000000"/>
          <w:sz w:val="20"/>
          <w:u w:val="single"/>
        </w:rPr>
      </w:pPr>
      <w:r>
        <w:rPr>
          <w:rFonts w:ascii="Times New Roman;Times;Serif" w:hAnsi="Times New Roman;Times;Serif"/>
          <w:b/>
          <w:i w:val="false"/>
          <w:caps w:val="false"/>
          <w:smallCaps w:val="false"/>
          <w:color w:val="000000"/>
          <w:sz w:val="20"/>
          <w:u w:val="single"/>
        </w:rPr>
        <w:t>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499" w:before="0" w:after="0"/>
        <w:ind w:left="455" w:right="287" w:firstLine="142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The </w:t>
      </w:r>
      <w:r>
        <w:rPr>
          <w:rFonts w:ascii="Times New Roman;Times;Serif" w:hAnsi="Times New Roman;Times;Serif"/>
          <w:b w:val="false"/>
          <w:i w:val="false"/>
          <w:caps w:val="false"/>
          <w:smallCaps w:val="false"/>
          <w:color w:val="2A2A2A"/>
          <w:sz w:val="20"/>
        </w:rPr>
        <w:t xml:space="preserve">Rate </w:t>
      </w:r>
      <w:r>
        <w:rPr>
          <w:rFonts w:ascii="Times New Roman;Times;Serif" w:hAnsi="Times New Roman;Times;Serif"/>
          <w:b w:val="false"/>
          <w:i w:val="false"/>
          <w:caps w:val="false"/>
          <w:smallCaps w:val="false"/>
          <w:color w:val="000000"/>
          <w:sz w:val="20"/>
        </w:rPr>
        <w:t xml:space="preserve">Schedule and the System Rules and Regulations are hereby incorporated herein </w:t>
      </w:r>
      <w:r>
        <w:rPr>
          <w:rFonts w:ascii="Times New Roman;Times;Serif" w:hAnsi="Times New Roman;Times;Serif"/>
          <w:b w:val="false"/>
          <w:i w:val="false"/>
          <w:caps w:val="false"/>
          <w:smallCaps w:val="false"/>
          <w:color w:val="2A2A2A"/>
          <w:sz w:val="20"/>
        </w:rPr>
        <w:t xml:space="preserve">by </w:t>
      </w:r>
      <w:r>
        <w:rPr>
          <w:rFonts w:ascii="Times New Roman;Times;Serif" w:hAnsi="Times New Roman;Times;Serif"/>
          <w:b w:val="false"/>
          <w:i w:val="false"/>
          <w:caps w:val="false"/>
          <w:smallCaps w:val="false"/>
          <w:color w:val="000000"/>
          <w:sz w:val="20"/>
        </w:rPr>
        <w:t xml:space="preserve">reference as fully as </w:t>
      </w:r>
      <w:r>
        <w:rPr>
          <w:rFonts w:ascii="Times New Roman;Times;Serif" w:hAnsi="Times New Roman;Times;Serif"/>
          <w:b w:val="false"/>
          <w:i w:val="false"/>
          <w:caps w:val="false"/>
          <w:smallCaps w:val="false"/>
          <w:color w:val="2A2A2A"/>
          <w:sz w:val="20"/>
        </w:rPr>
        <w:t xml:space="preserve">if </w:t>
      </w:r>
      <w:r>
        <w:rPr>
          <w:rFonts w:ascii="Times New Roman;Times;Serif" w:hAnsi="Times New Roman;Times;Serif"/>
          <w:b w:val="false"/>
          <w:i w:val="false"/>
          <w:caps w:val="false"/>
          <w:smallCaps w:val="false"/>
          <w:color w:val="000000"/>
          <w:sz w:val="20"/>
        </w:rPr>
        <w:t xml:space="preserve">herein set forth and all of </w:t>
      </w:r>
      <w:r>
        <w:rPr>
          <w:rFonts w:ascii="Times New Roman;Times;Serif" w:hAnsi="Times New Roman;Times;Serif"/>
          <w:b w:val="false"/>
          <w:i w:val="false"/>
          <w:caps w:val="false"/>
          <w:smallCaps w:val="false"/>
          <w:color w:val="2A2A2A"/>
          <w:sz w:val="20"/>
        </w:rPr>
        <w:t xml:space="preserve">the </w:t>
      </w:r>
      <w:r>
        <w:rPr>
          <w:rFonts w:ascii="Times New Roman;Times;Serif" w:hAnsi="Times New Roman;Times;Serif"/>
          <w:b w:val="false"/>
          <w:i w:val="false"/>
          <w:caps w:val="false"/>
          <w:smallCaps w:val="false"/>
          <w:color w:val="000000"/>
          <w:sz w:val="20"/>
        </w:rPr>
        <w:t xml:space="preserve">terms and </w:t>
      </w:r>
      <w:r>
        <w:rPr>
          <w:rFonts w:ascii="Times New Roman;Times;Serif" w:hAnsi="Times New Roman;Times;Serif"/>
          <w:b w:val="false"/>
          <w:i w:val="false"/>
          <w:caps w:val="false"/>
          <w:smallCaps w:val="false"/>
          <w:color w:val="2A2A2A"/>
          <w:sz w:val="20"/>
        </w:rPr>
        <w:t xml:space="preserve">provisions </w:t>
      </w:r>
      <w:r>
        <w:rPr>
          <w:rFonts w:ascii="Times New Roman;Times;Serif" w:hAnsi="Times New Roman;Times;Serif"/>
          <w:b w:val="false"/>
          <w:i w:val="false"/>
          <w:caps w:val="false"/>
          <w:smallCaps w:val="false"/>
          <w:color w:val="000000"/>
          <w:sz w:val="20"/>
        </w:rPr>
        <w:t xml:space="preserve">of such Rate Schedule and </w:t>
      </w:r>
      <w:r>
        <w:rPr>
          <w:rFonts w:ascii="Times New Roman;Times;Serif" w:hAnsi="Times New Roman;Times;Serif"/>
          <w:b w:val="false"/>
          <w:i w:val="false"/>
          <w:caps w:val="false"/>
          <w:smallCaps w:val="false"/>
          <w:color w:val="2A2A2A"/>
          <w:sz w:val="20"/>
        </w:rPr>
        <w:t>System</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00"/>
          <w:sz w:val="20"/>
        </w:rPr>
        <w:t xml:space="preserve">Rules and Regulations shall </w:t>
      </w:r>
      <w:r>
        <w:rPr>
          <w:rFonts w:ascii="Times New Roman;Times;Serif" w:hAnsi="Times New Roman;Times;Serif"/>
          <w:b w:val="false"/>
          <w:i w:val="false"/>
          <w:caps w:val="false"/>
          <w:smallCaps w:val="false"/>
          <w:color w:val="2A2A2A"/>
          <w:sz w:val="20"/>
        </w:rPr>
        <w:t xml:space="preserve">be part </w:t>
      </w:r>
      <w:r>
        <w:rPr>
          <w:rFonts w:ascii="Times New Roman;Times;Serif" w:hAnsi="Times New Roman;Times;Serif"/>
          <w:b w:val="false"/>
          <w:i w:val="false"/>
          <w:caps w:val="false"/>
          <w:smallCaps w:val="false"/>
          <w:color w:val="000000"/>
          <w:sz w:val="20"/>
        </w:rPr>
        <w:t xml:space="preserve">of </w:t>
      </w:r>
      <w:r>
        <w:rPr>
          <w:rFonts w:ascii="Times New Roman;Times;Serif" w:hAnsi="Times New Roman;Times;Serif"/>
          <w:b w:val="false"/>
          <w:i w:val="false"/>
          <w:caps w:val="false"/>
          <w:smallCaps w:val="false"/>
          <w:color w:val="2A2A2A"/>
          <w:sz w:val="20"/>
        </w:rPr>
        <w:t xml:space="preserve">this </w:t>
      </w:r>
      <w:r>
        <w:rPr>
          <w:rFonts w:ascii="Times New Roman;Times;Serif" w:hAnsi="Times New Roman;Times;Serif"/>
          <w:b w:val="false"/>
          <w:i w:val="false"/>
          <w:caps w:val="false"/>
          <w:smallCaps w:val="false"/>
          <w:color w:val="000000"/>
          <w:sz w:val="20"/>
        </w:rPr>
        <w:t>Contract and shall be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A2A2A"/>
          <w:sz w:val="20"/>
        </w:rPr>
        <w:t xml:space="preserve">binding upon </w:t>
      </w:r>
      <w:r>
        <w:rPr>
          <w:rFonts w:ascii="Times New Roman;Times;Serif" w:hAnsi="Times New Roman;Times;Serif"/>
          <w:b w:val="false"/>
          <w:i w:val="false"/>
          <w:caps w:val="false"/>
          <w:smallCaps w:val="false"/>
          <w:color w:val="000000"/>
          <w:sz w:val="20"/>
        </w:rPr>
        <w:t>the Purchaser.</w:t>
      </w:r>
    </w:p>
    <w:tbl>
      <w:tblPr>
        <w:tblW w:w="4345" w:type="dxa"/>
        <w:jc w:val="left"/>
        <w:tblInd w:w="0" w:type="dxa"/>
        <w:tblLayout w:type="fixed"/>
        <w:tblCellMar>
          <w:top w:w="0" w:type="dxa"/>
          <w:left w:w="0" w:type="dxa"/>
          <w:bottom w:w="0" w:type="dxa"/>
          <w:right w:w="0" w:type="dxa"/>
        </w:tblCellMar>
      </w:tblPr>
      <w:tblGrid>
        <w:gridCol w:w="3485"/>
        <w:gridCol w:w="860"/>
      </w:tblGrid>
      <w:tr>
        <w:trPr/>
        <w:tc>
          <w:tcPr>
            <w:tcW w:w="3485" w:type="dxa"/>
            <w:tcBorders/>
            <w:vAlign w:val="center"/>
          </w:tcPr>
          <w:p>
            <w:pPr>
              <w:pStyle w:val="TableContents"/>
              <w:bidi w:val="0"/>
              <w:spacing w:before="0" w:after="283"/>
              <w:jc w:val="left"/>
              <w:rPr/>
            </w:pPr>
            <w:r>
              <w:rPr/>
              <w:t>New Jersey Water Supply Authority</w:t>
            </w:r>
          </w:p>
        </w:tc>
        <w:tc>
          <w:tcPr>
            <w:tcW w:w="860" w:type="dxa"/>
            <w:tcBorders/>
            <w:vAlign w:val="center"/>
          </w:tcPr>
          <w:p>
            <w:pPr>
              <w:pStyle w:val="TableContents"/>
              <w:bidi w:val="0"/>
              <w:spacing w:before="0" w:after="283"/>
              <w:jc w:val="right"/>
              <w:rPr/>
            </w:pPr>
            <w:r>
              <w:rPr/>
              <w:t>RBS-2B</w:t>
            </w:r>
          </w:p>
        </w:tc>
      </w:tr>
    </w:tbl>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29 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62"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color w:val="000000"/>
          <w:sz w:val="20"/>
        </w:rPr>
        <w:t xml:space="preserve">SECTION 14. </w:t>
      </w:r>
      <w:r>
        <w:rPr>
          <w:rFonts w:ascii="Times New Roman;Times;Serif" w:hAnsi="Times New Roman;Times;Serif"/>
          <w:b/>
          <w:i w:val="false"/>
          <w:caps w:val="false"/>
          <w:smallCaps w:val="false"/>
          <w:color w:val="000000"/>
          <w:sz w:val="20"/>
          <w:u w:val="single"/>
        </w:rPr>
        <w:t>Calculations</w:t>
      </w:r>
      <w:r>
        <w:rPr>
          <w:rFonts w:ascii="Times New Roman;Times;Serif" w:hAnsi="Times New Roman;Times;Serif"/>
          <w:b/>
          <w:i w:val="false"/>
          <w:caps w:val="false"/>
          <w:smallCaps w:val="false"/>
          <w:sz w:val="20"/>
          <w:u w:val="single"/>
        </w:rPr>
        <w:t xml:space="preserve"> </w:t>
      </w:r>
      <w:r>
        <w:rPr>
          <w:rFonts w:ascii="Times New Roman;Times;Serif" w:hAnsi="Times New Roman;Times;Serif"/>
          <w:b/>
          <w:i w:val="false"/>
          <w:caps w:val="false"/>
          <w:smallCaps w:val="false"/>
          <w:color w:val="000000"/>
          <w:sz w:val="20"/>
          <w:u w:val="single"/>
        </w:rPr>
        <w:t>of</w:t>
      </w:r>
      <w:r>
        <w:rPr>
          <w:rFonts w:ascii="Times New Roman;Times;Serif" w:hAnsi="Times New Roman;Times;Serif"/>
          <w:b/>
          <w:i w:val="false"/>
          <w:caps w:val="false"/>
          <w:smallCaps w:val="false"/>
          <w:sz w:val="20"/>
          <w:u w:val="single"/>
        </w:rPr>
        <w:t xml:space="preserve"> </w:t>
      </w:r>
      <w:r>
        <w:rPr>
          <w:rFonts w:ascii="Times New Roman;Times;Serif" w:hAnsi="Times New Roman;Times;Serif"/>
          <w:b/>
          <w:i w:val="false"/>
          <w:caps w:val="false"/>
          <w:smallCaps w:val="false"/>
          <w:color w:val="000000"/>
          <w:sz w:val="20"/>
          <w:u w:val="single"/>
        </w:rPr>
        <w:t>the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499" w:before="0" w:after="0"/>
        <w:ind w:left="443" w:right="312" w:firstLine="1429"/>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All meter readings to the extent made by the Authority and all calculations made by the Authority of amounts due by a Purchaser pursuant to this Contract, whether based upon meter readings or estimates by the Authority or meter readings by the Purchaser, shall be valid and binding upon the Purchaser absent manifest error by the Authority.</w:t>
      </w:r>
    </w:p>
    <w:p>
      <w:pPr>
        <w:pStyle w:val="TextBody"/>
        <w:bidi w:val="0"/>
        <w:spacing w:before="0" w:after="0"/>
        <w:ind w:left="1867"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color w:val="000000"/>
          <w:sz w:val="20"/>
        </w:rPr>
        <w:t>SECTION 15.</w:t>
      </w:r>
      <w:r>
        <w:rPr>
          <w:rFonts w:ascii="Times New Roman;Times;Serif" w:hAnsi="Times New Roman;Times;Serif"/>
          <w:b/>
          <w:i w:val="false"/>
          <w:caps w:val="false"/>
          <w:smallCaps w:val="false"/>
          <w:sz w:val="20"/>
        </w:rPr>
        <w:t xml:space="preserve"> </w:t>
      </w:r>
      <w:r>
        <w:rPr>
          <w:rFonts w:ascii="Times New Roman;Times;Serif" w:hAnsi="Times New Roman;Times;Serif"/>
          <w:b/>
          <w:i w:val="false"/>
          <w:caps w:val="false"/>
          <w:smallCaps w:val="false"/>
          <w:color w:val="000000"/>
          <w:sz w:val="20"/>
          <w:u w:val="single"/>
        </w:rPr>
        <w:t>Binding</w:t>
      </w:r>
      <w:r>
        <w:rPr>
          <w:rFonts w:ascii="Times New Roman;Times;Serif" w:hAnsi="Times New Roman;Times;Serif"/>
          <w:b/>
          <w:i w:val="false"/>
          <w:caps w:val="false"/>
          <w:smallCaps w:val="false"/>
          <w:sz w:val="20"/>
          <w:u w:val="single"/>
        </w:rPr>
        <w:t xml:space="preserve"> </w:t>
      </w:r>
      <w:r>
        <w:rPr>
          <w:rFonts w:ascii="Times New Roman;Times;Serif" w:hAnsi="Times New Roman;Times;Serif"/>
          <w:b/>
          <w:i w:val="false"/>
          <w:caps w:val="false"/>
          <w:smallCaps w:val="false"/>
          <w:color w:val="000000"/>
          <w:sz w:val="20"/>
          <w:u w:val="single"/>
        </w:rPr>
        <w:t>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499" w:before="0" w:after="0"/>
        <w:ind w:left="435" w:right="308" w:firstLine="1432"/>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This Contract, when executed and delivered by the parties hereto, shall be a valid and binding agreement, which shall be governed by and construed in accordance with the laws of the State. Neither party hereto may assign its rights or obligations hereunder without the consent of the other party. The undersigned warrant that they are authorized to sign this Contract and bind themselves, their successors, assignees, and/or trustees to comply with the terms and provisions of this Contract.</w:t>
      </w:r>
    </w:p>
    <w:tbl>
      <w:tblPr>
        <w:tblW w:w="4345" w:type="dxa"/>
        <w:jc w:val="left"/>
        <w:tblInd w:w="0" w:type="dxa"/>
        <w:tblLayout w:type="fixed"/>
        <w:tblCellMar>
          <w:top w:w="0" w:type="dxa"/>
          <w:left w:w="0" w:type="dxa"/>
          <w:bottom w:w="0" w:type="dxa"/>
          <w:right w:w="0" w:type="dxa"/>
        </w:tblCellMar>
      </w:tblPr>
      <w:tblGrid>
        <w:gridCol w:w="3485"/>
        <w:gridCol w:w="860"/>
      </w:tblGrid>
      <w:tr>
        <w:trPr/>
        <w:tc>
          <w:tcPr>
            <w:tcW w:w="3485" w:type="dxa"/>
            <w:tcBorders/>
            <w:vAlign w:val="center"/>
          </w:tcPr>
          <w:p>
            <w:pPr>
              <w:pStyle w:val="TableContents"/>
              <w:bidi w:val="0"/>
              <w:spacing w:before="0" w:after="283"/>
              <w:jc w:val="left"/>
              <w:rPr/>
            </w:pPr>
            <w:r>
              <w:rPr/>
              <w:t>New Jersey Water Supply Authority</w:t>
            </w:r>
          </w:p>
        </w:tc>
        <w:tc>
          <w:tcPr>
            <w:tcW w:w="860" w:type="dxa"/>
            <w:tcBorders/>
            <w:vAlign w:val="center"/>
          </w:tcPr>
          <w:p>
            <w:pPr>
              <w:pStyle w:val="TableContents"/>
              <w:bidi w:val="0"/>
              <w:spacing w:before="0" w:after="283"/>
              <w:jc w:val="right"/>
              <w:rPr/>
            </w:pPr>
            <w:r>
              <w:rPr/>
              <w:t>RBS-2B</w:t>
            </w:r>
          </w:p>
        </w:tc>
      </w:tr>
    </w:tbl>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30 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508" w:before="0" w:after="0"/>
        <w:ind w:left="458" w:right="0" w:firstLine="1416"/>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00000"/>
          <w:sz w:val="20"/>
        </w:rPr>
        <w:t>IN WITNESS WHEREOF,</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00"/>
          <w:sz w:val="20"/>
        </w:rPr>
        <w:t>the Authority and the Purchaser have caused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32323"/>
          <w:sz w:val="20"/>
        </w:rPr>
        <w:t xml:space="preserve">this </w:t>
      </w:r>
      <w:r>
        <w:rPr>
          <w:rFonts w:ascii="Times New Roman;Times;Serif" w:hAnsi="Times New Roman;Times;Serif"/>
          <w:b w:val="false"/>
          <w:i w:val="false"/>
          <w:caps w:val="false"/>
          <w:smallCaps w:val="false"/>
          <w:color w:val="000000"/>
          <w:sz w:val="20"/>
        </w:rPr>
        <w:t>Contract to be duly executed the date and year above first written.</w:t>
      </w:r>
    </w:p>
    <w:p>
      <w:pPr>
        <w:pStyle w:val="TextBody"/>
        <w:bidi w:val="0"/>
        <w:spacing w:before="0" w:after="0"/>
        <w:ind w:left="0" w:right="0" w:hanging="0"/>
        <w:jc w:val="left"/>
        <w:rPr>
          <w:caps w:val="false"/>
          <w:smallCaps w:val="false"/>
        </w:rPr>
      </w:pPr>
      <w:r>
        <w:rPr>
          <w:caps w:val="false"/>
          <w:smallCaps w:val="false"/>
        </w:rPr>
        <w:t> </w:t>
      </w:r>
    </w:p>
    <w:tbl>
      <w:tblPr>
        <w:tblW w:w="4600" w:type="dxa"/>
        <w:jc w:val="left"/>
        <w:tblInd w:w="0" w:type="dxa"/>
        <w:tblLayout w:type="fixed"/>
        <w:tblCellMar>
          <w:top w:w="0" w:type="dxa"/>
          <w:left w:w="0" w:type="dxa"/>
          <w:bottom w:w="0" w:type="dxa"/>
          <w:right w:w="0" w:type="dxa"/>
        </w:tblCellMar>
      </w:tblPr>
      <w:tblGrid>
        <w:gridCol w:w="1640"/>
        <w:gridCol w:w="2885"/>
        <w:gridCol w:w="75"/>
      </w:tblGrid>
      <w:tr>
        <w:trPr/>
        <w:tc>
          <w:tcPr>
            <w:tcW w:w="4525" w:type="dxa"/>
            <w:gridSpan w:val="2"/>
            <w:tcBorders/>
            <w:vAlign w:val="center"/>
          </w:tcPr>
          <w:p>
            <w:pPr>
              <w:pStyle w:val="TableContents"/>
              <w:bidi w:val="0"/>
              <w:spacing w:before="0" w:after="283"/>
              <w:ind w:left="0"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NEW JERSEY WATER SUPPLY AUTHORITY</w:t>
            </w:r>
          </w:p>
        </w:tc>
        <w:tc>
          <w:tcPr>
            <w:tcW w:w="75" w:type="dxa"/>
            <w:tcBorders/>
            <w:vAlign w:val="center"/>
          </w:tcPr>
          <w:p>
            <w:pPr>
              <w:pStyle w:val="TableContents"/>
              <w:bidi w:val="0"/>
              <w:spacing w:before="0" w:after="283"/>
              <w:ind w:left="0" w:right="0" w:hanging="0"/>
              <w:jc w:val="left"/>
              <w:rPr>
                <w:caps w:val="false"/>
                <w:smallCaps w:val="false"/>
                <w:color w:val="000000"/>
              </w:rPr>
            </w:pPr>
            <w:r>
              <w:rPr>
                <w:caps w:val="false"/>
                <w:smallCaps w:val="false"/>
                <w:color w:val="000000"/>
              </w:rPr>
              <w:t> </w:t>
            </w:r>
          </w:p>
        </w:tc>
      </w:tr>
      <w:tr>
        <w:trPr/>
        <w:tc>
          <w:tcPr>
            <w:tcW w:w="1640" w:type="dxa"/>
            <w:tcBorders/>
            <w:vAlign w:val="center"/>
          </w:tcPr>
          <w:p>
            <w:pPr>
              <w:pStyle w:val="TableContents"/>
              <w:bidi w:val="0"/>
              <w:spacing w:before="0" w:after="283"/>
              <w:ind w:left="0" w:right="0" w:hanging="0"/>
              <w:jc w:val="left"/>
              <w:rPr>
                <w:caps w:val="false"/>
                <w:smallCaps w:val="false"/>
                <w:color w:val="000000"/>
              </w:rPr>
            </w:pPr>
            <w:r>
              <w:rPr>
                <w:caps w:val="false"/>
                <w:smallCaps w:val="false"/>
                <w:color w:val="000000"/>
              </w:rPr>
              <w:t> </w:t>
            </w:r>
          </w:p>
        </w:tc>
        <w:tc>
          <w:tcPr>
            <w:tcW w:w="2885" w:type="dxa"/>
            <w:tcBorders/>
            <w:vAlign w:val="center"/>
          </w:tcPr>
          <w:p>
            <w:pPr>
              <w:pStyle w:val="TableContents"/>
              <w:bidi w:val="0"/>
              <w:spacing w:before="0" w:after="283"/>
              <w:ind w:left="0" w:right="0" w:hanging="0"/>
              <w:jc w:val="left"/>
              <w:rPr>
                <w:caps w:val="false"/>
                <w:smallCaps w:val="false"/>
                <w:color w:val="000000"/>
              </w:rPr>
            </w:pPr>
            <w:r>
              <w:rPr>
                <w:caps w:val="false"/>
                <w:smallCaps w:val="false"/>
                <w:color w:val="000000"/>
              </w:rPr>
              <w:t> </w:t>
            </w:r>
          </w:p>
        </w:tc>
        <w:tc>
          <w:tcPr>
            <w:tcW w:w="75" w:type="dxa"/>
            <w:tcBorders/>
            <w:vAlign w:val="center"/>
          </w:tcPr>
          <w:p>
            <w:pPr>
              <w:pStyle w:val="TableContents"/>
              <w:bidi w:val="0"/>
              <w:spacing w:before="0" w:after="283"/>
              <w:ind w:left="0" w:right="0" w:hanging="0"/>
              <w:jc w:val="left"/>
              <w:rPr>
                <w:caps w:val="false"/>
                <w:smallCaps w:val="false"/>
                <w:color w:val="000000"/>
              </w:rPr>
            </w:pPr>
            <w:r>
              <w:rPr>
                <w:caps w:val="false"/>
                <w:smallCaps w:val="false"/>
                <w:color w:val="000000"/>
              </w:rPr>
              <w:t> </w:t>
            </w:r>
          </w:p>
        </w:tc>
      </w:tr>
      <w:tr>
        <w:trPr/>
        <w:tc>
          <w:tcPr>
            <w:tcW w:w="1640" w:type="dxa"/>
            <w:tcBorders/>
            <w:vAlign w:val="center"/>
          </w:tcPr>
          <w:p>
            <w:pPr>
              <w:pStyle w:val="TableContents"/>
              <w:bidi w:val="0"/>
              <w:spacing w:before="0" w:after="283"/>
              <w:ind w:left="0" w:right="0" w:hanging="0"/>
              <w:jc w:val="left"/>
              <w:rPr>
                <w:caps w:val="false"/>
                <w:smallCaps w:val="false"/>
                <w:color w:val="000000"/>
              </w:rPr>
            </w:pPr>
            <w:r>
              <w:rPr>
                <w:caps w:val="false"/>
                <w:smallCaps w:val="false"/>
                <w:color w:val="000000"/>
              </w:rPr>
              <w:t> </w:t>
            </w:r>
          </w:p>
        </w:tc>
        <w:tc>
          <w:tcPr>
            <w:tcW w:w="2885" w:type="dxa"/>
            <w:tcBorders/>
            <w:vAlign w:val="center"/>
          </w:tcPr>
          <w:p>
            <w:pPr>
              <w:pStyle w:val="TableContents"/>
              <w:bidi w:val="0"/>
              <w:spacing w:before="0" w:after="283"/>
              <w:ind w:left="0" w:right="0" w:hanging="0"/>
              <w:jc w:val="left"/>
              <w:rPr>
                <w:caps w:val="false"/>
                <w:smallCaps w:val="false"/>
                <w:color w:val="000000"/>
              </w:rPr>
            </w:pPr>
            <w:r>
              <w:rPr>
                <w:caps w:val="false"/>
                <w:smallCaps w:val="false"/>
                <w:color w:val="000000"/>
              </w:rPr>
              <w:t> </w:t>
            </w:r>
          </w:p>
        </w:tc>
        <w:tc>
          <w:tcPr>
            <w:tcW w:w="75" w:type="dxa"/>
            <w:tcBorders/>
            <w:vAlign w:val="center"/>
          </w:tcPr>
          <w:p>
            <w:pPr>
              <w:pStyle w:val="TableContents"/>
              <w:bidi w:val="0"/>
              <w:spacing w:before="0" w:after="283"/>
              <w:ind w:left="0" w:right="0" w:hanging="0"/>
              <w:jc w:val="left"/>
              <w:rPr>
                <w:caps w:val="false"/>
                <w:smallCaps w:val="false"/>
                <w:color w:val="000000"/>
              </w:rPr>
            </w:pPr>
            <w:r>
              <w:rPr>
                <w:caps w:val="false"/>
                <w:smallCaps w:val="false"/>
                <w:color w:val="000000"/>
              </w:rPr>
              <w:t> </w:t>
            </w:r>
          </w:p>
        </w:tc>
      </w:tr>
      <w:tr>
        <w:trPr/>
        <w:tc>
          <w:tcPr>
            <w:tcW w:w="4525" w:type="dxa"/>
            <w:gridSpan w:val="2"/>
            <w:tcBorders>
              <w:bottom w:val="single" w:sz="8"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 Marc Brooks</w:t>
            </w:r>
          </w:p>
        </w:tc>
        <w:tc>
          <w:tcPr>
            <w:tcW w:w="75" w:type="dxa"/>
            <w:tcBorders/>
            <w:vAlign w:val="center"/>
          </w:tcPr>
          <w:p>
            <w:pPr>
              <w:pStyle w:val="TableContents"/>
              <w:bidi w:val="0"/>
              <w:spacing w:before="0" w:after="283"/>
              <w:ind w:left="0" w:right="0" w:hanging="0"/>
              <w:jc w:val="left"/>
              <w:rPr>
                <w:caps w:val="false"/>
                <w:smallCaps w:val="false"/>
                <w:color w:val="000000"/>
              </w:rPr>
            </w:pPr>
            <w:r>
              <w:rPr>
                <w:caps w:val="false"/>
                <w:smallCaps w:val="false"/>
                <w:color w:val="000000"/>
              </w:rPr>
              <w:t> </w:t>
            </w:r>
          </w:p>
        </w:tc>
      </w:tr>
      <w:tr>
        <w:trPr/>
        <w:tc>
          <w:tcPr>
            <w:tcW w:w="4525" w:type="dxa"/>
            <w:gridSpan w:val="2"/>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Marc Brooks, Executive Director</w:t>
            </w:r>
          </w:p>
        </w:tc>
        <w:tc>
          <w:tcPr>
            <w:tcW w:w="75" w:type="dxa"/>
            <w:tcBorders/>
            <w:vAlign w:val="center"/>
          </w:tcPr>
          <w:p>
            <w:pPr>
              <w:pStyle w:val="TableContents"/>
              <w:bidi w:val="0"/>
              <w:spacing w:before="0" w:after="283"/>
              <w:ind w:left="0" w:right="0" w:hanging="0"/>
              <w:jc w:val="left"/>
              <w:rPr>
                <w:caps w:val="false"/>
                <w:smallCaps w:val="false"/>
                <w:color w:val="000000"/>
              </w:rPr>
            </w:pPr>
            <w:r>
              <w:rPr>
                <w:caps w:val="false"/>
                <w:smallCaps w:val="false"/>
                <w:color w:val="000000"/>
              </w:rPr>
              <w:t> </w:t>
            </w:r>
          </w:p>
        </w:tc>
      </w:tr>
      <w:tr>
        <w:trPr/>
        <w:tc>
          <w:tcPr>
            <w:tcW w:w="1640"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Dated:</w:t>
            </w:r>
          </w:p>
        </w:tc>
        <w:tc>
          <w:tcPr>
            <w:tcW w:w="2885" w:type="dxa"/>
            <w:tcBorders>
              <w:bottom w:val="single" w:sz="8"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11/29/23</w:t>
            </w:r>
          </w:p>
        </w:tc>
        <w:tc>
          <w:tcPr>
            <w:tcW w:w="75" w:type="dxa"/>
            <w:tcBorders/>
            <w:vAlign w:val="center"/>
          </w:tcPr>
          <w:p>
            <w:pPr>
              <w:pStyle w:val="TableContents"/>
              <w:bidi w:val="0"/>
              <w:spacing w:before="0" w:after="283"/>
              <w:ind w:left="0" w:right="0" w:hanging="0"/>
              <w:jc w:val="left"/>
              <w:rPr>
                <w:caps w:val="false"/>
                <w:smallCaps w:val="false"/>
                <w:color w:val="000000"/>
              </w:rPr>
            </w:pPr>
            <w:r>
              <w:rPr>
                <w:caps w:val="false"/>
                <w:smallCaps w:val="false"/>
                <w:color w:val="000000"/>
              </w:rPr>
              <w:t> </w:t>
            </w:r>
          </w:p>
        </w:tc>
      </w:tr>
      <w:tr>
        <w:trPr/>
        <w:tc>
          <w:tcPr>
            <w:tcW w:w="1640" w:type="dxa"/>
            <w:tcBorders/>
            <w:vAlign w:val="center"/>
          </w:tcPr>
          <w:p>
            <w:pPr>
              <w:pStyle w:val="TableContents"/>
              <w:bidi w:val="0"/>
              <w:spacing w:before="0" w:after="283"/>
              <w:ind w:left="0" w:right="0" w:hanging="0"/>
              <w:jc w:val="left"/>
              <w:rPr>
                <w:caps w:val="false"/>
                <w:smallCaps w:val="false"/>
                <w:color w:val="000000"/>
              </w:rPr>
            </w:pPr>
            <w:r>
              <w:rPr>
                <w:caps w:val="false"/>
                <w:smallCaps w:val="false"/>
                <w:color w:val="000000"/>
              </w:rPr>
              <w:t> </w:t>
            </w:r>
          </w:p>
        </w:tc>
        <w:tc>
          <w:tcPr>
            <w:tcW w:w="2885" w:type="dxa"/>
            <w:tcBorders/>
            <w:vAlign w:val="center"/>
          </w:tcPr>
          <w:p>
            <w:pPr>
              <w:pStyle w:val="TableContents"/>
              <w:bidi w:val="0"/>
              <w:spacing w:before="0" w:after="283"/>
              <w:ind w:left="0" w:right="0" w:hanging="0"/>
              <w:jc w:val="left"/>
              <w:rPr>
                <w:caps w:val="false"/>
                <w:smallCaps w:val="false"/>
                <w:color w:val="000000"/>
              </w:rPr>
            </w:pPr>
            <w:r>
              <w:rPr>
                <w:caps w:val="false"/>
                <w:smallCaps w:val="false"/>
                <w:color w:val="000000"/>
              </w:rPr>
              <w:t> </w:t>
            </w:r>
          </w:p>
        </w:tc>
        <w:tc>
          <w:tcPr>
            <w:tcW w:w="75" w:type="dxa"/>
            <w:tcBorders/>
            <w:vAlign w:val="center"/>
          </w:tcPr>
          <w:p>
            <w:pPr>
              <w:pStyle w:val="TableContents"/>
              <w:bidi w:val="0"/>
              <w:spacing w:before="0" w:after="283"/>
              <w:ind w:left="0" w:right="0" w:hanging="0"/>
              <w:jc w:val="left"/>
              <w:rPr>
                <w:caps w:val="false"/>
                <w:smallCaps w:val="false"/>
                <w:color w:val="000000"/>
              </w:rPr>
            </w:pPr>
            <w:r>
              <w:rPr>
                <w:caps w:val="false"/>
                <w:smallCaps w:val="false"/>
                <w:color w:val="000000"/>
              </w:rPr>
              <w:t> </w:t>
            </w:r>
          </w:p>
        </w:tc>
      </w:tr>
      <w:tr>
        <w:trPr/>
        <w:tc>
          <w:tcPr>
            <w:tcW w:w="1640" w:type="dxa"/>
            <w:tcBorders/>
            <w:vAlign w:val="center"/>
          </w:tcPr>
          <w:p>
            <w:pPr>
              <w:pStyle w:val="TableContents"/>
              <w:bidi w:val="0"/>
              <w:spacing w:before="0" w:after="283"/>
              <w:ind w:left="0" w:right="0" w:hanging="0"/>
              <w:jc w:val="left"/>
              <w:rPr>
                <w:caps w:val="false"/>
                <w:smallCaps w:val="false"/>
                <w:color w:val="000000"/>
              </w:rPr>
            </w:pPr>
            <w:r>
              <w:rPr>
                <w:caps w:val="false"/>
                <w:smallCaps w:val="false"/>
                <w:color w:val="000000"/>
              </w:rPr>
              <w:t> </w:t>
            </w:r>
          </w:p>
        </w:tc>
        <w:tc>
          <w:tcPr>
            <w:tcW w:w="2885" w:type="dxa"/>
            <w:tcBorders/>
            <w:vAlign w:val="center"/>
          </w:tcPr>
          <w:p>
            <w:pPr>
              <w:pStyle w:val="TableContents"/>
              <w:bidi w:val="0"/>
              <w:spacing w:before="0" w:after="283"/>
              <w:ind w:left="0" w:right="0" w:hanging="0"/>
              <w:jc w:val="left"/>
              <w:rPr>
                <w:caps w:val="false"/>
                <w:smallCaps w:val="false"/>
                <w:color w:val="000000"/>
              </w:rPr>
            </w:pPr>
            <w:r>
              <w:rPr>
                <w:caps w:val="false"/>
                <w:smallCaps w:val="false"/>
                <w:color w:val="000000"/>
              </w:rPr>
              <w:t> </w:t>
            </w:r>
          </w:p>
        </w:tc>
        <w:tc>
          <w:tcPr>
            <w:tcW w:w="75" w:type="dxa"/>
            <w:tcBorders/>
            <w:vAlign w:val="center"/>
          </w:tcPr>
          <w:p>
            <w:pPr>
              <w:pStyle w:val="TableContents"/>
              <w:bidi w:val="0"/>
              <w:spacing w:before="0" w:after="283"/>
              <w:ind w:left="0" w:right="0" w:hanging="0"/>
              <w:jc w:val="left"/>
              <w:rPr>
                <w:caps w:val="false"/>
                <w:smallCaps w:val="false"/>
                <w:color w:val="000000"/>
              </w:rPr>
            </w:pPr>
            <w:r>
              <w:rPr>
                <w:caps w:val="false"/>
                <w:smallCaps w:val="false"/>
                <w:color w:val="000000"/>
              </w:rPr>
              <w:t> </w:t>
            </w:r>
          </w:p>
        </w:tc>
      </w:tr>
      <w:tr>
        <w:trPr/>
        <w:tc>
          <w:tcPr>
            <w:tcW w:w="4525" w:type="dxa"/>
            <w:gridSpan w:val="2"/>
            <w:tcBorders/>
            <w:vAlign w:val="center"/>
          </w:tcPr>
          <w:p>
            <w:pPr>
              <w:pStyle w:val="TableContents"/>
              <w:bidi w:val="0"/>
              <w:spacing w:before="0" w:after="283"/>
              <w:ind w:left="0"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MIDDLESEX WATER COMPANY</w:t>
            </w:r>
          </w:p>
        </w:tc>
        <w:tc>
          <w:tcPr>
            <w:tcW w:w="75" w:type="dxa"/>
            <w:tcBorders/>
            <w:vAlign w:val="center"/>
          </w:tcPr>
          <w:p>
            <w:pPr>
              <w:pStyle w:val="TableContents"/>
              <w:bidi w:val="0"/>
              <w:spacing w:before="0" w:after="283"/>
              <w:ind w:left="0" w:right="0" w:hanging="0"/>
              <w:jc w:val="left"/>
              <w:rPr>
                <w:caps w:val="false"/>
                <w:smallCaps w:val="false"/>
                <w:color w:val="000000"/>
              </w:rPr>
            </w:pPr>
            <w:r>
              <w:rPr>
                <w:caps w:val="false"/>
                <w:smallCaps w:val="false"/>
                <w:color w:val="000000"/>
              </w:rPr>
              <w:t> </w:t>
            </w:r>
          </w:p>
        </w:tc>
      </w:tr>
      <w:tr>
        <w:trPr/>
        <w:tc>
          <w:tcPr>
            <w:tcW w:w="4525" w:type="dxa"/>
            <w:gridSpan w:val="2"/>
            <w:tcBorders/>
            <w:vAlign w:val="center"/>
          </w:tcPr>
          <w:p>
            <w:pPr>
              <w:pStyle w:val="TableContents"/>
              <w:bidi w:val="0"/>
              <w:spacing w:before="0" w:after="283"/>
              <w:ind w:left="0" w:right="0" w:hanging="0"/>
              <w:jc w:val="left"/>
              <w:rPr>
                <w:caps w:val="false"/>
                <w:smallCaps w:val="false"/>
                <w:color w:val="000000"/>
              </w:rPr>
            </w:pPr>
            <w:r>
              <w:rPr>
                <w:caps w:val="false"/>
                <w:smallCaps w:val="false"/>
                <w:color w:val="000000"/>
              </w:rPr>
              <w:t> </w:t>
            </w:r>
          </w:p>
        </w:tc>
        <w:tc>
          <w:tcPr>
            <w:tcW w:w="75" w:type="dxa"/>
            <w:tcBorders/>
            <w:vAlign w:val="center"/>
          </w:tcPr>
          <w:p>
            <w:pPr>
              <w:pStyle w:val="TableContents"/>
              <w:bidi w:val="0"/>
              <w:spacing w:before="0" w:after="283"/>
              <w:ind w:left="0" w:right="0" w:hanging="0"/>
              <w:jc w:val="left"/>
              <w:rPr>
                <w:caps w:val="false"/>
                <w:smallCaps w:val="false"/>
                <w:color w:val="000000"/>
              </w:rPr>
            </w:pPr>
            <w:r>
              <w:rPr>
                <w:caps w:val="false"/>
                <w:smallCaps w:val="false"/>
                <w:color w:val="000000"/>
              </w:rPr>
              <w:t> </w:t>
            </w:r>
          </w:p>
        </w:tc>
      </w:tr>
      <w:tr>
        <w:trPr/>
        <w:tc>
          <w:tcPr>
            <w:tcW w:w="4525" w:type="dxa"/>
            <w:gridSpan w:val="2"/>
            <w:tcBorders/>
            <w:vAlign w:val="center"/>
          </w:tcPr>
          <w:p>
            <w:pPr>
              <w:pStyle w:val="TableContents"/>
              <w:bidi w:val="0"/>
              <w:spacing w:before="0" w:after="283"/>
              <w:ind w:left="0" w:right="0" w:hanging="0"/>
              <w:jc w:val="left"/>
              <w:rPr>
                <w:caps w:val="false"/>
                <w:smallCaps w:val="false"/>
                <w:color w:val="000000"/>
              </w:rPr>
            </w:pPr>
            <w:r>
              <w:rPr>
                <w:caps w:val="false"/>
                <w:smallCaps w:val="false"/>
                <w:color w:val="000000"/>
              </w:rPr>
              <w:t> </w:t>
            </w:r>
          </w:p>
        </w:tc>
        <w:tc>
          <w:tcPr>
            <w:tcW w:w="75" w:type="dxa"/>
            <w:tcBorders/>
            <w:vAlign w:val="center"/>
          </w:tcPr>
          <w:p>
            <w:pPr>
              <w:pStyle w:val="TableContents"/>
              <w:bidi w:val="0"/>
              <w:spacing w:before="0" w:after="283"/>
              <w:ind w:left="0" w:right="0" w:hanging="0"/>
              <w:jc w:val="left"/>
              <w:rPr>
                <w:caps w:val="false"/>
                <w:smallCaps w:val="false"/>
                <w:color w:val="000000"/>
              </w:rPr>
            </w:pPr>
            <w:r>
              <w:rPr>
                <w:caps w:val="false"/>
                <w:smallCaps w:val="false"/>
                <w:color w:val="000000"/>
              </w:rPr>
              <w:t> </w:t>
            </w:r>
          </w:p>
        </w:tc>
      </w:tr>
      <w:tr>
        <w:trPr/>
        <w:tc>
          <w:tcPr>
            <w:tcW w:w="4525" w:type="dxa"/>
            <w:gridSpan w:val="2"/>
            <w:tcBorders>
              <w:bottom w:val="single" w:sz="8"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 Dennis W. Doll</w:t>
            </w:r>
          </w:p>
        </w:tc>
        <w:tc>
          <w:tcPr>
            <w:tcW w:w="75" w:type="dxa"/>
            <w:tcBorders/>
            <w:vAlign w:val="center"/>
          </w:tcPr>
          <w:p>
            <w:pPr>
              <w:pStyle w:val="TableContents"/>
              <w:bidi w:val="0"/>
              <w:spacing w:before="0" w:after="283"/>
              <w:ind w:left="0" w:right="0" w:hanging="0"/>
              <w:jc w:val="left"/>
              <w:rPr>
                <w:caps w:val="false"/>
                <w:smallCaps w:val="false"/>
                <w:color w:val="000000"/>
              </w:rPr>
            </w:pPr>
            <w:r>
              <w:rPr>
                <w:caps w:val="false"/>
                <w:smallCaps w:val="false"/>
                <w:color w:val="000000"/>
              </w:rPr>
              <w:t> </w:t>
            </w:r>
          </w:p>
        </w:tc>
      </w:tr>
      <w:tr>
        <w:trPr/>
        <w:tc>
          <w:tcPr>
            <w:tcW w:w="1640"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Name Printed/Title:</w:t>
            </w:r>
          </w:p>
        </w:tc>
        <w:tc>
          <w:tcPr>
            <w:tcW w:w="2885" w:type="dxa"/>
            <w:tcBorders>
              <w:bottom w:val="single" w:sz="8"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Dennis W. Doll, President and CEO</w:t>
            </w:r>
          </w:p>
        </w:tc>
        <w:tc>
          <w:tcPr>
            <w:tcW w:w="75" w:type="dxa"/>
            <w:tcBorders/>
            <w:vAlign w:val="center"/>
          </w:tcPr>
          <w:p>
            <w:pPr>
              <w:pStyle w:val="TableContents"/>
              <w:bidi w:val="0"/>
              <w:spacing w:before="0" w:after="283"/>
              <w:ind w:left="0" w:right="0" w:hanging="0"/>
              <w:jc w:val="left"/>
              <w:rPr>
                <w:caps w:val="false"/>
                <w:smallCaps w:val="false"/>
                <w:color w:val="000000"/>
              </w:rPr>
            </w:pPr>
            <w:r>
              <w:rPr>
                <w:caps w:val="false"/>
                <w:smallCaps w:val="false"/>
                <w:color w:val="000000"/>
              </w:rPr>
              <w:t> </w:t>
            </w:r>
          </w:p>
        </w:tc>
      </w:tr>
      <w:tr>
        <w:trPr/>
        <w:tc>
          <w:tcPr>
            <w:tcW w:w="1640"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Dated:</w:t>
            </w:r>
          </w:p>
        </w:tc>
        <w:tc>
          <w:tcPr>
            <w:tcW w:w="2885" w:type="dxa"/>
            <w:tcBorders>
              <w:bottom w:val="single" w:sz="8"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10/24/23</w:t>
            </w:r>
          </w:p>
        </w:tc>
        <w:tc>
          <w:tcPr>
            <w:tcW w:w="75" w:type="dxa"/>
            <w:tcBorders/>
            <w:vAlign w:val="center"/>
          </w:tcPr>
          <w:p>
            <w:pPr>
              <w:pStyle w:val="TableContents"/>
              <w:bidi w:val="0"/>
              <w:spacing w:before="0" w:after="283"/>
              <w:ind w:left="0" w:right="0" w:hanging="0"/>
              <w:jc w:val="left"/>
              <w:rPr>
                <w:caps w:val="false"/>
                <w:smallCaps w:val="false"/>
                <w:color w:val="000000"/>
              </w:rPr>
            </w:pPr>
            <w:r>
              <w:rPr>
                <w:caps w:val="false"/>
                <w:smallCaps w:val="false"/>
                <w:color w:val="000000"/>
              </w:rPr>
              <w:t> </w:t>
            </w:r>
          </w:p>
        </w:tc>
      </w:tr>
      <w:tr>
        <w:trPr/>
        <w:tc>
          <w:tcPr>
            <w:tcW w:w="1640" w:type="dxa"/>
            <w:tcBorders/>
            <w:vAlign w:val="center"/>
          </w:tcPr>
          <w:p>
            <w:pPr>
              <w:pStyle w:val="TableContents"/>
              <w:bidi w:val="0"/>
              <w:spacing w:before="0" w:after="283"/>
              <w:ind w:left="0" w:right="0" w:hanging="0"/>
              <w:jc w:val="left"/>
              <w:rPr>
                <w:caps w:val="false"/>
                <w:smallCaps w:val="false"/>
                <w:color w:val="000000"/>
              </w:rPr>
            </w:pPr>
            <w:r>
              <w:rPr>
                <w:caps w:val="false"/>
                <w:smallCaps w:val="false"/>
                <w:color w:val="000000"/>
              </w:rPr>
              <w:t> </w:t>
            </w:r>
          </w:p>
        </w:tc>
        <w:tc>
          <w:tcPr>
            <w:tcW w:w="2885" w:type="dxa"/>
            <w:tcBorders/>
            <w:vAlign w:val="center"/>
          </w:tcPr>
          <w:p>
            <w:pPr>
              <w:pStyle w:val="TableContents"/>
              <w:bidi w:val="0"/>
              <w:spacing w:before="0" w:after="283"/>
              <w:ind w:left="0" w:right="0" w:hanging="0"/>
              <w:jc w:val="left"/>
              <w:rPr>
                <w:caps w:val="false"/>
                <w:smallCaps w:val="false"/>
                <w:color w:val="000000"/>
              </w:rPr>
            </w:pPr>
            <w:r>
              <w:rPr>
                <w:caps w:val="false"/>
                <w:smallCaps w:val="false"/>
                <w:color w:val="000000"/>
              </w:rPr>
              <w:t> </w:t>
            </w:r>
          </w:p>
        </w:tc>
        <w:tc>
          <w:tcPr>
            <w:tcW w:w="75" w:type="dxa"/>
            <w:tcBorders/>
            <w:vAlign w:val="center"/>
          </w:tcPr>
          <w:p>
            <w:pPr>
              <w:pStyle w:val="TableContents"/>
              <w:bidi w:val="0"/>
              <w:spacing w:before="0" w:after="283"/>
              <w:ind w:left="0" w:right="0" w:hanging="0"/>
              <w:jc w:val="left"/>
              <w:rPr>
                <w:caps w:val="false"/>
                <w:smallCaps w:val="false"/>
                <w:color w:val="000000"/>
              </w:rPr>
            </w:pPr>
            <w:r>
              <w:rPr>
                <w:caps w:val="false"/>
                <w:smallCaps w:val="false"/>
                <w:color w:val="000000"/>
              </w:rPr>
              <w:t> </w:t>
            </w:r>
          </w:p>
        </w:tc>
      </w:tr>
      <w:tr>
        <w:trPr/>
        <w:tc>
          <w:tcPr>
            <w:tcW w:w="1640" w:type="dxa"/>
            <w:tcBorders/>
            <w:vAlign w:val="center"/>
          </w:tcPr>
          <w:p>
            <w:pPr>
              <w:pStyle w:val="TableContents"/>
              <w:bidi w:val="0"/>
              <w:spacing w:before="0" w:after="283"/>
              <w:ind w:left="0" w:right="0" w:hanging="0"/>
              <w:jc w:val="left"/>
              <w:rPr>
                <w:caps w:val="false"/>
                <w:smallCaps w:val="false"/>
                <w:color w:val="000000"/>
              </w:rPr>
            </w:pPr>
            <w:r>
              <w:rPr>
                <w:caps w:val="false"/>
                <w:smallCaps w:val="false"/>
                <w:color w:val="000000"/>
              </w:rPr>
              <w:t> </w:t>
            </w:r>
          </w:p>
        </w:tc>
        <w:tc>
          <w:tcPr>
            <w:tcW w:w="2885" w:type="dxa"/>
            <w:tcBorders/>
            <w:vAlign w:val="center"/>
          </w:tcPr>
          <w:p>
            <w:pPr>
              <w:pStyle w:val="TableContents"/>
              <w:bidi w:val="0"/>
              <w:spacing w:before="0" w:after="283"/>
              <w:ind w:left="0" w:right="0" w:hanging="0"/>
              <w:jc w:val="left"/>
              <w:rPr>
                <w:caps w:val="false"/>
                <w:smallCaps w:val="false"/>
                <w:color w:val="000000"/>
              </w:rPr>
            </w:pPr>
            <w:r>
              <w:rPr>
                <w:caps w:val="false"/>
                <w:smallCaps w:val="false"/>
                <w:color w:val="000000"/>
              </w:rPr>
              <w:t> </w:t>
            </w:r>
          </w:p>
        </w:tc>
        <w:tc>
          <w:tcPr>
            <w:tcW w:w="75" w:type="dxa"/>
            <w:tcBorders/>
            <w:vAlign w:val="center"/>
          </w:tcPr>
          <w:p>
            <w:pPr>
              <w:pStyle w:val="TableContents"/>
              <w:bidi w:val="0"/>
              <w:spacing w:before="0" w:after="283"/>
              <w:ind w:left="0" w:right="0" w:hanging="0"/>
              <w:jc w:val="left"/>
              <w:rPr>
                <w:caps w:val="false"/>
                <w:smallCaps w:val="false"/>
                <w:color w:val="000000"/>
              </w:rPr>
            </w:pPr>
            <w:r>
              <w:rPr>
                <w:caps w:val="false"/>
                <w:smallCaps w:val="false"/>
                <w:color w:val="000000"/>
              </w:rPr>
              <w:t> </w:t>
            </w:r>
          </w:p>
        </w:tc>
      </w:tr>
      <w:tr>
        <w:trPr/>
        <w:tc>
          <w:tcPr>
            <w:tcW w:w="4525" w:type="dxa"/>
            <w:gridSpan w:val="2"/>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Reviewed and Approved As to Form Only:</w:t>
            </w:r>
          </w:p>
        </w:tc>
        <w:tc>
          <w:tcPr>
            <w:tcW w:w="75" w:type="dxa"/>
            <w:tcBorders/>
            <w:vAlign w:val="center"/>
          </w:tcPr>
          <w:p>
            <w:pPr>
              <w:pStyle w:val="TableContents"/>
              <w:bidi w:val="0"/>
              <w:spacing w:before="0" w:after="283"/>
              <w:ind w:left="0" w:right="0" w:hanging="0"/>
              <w:jc w:val="left"/>
              <w:rPr>
                <w:caps w:val="false"/>
                <w:smallCaps w:val="false"/>
                <w:color w:val="000000"/>
              </w:rPr>
            </w:pPr>
            <w:r>
              <w:rPr>
                <w:caps w:val="false"/>
                <w:smallCaps w:val="false"/>
                <w:color w:val="000000"/>
              </w:rPr>
              <w:t> </w:t>
            </w:r>
          </w:p>
        </w:tc>
      </w:tr>
      <w:tr>
        <w:trPr/>
        <w:tc>
          <w:tcPr>
            <w:tcW w:w="1640" w:type="dxa"/>
            <w:tcBorders/>
            <w:vAlign w:val="center"/>
          </w:tcPr>
          <w:p>
            <w:pPr>
              <w:pStyle w:val="TableContents"/>
              <w:bidi w:val="0"/>
              <w:spacing w:before="0" w:after="283"/>
              <w:ind w:left="0" w:right="0" w:hanging="0"/>
              <w:jc w:val="left"/>
              <w:rPr>
                <w:caps w:val="false"/>
                <w:smallCaps w:val="false"/>
                <w:color w:val="000000"/>
              </w:rPr>
            </w:pPr>
            <w:r>
              <w:rPr>
                <w:caps w:val="false"/>
                <w:smallCaps w:val="false"/>
                <w:color w:val="000000"/>
              </w:rPr>
              <w:t> </w:t>
            </w:r>
          </w:p>
        </w:tc>
        <w:tc>
          <w:tcPr>
            <w:tcW w:w="2885" w:type="dxa"/>
            <w:tcBorders/>
            <w:vAlign w:val="center"/>
          </w:tcPr>
          <w:p>
            <w:pPr>
              <w:pStyle w:val="TableContents"/>
              <w:bidi w:val="0"/>
              <w:spacing w:before="0" w:after="283"/>
              <w:ind w:left="0" w:right="0" w:hanging="0"/>
              <w:jc w:val="left"/>
              <w:rPr>
                <w:caps w:val="false"/>
                <w:smallCaps w:val="false"/>
                <w:color w:val="000000"/>
              </w:rPr>
            </w:pPr>
            <w:r>
              <w:rPr>
                <w:caps w:val="false"/>
                <w:smallCaps w:val="false"/>
                <w:color w:val="000000"/>
              </w:rPr>
              <w:t> </w:t>
            </w:r>
          </w:p>
        </w:tc>
        <w:tc>
          <w:tcPr>
            <w:tcW w:w="75" w:type="dxa"/>
            <w:tcBorders/>
            <w:vAlign w:val="center"/>
          </w:tcPr>
          <w:p>
            <w:pPr>
              <w:pStyle w:val="TableContents"/>
              <w:bidi w:val="0"/>
              <w:spacing w:before="0" w:after="283"/>
              <w:ind w:left="0" w:right="0" w:hanging="0"/>
              <w:jc w:val="left"/>
              <w:rPr>
                <w:caps w:val="false"/>
                <w:smallCaps w:val="false"/>
                <w:color w:val="000000"/>
              </w:rPr>
            </w:pPr>
            <w:r>
              <w:rPr>
                <w:caps w:val="false"/>
                <w:smallCaps w:val="false"/>
                <w:color w:val="000000"/>
              </w:rPr>
              <w:t> </w:t>
            </w:r>
          </w:p>
        </w:tc>
      </w:tr>
      <w:tr>
        <w:trPr/>
        <w:tc>
          <w:tcPr>
            <w:tcW w:w="4525" w:type="dxa"/>
            <w:gridSpan w:val="2"/>
            <w:tcBorders/>
            <w:vAlign w:val="center"/>
          </w:tcPr>
          <w:p>
            <w:pPr>
              <w:pStyle w:val="TableContents"/>
              <w:bidi w:val="0"/>
              <w:spacing w:before="0" w:after="283"/>
              <w:ind w:left="0"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Matthew J. Platkin</w:t>
            </w:r>
          </w:p>
        </w:tc>
        <w:tc>
          <w:tcPr>
            <w:tcW w:w="75" w:type="dxa"/>
            <w:tcBorders/>
            <w:vAlign w:val="center"/>
          </w:tcPr>
          <w:p>
            <w:pPr>
              <w:pStyle w:val="TableContents"/>
              <w:bidi w:val="0"/>
              <w:spacing w:before="0" w:after="283"/>
              <w:ind w:left="0" w:right="0" w:hanging="0"/>
              <w:jc w:val="left"/>
              <w:rPr>
                <w:caps w:val="false"/>
                <w:smallCaps w:val="false"/>
                <w:color w:val="000000"/>
              </w:rPr>
            </w:pPr>
            <w:r>
              <w:rPr>
                <w:caps w:val="false"/>
                <w:smallCaps w:val="false"/>
                <w:color w:val="000000"/>
              </w:rPr>
              <w:t> </w:t>
            </w:r>
          </w:p>
        </w:tc>
      </w:tr>
      <w:tr>
        <w:trPr/>
        <w:tc>
          <w:tcPr>
            <w:tcW w:w="1640" w:type="dxa"/>
            <w:tcBorders/>
            <w:vAlign w:val="center"/>
          </w:tcPr>
          <w:p>
            <w:pPr>
              <w:pStyle w:val="TableContents"/>
              <w:bidi w:val="0"/>
              <w:spacing w:before="0" w:after="283"/>
              <w:ind w:left="0" w:right="0" w:hanging="0"/>
              <w:jc w:val="left"/>
              <w:rPr>
                <w:caps w:val="false"/>
                <w:smallCaps w:val="false"/>
                <w:color w:val="000000"/>
              </w:rPr>
            </w:pPr>
            <w:r>
              <w:rPr>
                <w:caps w:val="false"/>
                <w:smallCaps w:val="false"/>
                <w:color w:val="000000"/>
              </w:rPr>
              <w:t> </w:t>
            </w:r>
          </w:p>
        </w:tc>
        <w:tc>
          <w:tcPr>
            <w:tcW w:w="2885" w:type="dxa"/>
            <w:tcBorders/>
            <w:vAlign w:val="center"/>
          </w:tcPr>
          <w:p>
            <w:pPr>
              <w:pStyle w:val="TableContents"/>
              <w:bidi w:val="0"/>
              <w:spacing w:before="0" w:after="283"/>
              <w:ind w:left="0" w:right="0" w:hanging="0"/>
              <w:jc w:val="left"/>
              <w:rPr>
                <w:caps w:val="false"/>
                <w:smallCaps w:val="false"/>
                <w:color w:val="000000"/>
              </w:rPr>
            </w:pPr>
            <w:r>
              <w:rPr>
                <w:caps w:val="false"/>
                <w:smallCaps w:val="false"/>
                <w:color w:val="000000"/>
              </w:rPr>
              <w:t> </w:t>
            </w:r>
          </w:p>
        </w:tc>
        <w:tc>
          <w:tcPr>
            <w:tcW w:w="75" w:type="dxa"/>
            <w:tcBorders/>
            <w:vAlign w:val="center"/>
          </w:tcPr>
          <w:p>
            <w:pPr>
              <w:pStyle w:val="TableContents"/>
              <w:bidi w:val="0"/>
              <w:spacing w:before="0" w:after="283"/>
              <w:ind w:left="0" w:right="0" w:hanging="0"/>
              <w:jc w:val="left"/>
              <w:rPr>
                <w:caps w:val="false"/>
                <w:smallCaps w:val="false"/>
                <w:color w:val="000000"/>
              </w:rPr>
            </w:pPr>
            <w:r>
              <w:rPr>
                <w:caps w:val="false"/>
                <w:smallCaps w:val="false"/>
                <w:color w:val="000000"/>
              </w:rPr>
              <w:t> </w:t>
            </w:r>
          </w:p>
        </w:tc>
      </w:tr>
      <w:tr>
        <w:trPr/>
        <w:tc>
          <w:tcPr>
            <w:tcW w:w="4525" w:type="dxa"/>
            <w:gridSpan w:val="2"/>
            <w:tcBorders/>
            <w:vAlign w:val="center"/>
          </w:tcPr>
          <w:p>
            <w:pPr>
              <w:pStyle w:val="TableContents"/>
              <w:bidi w:val="0"/>
              <w:spacing w:before="0" w:after="283"/>
              <w:ind w:left="0"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Attorney General for New Jersey</w:t>
            </w:r>
          </w:p>
        </w:tc>
        <w:tc>
          <w:tcPr>
            <w:tcW w:w="75" w:type="dxa"/>
            <w:tcBorders/>
            <w:vAlign w:val="center"/>
          </w:tcPr>
          <w:p>
            <w:pPr>
              <w:pStyle w:val="TableContents"/>
              <w:bidi w:val="0"/>
              <w:spacing w:before="0" w:after="283"/>
              <w:ind w:left="0" w:right="0" w:hanging="0"/>
              <w:jc w:val="left"/>
              <w:rPr>
                <w:caps w:val="false"/>
                <w:smallCaps w:val="false"/>
                <w:color w:val="000000"/>
              </w:rPr>
            </w:pPr>
            <w:r>
              <w:rPr>
                <w:caps w:val="false"/>
                <w:smallCaps w:val="false"/>
                <w:color w:val="000000"/>
              </w:rPr>
              <w:t> </w:t>
            </w:r>
          </w:p>
        </w:tc>
      </w:tr>
      <w:tr>
        <w:trPr/>
        <w:tc>
          <w:tcPr>
            <w:tcW w:w="1640" w:type="dxa"/>
            <w:tcBorders/>
            <w:vAlign w:val="center"/>
          </w:tcPr>
          <w:p>
            <w:pPr>
              <w:pStyle w:val="TableContents"/>
              <w:bidi w:val="0"/>
              <w:spacing w:before="0" w:after="283"/>
              <w:ind w:left="0" w:right="0" w:hanging="0"/>
              <w:jc w:val="left"/>
              <w:rPr>
                <w:caps w:val="false"/>
                <w:smallCaps w:val="false"/>
                <w:color w:val="000000"/>
              </w:rPr>
            </w:pPr>
            <w:r>
              <w:rPr>
                <w:caps w:val="false"/>
                <w:smallCaps w:val="false"/>
                <w:color w:val="000000"/>
              </w:rPr>
              <w:t> </w:t>
            </w:r>
          </w:p>
        </w:tc>
        <w:tc>
          <w:tcPr>
            <w:tcW w:w="2885" w:type="dxa"/>
            <w:tcBorders/>
            <w:vAlign w:val="center"/>
          </w:tcPr>
          <w:p>
            <w:pPr>
              <w:pStyle w:val="TableContents"/>
              <w:bidi w:val="0"/>
              <w:spacing w:before="0" w:after="283"/>
              <w:ind w:left="0" w:right="0" w:hanging="0"/>
              <w:jc w:val="left"/>
              <w:rPr>
                <w:caps w:val="false"/>
                <w:smallCaps w:val="false"/>
                <w:color w:val="000000"/>
              </w:rPr>
            </w:pPr>
            <w:r>
              <w:rPr>
                <w:caps w:val="false"/>
                <w:smallCaps w:val="false"/>
                <w:color w:val="000000"/>
              </w:rPr>
              <w:t> </w:t>
            </w:r>
          </w:p>
        </w:tc>
        <w:tc>
          <w:tcPr>
            <w:tcW w:w="75" w:type="dxa"/>
            <w:tcBorders/>
            <w:vAlign w:val="center"/>
          </w:tcPr>
          <w:p>
            <w:pPr>
              <w:pStyle w:val="TableContents"/>
              <w:bidi w:val="0"/>
              <w:spacing w:before="0" w:after="283"/>
              <w:ind w:left="0" w:right="0" w:hanging="0"/>
              <w:jc w:val="left"/>
              <w:rPr>
                <w:caps w:val="false"/>
                <w:smallCaps w:val="false"/>
                <w:color w:val="000000"/>
              </w:rPr>
            </w:pPr>
            <w:r>
              <w:rPr>
                <w:caps w:val="false"/>
                <w:smallCaps w:val="false"/>
                <w:color w:val="000000"/>
              </w:rPr>
              <w:t> </w:t>
            </w:r>
          </w:p>
        </w:tc>
      </w:tr>
      <w:tr>
        <w:trPr/>
        <w:tc>
          <w:tcPr>
            <w:tcW w:w="1640" w:type="dxa"/>
            <w:tcBorders/>
            <w:vAlign w:val="center"/>
          </w:tcPr>
          <w:p>
            <w:pPr>
              <w:pStyle w:val="TableContents"/>
              <w:bidi w:val="0"/>
              <w:spacing w:before="0" w:after="283"/>
              <w:ind w:left="0" w:right="0" w:hanging="0"/>
              <w:jc w:val="left"/>
              <w:rPr>
                <w:caps w:val="false"/>
                <w:smallCaps w:val="false"/>
                <w:color w:val="000000"/>
              </w:rPr>
            </w:pPr>
            <w:r>
              <w:rPr>
                <w:caps w:val="false"/>
                <w:smallCaps w:val="false"/>
                <w:color w:val="000000"/>
              </w:rPr>
              <w:t> </w:t>
            </w:r>
          </w:p>
        </w:tc>
        <w:tc>
          <w:tcPr>
            <w:tcW w:w="2885" w:type="dxa"/>
            <w:tcBorders/>
            <w:vAlign w:val="center"/>
          </w:tcPr>
          <w:p>
            <w:pPr>
              <w:pStyle w:val="TableContents"/>
              <w:bidi w:val="0"/>
              <w:spacing w:before="0" w:after="283"/>
              <w:ind w:left="0" w:right="0" w:hanging="0"/>
              <w:jc w:val="left"/>
              <w:rPr>
                <w:caps w:val="false"/>
                <w:smallCaps w:val="false"/>
                <w:color w:val="000000"/>
              </w:rPr>
            </w:pPr>
            <w:r>
              <w:rPr>
                <w:caps w:val="false"/>
                <w:smallCaps w:val="false"/>
                <w:color w:val="000000"/>
              </w:rPr>
              <w:t> </w:t>
            </w:r>
          </w:p>
        </w:tc>
        <w:tc>
          <w:tcPr>
            <w:tcW w:w="75" w:type="dxa"/>
            <w:tcBorders/>
            <w:vAlign w:val="center"/>
          </w:tcPr>
          <w:p>
            <w:pPr>
              <w:pStyle w:val="TableContents"/>
              <w:bidi w:val="0"/>
              <w:spacing w:before="0" w:after="283"/>
              <w:ind w:left="0" w:right="0" w:hanging="0"/>
              <w:jc w:val="left"/>
              <w:rPr>
                <w:caps w:val="false"/>
                <w:smallCaps w:val="false"/>
                <w:color w:val="000000"/>
              </w:rPr>
            </w:pPr>
            <w:r>
              <w:rPr>
                <w:caps w:val="false"/>
                <w:smallCaps w:val="false"/>
                <w:color w:val="000000"/>
              </w:rPr>
              <w:t> </w:t>
            </w:r>
          </w:p>
        </w:tc>
      </w:tr>
      <w:tr>
        <w:trPr/>
        <w:tc>
          <w:tcPr>
            <w:tcW w:w="1640"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By:</w:t>
            </w:r>
          </w:p>
        </w:tc>
        <w:tc>
          <w:tcPr>
            <w:tcW w:w="2885" w:type="dxa"/>
            <w:tcBorders>
              <w:bottom w:val="single" w:sz="8"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 Kathrine Hunt</w:t>
            </w:r>
          </w:p>
        </w:tc>
        <w:tc>
          <w:tcPr>
            <w:tcW w:w="75" w:type="dxa"/>
            <w:tcBorders/>
            <w:vAlign w:val="center"/>
          </w:tcPr>
          <w:p>
            <w:pPr>
              <w:pStyle w:val="TableContents"/>
              <w:bidi w:val="0"/>
              <w:spacing w:before="0" w:after="283"/>
              <w:ind w:left="0" w:right="0" w:hanging="0"/>
              <w:jc w:val="left"/>
              <w:rPr>
                <w:caps w:val="false"/>
                <w:smallCaps w:val="false"/>
                <w:color w:val="000000"/>
              </w:rPr>
            </w:pPr>
            <w:r>
              <w:rPr>
                <w:caps w:val="false"/>
                <w:smallCaps w:val="false"/>
                <w:color w:val="000000"/>
              </w:rPr>
              <w:t> </w:t>
            </w:r>
          </w:p>
        </w:tc>
      </w:tr>
      <w:tr>
        <w:trPr/>
        <w:tc>
          <w:tcPr>
            <w:tcW w:w="1640" w:type="dxa"/>
            <w:tcBorders/>
            <w:vAlign w:val="center"/>
          </w:tcPr>
          <w:p>
            <w:pPr>
              <w:pStyle w:val="TableContents"/>
              <w:bidi w:val="0"/>
              <w:spacing w:before="0" w:after="283"/>
              <w:ind w:left="0" w:right="0" w:hanging="0"/>
              <w:jc w:val="left"/>
              <w:rPr>
                <w:caps w:val="false"/>
                <w:smallCaps w:val="false"/>
                <w:color w:val="000000"/>
              </w:rPr>
            </w:pPr>
            <w:r>
              <w:rPr>
                <w:caps w:val="false"/>
                <w:smallCaps w:val="false"/>
                <w:color w:val="000000"/>
              </w:rPr>
              <w:t> </w:t>
            </w:r>
          </w:p>
        </w:tc>
        <w:tc>
          <w:tcPr>
            <w:tcW w:w="2885" w:type="dxa"/>
            <w:tcBorders/>
            <w:vAlign w:val="center"/>
          </w:tcPr>
          <w:p>
            <w:pPr>
              <w:pStyle w:val="TableContents"/>
              <w:bidi w:val="0"/>
              <w:spacing w:before="0" w:after="283"/>
              <w:ind w:left="0" w:right="0" w:hanging="0"/>
              <w:jc w:val="left"/>
              <w:rPr>
                <w:caps w:val="false"/>
                <w:smallCaps w:val="false"/>
                <w:color w:val="000000"/>
              </w:rPr>
            </w:pPr>
            <w:r>
              <w:rPr>
                <w:caps w:val="false"/>
                <w:smallCaps w:val="false"/>
                <w:color w:val="000000"/>
              </w:rPr>
              <w:t> </w:t>
            </w:r>
          </w:p>
        </w:tc>
        <w:tc>
          <w:tcPr>
            <w:tcW w:w="75" w:type="dxa"/>
            <w:tcBorders/>
            <w:vAlign w:val="center"/>
          </w:tcPr>
          <w:p>
            <w:pPr>
              <w:pStyle w:val="TableContents"/>
              <w:bidi w:val="0"/>
              <w:spacing w:before="0" w:after="283"/>
              <w:ind w:left="0" w:right="0" w:hanging="0"/>
              <w:jc w:val="left"/>
              <w:rPr>
                <w:caps w:val="false"/>
                <w:smallCaps w:val="false"/>
                <w:color w:val="000000"/>
              </w:rPr>
            </w:pPr>
            <w:r>
              <w:rPr>
                <w:caps w:val="false"/>
                <w:smallCaps w:val="false"/>
                <w:color w:val="000000"/>
              </w:rPr>
              <w:t> </w:t>
            </w:r>
          </w:p>
        </w:tc>
      </w:tr>
      <w:tr>
        <w:trPr/>
        <w:tc>
          <w:tcPr>
            <w:tcW w:w="4525" w:type="dxa"/>
            <w:gridSpan w:val="2"/>
            <w:tcBorders/>
            <w:vAlign w:val="center"/>
          </w:tcPr>
          <w:p>
            <w:pPr>
              <w:pStyle w:val="TableContents"/>
              <w:bidi w:val="0"/>
              <w:spacing w:lineRule="atLeast" w:line="196" w:before="0" w:after="283"/>
              <w:ind w:left="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Kathrine Hunt</w:t>
            </w:r>
          </w:p>
        </w:tc>
        <w:tc>
          <w:tcPr>
            <w:tcW w:w="75" w:type="dxa"/>
            <w:tcBorders/>
            <w:vAlign w:val="center"/>
          </w:tcPr>
          <w:p>
            <w:pPr>
              <w:pStyle w:val="TableContents"/>
              <w:bidi w:val="0"/>
              <w:spacing w:lineRule="atLeast" w:line="196" w:before="0" w:after="283"/>
              <w:ind w:left="0" w:right="0" w:hanging="0"/>
              <w:jc w:val="left"/>
              <w:rPr>
                <w:caps w:val="false"/>
                <w:smallCaps w:val="false"/>
                <w:color w:val="000000"/>
              </w:rPr>
            </w:pPr>
            <w:r>
              <w:rPr>
                <w:caps w:val="false"/>
                <w:smallCaps w:val="false"/>
                <w:color w:val="000000"/>
              </w:rPr>
              <w:t> </w:t>
            </w:r>
          </w:p>
        </w:tc>
      </w:tr>
      <w:tr>
        <w:trPr/>
        <w:tc>
          <w:tcPr>
            <w:tcW w:w="4525" w:type="dxa"/>
            <w:gridSpan w:val="2"/>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Deputy Attorney General</w:t>
            </w:r>
          </w:p>
        </w:tc>
        <w:tc>
          <w:tcPr>
            <w:tcW w:w="7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tbl>
      <w:tblPr>
        <w:tblW w:w="4345" w:type="dxa"/>
        <w:jc w:val="left"/>
        <w:tblInd w:w="0" w:type="dxa"/>
        <w:tblLayout w:type="fixed"/>
        <w:tblCellMar>
          <w:top w:w="0" w:type="dxa"/>
          <w:left w:w="0" w:type="dxa"/>
          <w:bottom w:w="0" w:type="dxa"/>
          <w:right w:w="0" w:type="dxa"/>
        </w:tblCellMar>
      </w:tblPr>
      <w:tblGrid>
        <w:gridCol w:w="3485"/>
        <w:gridCol w:w="860"/>
      </w:tblGrid>
      <w:tr>
        <w:trPr/>
        <w:tc>
          <w:tcPr>
            <w:tcW w:w="3485" w:type="dxa"/>
            <w:tcBorders/>
            <w:vAlign w:val="center"/>
          </w:tcPr>
          <w:p>
            <w:pPr>
              <w:pStyle w:val="TableContents"/>
              <w:bidi w:val="0"/>
              <w:spacing w:before="0" w:after="283"/>
              <w:jc w:val="left"/>
              <w:rPr/>
            </w:pPr>
            <w:r>
              <w:rPr/>
              <w:t>New Jersey Water Supply Authority</w:t>
            </w:r>
          </w:p>
        </w:tc>
        <w:tc>
          <w:tcPr>
            <w:tcW w:w="860" w:type="dxa"/>
            <w:tcBorders/>
            <w:vAlign w:val="center"/>
          </w:tcPr>
          <w:p>
            <w:pPr>
              <w:pStyle w:val="TableContents"/>
              <w:bidi w:val="0"/>
              <w:spacing w:before="0" w:after="283"/>
              <w:jc w:val="right"/>
              <w:rPr/>
            </w:pPr>
            <w:r>
              <w:rPr/>
              <w:t>RBS-2B</w:t>
            </w:r>
          </w:p>
        </w:tc>
      </w:tr>
    </w:tbl>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31 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66" w:name="ex10-26f.htm"/>
      <w:bookmarkStart w:id="67" w:name="ksex1026f"/>
      <w:bookmarkEnd w:id="66"/>
      <w:bookmarkEnd w:id="67"/>
      <w:r>
        <w:rPr>
          <w:rFonts w:ascii="Times New Roman;Times;Serif" w:hAnsi="Times New Roman;Times;Serif"/>
          <w:b/>
          <w:i w:val="false"/>
          <w:caps w:val="false"/>
          <w:smallCaps w:val="false"/>
          <w:sz w:val="20"/>
        </w:rPr>
        <w:t>Exhibit 10.26(f)</w:t>
      </w:r>
      <w:r>
        <w:br w:type="page"/>
      </w:r>
    </w:p>
    <w:p>
      <w:pPr>
        <w:pStyle w:val="TextBody"/>
        <w:bidi w:val="0"/>
        <w:spacing w:before="0" w:after="0"/>
        <w:ind w:left="0" w:right="0" w:firstLine="4065"/>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January 29,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MIDDLESEX WATER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485C US Highway 1 South Suite 400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Iselin, New Jersey 08830-3037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WHITE MARSH ENVIRONMENTAL SYSTEMS,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485C US Highway 1 South Suite 400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Iselin, New Jersey 08830-3037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TIDEWATER UTILITIES,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 Ronson Road, PO Box 1500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Iselin, New Jersey 08830-0452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UTILITY SERVICE AFFILIATES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 Ronson Road, PO Box 1500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Iselin, New Jersey 08830-0452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UTILITY SERVICE AFFILIATES (PERTH AMBOY)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 Ronson Road, PO Box 1500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Iselin, New Jersey 08830-0452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PINELANDS WASTEWATER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485C US Highway 1 South Suite 400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Iselin, New Jersey 08830-3037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PINELANDS WATER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485C US Highway 1 South Suite 400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Iselin, New Jersey 08830-3037</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01"/>
        <w:gridCol w:w="9867"/>
      </w:tblGrid>
      <w:tr>
        <w:trPr/>
        <w:tc>
          <w:tcPr>
            <w:tcW w:w="3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pPr>
            <w:r>
              <w:rPr/>
              <w:t>Re:</w:t>
            </w:r>
          </w:p>
        </w:tc>
        <w:tc>
          <w:tcPr>
            <w:tcW w:w="9867" w:type="dxa"/>
            <w:tcBorders/>
            <w:vAlign w:val="center"/>
          </w:tcPr>
          <w:p>
            <w:pPr>
              <w:pStyle w:val="TableContents"/>
              <w:bidi w:val="0"/>
              <w:spacing w:before="0" w:after="283"/>
              <w:jc w:val="left"/>
              <w:rPr/>
            </w:pPr>
            <w:r>
              <w:rPr/>
              <w:t>Renewal of Expiration Date for that certain $68,000,000.00 Committed Line of Credit (“</w:t>
            </w:r>
            <w:r>
              <w:rPr>
                <w:b/>
              </w:rPr>
              <w:t>Line of Credit</w:t>
            </w:r>
            <w:r>
              <w:rPr/>
              <w:t>”) extended by PNC Bank, National Association (the “</w:t>
            </w:r>
            <w:r>
              <w:rPr>
                <w:b/>
              </w:rPr>
              <w:t>Bank</w:t>
            </w:r>
            <w:r>
              <w:rPr/>
              <w:t>”) to ‌Middlesex Water Company, White Marsh Environmental Systems, Inc., Tidewater Utilities, Inc., Utility Service Affiliates Inc., Utility Service Affiliates (Perth Amboy) Inc., Pinelands Wastewater Company, and Pinelands Water Company (individually and collectively, the “</w:t>
            </w:r>
            <w:r>
              <w:rPr>
                <w:b/>
              </w:rPr>
              <w:t>Borrower</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Customer: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pleased to inform you that the Line of Credit has been renewed. The Expiration Date of the Line of Credit, as set forth in that certain promissory note executed and delivered by the Borrower to the Bank dated March 17, 2023 (the “</w:t>
      </w:r>
      <w:r>
        <w:rPr>
          <w:rFonts w:ascii="Times New Roman;Times;Serif" w:hAnsi="Times New Roman;Times;Serif"/>
          <w:b/>
          <w:i w:val="false"/>
          <w:caps w:val="false"/>
          <w:smallCaps w:val="false"/>
          <w:sz w:val="20"/>
        </w:rPr>
        <w:t>Note</w:t>
      </w:r>
      <w:r>
        <w:rPr>
          <w:rFonts w:ascii="Times New Roman;Times;Serif" w:hAnsi="Times New Roman;Times;Serif"/>
          <w:b w:val="false"/>
          <w:i w:val="false"/>
          <w:caps w:val="false"/>
          <w:smallCaps w:val="false"/>
          <w:sz w:val="20"/>
        </w:rPr>
        <w:t>”) and/or that certain loan agreement governing the Line of Credit (the “</w:t>
      </w:r>
      <w:r>
        <w:rPr>
          <w:rFonts w:ascii="Times New Roman;Times;Serif" w:hAnsi="Times New Roman;Times;Serif"/>
          <w:b/>
          <w:i w:val="false"/>
          <w:caps w:val="false"/>
          <w:smallCaps w:val="false"/>
          <w:sz w:val="20"/>
        </w:rPr>
        <w:t>Loan Agreement</w:t>
      </w:r>
      <w:r>
        <w:rPr>
          <w:rFonts w:ascii="Times New Roman;Times;Serif" w:hAnsi="Times New Roman;Times;Serif"/>
          <w:b w:val="false"/>
          <w:i w:val="false"/>
          <w:caps w:val="false"/>
          <w:smallCaps w:val="false"/>
          <w:sz w:val="20"/>
        </w:rPr>
        <w:t xml:space="preserve">”), has been extended from January 31, 2025 to January 31, 2026, or such later date as may, in the Bank’s sole discretion, be designated by the </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10.26(f)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 by written notice from the Bank to the Borrower, effective on February 1, 2025. All sums due under the Note, the Loan Agreement or any related documents, instruments, and agreements (collectively as amended from time to time, the “</w:t>
      </w:r>
      <w:r>
        <w:rPr>
          <w:rFonts w:ascii="Times New Roman;Times;Serif" w:hAnsi="Times New Roman;Times;Serif"/>
          <w:b/>
          <w:i w:val="false"/>
          <w:caps w:val="false"/>
          <w:smallCaps w:val="false"/>
          <w:sz w:val="20"/>
        </w:rPr>
        <w:t>Loan Documents</w:t>
      </w:r>
      <w:r>
        <w:rPr>
          <w:rFonts w:ascii="Times New Roman;Times;Serif" w:hAnsi="Times New Roman;Times;Serif"/>
          <w:b w:val="false"/>
          <w:i w:val="false"/>
          <w:caps w:val="false"/>
          <w:smallCaps w:val="false"/>
          <w:sz w:val="20"/>
        </w:rPr>
        <w:t>”) shall be due and payable on the Expiration Date, as extended hereby. All other terms and conditions of the Loan Documents governing the Line of Credit remain in full force and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has been a pleasure working with you and I look forward to a continued successful relationship. Thank you again for your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p>
      <w:pPr>
        <w:pStyle w:val="TextBody"/>
        <w:bidi w:val="0"/>
        <w:spacing w:before="0" w:after="0"/>
        <w:ind w:left="0" w:right="0" w:hanging="0"/>
        <w:jc w:val="left"/>
        <w:rPr>
          <w:caps w:val="false"/>
          <w:smallCaps w:val="false"/>
        </w:rPr>
      </w:pPr>
      <w:r>
        <w:rPr>
          <w:caps w:val="false"/>
          <w:smallCaps w:val="false"/>
        </w:rPr>
        <w:t> </w:t>
      </w:r>
    </w:p>
    <w:tbl>
      <w:tblPr>
        <w:tblW w:w="4669" w:type="dxa"/>
        <w:jc w:val="left"/>
        <w:tblInd w:w="0" w:type="dxa"/>
        <w:tblLayout w:type="fixed"/>
        <w:tblCellMar>
          <w:top w:w="0" w:type="dxa"/>
          <w:left w:w="0" w:type="dxa"/>
          <w:bottom w:w="0" w:type="dxa"/>
          <w:right w:w="0" w:type="dxa"/>
        </w:tblCellMar>
      </w:tblPr>
      <w:tblGrid>
        <w:gridCol w:w="845"/>
        <w:gridCol w:w="3689"/>
        <w:gridCol w:w="135"/>
      </w:tblGrid>
      <w:tr>
        <w:trPr/>
        <w:tc>
          <w:tcPr>
            <w:tcW w:w="4534" w:type="dxa"/>
            <w:gridSpan w:val="2"/>
            <w:tcBorders/>
            <w:vAlign w:val="center"/>
          </w:tcPr>
          <w:p>
            <w:pPr>
              <w:pStyle w:val="TableContents"/>
              <w:bidi w:val="0"/>
              <w:spacing w:before="0" w:after="283"/>
              <w:jc w:val="left"/>
              <w:rPr>
                <w:b/>
              </w:rPr>
            </w:pPr>
            <w:r>
              <w:rPr>
                <w:b/>
              </w:rPr>
              <w:t>PNC BANK, NATIONAL ASSOCIATION</w:t>
            </w:r>
          </w:p>
        </w:tc>
        <w:tc>
          <w:tcPr>
            <w:tcW w:w="135"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283"/>
              <w:jc w:val="left"/>
              <w:rPr/>
            </w:pPr>
            <w:r>
              <w:rPr/>
              <w:t> </w:t>
            </w:r>
          </w:p>
        </w:tc>
        <w:tc>
          <w:tcPr>
            <w:tcW w:w="3689"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283"/>
              <w:jc w:val="left"/>
              <w:rPr/>
            </w:pPr>
            <w:r>
              <w:rPr/>
              <w:t> </w:t>
            </w:r>
          </w:p>
        </w:tc>
        <w:tc>
          <w:tcPr>
            <w:tcW w:w="3689"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283"/>
              <w:jc w:val="left"/>
              <w:rPr/>
            </w:pPr>
            <w:r>
              <w:rPr/>
              <w:t>By:</w:t>
            </w:r>
          </w:p>
        </w:tc>
        <w:tc>
          <w:tcPr>
            <w:tcW w:w="3689" w:type="dxa"/>
            <w:tcBorders>
              <w:bottom w:val="single" w:sz="8" w:space="0" w:color="000000"/>
            </w:tcBorders>
            <w:tcMar>
              <w:bottom w:w="28" w:type="dxa"/>
            </w:tcMar>
            <w:vAlign w:val="center"/>
          </w:tcPr>
          <w:p>
            <w:pPr>
              <w:pStyle w:val="TableContents"/>
              <w:bidi w:val="0"/>
              <w:spacing w:before="0" w:after="283"/>
              <w:jc w:val="left"/>
              <w:rPr>
                <w:sz w:val="20"/>
              </w:rPr>
            </w:pPr>
            <w:r>
              <w:rPr>
                <w:sz w:val="20"/>
              </w:rPr>
              <w:t>/s/ Virginia Ailing</w:t>
            </w:r>
          </w:p>
        </w:tc>
        <w:tc>
          <w:tcPr>
            <w:tcW w:w="135"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283"/>
              <w:jc w:val="left"/>
              <w:rPr/>
            </w:pPr>
            <w:r>
              <w:rPr/>
              <w:t> </w:t>
            </w:r>
          </w:p>
        </w:tc>
        <w:tc>
          <w:tcPr>
            <w:tcW w:w="3689" w:type="dxa"/>
            <w:tcBorders/>
            <w:vAlign w:val="center"/>
          </w:tcPr>
          <w:p>
            <w:pPr>
              <w:pStyle w:val="TableContents"/>
              <w:bidi w:val="0"/>
              <w:spacing w:before="0" w:after="283"/>
              <w:jc w:val="left"/>
              <w:rPr>
                <w:sz w:val="20"/>
              </w:rPr>
            </w:pPr>
            <w:r>
              <w:rPr>
                <w:sz w:val="20"/>
              </w:rPr>
              <w:t>Virginia Alling</w:t>
            </w:r>
          </w:p>
        </w:tc>
        <w:tc>
          <w:tcPr>
            <w:tcW w:w="135"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283"/>
              <w:jc w:val="left"/>
              <w:rPr/>
            </w:pPr>
            <w:r>
              <w:rPr/>
              <w:t> </w:t>
            </w:r>
          </w:p>
        </w:tc>
        <w:tc>
          <w:tcPr>
            <w:tcW w:w="3689" w:type="dxa"/>
            <w:tcBorders/>
            <w:vAlign w:val="center"/>
          </w:tcPr>
          <w:p>
            <w:pPr>
              <w:pStyle w:val="TableContents"/>
              <w:bidi w:val="0"/>
              <w:spacing w:before="0" w:after="283"/>
              <w:jc w:val="left"/>
              <w:rPr>
                <w:sz w:val="20"/>
              </w:rPr>
            </w:pPr>
            <w:r>
              <w:rPr>
                <w:sz w:val="20"/>
              </w:rPr>
              <w:t>Senior Vice President</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68" w:name="ex10-27d.htm"/>
      <w:bookmarkStart w:id="69" w:name="ksex1027d"/>
      <w:bookmarkEnd w:id="68"/>
      <w:bookmarkEnd w:id="69"/>
      <w:r>
        <w:rPr>
          <w:rFonts w:ascii="Times New Roman;Times;Serif" w:hAnsi="Times New Roman;Times;Serif"/>
          <w:b/>
          <w:i w:val="false"/>
          <w:caps w:val="false"/>
          <w:smallCaps w:val="false"/>
          <w:sz w:val="20"/>
        </w:rPr>
        <w:t>Exhibit 10.27(d)</w:t>
      </w:r>
      <w:r>
        <w:br w:type="page"/>
      </w:r>
    </w:p>
    <w:p>
      <w:pPr>
        <w:pStyle w:val="TextBody"/>
        <w:bidi w:val="0"/>
        <w:spacing w:before="0" w:after="0"/>
        <w:ind w:left="0" w:right="0" w:hanging="0"/>
        <w:jc w:val="left"/>
        <w:rPr>
          <w:caps w:val="false"/>
          <w:smallCaps w:val="false"/>
        </w:rPr>
      </w:pPr>
      <w:r>
        <w:rPr>
          <w:caps w:val="false"/>
          <w:smallCaps w:val="false"/>
        </w:rPr>
        <w:t> </w:t>
      </w:r>
      <w:r>
        <w:rPr>
          <w:caps w:val="false"/>
          <w:smallCaps w:val="false"/>
        </w:rPr>
        <w:drawing>
          <wp:inline distT="0" distB="0" distL="0" distR="0">
            <wp:extent cx="2895600" cy="5429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86"/>
                    <a:stretch>
                      <a:fillRect/>
                    </a:stretch>
                  </pic:blipFill>
                  <pic:spPr bwMode="auto">
                    <a:xfrm>
                      <a:off x="0" y="0"/>
                      <a:ext cx="2895600" cy="5429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NO. 3 TO UNCOMMITTED LOAN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No. 3 (this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dated as of January 25, 2024, is between Bank of America, N.A. (the “</w:t>
      </w:r>
      <w:r>
        <w:rPr>
          <w:rFonts w:ascii="Times New Roman;Times;Serif" w:hAnsi="Times New Roman;Times;Serif"/>
          <w:b w:val="false"/>
          <w:i w:val="false"/>
          <w:caps w:val="false"/>
          <w:smallCaps w:val="false"/>
          <w:sz w:val="20"/>
          <w:u w:val="single"/>
        </w:rPr>
        <w:t>Bank</w:t>
      </w:r>
      <w:r>
        <w:rPr>
          <w:rFonts w:ascii="Times New Roman;Times;Serif" w:hAnsi="Times New Roman;Times;Serif"/>
          <w:b w:val="false"/>
          <w:i w:val="false"/>
          <w:caps w:val="false"/>
          <w:smallCaps w:val="false"/>
          <w:sz w:val="20"/>
        </w:rPr>
        <w:t>”) and Middlesex Water Company, a New Jersey corporation, Tidewater Utilities, Inc., a Delaware corporation, White Marsh Environmental Systems, Inc., a Delaware corporation, Pinelands Water Company, a New Jersey corporation, Pinelands Wastewater Company, a New Jersey corporation, Utility Service Affiliates, Inc., a New Jersey corporation and Utility Service Affiliates (Perth Amboy) Inc., a New Jersey corporation (individually and collectively, the “</w:t>
      </w:r>
      <w:r>
        <w:rPr>
          <w:rFonts w:ascii="Times New Roman;Times;Serif" w:hAnsi="Times New Roman;Times;Serif"/>
          <w:b w:val="false"/>
          <w:i w:val="false"/>
          <w:caps w:val="false"/>
          <w:smallCaps w:val="false"/>
          <w:sz w:val="20"/>
          <w:u w:val="single"/>
        </w:rPr>
        <w:t>Borrower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RECITALS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Bank and the Borrower entered into a certain Uncommitted Loan Agreement dated as of January 28, 2021 (together with any previous amendments, the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Bank and the Borrower desire to amend the Agreement. This Amendment shall be effective on January 25, 2024, subject to any conditions stated in this Amendment.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       Definitions</w:t>
      </w:r>
      <w:r>
        <w:rPr>
          <w:rFonts w:ascii="Times New Roman;Times;Serif" w:hAnsi="Times New Roman;Times;Serif"/>
          <w:b w:val="false"/>
          <w:i w:val="false"/>
          <w:caps w:val="false"/>
          <w:smallCaps w:val="false"/>
          <w:sz w:val="20"/>
        </w:rPr>
        <w:t>. Capitalized terms used but not defined in this Amendment shall have the meaning given to them in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Amendments</w:t>
      </w:r>
      <w:r>
        <w:rPr>
          <w:rFonts w:ascii="Times New Roman;Times;Serif" w:hAnsi="Times New Roman;Times;Serif"/>
          <w:b w:val="false"/>
          <w:i w:val="false"/>
          <w:caps w:val="false"/>
          <w:smallCaps w:val="false"/>
          <w:sz w:val="20"/>
        </w:rPr>
        <w:t>. The Agreement is hereby amended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In Paragraph 2.2 the date “January 25, 2024” is changed to “January 24, 2025”.</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Paragraph 2.3(a) is amended to read in its entirety as follows: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 The Borrower will pay interest on any Daily SOFR Loan on the last banking day of each month until payment in full of all principal outstanding under this facility. The Borrower will pay interest on any Term SOFR Loan at the end of the applicable interest period; provided that no interest period shall expire later than the Loan Maturity Date for the applicable Loan. The amount of each interest payment shall be the amount of accrued interest on the Uncommitted Line of Credit as of the interest payment date or such earlier accrual date as indicated on the billing statement for such interest payment.”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In Paragraph 2.4(a) the words “BSBY Daily Floating Rate Loan” are changed to “Daily SOFR Loan” and the words “BSBY Rate Loan” are changed to “Term SOFR Loan.”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Paragraph 2.4(b) is amended to read in its entirety as follows: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 A “</w:t>
      </w:r>
      <w:r>
        <w:rPr>
          <w:rFonts w:ascii="Times New Roman;Times;Serif" w:hAnsi="Times New Roman;Times;Serif"/>
          <w:b w:val="false"/>
          <w:i w:val="false"/>
          <w:caps w:val="false"/>
          <w:smallCaps w:val="false"/>
          <w:sz w:val="20"/>
          <w:u w:val="single"/>
        </w:rPr>
        <w:t>Daily SOFR Loan</w:t>
      </w:r>
      <w:r>
        <w:rPr>
          <w:rFonts w:ascii="Times New Roman;Times;Serif" w:hAnsi="Times New Roman;Times;Serif"/>
          <w:b w:val="false"/>
          <w:i w:val="false"/>
          <w:caps w:val="false"/>
          <w:smallCaps w:val="false"/>
          <w:sz w:val="20"/>
        </w:rPr>
        <w:t xml:space="preserve">” is a Loan that bears interest equal to Daily SOFR plus 1.25 percentage points. Daily SOFR is a fluctuating rate of interest which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10.27(d)</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 change on each banking day. “</w:t>
      </w:r>
      <w:r>
        <w:rPr>
          <w:rFonts w:ascii="Times New Roman;Times;Serif" w:hAnsi="Times New Roman;Times;Serif"/>
          <w:b w:val="false"/>
          <w:i w:val="false"/>
          <w:caps w:val="false"/>
          <w:smallCaps w:val="false"/>
          <w:sz w:val="20"/>
          <w:u w:val="single"/>
        </w:rPr>
        <w:t>Daily SOFR</w:t>
      </w:r>
      <w:r>
        <w:rPr>
          <w:rFonts w:ascii="Times New Roman;Times;Serif" w:hAnsi="Times New Roman;Times;Serif"/>
          <w:b w:val="false"/>
          <w:i w:val="false"/>
          <w:caps w:val="false"/>
          <w:smallCaps w:val="false"/>
          <w:sz w:val="20"/>
        </w:rPr>
        <w:t>” means the rate per annum equal to SOFR determined for any day pursuant to the definition thereof plus the SOFR Adjustment. Any change in Daily SOFR shall be effective from and including the date of such change without further notice. At any time Daily SOFR is less than zero, such rate shall be deemed to be zero for the purposes of this Agreement. For purposes of this paragraph only:</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SOFR</w:t>
      </w:r>
      <w:r>
        <w:rPr>
          <w:rFonts w:ascii="Times New Roman;Times;Serif" w:hAnsi="Times New Roman;Times;Serif"/>
          <w:b w:val="false"/>
          <w:i w:val="false"/>
          <w:caps w:val="false"/>
          <w:smallCaps w:val="false"/>
          <w:sz w:val="20"/>
        </w:rPr>
        <w:t>” means, for any determination date, the Secured Overnight Financing Rate published on the second U.S. Government Securities Business Day preceding such date by the SOFR Administrator on the Federal Reserve Bank of New York’s website (or any successor source); provided, however, that if such determination date is not a U.S. Government Securities Business Day, then SOFR means such rate that applied on the first U.S. Government Securities Business Day immediately prior thereto.</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SOFR Adjustment</w:t>
      </w:r>
      <w:r>
        <w:rPr>
          <w:rFonts w:ascii="Times New Roman;Times;Serif" w:hAnsi="Times New Roman;Times;Serif"/>
          <w:b w:val="false"/>
          <w:i w:val="false"/>
          <w:caps w:val="false"/>
          <w:smallCaps w:val="false"/>
          <w:sz w:val="20"/>
        </w:rPr>
        <w:t>” with respect to Daily SOFR means 0.10%.</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SOFR Administrator</w:t>
      </w:r>
      <w:r>
        <w:rPr>
          <w:rFonts w:ascii="Times New Roman;Times;Serif" w:hAnsi="Times New Roman;Times;Serif"/>
          <w:b w:val="false"/>
          <w:i w:val="false"/>
          <w:caps w:val="false"/>
          <w:smallCaps w:val="false"/>
          <w:sz w:val="20"/>
        </w:rPr>
        <w:t>” means the Federal Reserve Bank of New York, as the administrator of SOFR, or any successor administrator of SOFR designated by the Federal Reserve Bank of New York or other person acting as the SOFR Administrator at such time.</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val="false"/>
          <w:i w:val="false"/>
          <w:caps w:val="false"/>
          <w:smallCaps w:val="false"/>
          <w:sz w:val="20"/>
          <w:u w:val="single"/>
        </w:rPr>
        <w:t>U.S. Government Securities Business Day</w:t>
      </w:r>
      <w:r>
        <w:rPr>
          <w:rFonts w:ascii="Times New Roman;Times;Serif" w:hAnsi="Times New Roman;Times;Serif"/>
          <w:b w:val="false"/>
          <w:i w:val="false"/>
          <w:caps w:val="false"/>
          <w:smallCaps w:val="false"/>
          <w:sz w:val="20"/>
        </w:rPr>
        <w:t>” means any banking day, except any banking day on which any of the Securities Industry and Financial Markets Association, the New York Stock Exchange or the Federal Reserve Bank of New York is not open for business because such day is a legal holiday under the federal laws of the United States or the laws of the State of New York, as applicable.”</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Paragraph 2.4(c) is amended to read in its entirety as follows: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 A “</w:t>
      </w:r>
      <w:r>
        <w:rPr>
          <w:rFonts w:ascii="Times New Roman;Times;Serif" w:hAnsi="Times New Roman;Times;Serif"/>
          <w:b w:val="false"/>
          <w:i w:val="false"/>
          <w:caps w:val="false"/>
          <w:smallCaps w:val="false"/>
          <w:sz w:val="20"/>
          <w:u w:val="single"/>
        </w:rPr>
        <w:t>Term SOFR Loan</w:t>
      </w:r>
      <w:r>
        <w:rPr>
          <w:rFonts w:ascii="Times New Roman;Times;Serif" w:hAnsi="Times New Roman;Times;Serif"/>
          <w:b w:val="false"/>
          <w:i w:val="false"/>
          <w:caps w:val="false"/>
          <w:smallCaps w:val="false"/>
          <w:sz w:val="20"/>
        </w:rPr>
        <w:t>” is a Loan that bears interest equal to Term SOFR plus 1.25 percentage points. No more than ten (10) Term SOFR Loans may be outstanding at any one time. “</w:t>
      </w:r>
      <w:r>
        <w:rPr>
          <w:rFonts w:ascii="Times New Roman;Times;Serif" w:hAnsi="Times New Roman;Times;Serif"/>
          <w:b w:val="false"/>
          <w:i w:val="false"/>
          <w:caps w:val="false"/>
          <w:smallCaps w:val="false"/>
          <w:sz w:val="20"/>
          <w:u w:val="single"/>
        </w:rPr>
        <w:t>Term SOFR</w:t>
      </w:r>
      <w:r>
        <w:rPr>
          <w:rFonts w:ascii="Times New Roman;Times;Serif" w:hAnsi="Times New Roman;Times;Serif"/>
          <w:b w:val="false"/>
          <w:i w:val="false"/>
          <w:caps w:val="false"/>
          <w:smallCaps w:val="false"/>
          <w:sz w:val="20"/>
        </w:rPr>
        <w:t>” means, for any applicable interest period, the rate per annum equal to the Term SOFR Screen Rate two (2) U.S. Government Securities Business Days prior to the commencement of such interest period with a term equivalent to such interest period; provided that if the rate is not published prior to 11:00 a.m. Eastern time on such determination date then Term SOFR means the Term SOFR Screen Rate on the first U.S. Government Securities Business Day immediately prior thereto, in each case, plus the SOFR Adjustment for such interest period. If at any time Term SOFR is less than zero, such rate shall be deemed to be zero for purposes of this Agreement.” For purposes of this paragraph only:</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CME</w:t>
      </w:r>
      <w:r>
        <w:rPr>
          <w:rFonts w:ascii="Times New Roman;Times;Serif" w:hAnsi="Times New Roman;Times;Serif"/>
          <w:b w:val="false"/>
          <w:i w:val="false"/>
          <w:caps w:val="false"/>
          <w:smallCaps w:val="false"/>
          <w:sz w:val="20"/>
        </w:rPr>
        <w:t>” means CME Group Benchmark Administration Limited.</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10.27(d)</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SOFR</w:t>
      </w:r>
      <w:r>
        <w:rPr>
          <w:rFonts w:ascii="Times New Roman;Times;Serif" w:hAnsi="Times New Roman;Times;Serif"/>
          <w:b w:val="false"/>
          <w:i w:val="false"/>
          <w:caps w:val="false"/>
          <w:smallCaps w:val="false"/>
          <w:sz w:val="20"/>
        </w:rPr>
        <w:t>” means the Secured Overnight Financing Rate as administered by the Federal Reserve Bank of New York (or a successor administrator).</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SOFR Adjustment</w:t>
      </w:r>
      <w:r>
        <w:rPr>
          <w:rFonts w:ascii="Times New Roman;Times;Serif" w:hAnsi="Times New Roman;Times;Serif"/>
          <w:b w:val="false"/>
          <w:i w:val="false"/>
          <w:caps w:val="false"/>
          <w:smallCaps w:val="false"/>
          <w:sz w:val="20"/>
        </w:rPr>
        <w:t>” with respect to Term SOFR means 0.10%.</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“Term SOFR Screen Rate” means the forward-looking SOFR term rate administered by CME (or any successor administrator satisfactory to the Bank) and published on the applicable Reuters screen page (or such other commercially available source providing such quotations as may be designated by the Bank from time to time).</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“U.S. Government Securities Business Day” means any banking day, except any banking day on which any of the Securities Industry and Financial Markets Association, the New York Stock Exchange or the Federal Reserve Bank of New York is not open for business because such day is a legal holiday under the federal laws of the United States or the laws of the State of New York, as applicable.”</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       Paragraph 2.4(d) is amended to read in its entirety as follows: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(d) The election of Term SOFR shall be subject to the following terms and requirements: The interest period during which Term SOFR will be in effect will be one (1) or three (3) months, as agreed to by the Bank in its sole and absolute discretion. The first day of the interest period must be a banking day. Each Term SOFR Loan will be for an amount not less than One Hundred Thousand Dollars ($100,000). The last day of the interest period and the actual number of days during the interest period will be determined by the Bank using the practices of the relevant inter-bank market (as determined by the Bank in its sole and absolute discretion). The Borrower shall irrevocably request a Term SOFR Loan no later than 12:00 noon Eastern time on the banking day two (2) banking days before Term SOFR takes effect for such Term SOFR Loan, as specified above. For example, if there are no intervening holidays or weekend days in any of the relevant locations, the request must be made at least two (2) days before Term SOFR takes effect. Each prepayment of a Term SOFR Loan, whether voluntary, upon the Bank’s demand, by reason of acceleration, maturity or otherwise, will be accompanied by the amount of accrued interest on the amount prepaid and a prepayment fee as described below. A “prepayment” is a payment of an amount on a date earlier than the scheduled payment date for such amount as required by this Agreement. The prepayment fee shall be in an amount sufficient to compensate the Bank for any loss, cost or expense incurred by it as a result of the prepayment, including any loss of anticipated profits and any loss or expense arising from the liquidation or reemployment of funds obtained by it to maintain such Term SOFR Loan or from fees payable to terminate the deposits from which such funds were obtained. The Borrower shall also pay any customary administrative fees charged by the Bank in connection with the foregoing.”</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10.27(d)</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       Paragraph 2.4(e) is amended to read in its entirety as follows: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(e) If at any time an interest rate index provided for in this Agreement (a “</w:t>
      </w:r>
      <w:r>
        <w:rPr>
          <w:rFonts w:ascii="Times New Roman;Times;Serif" w:hAnsi="Times New Roman;Times;Serif"/>
          <w:b w:val="false"/>
          <w:i w:val="false"/>
          <w:caps w:val="false"/>
          <w:smallCaps w:val="false"/>
          <w:sz w:val="20"/>
          <w:u w:val="single"/>
        </w:rPr>
        <w:t>Reference Rate</w:t>
      </w:r>
      <w:r>
        <w:rPr>
          <w:rFonts w:ascii="Times New Roman;Times;Serif" w:hAnsi="Times New Roman;Times;Serif"/>
          <w:b w:val="false"/>
          <w:i w:val="false"/>
          <w:caps w:val="false"/>
          <w:smallCaps w:val="false"/>
          <w:sz w:val="20"/>
        </w:rPr>
        <w:t>”) is not available at such time for any reason or the Bank makes the determination to incorporate or adopt a new interest rate index to replace such Reference Rate in credit agreements, then the Bank may replace such Reference Rate with an alternate interest rate index and adjustment, if applicable, as reasonably selected by the Bank, giving due consideration to any evolving or then existing conventions for such interest rate index and adjustment (any such successor interest rate index, as adjusted, the “</w:t>
      </w:r>
      <w:r>
        <w:rPr>
          <w:rFonts w:ascii="Times New Roman;Times;Serif" w:hAnsi="Times New Roman;Times;Serif"/>
          <w:b w:val="false"/>
          <w:i w:val="false"/>
          <w:caps w:val="false"/>
          <w:smallCaps w:val="false"/>
          <w:sz w:val="20"/>
          <w:u w:val="single"/>
        </w:rPr>
        <w:t>Successor Rate</w:t>
      </w:r>
      <w:r>
        <w:rPr>
          <w:rFonts w:ascii="Times New Roman;Times;Serif" w:hAnsi="Times New Roman;Times;Serif"/>
          <w:b w:val="false"/>
          <w:i w:val="false"/>
          <w:caps w:val="false"/>
          <w:smallCaps w:val="false"/>
          <w:sz w:val="20"/>
        </w:rPr>
        <w:t>”). In connection with the implementation of any Successor Rate, the Bank will have the right, from time to time, in good faith to make any conforming, technical, administrative or operational changes to this Agreement as may be appropriate to reflect the adoption and administration thereof and, notwithstanding anything to the contrary herein or in any other loan document, any amendments to this Agreement implementing such conforming changes will become effective upon notice to the Borrower without any further action or consent of the other parties hereto. If at any time any Successor Rate is less than zero, such rate shall be deemed to be zero for the purposes of this Agreement.”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 When the Borrower signs this Amendment, the Borrower represents and warrants to the Bank that: (a) there is no event which is, or with notice or lapse of time or both would be, a default under the Agreement except those events, if any, that have been disclosed in writing to the Bank or waived in writing by the Bank, (b) the representations and warranties in the Agreement are true as of the date of this Amendment as if made on the date of this Amendment, (c) this Amendment does not conflict with any law, agreement, or obligation by which the Borrower is bound, (d) if the Borrower is a business entity or a trust, this Amendment is within the Borrower’s powers, has been duly authorized, and does not conflict with any of the Borrower’s organizational papers, (e) the information included in the Beneficial Ownership Certification most recently provided to the Bank, if applicable, is true and correct in all respects, and (f) as of the date of this Amendment and throughout the term of the Agreement, no Borrower or Guarantor, if any, is (1) an employee benefit plan subject to Title I of the Employee Retirement Income Security Act of 1974, as amended (“</w:t>
      </w:r>
      <w:r>
        <w:rPr>
          <w:rFonts w:ascii="Times New Roman;Times;Serif" w:hAnsi="Times New Roman;Times;Serif"/>
          <w:b w:val="false"/>
          <w:i w:val="false"/>
          <w:caps w:val="false"/>
          <w:smallCaps w:val="false"/>
          <w:sz w:val="20"/>
          <w:u w:val="single"/>
        </w:rPr>
        <w:t>ERISA</w:t>
      </w:r>
      <w:r>
        <w:rPr>
          <w:rFonts w:ascii="Times New Roman;Times;Serif" w:hAnsi="Times New Roman;Times;Serif"/>
          <w:b w:val="false"/>
          <w:i w:val="false"/>
          <w:caps w:val="false"/>
          <w:smallCaps w:val="false"/>
          <w:sz w:val="20"/>
        </w:rPr>
        <w:t>”), (2) a plan or account subject to Section 4975 of the Internal Revenue Code of 1986 (the “Code”); (3) an entity deemed to hold “plan assets” of any such plans or accounts for purposes of ERISA or the Code; or (4) a “governmental plan” within the meaning of ERISA.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Conditions</w:t>
      </w:r>
      <w:r>
        <w:rPr>
          <w:rFonts w:ascii="Times New Roman;Times;Serif" w:hAnsi="Times New Roman;Times;Serif"/>
          <w:b w:val="false"/>
          <w:i w:val="false"/>
          <w:caps w:val="false"/>
          <w:smallCaps w:val="false"/>
          <w:sz w:val="20"/>
        </w:rPr>
        <w:t>. The effectiveness of this Amendment is conditioned upon the Bank’s receipt of the following items, in form and content acceptable to the Bank: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A fully executed counterpart of this Amendment from the Borrower in form satisfactory to the Bank.</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w:t>
      </w:r>
      <w:r>
        <w:rPr>
          <w:rFonts w:ascii="Times New Roman;Times;Serif" w:hAnsi="Times New Roman;Times;Serif"/>
          <w:b w:val="false"/>
          <w:i w:val="false"/>
          <w:caps w:val="false"/>
          <w:smallCaps w:val="false"/>
          <w:sz w:val="20"/>
          <w:u w:val="single"/>
        </w:rPr>
        <w:t>KYC Information</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Upon the request of the Bank, the Borrower shall have provided to the Bank, and the Bank shall be reasonably satisfied with, the documentation and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10.27(d)</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information so requested in connection with applicable “know your customer” and anti-money-laundering rules and regulations, including, without limitation, the PATRIOT Act.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the Borrower qualifies as a “legal entity customer” under the Beneficial Ownership Regulation, it shall have provided a Beneficial Ownership Certification to the Bank if so requested.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       Evidence that the execution, delivery and performance by the Borrower of this Amendment and any instrument or agreement required under this Amendment have been duly authorized.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Payment by the Borrower of all costs, expenses and attorneys’ fees (including allocated costs for in-house legal services) incurred by the Bank in connection with this Amendment.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Effect of Amendment</w:t>
      </w:r>
      <w:r>
        <w:rPr>
          <w:rFonts w:ascii="Times New Roman;Times;Serif" w:hAnsi="Times New Roman;Times;Serif"/>
          <w:b w:val="false"/>
          <w:i w:val="false"/>
          <w:caps w:val="false"/>
          <w:smallCaps w:val="false"/>
          <w:sz w:val="20"/>
        </w:rPr>
        <w:t>. Except as provided in this Amendment, all of the terms and conditions of the Agreement, including but not limited to any Waiver of Jury Trial or Dispute Resolution Provision contained therein, shall remain in full force and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Electronic Records and Signatures</w:t>
      </w:r>
      <w:r>
        <w:rPr>
          <w:rFonts w:ascii="Times New Roman;Times;Serif" w:hAnsi="Times New Roman;Times;Serif"/>
          <w:b w:val="false"/>
          <w:i w:val="false"/>
          <w:caps w:val="false"/>
          <w:smallCaps w:val="false"/>
          <w:sz w:val="20"/>
        </w:rPr>
        <w:t>. This Amendment and any document, amendment, approval, consent, information, notice, certificate, request, statement, disclosure or authorization related to this Amendment (each a “</w:t>
      </w:r>
      <w:r>
        <w:rPr>
          <w:rFonts w:ascii="Times New Roman;Times;Serif" w:hAnsi="Times New Roman;Times;Serif"/>
          <w:b w:val="false"/>
          <w:i w:val="false"/>
          <w:caps w:val="false"/>
          <w:smallCaps w:val="false"/>
          <w:sz w:val="20"/>
          <w:u w:val="single"/>
        </w:rPr>
        <w:t>Communication</w:t>
      </w:r>
      <w:r>
        <w:rPr>
          <w:rFonts w:ascii="Times New Roman;Times;Serif" w:hAnsi="Times New Roman;Times;Serif"/>
          <w:b w:val="false"/>
          <w:i w:val="false"/>
          <w:caps w:val="false"/>
          <w:smallCaps w:val="false"/>
          <w:sz w:val="20"/>
        </w:rPr>
        <w:t>”), including Communications required to be in writing, may, if agreed by the Bank, be in the form of an Electronic Record and may be executed using Electronic Signatures, including, without limitation, facsimile and/or .pdf. The Borrower agrees that any Electronic Signature (including, without limitation, facsimile or .pdf) on or associated with any Communication shall be valid and binding on the Borrower to the same extent as a manual, original signature, and that any Communication entered into by Electronic Signature, will constitute the legal, valid and binding obligation of the Borrower enforceable against the Borrower in accordance with the terms thereof to the same extent as if a manually executed original signature was delivered to the Bank. Any Communication may be executed in as many counterparts as necessary or convenient, including both paper and electronic counterparts, but all such counterparts are one and the same Communication. For the avoidance of doubt, the authorization under this paragraph may include, without limitation, use or acceptance by the Bank of a manually signed paper Communication which has been converted into electronic form (such as scanned into PDF format), or an electronically signed Communication converted into another format, for transmission, delivery and/or retention. The Bank may, at its option, create one or more copies of any Communication in the form of an imaged Electronic Record (“</w:t>
      </w:r>
      <w:r>
        <w:rPr>
          <w:rFonts w:ascii="Times New Roman;Times;Serif" w:hAnsi="Times New Roman;Times;Serif"/>
          <w:b w:val="false"/>
          <w:i w:val="false"/>
          <w:caps w:val="false"/>
          <w:smallCaps w:val="false"/>
          <w:sz w:val="20"/>
          <w:u w:val="single"/>
        </w:rPr>
        <w:t>Electronic Copy</w:t>
      </w:r>
      <w:r>
        <w:rPr>
          <w:rFonts w:ascii="Times New Roman;Times;Serif" w:hAnsi="Times New Roman;Times;Serif"/>
          <w:b w:val="false"/>
          <w:i w:val="false"/>
          <w:caps w:val="false"/>
          <w:smallCaps w:val="false"/>
          <w:sz w:val="20"/>
        </w:rPr>
        <w:t xml:space="preserve">”), which shall be deemed created in the ordinary course of the Bank’s business, and destroy the original paper document. All Communications in the form of an Electronic Record, including an Electronic Copy, shall be considered an original for all purposes, and shall have the same legal effect, validity and enforceability as a paper record. Notwithstanding anything contained herein to the contrary, the Bank is under no obligation to accept an Electronic Signature in any form or in any format unless expressly agreed to by the Bank pursuant to procedures approved by it; provided, further, without limiting the foregoing, (a) to the extent the Bank has agreed to accept such Electronic Signature, the Bank shall be entitled to rely on any such Electronic Signature purportedly given by or on behalf of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10.27(d)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Obligor without further verification and (b) upon the request of the Bank any Electronic Signature shall be promptly followed by a manually executed, original counterpart. For purposes hereof, “Electronic Record” and “Electronic Signature” shall have the meanings assigned to them, respectively, by 15 USC §7006, as it may be amended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7. </w:t>
      </w:r>
      <w:r>
        <w:rPr>
          <w:rFonts w:ascii="Times New Roman;Times;Serif" w:hAnsi="Times New Roman;Times;Serif"/>
          <w:b/>
          <w:i w:val="false"/>
          <w:caps w:val="false"/>
          <w:smallCaps w:val="false"/>
          <w:sz w:val="20"/>
          <w:u w:val="single"/>
        </w:rPr>
        <w:t>FINAL AGREEMENT</w:t>
      </w:r>
      <w:r>
        <w:rPr>
          <w:rFonts w:ascii="Times New Roman;Times;Serif" w:hAnsi="Times New Roman;Times;Serif"/>
          <w:b/>
          <w:i w:val="false"/>
          <w:caps w:val="false"/>
          <w:smallCaps w:val="false"/>
          <w:sz w:val="20"/>
        </w:rPr>
        <w:t>. BY SIGNING THIS DOCUMENT EACH PARTY REPRESENTS AND AGREES THAT: (A) THIS DOCUMENT REPRESENTS THE FINAL AGREEMENT BETWEEN PARTIES WITH RESPECT TO THE SUBJECT MATTER HEREOF, (B) THIS DOCUMENT SUPERSEDES ANY COMMITMENT LETTER, TERM SHEET OR OTHER WRITTEN OUTLINE OF TERMS AND CONDITIONS RELATING TO THE SUBJECT MATTER HEREOF, UNLESS SUCH COMMITMENT LETTER, TERM SHEET OR OTHER WRITTEN OUTLINE OF TERMS AND CONDITIONS EXPRESSLY PROVIDES TO THE CONTRARY, (C) THERE ARE NO UNWRITTEN ORAL AGREEMENTS BETWEEN THE PARTIES, AND (D) THIS DOCUMENT MAY NOT BE CONTRADICTED BY EVIDENCE OF ANY PRIOR, CONTEMPORANEOUS, OR SUBSEQUENT ORAL AGREEMENTS OR UNDERSTANDINGS OF THE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10.27(d)</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executed this Amendment as of the date stated at the beginning of this Amendment, intending to create an instrument executed under seal.</w:t>
      </w:r>
    </w:p>
    <w:p>
      <w:pPr>
        <w:pStyle w:val="TextBody"/>
        <w:bidi w:val="0"/>
        <w:spacing w:before="0" w:after="0"/>
        <w:ind w:left="0" w:right="0" w:firstLine="720"/>
        <w:jc w:val="left"/>
        <w:rPr>
          <w:caps w:val="false"/>
          <w:smallCaps w:val="false"/>
        </w:rPr>
      </w:pPr>
      <w:r>
        <w:rPr>
          <w:caps w:val="false"/>
          <w:smallCaps w:val="false"/>
        </w:rPr>
        <w:t> </w:t>
      </w:r>
    </w:p>
    <w:tbl>
      <w:tblPr>
        <w:tblW w:w="4579" w:type="dxa"/>
        <w:jc w:val="left"/>
        <w:tblInd w:w="0" w:type="dxa"/>
        <w:tblLayout w:type="fixed"/>
        <w:tblCellMar>
          <w:top w:w="0" w:type="dxa"/>
          <w:left w:w="0" w:type="dxa"/>
          <w:bottom w:w="0" w:type="dxa"/>
          <w:right w:w="0" w:type="dxa"/>
        </w:tblCellMar>
      </w:tblPr>
      <w:tblGrid>
        <w:gridCol w:w="656"/>
        <w:gridCol w:w="3848"/>
        <w:gridCol w:w="75"/>
      </w:tblGrid>
      <w:tr>
        <w:trPr/>
        <w:tc>
          <w:tcPr>
            <w:tcW w:w="450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Bank:</w:t>
            </w:r>
          </w:p>
        </w:tc>
        <w:tc>
          <w:tcPr>
            <w:tcW w:w="75" w:type="dxa"/>
            <w:tcBorders/>
            <w:vAlign w:val="center"/>
          </w:tcPr>
          <w:p>
            <w:pPr>
              <w:pStyle w:val="TableContents"/>
              <w:bidi w:val="0"/>
              <w:spacing w:before="0" w:after="283"/>
              <w:jc w:val="left"/>
              <w:rPr/>
            </w:pPr>
            <w:r>
              <w:rPr/>
              <w:t> </w:t>
            </w:r>
          </w:p>
        </w:tc>
      </w:tr>
      <w:tr>
        <w:trPr/>
        <w:tc>
          <w:tcPr>
            <w:tcW w:w="450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504" w:type="dxa"/>
            <w:gridSpan w:val="2"/>
            <w:tcBorders/>
            <w:vAlign w:val="center"/>
          </w:tcPr>
          <w:p>
            <w:pPr>
              <w:pStyle w:val="TableContents"/>
              <w:bidi w:val="0"/>
              <w:spacing w:before="0" w:after="283"/>
              <w:jc w:val="left"/>
              <w:rPr/>
            </w:pPr>
            <w:r>
              <w:rPr/>
              <w:t>Bank of America, N.A.</w:t>
            </w:r>
          </w:p>
        </w:tc>
        <w:tc>
          <w:tcPr>
            <w:tcW w:w="75" w:type="dxa"/>
            <w:tcBorders/>
            <w:vAlign w:val="center"/>
          </w:tcPr>
          <w:p>
            <w:pPr>
              <w:pStyle w:val="TableContents"/>
              <w:bidi w:val="0"/>
              <w:spacing w:before="0" w:after="283"/>
              <w:jc w:val="left"/>
              <w:rPr/>
            </w:pPr>
            <w:r>
              <w:rPr/>
              <w:t> </w:t>
            </w:r>
          </w:p>
        </w:tc>
      </w:tr>
      <w:tr>
        <w:trPr/>
        <w:tc>
          <w:tcPr>
            <w:tcW w:w="450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56" w:type="dxa"/>
            <w:tcBorders/>
            <w:vAlign w:val="center"/>
          </w:tcPr>
          <w:p>
            <w:pPr>
              <w:pStyle w:val="TableContents"/>
              <w:bidi w:val="0"/>
              <w:spacing w:before="0" w:after="283"/>
              <w:jc w:val="left"/>
              <w:rPr/>
            </w:pPr>
            <w:r>
              <w:rPr/>
              <w:t>By:</w:t>
            </w:r>
          </w:p>
        </w:tc>
        <w:tc>
          <w:tcPr>
            <w:tcW w:w="3848" w:type="dxa"/>
            <w:tcBorders>
              <w:bottom w:val="single" w:sz="8" w:space="0" w:color="000000"/>
            </w:tcBorders>
            <w:tcMar>
              <w:bottom w:w="28" w:type="dxa"/>
            </w:tcMar>
            <w:vAlign w:val="center"/>
          </w:tcPr>
          <w:p>
            <w:pPr>
              <w:pStyle w:val="TableContents"/>
              <w:bidi w:val="0"/>
              <w:spacing w:before="0" w:after="283"/>
              <w:jc w:val="left"/>
              <w:rPr/>
            </w:pPr>
            <w:r>
              <w:rPr/>
              <w:t> </w:t>
            </w:r>
            <w:r>
              <w:rPr/>
              <w:t>/s/ Dilcia P. Hill</w:t>
            </w:r>
          </w:p>
        </w:tc>
        <w:tc>
          <w:tcPr>
            <w:tcW w:w="75" w:type="dxa"/>
            <w:tcBorders/>
            <w:vAlign w:val="center"/>
          </w:tcPr>
          <w:p>
            <w:pPr>
              <w:pStyle w:val="TableContents"/>
              <w:bidi w:val="0"/>
              <w:spacing w:before="0" w:after="283"/>
              <w:jc w:val="left"/>
              <w:rPr/>
            </w:pPr>
            <w:r>
              <w:rPr/>
              <w:t> </w:t>
            </w:r>
          </w:p>
        </w:tc>
      </w:tr>
      <w:tr>
        <w:trPr/>
        <w:tc>
          <w:tcPr>
            <w:tcW w:w="4504" w:type="dxa"/>
            <w:gridSpan w:val="2"/>
            <w:tcBorders/>
            <w:vAlign w:val="center"/>
          </w:tcPr>
          <w:p>
            <w:pPr>
              <w:pStyle w:val="TableContents"/>
              <w:bidi w:val="0"/>
              <w:spacing w:before="0" w:after="283"/>
              <w:jc w:val="left"/>
              <w:rPr/>
            </w:pPr>
            <w:r>
              <w:rPr/>
              <w:t>Dilcia P. Hill, Senior Vice President</w:t>
            </w:r>
          </w:p>
        </w:tc>
        <w:tc>
          <w:tcPr>
            <w:tcW w:w="75" w:type="dxa"/>
            <w:tcBorders/>
            <w:vAlign w:val="center"/>
          </w:tcPr>
          <w:p>
            <w:pPr>
              <w:pStyle w:val="TableContents"/>
              <w:bidi w:val="0"/>
              <w:spacing w:before="0" w:after="283"/>
              <w:jc w:val="left"/>
              <w:rPr/>
            </w:pPr>
            <w:r>
              <w:rPr/>
              <w:t> </w:t>
            </w:r>
          </w:p>
        </w:tc>
      </w:tr>
      <w:tr>
        <w:trPr/>
        <w:tc>
          <w:tcPr>
            <w:tcW w:w="450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504" w:type="dxa"/>
            <w:gridSpan w:val="2"/>
            <w:tcBorders/>
            <w:vAlign w:val="center"/>
          </w:tcPr>
          <w:p>
            <w:pPr>
              <w:pStyle w:val="TableContents"/>
              <w:bidi w:val="0"/>
              <w:spacing w:before="0" w:after="283"/>
              <w:jc w:val="left"/>
              <w:rPr/>
            </w:pPr>
            <w:r>
              <w:rPr/>
              <w:t>Borrower:</w:t>
            </w:r>
          </w:p>
        </w:tc>
        <w:tc>
          <w:tcPr>
            <w:tcW w:w="75" w:type="dxa"/>
            <w:tcBorders/>
            <w:vAlign w:val="center"/>
          </w:tcPr>
          <w:p>
            <w:pPr>
              <w:pStyle w:val="TableContents"/>
              <w:bidi w:val="0"/>
              <w:spacing w:before="0" w:after="283"/>
              <w:jc w:val="left"/>
              <w:rPr/>
            </w:pPr>
            <w:r>
              <w:rPr/>
              <w:t> </w:t>
            </w:r>
          </w:p>
        </w:tc>
      </w:tr>
      <w:tr>
        <w:trPr/>
        <w:tc>
          <w:tcPr>
            <w:tcW w:w="450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504" w:type="dxa"/>
            <w:gridSpan w:val="2"/>
            <w:tcBorders/>
            <w:vAlign w:val="center"/>
          </w:tcPr>
          <w:p>
            <w:pPr>
              <w:pStyle w:val="TableContents"/>
              <w:bidi w:val="0"/>
              <w:spacing w:before="0" w:after="283"/>
              <w:jc w:val="left"/>
              <w:rPr/>
            </w:pPr>
            <w:r>
              <w:rPr/>
              <w:t>Middlesex Water Company</w:t>
            </w:r>
          </w:p>
        </w:tc>
        <w:tc>
          <w:tcPr>
            <w:tcW w:w="75" w:type="dxa"/>
            <w:tcBorders/>
            <w:vAlign w:val="center"/>
          </w:tcPr>
          <w:p>
            <w:pPr>
              <w:pStyle w:val="TableContents"/>
              <w:bidi w:val="0"/>
              <w:spacing w:before="0" w:after="283"/>
              <w:jc w:val="left"/>
              <w:rPr/>
            </w:pPr>
            <w:r>
              <w:rPr/>
              <w:t> </w:t>
            </w:r>
          </w:p>
        </w:tc>
      </w:tr>
      <w:tr>
        <w:trPr/>
        <w:tc>
          <w:tcPr>
            <w:tcW w:w="450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56" w:type="dxa"/>
            <w:tcBorders/>
            <w:vAlign w:val="center"/>
          </w:tcPr>
          <w:p>
            <w:pPr>
              <w:pStyle w:val="TableContents"/>
              <w:bidi w:val="0"/>
              <w:spacing w:before="0" w:after="283"/>
              <w:jc w:val="left"/>
              <w:rPr/>
            </w:pPr>
            <w:r>
              <w:rPr/>
              <w:t>By:</w:t>
            </w:r>
          </w:p>
        </w:tc>
        <w:tc>
          <w:tcPr>
            <w:tcW w:w="3848" w:type="dxa"/>
            <w:tcBorders>
              <w:bottom w:val="single" w:sz="8" w:space="0" w:color="000000"/>
            </w:tcBorders>
            <w:tcMar>
              <w:bottom w:w="28" w:type="dxa"/>
            </w:tcMar>
            <w:vAlign w:val="center"/>
          </w:tcPr>
          <w:p>
            <w:pPr>
              <w:pStyle w:val="TableContents"/>
              <w:bidi w:val="0"/>
              <w:spacing w:before="0" w:after="283"/>
              <w:jc w:val="left"/>
              <w:rPr/>
            </w:pPr>
            <w:r>
              <w:rPr/>
              <w:t> </w:t>
            </w:r>
            <w:r>
              <w:rPr/>
              <w:t>/s/ A. Bruce O'Connor</w:t>
            </w:r>
          </w:p>
        </w:tc>
        <w:tc>
          <w:tcPr>
            <w:tcW w:w="75" w:type="dxa"/>
            <w:tcBorders/>
            <w:vAlign w:val="center"/>
          </w:tcPr>
          <w:p>
            <w:pPr>
              <w:pStyle w:val="TableContents"/>
              <w:bidi w:val="0"/>
              <w:spacing w:before="0" w:after="283"/>
              <w:jc w:val="left"/>
              <w:rPr/>
            </w:pPr>
            <w:r>
              <w:rPr/>
              <w:t> </w:t>
            </w:r>
          </w:p>
        </w:tc>
      </w:tr>
      <w:tr>
        <w:trPr/>
        <w:tc>
          <w:tcPr>
            <w:tcW w:w="4504" w:type="dxa"/>
            <w:gridSpan w:val="2"/>
            <w:tcBorders/>
            <w:vAlign w:val="center"/>
          </w:tcPr>
          <w:p>
            <w:pPr>
              <w:pStyle w:val="TableContents"/>
              <w:bidi w:val="0"/>
              <w:spacing w:before="0" w:after="283"/>
              <w:jc w:val="left"/>
              <w:rPr/>
            </w:pPr>
            <w:r>
              <w:rPr/>
              <w:t>A. Bruce O’Connor, Sr. VP, Treasurer &amp; CFO</w:t>
            </w:r>
          </w:p>
        </w:tc>
        <w:tc>
          <w:tcPr>
            <w:tcW w:w="75" w:type="dxa"/>
            <w:tcBorders/>
            <w:vAlign w:val="center"/>
          </w:tcPr>
          <w:p>
            <w:pPr>
              <w:pStyle w:val="TableContents"/>
              <w:bidi w:val="0"/>
              <w:spacing w:before="0" w:after="283"/>
              <w:jc w:val="left"/>
              <w:rPr/>
            </w:pPr>
            <w:r>
              <w:rPr/>
              <w:t> </w:t>
            </w:r>
          </w:p>
        </w:tc>
      </w:tr>
      <w:tr>
        <w:trPr/>
        <w:tc>
          <w:tcPr>
            <w:tcW w:w="450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504" w:type="dxa"/>
            <w:gridSpan w:val="2"/>
            <w:tcBorders/>
            <w:vAlign w:val="center"/>
          </w:tcPr>
          <w:p>
            <w:pPr>
              <w:pStyle w:val="TableContents"/>
              <w:bidi w:val="0"/>
              <w:spacing w:before="0" w:after="283"/>
              <w:jc w:val="left"/>
              <w:rPr/>
            </w:pPr>
            <w:r>
              <w:rPr/>
              <w:t>Tidewater Utilities, Inc.</w:t>
            </w:r>
          </w:p>
        </w:tc>
        <w:tc>
          <w:tcPr>
            <w:tcW w:w="75" w:type="dxa"/>
            <w:tcBorders/>
            <w:vAlign w:val="center"/>
          </w:tcPr>
          <w:p>
            <w:pPr>
              <w:pStyle w:val="TableContents"/>
              <w:bidi w:val="0"/>
              <w:spacing w:before="0" w:after="283"/>
              <w:jc w:val="left"/>
              <w:rPr/>
            </w:pPr>
            <w:r>
              <w:rPr/>
              <w:t> </w:t>
            </w:r>
          </w:p>
        </w:tc>
      </w:tr>
      <w:tr>
        <w:trPr/>
        <w:tc>
          <w:tcPr>
            <w:tcW w:w="450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56" w:type="dxa"/>
            <w:tcBorders/>
            <w:vAlign w:val="center"/>
          </w:tcPr>
          <w:p>
            <w:pPr>
              <w:pStyle w:val="TableContents"/>
              <w:bidi w:val="0"/>
              <w:spacing w:before="0" w:after="283"/>
              <w:jc w:val="left"/>
              <w:rPr/>
            </w:pPr>
            <w:r>
              <w:rPr/>
              <w:t>By:</w:t>
            </w:r>
          </w:p>
        </w:tc>
        <w:tc>
          <w:tcPr>
            <w:tcW w:w="3848" w:type="dxa"/>
            <w:tcBorders>
              <w:bottom w:val="single" w:sz="8" w:space="0" w:color="000000"/>
            </w:tcBorders>
            <w:tcMar>
              <w:bottom w:w="28" w:type="dxa"/>
            </w:tcMar>
            <w:vAlign w:val="center"/>
          </w:tcPr>
          <w:p>
            <w:pPr>
              <w:pStyle w:val="TableContents"/>
              <w:bidi w:val="0"/>
              <w:spacing w:before="0" w:after="283"/>
              <w:jc w:val="left"/>
              <w:rPr/>
            </w:pPr>
            <w:r>
              <w:rPr/>
              <w:t> </w:t>
            </w:r>
            <w:r>
              <w:rPr/>
              <w:t>/s/ A. Bruce O'Connor</w:t>
            </w:r>
          </w:p>
        </w:tc>
        <w:tc>
          <w:tcPr>
            <w:tcW w:w="75" w:type="dxa"/>
            <w:tcBorders/>
            <w:vAlign w:val="center"/>
          </w:tcPr>
          <w:p>
            <w:pPr>
              <w:pStyle w:val="TableContents"/>
              <w:bidi w:val="0"/>
              <w:spacing w:before="0" w:after="283"/>
              <w:jc w:val="left"/>
              <w:rPr/>
            </w:pPr>
            <w:r>
              <w:rPr/>
              <w:t> </w:t>
            </w:r>
          </w:p>
        </w:tc>
      </w:tr>
      <w:tr>
        <w:trPr/>
        <w:tc>
          <w:tcPr>
            <w:tcW w:w="4504" w:type="dxa"/>
            <w:gridSpan w:val="2"/>
            <w:tcBorders/>
            <w:vAlign w:val="center"/>
          </w:tcPr>
          <w:p>
            <w:pPr>
              <w:pStyle w:val="TableContents"/>
              <w:bidi w:val="0"/>
              <w:spacing w:before="0" w:after="283"/>
              <w:jc w:val="left"/>
              <w:rPr/>
            </w:pPr>
            <w:r>
              <w:rPr/>
              <w:t>A. Bruce O’Connor, Chief Financial Officer</w:t>
            </w:r>
          </w:p>
        </w:tc>
        <w:tc>
          <w:tcPr>
            <w:tcW w:w="75" w:type="dxa"/>
            <w:tcBorders/>
            <w:vAlign w:val="center"/>
          </w:tcPr>
          <w:p>
            <w:pPr>
              <w:pStyle w:val="TableContents"/>
              <w:bidi w:val="0"/>
              <w:spacing w:before="0" w:after="283"/>
              <w:jc w:val="left"/>
              <w:rPr/>
            </w:pPr>
            <w:r>
              <w:rPr/>
              <w:t> </w:t>
            </w:r>
          </w:p>
        </w:tc>
      </w:tr>
      <w:tr>
        <w:trPr/>
        <w:tc>
          <w:tcPr>
            <w:tcW w:w="450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504" w:type="dxa"/>
            <w:gridSpan w:val="2"/>
            <w:tcBorders/>
            <w:vAlign w:val="center"/>
          </w:tcPr>
          <w:p>
            <w:pPr>
              <w:pStyle w:val="TableContents"/>
              <w:bidi w:val="0"/>
              <w:spacing w:before="0" w:after="283"/>
              <w:jc w:val="left"/>
              <w:rPr/>
            </w:pPr>
            <w:r>
              <w:rPr/>
              <w:t>White Marsh Environmental Systems, Inc.</w:t>
            </w:r>
          </w:p>
        </w:tc>
        <w:tc>
          <w:tcPr>
            <w:tcW w:w="75" w:type="dxa"/>
            <w:tcBorders/>
            <w:vAlign w:val="center"/>
          </w:tcPr>
          <w:p>
            <w:pPr>
              <w:pStyle w:val="TableContents"/>
              <w:bidi w:val="0"/>
              <w:spacing w:before="0" w:after="283"/>
              <w:jc w:val="left"/>
              <w:rPr/>
            </w:pPr>
            <w:r>
              <w:rPr/>
              <w:t> </w:t>
            </w:r>
          </w:p>
        </w:tc>
      </w:tr>
      <w:tr>
        <w:trPr/>
        <w:tc>
          <w:tcPr>
            <w:tcW w:w="450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56" w:type="dxa"/>
            <w:tcBorders/>
            <w:vAlign w:val="center"/>
          </w:tcPr>
          <w:p>
            <w:pPr>
              <w:pStyle w:val="TableContents"/>
              <w:bidi w:val="0"/>
              <w:spacing w:before="0" w:after="283"/>
              <w:jc w:val="left"/>
              <w:rPr/>
            </w:pPr>
            <w:r>
              <w:rPr/>
              <w:t>By:</w:t>
            </w:r>
          </w:p>
        </w:tc>
        <w:tc>
          <w:tcPr>
            <w:tcW w:w="3848" w:type="dxa"/>
            <w:tcBorders>
              <w:bottom w:val="single" w:sz="8" w:space="0" w:color="000000"/>
            </w:tcBorders>
            <w:tcMar>
              <w:bottom w:w="28" w:type="dxa"/>
            </w:tcMar>
            <w:vAlign w:val="center"/>
          </w:tcPr>
          <w:p>
            <w:pPr>
              <w:pStyle w:val="TableContents"/>
              <w:bidi w:val="0"/>
              <w:spacing w:before="0" w:after="283"/>
              <w:jc w:val="left"/>
              <w:rPr/>
            </w:pPr>
            <w:r>
              <w:rPr/>
              <w:t> </w:t>
            </w:r>
            <w:r>
              <w:rPr/>
              <w:t>/s/ A. Bruce O'Connor</w:t>
            </w:r>
          </w:p>
        </w:tc>
        <w:tc>
          <w:tcPr>
            <w:tcW w:w="75" w:type="dxa"/>
            <w:tcBorders/>
            <w:vAlign w:val="center"/>
          </w:tcPr>
          <w:p>
            <w:pPr>
              <w:pStyle w:val="TableContents"/>
              <w:bidi w:val="0"/>
              <w:spacing w:before="0" w:after="283"/>
              <w:jc w:val="left"/>
              <w:rPr/>
            </w:pPr>
            <w:r>
              <w:rPr/>
              <w:t> </w:t>
            </w:r>
          </w:p>
        </w:tc>
      </w:tr>
      <w:tr>
        <w:trPr/>
        <w:tc>
          <w:tcPr>
            <w:tcW w:w="4504" w:type="dxa"/>
            <w:gridSpan w:val="2"/>
            <w:tcBorders/>
            <w:vAlign w:val="center"/>
          </w:tcPr>
          <w:p>
            <w:pPr>
              <w:pStyle w:val="TableContents"/>
              <w:bidi w:val="0"/>
              <w:spacing w:before="0" w:after="283"/>
              <w:jc w:val="left"/>
              <w:rPr/>
            </w:pPr>
            <w:r>
              <w:rPr/>
              <w:t>A. Bruce O’Connor, Chief Financial Officer</w:t>
            </w:r>
          </w:p>
        </w:tc>
        <w:tc>
          <w:tcPr>
            <w:tcW w:w="75" w:type="dxa"/>
            <w:tcBorders/>
            <w:vAlign w:val="center"/>
          </w:tcPr>
          <w:p>
            <w:pPr>
              <w:pStyle w:val="TableContents"/>
              <w:bidi w:val="0"/>
              <w:spacing w:before="0" w:after="283"/>
              <w:jc w:val="left"/>
              <w:rPr/>
            </w:pPr>
            <w:r>
              <w:rPr/>
              <w:t> </w:t>
            </w:r>
          </w:p>
        </w:tc>
      </w:tr>
      <w:tr>
        <w:trPr/>
        <w:tc>
          <w:tcPr>
            <w:tcW w:w="450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504" w:type="dxa"/>
            <w:gridSpan w:val="2"/>
            <w:tcBorders/>
            <w:vAlign w:val="center"/>
          </w:tcPr>
          <w:p>
            <w:pPr>
              <w:pStyle w:val="TableContents"/>
              <w:bidi w:val="0"/>
              <w:spacing w:before="0" w:after="283"/>
              <w:jc w:val="left"/>
              <w:rPr/>
            </w:pPr>
            <w:r>
              <w:rPr/>
              <w:t>Pinelands Water Company</w:t>
            </w:r>
          </w:p>
        </w:tc>
        <w:tc>
          <w:tcPr>
            <w:tcW w:w="75" w:type="dxa"/>
            <w:tcBorders/>
            <w:vAlign w:val="center"/>
          </w:tcPr>
          <w:p>
            <w:pPr>
              <w:pStyle w:val="TableContents"/>
              <w:bidi w:val="0"/>
              <w:spacing w:before="0" w:after="283"/>
              <w:jc w:val="left"/>
              <w:rPr/>
            </w:pPr>
            <w:r>
              <w:rPr/>
              <w:t> </w:t>
            </w:r>
          </w:p>
        </w:tc>
      </w:tr>
      <w:tr>
        <w:trPr/>
        <w:tc>
          <w:tcPr>
            <w:tcW w:w="450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56" w:type="dxa"/>
            <w:tcBorders/>
            <w:vAlign w:val="center"/>
          </w:tcPr>
          <w:p>
            <w:pPr>
              <w:pStyle w:val="TableContents"/>
              <w:bidi w:val="0"/>
              <w:spacing w:before="0" w:after="283"/>
              <w:jc w:val="left"/>
              <w:rPr/>
            </w:pPr>
            <w:r>
              <w:rPr/>
              <w:t>By:</w:t>
            </w:r>
          </w:p>
        </w:tc>
        <w:tc>
          <w:tcPr>
            <w:tcW w:w="3848" w:type="dxa"/>
            <w:tcBorders>
              <w:bottom w:val="single" w:sz="8" w:space="0" w:color="000000"/>
            </w:tcBorders>
            <w:tcMar>
              <w:bottom w:w="28" w:type="dxa"/>
            </w:tcMar>
            <w:vAlign w:val="center"/>
          </w:tcPr>
          <w:p>
            <w:pPr>
              <w:pStyle w:val="TableContents"/>
              <w:bidi w:val="0"/>
              <w:spacing w:before="0" w:after="283"/>
              <w:jc w:val="left"/>
              <w:rPr/>
            </w:pPr>
            <w:r>
              <w:rPr/>
              <w:t> </w:t>
            </w:r>
            <w:r>
              <w:rPr/>
              <w:t>/s/ A. Bruce O'Connor</w:t>
            </w:r>
          </w:p>
        </w:tc>
        <w:tc>
          <w:tcPr>
            <w:tcW w:w="75" w:type="dxa"/>
            <w:tcBorders/>
            <w:vAlign w:val="center"/>
          </w:tcPr>
          <w:p>
            <w:pPr>
              <w:pStyle w:val="TableContents"/>
              <w:bidi w:val="0"/>
              <w:spacing w:before="0" w:after="283"/>
              <w:jc w:val="left"/>
              <w:rPr/>
            </w:pPr>
            <w:r>
              <w:rPr/>
              <w:t> </w:t>
            </w:r>
          </w:p>
        </w:tc>
      </w:tr>
      <w:tr>
        <w:trPr/>
        <w:tc>
          <w:tcPr>
            <w:tcW w:w="4504" w:type="dxa"/>
            <w:gridSpan w:val="2"/>
            <w:tcBorders/>
            <w:vAlign w:val="center"/>
          </w:tcPr>
          <w:p>
            <w:pPr>
              <w:pStyle w:val="TableContents"/>
              <w:bidi w:val="0"/>
              <w:spacing w:before="0" w:after="283"/>
              <w:jc w:val="left"/>
              <w:rPr/>
            </w:pPr>
            <w:r>
              <w:rPr/>
              <w:t>A. Bruce O’Connor, VP &amp; Treasurer</w:t>
            </w:r>
          </w:p>
        </w:tc>
        <w:tc>
          <w:tcPr>
            <w:tcW w:w="75" w:type="dxa"/>
            <w:tcBorders/>
            <w:vAlign w:val="center"/>
          </w:tcPr>
          <w:p>
            <w:pPr>
              <w:pStyle w:val="TableContents"/>
              <w:bidi w:val="0"/>
              <w:spacing w:before="0" w:after="283"/>
              <w:jc w:val="left"/>
              <w:rPr/>
            </w:pPr>
            <w:r>
              <w:rPr/>
              <w:t> </w:t>
            </w:r>
          </w:p>
        </w:tc>
      </w:tr>
      <w:tr>
        <w:trPr/>
        <w:tc>
          <w:tcPr>
            <w:tcW w:w="450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504" w:type="dxa"/>
            <w:gridSpan w:val="2"/>
            <w:tcBorders/>
            <w:vAlign w:val="center"/>
          </w:tcPr>
          <w:p>
            <w:pPr>
              <w:pStyle w:val="TableContents"/>
              <w:bidi w:val="0"/>
              <w:spacing w:before="0" w:after="283"/>
              <w:jc w:val="left"/>
              <w:rPr/>
            </w:pPr>
            <w:r>
              <w:rPr/>
              <w:t>Pinelands Wastewater Company</w:t>
            </w:r>
          </w:p>
        </w:tc>
        <w:tc>
          <w:tcPr>
            <w:tcW w:w="75" w:type="dxa"/>
            <w:tcBorders/>
            <w:vAlign w:val="center"/>
          </w:tcPr>
          <w:p>
            <w:pPr>
              <w:pStyle w:val="TableContents"/>
              <w:bidi w:val="0"/>
              <w:spacing w:before="0" w:after="283"/>
              <w:jc w:val="left"/>
              <w:rPr/>
            </w:pPr>
            <w:r>
              <w:rPr/>
              <w:t> </w:t>
            </w:r>
          </w:p>
        </w:tc>
      </w:tr>
      <w:tr>
        <w:trPr/>
        <w:tc>
          <w:tcPr>
            <w:tcW w:w="656" w:type="dxa"/>
            <w:tcBorders/>
            <w:vAlign w:val="center"/>
          </w:tcPr>
          <w:p>
            <w:pPr>
              <w:pStyle w:val="TableContents"/>
              <w:bidi w:val="0"/>
              <w:spacing w:before="0" w:after="283"/>
              <w:jc w:val="left"/>
              <w:rPr/>
            </w:pPr>
            <w:r>
              <w:rPr/>
              <w:t>By:</w:t>
            </w:r>
          </w:p>
        </w:tc>
        <w:tc>
          <w:tcPr>
            <w:tcW w:w="3848" w:type="dxa"/>
            <w:tcBorders>
              <w:bottom w:val="single" w:sz="8" w:space="0" w:color="000000"/>
            </w:tcBorders>
            <w:tcMar>
              <w:bottom w:w="28" w:type="dxa"/>
            </w:tcMar>
            <w:vAlign w:val="center"/>
          </w:tcPr>
          <w:p>
            <w:pPr>
              <w:pStyle w:val="TableContents"/>
              <w:bidi w:val="0"/>
              <w:spacing w:before="0" w:after="283"/>
              <w:jc w:val="left"/>
              <w:rPr/>
            </w:pPr>
            <w:r>
              <w:rPr/>
              <w:t> </w:t>
            </w:r>
            <w:r>
              <w:rPr/>
              <w:t>/s/ A. Bruce O'Connor</w:t>
            </w:r>
          </w:p>
        </w:tc>
        <w:tc>
          <w:tcPr>
            <w:tcW w:w="75" w:type="dxa"/>
            <w:tcBorders/>
            <w:vAlign w:val="center"/>
          </w:tcPr>
          <w:p>
            <w:pPr>
              <w:pStyle w:val="TableContents"/>
              <w:bidi w:val="0"/>
              <w:spacing w:before="0" w:after="283"/>
              <w:jc w:val="left"/>
              <w:rPr/>
            </w:pPr>
            <w:r>
              <w:rPr/>
              <w:t> </w:t>
            </w:r>
          </w:p>
        </w:tc>
      </w:tr>
      <w:tr>
        <w:trPr/>
        <w:tc>
          <w:tcPr>
            <w:tcW w:w="4504" w:type="dxa"/>
            <w:gridSpan w:val="2"/>
            <w:tcBorders/>
            <w:vAlign w:val="center"/>
          </w:tcPr>
          <w:p>
            <w:pPr>
              <w:pStyle w:val="TableContents"/>
              <w:bidi w:val="0"/>
              <w:spacing w:before="0" w:after="283"/>
              <w:jc w:val="left"/>
              <w:rPr/>
            </w:pPr>
            <w:r>
              <w:rPr/>
              <w:t>A. Bruce O’Connor, VP &amp; Treasurer</w:t>
            </w:r>
          </w:p>
        </w:tc>
        <w:tc>
          <w:tcPr>
            <w:tcW w:w="75" w:type="dxa"/>
            <w:tcBorders/>
            <w:vAlign w:val="center"/>
          </w:tcPr>
          <w:p>
            <w:pPr>
              <w:pStyle w:val="TableContents"/>
              <w:bidi w:val="0"/>
              <w:spacing w:before="0" w:after="283"/>
              <w:jc w:val="left"/>
              <w:rPr/>
            </w:pPr>
            <w:r>
              <w:rPr/>
              <w:t> </w:t>
            </w:r>
          </w:p>
        </w:tc>
      </w:tr>
      <w:tr>
        <w:trPr/>
        <w:tc>
          <w:tcPr>
            <w:tcW w:w="450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504" w:type="dxa"/>
            <w:gridSpan w:val="2"/>
            <w:tcBorders/>
            <w:vAlign w:val="center"/>
          </w:tcPr>
          <w:p>
            <w:pPr>
              <w:pStyle w:val="TableContents"/>
              <w:bidi w:val="0"/>
              <w:spacing w:before="0" w:after="283"/>
              <w:jc w:val="left"/>
              <w:rPr/>
            </w:pPr>
            <w:r>
              <w:rPr/>
              <w:t>Utility Service Affiliates, Inc.</w:t>
            </w:r>
          </w:p>
        </w:tc>
        <w:tc>
          <w:tcPr>
            <w:tcW w:w="75" w:type="dxa"/>
            <w:tcBorders/>
            <w:vAlign w:val="center"/>
          </w:tcPr>
          <w:p>
            <w:pPr>
              <w:pStyle w:val="TableContents"/>
              <w:bidi w:val="0"/>
              <w:spacing w:before="0" w:after="283"/>
              <w:jc w:val="left"/>
              <w:rPr/>
            </w:pPr>
            <w:r>
              <w:rPr/>
              <w:t> </w:t>
            </w:r>
          </w:p>
        </w:tc>
      </w:tr>
      <w:tr>
        <w:trPr/>
        <w:tc>
          <w:tcPr>
            <w:tcW w:w="450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56" w:type="dxa"/>
            <w:tcBorders/>
            <w:vAlign w:val="center"/>
          </w:tcPr>
          <w:p>
            <w:pPr>
              <w:pStyle w:val="TableContents"/>
              <w:bidi w:val="0"/>
              <w:spacing w:before="0" w:after="283"/>
              <w:jc w:val="left"/>
              <w:rPr/>
            </w:pPr>
            <w:r>
              <w:rPr/>
              <w:t>By:</w:t>
            </w:r>
          </w:p>
        </w:tc>
        <w:tc>
          <w:tcPr>
            <w:tcW w:w="3848" w:type="dxa"/>
            <w:tcBorders>
              <w:bottom w:val="single" w:sz="8" w:space="0" w:color="000000"/>
            </w:tcBorders>
            <w:tcMar>
              <w:bottom w:w="28" w:type="dxa"/>
            </w:tcMar>
            <w:vAlign w:val="center"/>
          </w:tcPr>
          <w:p>
            <w:pPr>
              <w:pStyle w:val="TableContents"/>
              <w:bidi w:val="0"/>
              <w:spacing w:before="0" w:after="283"/>
              <w:jc w:val="left"/>
              <w:rPr/>
            </w:pPr>
            <w:r>
              <w:rPr/>
              <w:t> </w:t>
            </w:r>
            <w:r>
              <w:rPr/>
              <w:t>/s/ A. Bruce O'Connor</w:t>
            </w:r>
          </w:p>
        </w:tc>
        <w:tc>
          <w:tcPr>
            <w:tcW w:w="75" w:type="dxa"/>
            <w:tcBorders/>
            <w:vAlign w:val="center"/>
          </w:tcPr>
          <w:p>
            <w:pPr>
              <w:pStyle w:val="TableContents"/>
              <w:bidi w:val="0"/>
              <w:spacing w:before="0" w:after="283"/>
              <w:jc w:val="left"/>
              <w:rPr/>
            </w:pPr>
            <w:r>
              <w:rPr/>
              <w:t> </w:t>
            </w:r>
          </w:p>
        </w:tc>
      </w:tr>
      <w:tr>
        <w:trPr/>
        <w:tc>
          <w:tcPr>
            <w:tcW w:w="4504" w:type="dxa"/>
            <w:gridSpan w:val="2"/>
            <w:tcBorders/>
            <w:vAlign w:val="center"/>
          </w:tcPr>
          <w:p>
            <w:pPr>
              <w:pStyle w:val="TableContents"/>
              <w:bidi w:val="0"/>
              <w:spacing w:before="0" w:after="283"/>
              <w:jc w:val="left"/>
              <w:rPr/>
            </w:pPr>
            <w:r>
              <w:rPr/>
              <w:t>A. Bruce O’Connor, Treasurer</w:t>
            </w:r>
          </w:p>
        </w:tc>
        <w:tc>
          <w:tcPr>
            <w:tcW w:w="75" w:type="dxa"/>
            <w:tcBorders/>
            <w:vAlign w:val="center"/>
          </w:tcPr>
          <w:p>
            <w:pPr>
              <w:pStyle w:val="TableContents"/>
              <w:bidi w:val="0"/>
              <w:spacing w:before="0" w:after="283"/>
              <w:jc w:val="left"/>
              <w:rPr/>
            </w:pPr>
            <w:r>
              <w:rPr/>
              <w:t> </w:t>
            </w:r>
          </w:p>
        </w:tc>
      </w:tr>
      <w:tr>
        <w:trPr/>
        <w:tc>
          <w:tcPr>
            <w:tcW w:w="450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504" w:type="dxa"/>
            <w:gridSpan w:val="2"/>
            <w:tcBorders/>
            <w:vAlign w:val="center"/>
          </w:tcPr>
          <w:p>
            <w:pPr>
              <w:pStyle w:val="TableContents"/>
              <w:bidi w:val="0"/>
              <w:spacing w:before="0" w:after="283"/>
              <w:jc w:val="left"/>
              <w:rPr/>
            </w:pPr>
            <w:r>
              <w:rPr/>
              <w:t>Utility Service Affiliates (Perth Amboy) Inc.</w:t>
            </w:r>
          </w:p>
        </w:tc>
        <w:tc>
          <w:tcPr>
            <w:tcW w:w="75" w:type="dxa"/>
            <w:tcBorders/>
            <w:vAlign w:val="center"/>
          </w:tcPr>
          <w:p>
            <w:pPr>
              <w:pStyle w:val="TableContents"/>
              <w:bidi w:val="0"/>
              <w:spacing w:before="0" w:after="283"/>
              <w:jc w:val="left"/>
              <w:rPr/>
            </w:pPr>
            <w:r>
              <w:rPr/>
              <w:t> </w:t>
            </w:r>
          </w:p>
        </w:tc>
      </w:tr>
      <w:tr>
        <w:trPr/>
        <w:tc>
          <w:tcPr>
            <w:tcW w:w="450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56" w:type="dxa"/>
            <w:tcBorders/>
            <w:vAlign w:val="center"/>
          </w:tcPr>
          <w:p>
            <w:pPr>
              <w:pStyle w:val="TableContents"/>
              <w:bidi w:val="0"/>
              <w:spacing w:before="0" w:after="283"/>
              <w:jc w:val="left"/>
              <w:rPr/>
            </w:pPr>
            <w:r>
              <w:rPr/>
              <w:t>By:</w:t>
            </w:r>
          </w:p>
        </w:tc>
        <w:tc>
          <w:tcPr>
            <w:tcW w:w="3848" w:type="dxa"/>
            <w:tcBorders>
              <w:bottom w:val="single" w:sz="8" w:space="0" w:color="000000"/>
            </w:tcBorders>
            <w:tcMar>
              <w:bottom w:w="28" w:type="dxa"/>
            </w:tcMar>
            <w:vAlign w:val="center"/>
          </w:tcPr>
          <w:p>
            <w:pPr>
              <w:pStyle w:val="TableContents"/>
              <w:bidi w:val="0"/>
              <w:spacing w:before="0" w:after="283"/>
              <w:jc w:val="left"/>
              <w:rPr/>
            </w:pPr>
            <w:r>
              <w:rPr/>
              <w:t> </w:t>
            </w:r>
            <w:r>
              <w:rPr/>
              <w:t>/s/ A. Bruce O'Connor</w:t>
            </w:r>
          </w:p>
        </w:tc>
        <w:tc>
          <w:tcPr>
            <w:tcW w:w="75" w:type="dxa"/>
            <w:tcBorders/>
            <w:vAlign w:val="center"/>
          </w:tcPr>
          <w:p>
            <w:pPr>
              <w:pStyle w:val="TableContents"/>
              <w:bidi w:val="0"/>
              <w:spacing w:before="0" w:after="283"/>
              <w:jc w:val="left"/>
              <w:rPr/>
            </w:pPr>
            <w:r>
              <w:rPr/>
              <w:t> </w:t>
            </w:r>
          </w:p>
        </w:tc>
      </w:tr>
      <w:tr>
        <w:trPr/>
        <w:tc>
          <w:tcPr>
            <w:tcW w:w="4504" w:type="dxa"/>
            <w:gridSpan w:val="2"/>
            <w:tcBorders/>
            <w:vAlign w:val="center"/>
          </w:tcPr>
          <w:p>
            <w:pPr>
              <w:pStyle w:val="TableContents"/>
              <w:bidi w:val="0"/>
              <w:spacing w:before="0" w:after="283"/>
              <w:jc w:val="left"/>
              <w:rPr/>
            </w:pPr>
            <w:r>
              <w:rPr/>
              <w:t>A. Bruce O’Connor, Treasurer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10.27(d)</w:t>
      </w:r>
    </w:p>
    <w:p>
      <w:pPr>
        <w:pStyle w:val="TextBody"/>
        <w:bidi w:val="0"/>
        <w:spacing w:before="0" w:after="0"/>
        <w:ind w:left="0" w:right="0" w:hanging="0"/>
        <w:jc w:val="left"/>
        <w:rPr>
          <w:caps w:val="false"/>
          <w:smallCaps w:val="false"/>
        </w:rPr>
      </w:pPr>
      <w:r>
        <w:rPr>
          <w:caps w:val="false"/>
          <w:smallCaps w:val="false"/>
        </w:rPr>
        <w:t> </w:t>
      </w:r>
    </w:p>
    <w:tbl>
      <w:tblPr>
        <w:tblW w:w="8005" w:type="dxa"/>
        <w:jc w:val="left"/>
        <w:tblInd w:w="0" w:type="dxa"/>
        <w:tblLayout w:type="fixed"/>
        <w:tblCellMar>
          <w:top w:w="0" w:type="dxa"/>
          <w:left w:w="0" w:type="dxa"/>
          <w:bottom w:w="0" w:type="dxa"/>
          <w:right w:w="0" w:type="dxa"/>
        </w:tblCellMar>
      </w:tblPr>
      <w:tblGrid>
        <w:gridCol w:w="4505"/>
        <w:gridCol w:w="3500"/>
      </w:tblGrid>
      <w:tr>
        <w:trPr/>
        <w:tc>
          <w:tcPr>
            <w:tcW w:w="4505" w:type="dxa"/>
            <w:tcBorders/>
            <w:vAlign w:val="center"/>
          </w:tcPr>
          <w:p>
            <w:pPr>
              <w:pStyle w:val="TableContents"/>
              <w:bidi w:val="0"/>
              <w:spacing w:before="0" w:after="283"/>
              <w:jc w:val="left"/>
              <w:rPr>
                <w:sz w:val="20"/>
              </w:rPr>
            </w:pPr>
            <w:r>
              <w:rPr>
                <w:sz w:val="20"/>
              </w:rPr>
              <w:t>Address where notices to</w:t>
              <w:br/>
              <w:t>the Bank are to be sent:</w:t>
            </w:r>
          </w:p>
        </w:tc>
        <w:tc>
          <w:tcPr>
            <w:tcW w:w="350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where notices to</w:t>
              <w:br/>
              <w:t>the Borrower are to be sent:</w:t>
            </w:r>
          </w:p>
          <w:p>
            <w:pPr>
              <w:pStyle w:val="TableContents"/>
              <w:bidi w:val="0"/>
              <w:spacing w:before="0" w:after="0"/>
              <w:ind w:left="0" w:right="0" w:hanging="0"/>
              <w:jc w:val="left"/>
              <w:rPr>
                <w:caps w:val="false"/>
                <w:smallCaps w:val="false"/>
              </w:rPr>
            </w:pPr>
            <w:r>
              <w:rPr>
                <w:caps w:val="false"/>
                <w:smallCaps w:val="false"/>
              </w:rPr>
              <w:t> </w:t>
            </w:r>
          </w:p>
        </w:tc>
      </w:tr>
      <w:tr>
        <w:trPr/>
        <w:tc>
          <w:tcPr>
            <w:tcW w:w="4505" w:type="dxa"/>
            <w:tcBorders/>
            <w:vAlign w:val="center"/>
          </w:tcPr>
          <w:p>
            <w:pPr>
              <w:pStyle w:val="TableContents"/>
              <w:bidi w:val="0"/>
              <w:spacing w:before="0" w:after="283"/>
              <w:jc w:val="left"/>
              <w:rPr/>
            </w:pPr>
            <w:r>
              <w:rPr/>
              <w:t xml:space="preserve">Dilcia P. Hill </w:t>
              <w:br/>
              <w:t xml:space="preserve">Senior Vice President </w:t>
              <w:br/>
              <w:t>Commercial Credit Officer</w:t>
              <w:br/>
              <w:t>Global Commercial Banking</w:t>
              <w:br/>
              <w:t>Bank of America</w:t>
              <w:br/>
              <w:t xml:space="preserve">NJ7-550-04-02, 194 Wood Ave. South, Iselin, </w:t>
              <w:br/>
              <w:t>NJ 08830</w:t>
              <w:br/>
              <w:t>T 732 321 5925 F 212 230 8577</w:t>
              <w:br/>
              <w:t>dilcia.p.hill@bofa.com</w:t>
            </w:r>
          </w:p>
        </w:tc>
        <w:tc>
          <w:tcPr>
            <w:tcW w:w="3500" w:type="dxa"/>
            <w:tcBorders/>
            <w:vAlign w:val="center"/>
          </w:tcPr>
          <w:p>
            <w:pPr>
              <w:pStyle w:val="TableContents"/>
              <w:bidi w:val="0"/>
              <w:spacing w:before="0" w:after="283"/>
              <w:jc w:val="left"/>
              <w:rPr>
                <w:sz w:val="20"/>
              </w:rPr>
            </w:pPr>
            <w:r>
              <w:rPr>
                <w:sz w:val="20"/>
              </w:rPr>
              <w:t>Middlesex Water Company</w:t>
              <w:br/>
              <w:t xml:space="preserve">485 C Route 1 South, Suite 400, Iselin NJ </w:t>
              <w:br/>
              <w:t>08830-3020</w:t>
              <w:br/>
              <w:t>Attention: A. Bruce O’Connor</w:t>
              <w:br/>
              <w:t xml:space="preserve">Senior Vice President, Treasurer and Chief </w:t>
              <w:br/>
              <w:t>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-8-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70" w:name="ex19.htm"/>
      <w:bookmarkStart w:id="71" w:name="ksex19"/>
      <w:bookmarkEnd w:id="70"/>
      <w:bookmarkEnd w:id="71"/>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MIDDLESEX WATER COMPANY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INSIDER TRADING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383" w:type="dxa"/>
        <w:jc w:val="left"/>
        <w:tblInd w:w="0" w:type="dxa"/>
        <w:tblLayout w:type="fixed"/>
        <w:tblCellMar>
          <w:top w:w="0" w:type="dxa"/>
          <w:left w:w="0" w:type="dxa"/>
          <w:bottom w:w="0" w:type="dxa"/>
          <w:right w:w="0" w:type="dxa"/>
        </w:tblCellMar>
      </w:tblPr>
      <w:tblGrid>
        <w:gridCol w:w="38"/>
        <w:gridCol w:w="170"/>
        <w:gridCol w:w="11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b/>
              </w:rPr>
            </w:pPr>
            <w:r>
              <w:rPr>
                <w:b/>
              </w:rPr>
              <w:t>I.</w:t>
            </w:r>
          </w:p>
        </w:tc>
        <w:tc>
          <w:tcPr>
            <w:tcW w:w="1175" w:type="dxa"/>
            <w:tcBorders/>
            <w:vAlign w:val="center"/>
          </w:tcPr>
          <w:p>
            <w:pPr>
              <w:pStyle w:val="TableContents"/>
              <w:bidi w:val="0"/>
              <w:spacing w:before="0" w:after="283"/>
              <w:jc w:val="left"/>
              <w:rPr>
                <w:b/>
              </w:rPr>
            </w:pPr>
            <w:r>
              <w:rPr>
                <w:b/>
              </w:rPr>
              <w:t>PURPOSE</w:t>
            </w:r>
          </w:p>
        </w:tc>
      </w:tr>
    </w:tbl>
    <w:p>
      <w:pPr>
        <w:pStyle w:val="TextBody"/>
        <w:bidi w:val="0"/>
        <w:spacing w:before="0" w:after="0"/>
        <w:ind w:left="840" w:right="302"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Middlesex Water Company (the “Company”) hereby adopts this Insider Trading Policy (“Policy”) to assist its directors, officers and employees in compliance with insider trading laws and regulations and to further prevent an appearance of improper insider trading.</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62"/>
        <w:gridCol w:w="2198"/>
        <w:gridCol w:w="7645"/>
      </w:tblGrid>
      <w:tr>
        <w:trPr/>
        <w:tc>
          <w:tcPr>
            <w:tcW w:w="362" w:type="dxa"/>
            <w:tcBorders/>
            <w:vAlign w:val="center"/>
          </w:tcPr>
          <w:p>
            <w:pPr>
              <w:pStyle w:val="TableContents"/>
              <w:bidi w:val="0"/>
              <w:spacing w:before="0" w:after="283"/>
              <w:jc w:val="left"/>
              <w:rPr>
                <w:sz w:val="4"/>
                <w:szCs w:val="4"/>
              </w:rPr>
            </w:pPr>
            <w:r>
              <w:rPr>
                <w:sz w:val="4"/>
                <w:szCs w:val="4"/>
              </w:rPr>
            </w:r>
          </w:p>
        </w:tc>
        <w:tc>
          <w:tcPr>
            <w:tcW w:w="2198" w:type="dxa"/>
            <w:tcBorders/>
            <w:vAlign w:val="center"/>
          </w:tcPr>
          <w:p>
            <w:pPr>
              <w:pStyle w:val="TableContents"/>
              <w:bidi w:val="0"/>
              <w:spacing w:before="0" w:after="283"/>
              <w:jc w:val="left"/>
              <w:rPr/>
            </w:pPr>
            <w:r>
              <w:rPr/>
              <w:t>II.</w:t>
            </w:r>
          </w:p>
        </w:tc>
        <w:tc>
          <w:tcPr>
            <w:tcW w:w="7645" w:type="dxa"/>
            <w:tcBorders/>
            <w:vAlign w:val="center"/>
          </w:tcPr>
          <w:p>
            <w:pPr>
              <w:pStyle w:val="TableContents"/>
              <w:bidi w:val="0"/>
              <w:spacing w:before="0" w:after="283"/>
              <w:jc w:val="left"/>
              <w:rPr/>
            </w:pPr>
            <w:r>
              <w:rPr/>
              <w:t>SCOPE</w:t>
            </w:r>
          </w:p>
        </w:tc>
      </w:tr>
    </w:tbl>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b/>
              </w:rPr>
            </w:pPr>
            <w:r>
              <w:rPr>
                <w:b/>
              </w:rPr>
              <w:t>A.</w:t>
            </w:r>
          </w:p>
        </w:tc>
        <w:tc>
          <w:tcPr>
            <w:tcW w:w="9908" w:type="dxa"/>
            <w:tcBorders/>
            <w:vAlign w:val="center"/>
          </w:tcPr>
          <w:p>
            <w:pPr>
              <w:pStyle w:val="TableContents"/>
              <w:bidi w:val="0"/>
              <w:spacing w:before="0" w:after="283"/>
              <w:jc w:val="left"/>
              <w:rPr/>
            </w:pPr>
            <w:r>
              <w:rPr/>
              <w:t>This Policy applies to all directors, officers and employees of the Company, as well as their respective family members and others in their households (collectively referred to as “Insiders”), and any other individuals the General Counsel may designate as Insiders because they have access to material nonpublic information concerning the Company.</w:t>
            </w:r>
          </w:p>
        </w:tc>
      </w:tr>
    </w:tbl>
    <w:tbl>
      <w:tblPr>
        <w:tblW w:w="5000" w:type="pct"/>
        <w:jc w:val="left"/>
        <w:tblInd w:w="0" w:type="dxa"/>
        <w:tblLayout w:type="fixed"/>
        <w:tblCellMar>
          <w:top w:w="0" w:type="dxa"/>
          <w:left w:w="0" w:type="dxa"/>
          <w:bottom w:w="0" w:type="dxa"/>
          <w:right w:w="0" w:type="dxa"/>
        </w:tblCellMar>
      </w:tblPr>
      <w:tblGrid>
        <w:gridCol w:w="37"/>
        <w:gridCol w:w="245"/>
        <w:gridCol w:w="9923"/>
      </w:tblGrid>
      <w:tr>
        <w:trPr/>
        <w:tc>
          <w:tcPr>
            <w:tcW w:w="3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b/>
              </w:rPr>
            </w:pPr>
            <w:r>
              <w:rPr>
                <w:b/>
              </w:rPr>
              <w:t>B.</w:t>
            </w:r>
          </w:p>
        </w:tc>
        <w:tc>
          <w:tcPr>
            <w:tcW w:w="9923" w:type="dxa"/>
            <w:tcBorders/>
            <w:vAlign w:val="center"/>
          </w:tcPr>
          <w:p>
            <w:pPr>
              <w:pStyle w:val="TableContents"/>
              <w:bidi w:val="0"/>
              <w:spacing w:before="0" w:after="283"/>
              <w:jc w:val="left"/>
              <w:rPr/>
            </w:pPr>
            <w:r>
              <w:rPr/>
              <w:t>Except as set forth explicitly below, this Policy applies to any and all transactions in the Company’s securities, including transactions in common stock, options, preferred stock, restricted stock, restricted stock units, and any other type of securities the Company may issue. This Policy applies to such securities regardless of whether they are held in a brokerage account, a 401(k) or similar account, through an employee stock purchase plan or otherwise.</w:t>
            </w:r>
          </w:p>
        </w:tc>
      </w:tr>
    </w:tbl>
    <w:tbl>
      <w:tblPr>
        <w:tblW w:w="5000" w:type="pct"/>
        <w:jc w:val="left"/>
        <w:tblInd w:w="0" w:type="dxa"/>
        <w:tblLayout w:type="fixed"/>
        <w:tblCellMar>
          <w:top w:w="0" w:type="dxa"/>
          <w:left w:w="0" w:type="dxa"/>
          <w:bottom w:w="0" w:type="dxa"/>
          <w:right w:w="0" w:type="dxa"/>
        </w:tblCellMar>
      </w:tblPr>
      <w:tblGrid>
        <w:gridCol w:w="140"/>
        <w:gridCol w:w="1126"/>
        <w:gridCol w:w="8939"/>
      </w:tblGrid>
      <w:tr>
        <w:trPr/>
        <w:tc>
          <w:tcPr>
            <w:tcW w:w="140"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pPr>
            <w:r>
              <w:rPr/>
              <w:t>III.</w:t>
            </w:r>
          </w:p>
        </w:tc>
        <w:tc>
          <w:tcPr>
            <w:tcW w:w="8939" w:type="dxa"/>
            <w:tcBorders/>
            <w:vAlign w:val="center"/>
          </w:tcPr>
          <w:p>
            <w:pPr>
              <w:pStyle w:val="TableContents"/>
              <w:bidi w:val="0"/>
              <w:spacing w:before="0" w:after="283"/>
              <w:jc w:val="left"/>
              <w:rPr/>
            </w:pPr>
            <w:r>
              <w:rPr/>
              <w:t>SPECIFIC GUIDANCE</w:t>
            </w:r>
          </w:p>
        </w:tc>
      </w:tr>
    </w:tbl>
    <w:tbl>
      <w:tblPr>
        <w:tblW w:w="5000" w:type="pct"/>
        <w:jc w:val="left"/>
        <w:tblInd w:w="0" w:type="dxa"/>
        <w:tblLayout w:type="fixed"/>
        <w:tblCellMar>
          <w:top w:w="0" w:type="dxa"/>
          <w:left w:w="0" w:type="dxa"/>
          <w:bottom w:w="0" w:type="dxa"/>
          <w:right w:w="0" w:type="dxa"/>
        </w:tblCellMar>
      </w:tblPr>
      <w:tblGrid>
        <w:gridCol w:w="110"/>
        <w:gridCol w:w="755"/>
        <w:gridCol w:w="9340"/>
      </w:tblGrid>
      <w:tr>
        <w:trPr/>
        <w:tc>
          <w:tcPr>
            <w:tcW w:w="11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b/>
              </w:rPr>
            </w:pPr>
            <w:r>
              <w:rPr>
                <w:b/>
              </w:rPr>
              <w:t>A.</w:t>
            </w:r>
          </w:p>
        </w:tc>
        <w:tc>
          <w:tcPr>
            <w:tcW w:w="9340" w:type="dxa"/>
            <w:tcBorders/>
            <w:vAlign w:val="center"/>
          </w:tcPr>
          <w:p>
            <w:pPr>
              <w:pStyle w:val="TableContents"/>
              <w:bidi w:val="0"/>
              <w:spacing w:before="0" w:after="283"/>
              <w:jc w:val="left"/>
              <w:rPr>
                <w:b/>
              </w:rPr>
            </w:pPr>
            <w:r>
              <w:rPr>
                <w:b/>
              </w:rPr>
              <w:t>Generally Prohibited Activities.</w:t>
            </w:r>
          </w:p>
        </w:tc>
      </w:tr>
    </w:tbl>
    <w:tbl>
      <w:tblPr>
        <w:tblW w:w="5000" w:type="pct"/>
        <w:jc w:val="left"/>
        <w:tblInd w:w="0" w:type="dxa"/>
        <w:tblLayout w:type="fixed"/>
        <w:tblCellMar>
          <w:top w:w="0" w:type="dxa"/>
          <w:left w:w="0" w:type="dxa"/>
          <w:bottom w:w="0" w:type="dxa"/>
          <w:right w:w="0" w:type="dxa"/>
        </w:tblCellMar>
      </w:tblPr>
      <w:tblGrid>
        <w:gridCol w:w="117"/>
        <w:gridCol w:w="621"/>
        <w:gridCol w:w="9467"/>
      </w:tblGrid>
      <w:tr>
        <w:trPr/>
        <w:tc>
          <w:tcPr>
            <w:tcW w:w="117"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pPr>
            <w:r>
              <w:rPr/>
              <w:t>1.</w:t>
            </w:r>
          </w:p>
        </w:tc>
        <w:tc>
          <w:tcPr>
            <w:tcW w:w="9467" w:type="dxa"/>
            <w:tcBorders/>
            <w:vAlign w:val="center"/>
          </w:tcPr>
          <w:p>
            <w:pPr>
              <w:pStyle w:val="TableContents"/>
              <w:bidi w:val="0"/>
              <w:spacing w:before="0" w:after="283"/>
              <w:jc w:val="left"/>
              <w:rPr/>
            </w:pPr>
            <w:r>
              <w:rPr>
                <w:u w:val="single"/>
              </w:rPr>
              <w:t>Trading in Company Securities</w:t>
            </w:r>
            <w:r>
              <w:rPr/>
              <w:t>.</w:t>
            </w:r>
          </w:p>
        </w:tc>
      </w:tr>
    </w:tbl>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3" w:type="dxa"/>
            <w:tcBorders/>
            <w:vAlign w:val="center"/>
          </w:tcPr>
          <w:p>
            <w:pPr>
              <w:pStyle w:val="TableContents"/>
              <w:bidi w:val="0"/>
              <w:spacing w:before="0" w:after="283"/>
              <w:jc w:val="left"/>
              <w:rPr/>
            </w:pPr>
            <w:r>
              <w:rPr/>
              <w:t>No Insider may buy, sell or otherwise trade in Company securities while aware of material nonpublic information concerning the Company.</w:t>
            </w:r>
          </w:p>
        </w:tc>
      </w:tr>
    </w:tbl>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8" w:type="dxa"/>
            <w:tcBorders/>
            <w:vAlign w:val="center"/>
          </w:tcPr>
          <w:p>
            <w:pPr>
              <w:pStyle w:val="TableContents"/>
              <w:bidi w:val="0"/>
              <w:spacing w:before="0" w:after="283"/>
              <w:jc w:val="left"/>
              <w:rPr/>
            </w:pPr>
            <w:r>
              <w:rPr/>
              <w:t>No Insider may buy, sell or otherwise trade in Company securities during any special trading blackout period applicable to such Insider as designated by the General Counsel.</w:t>
            </w:r>
          </w:p>
        </w:tc>
      </w:tr>
    </w:tbl>
    <w:tbl>
      <w:tblPr>
        <w:tblW w:w="5000" w:type="pct"/>
        <w:jc w:val="left"/>
        <w:tblInd w:w="0" w:type="dxa"/>
        <w:tblLayout w:type="fixed"/>
        <w:tblCellMar>
          <w:top w:w="0" w:type="dxa"/>
          <w:left w:w="0" w:type="dxa"/>
          <w:bottom w:w="0" w:type="dxa"/>
          <w:right w:w="0" w:type="dxa"/>
        </w:tblCellMar>
      </w:tblPr>
      <w:tblGrid>
        <w:gridCol w:w="37"/>
        <w:gridCol w:w="152"/>
        <w:gridCol w:w="10016"/>
      </w:tblGrid>
      <w:tr>
        <w:trPr/>
        <w:tc>
          <w:tcPr>
            <w:tcW w:w="3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pPr>
            <w:r>
              <w:rPr/>
              <w:t>2.</w:t>
            </w:r>
          </w:p>
        </w:tc>
        <w:tc>
          <w:tcPr>
            <w:tcW w:w="10016" w:type="dxa"/>
            <w:tcBorders/>
            <w:vAlign w:val="center"/>
          </w:tcPr>
          <w:p>
            <w:pPr>
              <w:pStyle w:val="TableContents"/>
              <w:bidi w:val="0"/>
              <w:spacing w:before="0" w:after="283"/>
              <w:jc w:val="left"/>
              <w:rPr/>
            </w:pPr>
            <w:r>
              <w:rPr>
                <w:u w:val="single"/>
              </w:rPr>
              <w:t>Tipping</w:t>
            </w:r>
            <w:r>
              <w:rPr/>
              <w:t>. Providing material nonpublic information to another person who may trade or advise others to trade on the basis of that information is known as “tipping” and is illegal. Therefore, no Insider may “tip” or provide material nonpublic information concerning the Company to any person other than a director, officer or employee of the Company, unless required as part of that Insider’s regular duties for the Company and authorized by the General Counsel.</w:t>
            </w:r>
          </w:p>
        </w:tc>
      </w:tr>
    </w:tbl>
    <w:tbl>
      <w:tblPr>
        <w:tblW w:w="5000" w:type="pct"/>
        <w:jc w:val="left"/>
        <w:tblInd w:w="0" w:type="dxa"/>
        <w:tblLayout w:type="fixed"/>
        <w:tblCellMar>
          <w:top w:w="0" w:type="dxa"/>
          <w:left w:w="0" w:type="dxa"/>
          <w:bottom w:w="0" w:type="dxa"/>
          <w:right w:w="0" w:type="dxa"/>
        </w:tblCellMar>
      </w:tblPr>
      <w:tblGrid>
        <w:gridCol w:w="37"/>
        <w:gridCol w:w="159"/>
        <w:gridCol w:w="10009"/>
      </w:tblGrid>
      <w:tr>
        <w:trPr/>
        <w:tc>
          <w:tcPr>
            <w:tcW w:w="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3.</w:t>
            </w:r>
          </w:p>
        </w:tc>
        <w:tc>
          <w:tcPr>
            <w:tcW w:w="10009" w:type="dxa"/>
            <w:tcBorders/>
            <w:vAlign w:val="center"/>
          </w:tcPr>
          <w:p>
            <w:pPr>
              <w:pStyle w:val="TableContents"/>
              <w:bidi w:val="0"/>
              <w:spacing w:before="0" w:after="283"/>
              <w:jc w:val="left"/>
              <w:rPr/>
            </w:pPr>
            <w:r>
              <w:rPr>
                <w:u w:val="single"/>
              </w:rPr>
              <w:t>Giving Trading Advice</w:t>
            </w:r>
            <w:r>
              <w:rPr/>
              <w:t>. No Insider may give trading advice of any kind about the Company to anyone, whether or not such Insider is aware of material nonpublic information about the Company, except that Insiders should advise other Insiders not to trade if such trading might violate the law or this Policy.</w:t>
            </w:r>
          </w:p>
        </w:tc>
      </w:tr>
    </w:tbl>
    <w:p>
      <w:pPr>
        <w:pStyle w:val="TextBody"/>
        <w:bidi w:val="0"/>
        <w:spacing w:before="0" w:after="0"/>
        <w:jc w:val="center"/>
        <w:rPr>
          <w:rFonts w:ascii="Times New Roman;Times;Serif" w:hAnsi="Times New Roman;Times;Serif"/>
          <w:b w:val="false"/>
          <w:i w:val="false"/>
          <w:caps w:val="false"/>
          <w:smallCaps w:val="false"/>
          <w:color w:val="FFFFFF"/>
          <w:sz w:val="20"/>
          <w:bdr w:val="single" w:sz="16" w:space="1" w:color="000000"/>
        </w:rPr>
      </w:pPr>
      <w:r>
        <w:rPr>
          <w:rFonts w:ascii="Times New Roman;Times;Serif" w:hAnsi="Times New Roman;Times;Serif"/>
          <w:b w:val="false"/>
          <w:i w:val="false"/>
          <w:caps w:val="false"/>
          <w:smallCaps w:val="false"/>
          <w:color w:val="FFFFFF"/>
          <w:sz w:val="20"/>
          <w:bdr w:val="single" w:sz="16" w:space="1" w:color="000000"/>
        </w:rPr>
        <w:t>1 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19</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5"/>
        <w:gridCol w:w="9992"/>
      </w:tblGrid>
      <w:tr>
        <w:trPr/>
        <w:tc>
          <w:tcPr>
            <w:tcW w:w="3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pPr>
            <w:r>
              <w:rPr/>
              <w:t>4.</w:t>
            </w:r>
          </w:p>
        </w:tc>
        <w:tc>
          <w:tcPr>
            <w:tcW w:w="9992" w:type="dxa"/>
            <w:tcBorders/>
            <w:vAlign w:val="center"/>
          </w:tcPr>
          <w:p>
            <w:pPr>
              <w:pStyle w:val="TableContents"/>
              <w:bidi w:val="0"/>
              <w:spacing w:before="0" w:after="283"/>
              <w:jc w:val="left"/>
              <w:rPr/>
            </w:pPr>
            <w:r>
              <w:rPr>
                <w:u w:val="single"/>
              </w:rPr>
              <w:t>Engaging in Short Sales</w:t>
            </w:r>
            <w:r>
              <w:rPr/>
              <w:t>. No Insider may engage in short sales of Company securities. A short sale is the sale of a security that the seller does not own at the time of the trade.</w:t>
            </w:r>
          </w:p>
        </w:tc>
      </w:tr>
    </w:tbl>
    <w:tbl>
      <w:tblPr>
        <w:tblW w:w="10205" w:type="dxa"/>
        <w:jc w:val="left"/>
        <w:tblInd w:w="0" w:type="dxa"/>
        <w:tblLayout w:type="fixed"/>
        <w:tblCellMar>
          <w:top w:w="0" w:type="dxa"/>
          <w:left w:w="0" w:type="dxa"/>
          <w:bottom w:w="0" w:type="dxa"/>
          <w:right w:w="0" w:type="dxa"/>
        </w:tblCellMar>
      </w:tblPr>
      <w:tblGrid>
        <w:gridCol w:w="38"/>
        <w:gridCol w:w="156"/>
        <w:gridCol w:w="10011"/>
      </w:tblGrid>
      <w:tr>
        <w:trPr/>
        <w:tc>
          <w:tcPr>
            <w:tcW w:w="3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pPr>
            <w:r>
              <w:rPr/>
              <w:t>5.</w:t>
            </w:r>
          </w:p>
        </w:tc>
        <w:tc>
          <w:tcPr>
            <w:tcW w:w="10011" w:type="dxa"/>
            <w:tcBorders/>
            <w:vAlign w:val="center"/>
          </w:tcPr>
          <w:p>
            <w:pPr>
              <w:pStyle w:val="TableContents"/>
              <w:bidi w:val="0"/>
              <w:spacing w:before="0" w:after="283"/>
              <w:jc w:val="left"/>
              <w:rPr/>
            </w:pPr>
            <w:r>
              <w:rPr>
                <w:u w:val="single"/>
              </w:rPr>
              <w:t>Engaging in Derivative Transactions</w:t>
            </w:r>
            <w:r>
              <w:rPr/>
              <w:t>. No Insider may engage in transactions in puts, calls or other derivative instruments that relate to or involve Company securities. Such transactions are, in effect, bets on short-term movements in the Company’s stock price and therefore create the appearance that the transaction is based on nonpublic information.</w:t>
            </w:r>
          </w:p>
        </w:tc>
      </w:tr>
    </w:tbl>
    <w:tbl>
      <w:tblPr>
        <w:tblW w:w="10205" w:type="dxa"/>
        <w:jc w:val="left"/>
        <w:tblInd w:w="0" w:type="dxa"/>
        <w:tblLayout w:type="fixed"/>
        <w:tblCellMar>
          <w:top w:w="0" w:type="dxa"/>
          <w:left w:w="0" w:type="dxa"/>
          <w:bottom w:w="0" w:type="dxa"/>
          <w:right w:w="0" w:type="dxa"/>
        </w:tblCellMar>
      </w:tblPr>
      <w:tblGrid>
        <w:gridCol w:w="38"/>
        <w:gridCol w:w="158"/>
        <w:gridCol w:w="10009"/>
      </w:tblGrid>
      <w:tr>
        <w:trPr/>
        <w:tc>
          <w:tcPr>
            <w:tcW w:w="3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pPr>
            <w:r>
              <w:rPr/>
              <w:t>6.</w:t>
            </w:r>
          </w:p>
        </w:tc>
        <w:tc>
          <w:tcPr>
            <w:tcW w:w="10009" w:type="dxa"/>
            <w:tcBorders/>
            <w:vAlign w:val="center"/>
          </w:tcPr>
          <w:p>
            <w:pPr>
              <w:pStyle w:val="TableContents"/>
              <w:bidi w:val="0"/>
              <w:spacing w:before="0" w:after="283"/>
              <w:jc w:val="left"/>
              <w:rPr/>
            </w:pPr>
            <w:r>
              <w:rPr>
                <w:u w:val="single"/>
              </w:rPr>
              <w:t>Hedging</w:t>
            </w:r>
            <w:r>
              <w:rPr/>
              <w:t>. No Insider may engage in hedging transactions involving Company securities, including forward sale or purchase contracts, equity swaps, collars or exchange funds. Such transactions are speculative in nature and therefore create the appearance that the transaction is based on nonpublic information.</w:t>
            </w:r>
          </w:p>
        </w:tc>
      </w:tr>
    </w:tbl>
    <w:tbl>
      <w:tblPr>
        <w:tblW w:w="10205" w:type="dxa"/>
        <w:jc w:val="left"/>
        <w:tblInd w:w="0" w:type="dxa"/>
        <w:tblLayout w:type="fixed"/>
        <w:tblCellMar>
          <w:top w:w="0" w:type="dxa"/>
          <w:left w:w="0" w:type="dxa"/>
          <w:bottom w:w="0" w:type="dxa"/>
          <w:right w:w="0" w:type="dxa"/>
        </w:tblCellMar>
      </w:tblPr>
      <w:tblGrid>
        <w:gridCol w:w="38"/>
        <w:gridCol w:w="151"/>
        <w:gridCol w:w="10016"/>
      </w:tblGrid>
      <w:tr>
        <w:trPr/>
        <w:tc>
          <w:tcPr>
            <w:tcW w:w="3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pPr>
            <w:r>
              <w:rPr/>
              <w:t>7.</w:t>
            </w:r>
          </w:p>
        </w:tc>
        <w:tc>
          <w:tcPr>
            <w:tcW w:w="10016" w:type="dxa"/>
            <w:tcBorders/>
            <w:vAlign w:val="center"/>
          </w:tcPr>
          <w:p>
            <w:pPr>
              <w:pStyle w:val="TableContents"/>
              <w:bidi w:val="0"/>
              <w:spacing w:before="0" w:after="283"/>
              <w:jc w:val="left"/>
              <w:rPr/>
            </w:pPr>
            <w:r>
              <w:rPr>
                <w:u w:val="single"/>
              </w:rPr>
              <w:t>Margin Account and Pledges</w:t>
            </w:r>
            <w:r>
              <w:rPr/>
              <w:t>. No Insider may pledge Company securities or hold Company securities in margin accounts. When Company securities are held in a margin account or pledged as collateral for a loan, such securities may be sold without the holder’s consent if the holder fails to meet a margin call or defaults on a loan. A margin or foreclosure sale that occurs when an Insider is aware of material nonpublic information may, under some circumstances, result in unlawful insider trading.</w:t>
            </w:r>
          </w:p>
        </w:tc>
      </w:tr>
    </w:tbl>
    <w:tbl>
      <w:tblPr>
        <w:tblW w:w="10205" w:type="dxa"/>
        <w:jc w:val="left"/>
        <w:tblInd w:w="0" w:type="dxa"/>
        <w:tblLayout w:type="fixed"/>
        <w:tblCellMar>
          <w:top w:w="0" w:type="dxa"/>
          <w:left w:w="0" w:type="dxa"/>
          <w:bottom w:w="0" w:type="dxa"/>
          <w:right w:w="0" w:type="dxa"/>
        </w:tblCellMar>
      </w:tblPr>
      <w:tblGrid>
        <w:gridCol w:w="38"/>
        <w:gridCol w:w="153"/>
        <w:gridCol w:w="10014"/>
      </w:tblGrid>
      <w:tr>
        <w:trPr/>
        <w:tc>
          <w:tcPr>
            <w:tcW w:w="3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pPr>
            <w:r>
              <w:rPr/>
              <w:t>8.</w:t>
            </w:r>
          </w:p>
        </w:tc>
        <w:tc>
          <w:tcPr>
            <w:tcW w:w="10014" w:type="dxa"/>
            <w:tcBorders/>
            <w:vAlign w:val="center"/>
          </w:tcPr>
          <w:p>
            <w:pPr>
              <w:pStyle w:val="TableContents"/>
              <w:bidi w:val="0"/>
              <w:spacing w:before="0" w:after="283"/>
              <w:jc w:val="left"/>
              <w:rPr/>
            </w:pPr>
            <w:r>
              <w:rPr>
                <w:u w:val="single"/>
              </w:rPr>
              <w:t>Trading in Securities of Other Companies</w:t>
            </w:r>
            <w:r>
              <w:rPr/>
              <w:t>. No Insider may, while in possession of material nonpublic information about any other public company gained in the course of employment with the Company, (a) trade in the securities of the other public company, (b) “tip” or disclose such material nonpublic information concerning that company to anyone, or (c) give trading advice of any kind to anyone concerning the other public company.</w:t>
            </w:r>
          </w:p>
        </w:tc>
      </w:tr>
    </w:tbl>
    <w:tbl>
      <w:tblPr>
        <w:tblW w:w="5000" w:type="pct"/>
        <w:jc w:val="left"/>
        <w:tblInd w:w="0" w:type="dxa"/>
        <w:tblLayout w:type="fixed"/>
        <w:tblCellMar>
          <w:top w:w="0" w:type="dxa"/>
          <w:left w:w="0" w:type="dxa"/>
          <w:bottom w:w="0" w:type="dxa"/>
          <w:right w:w="0" w:type="dxa"/>
        </w:tblCellMar>
      </w:tblPr>
      <w:tblGrid>
        <w:gridCol w:w="48"/>
        <w:gridCol w:w="310"/>
        <w:gridCol w:w="9847"/>
      </w:tblGrid>
      <w:tr>
        <w:trPr/>
        <w:tc>
          <w:tcPr>
            <w:tcW w:w="4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pPr>
            <w:r>
              <w:rPr/>
              <w:t>B.</w:t>
            </w:r>
          </w:p>
        </w:tc>
        <w:tc>
          <w:tcPr>
            <w:tcW w:w="9847" w:type="dxa"/>
            <w:tcBorders/>
            <w:vAlign w:val="center"/>
          </w:tcPr>
          <w:p>
            <w:pPr>
              <w:pStyle w:val="TableContents"/>
              <w:bidi w:val="0"/>
              <w:spacing w:before="0" w:after="283"/>
              <w:jc w:val="left"/>
              <w:rPr/>
            </w:pPr>
            <w:r>
              <w:rPr/>
              <w:t>Additional Restrictions Applicable to Section 16 Individuals and Key Employees.</w:t>
            </w:r>
          </w:p>
        </w:tc>
      </w:tr>
    </w:tbl>
    <w:tbl>
      <w:tblPr>
        <w:tblW w:w="10205" w:type="dxa"/>
        <w:jc w:val="left"/>
        <w:tblInd w:w="0" w:type="dxa"/>
        <w:tblLayout w:type="fixed"/>
        <w:tblCellMar>
          <w:top w:w="0" w:type="dxa"/>
          <w:left w:w="0" w:type="dxa"/>
          <w:bottom w:w="0" w:type="dxa"/>
          <w:right w:w="0" w:type="dxa"/>
        </w:tblCellMar>
      </w:tblPr>
      <w:tblGrid>
        <w:gridCol w:w="38"/>
        <w:gridCol w:w="174"/>
        <w:gridCol w:w="9993"/>
      </w:tblGrid>
      <w:tr>
        <w:trPr/>
        <w:tc>
          <w:tcPr>
            <w:tcW w:w="3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pPr>
            <w:r>
              <w:rPr/>
              <w:t>1.</w:t>
            </w:r>
          </w:p>
        </w:tc>
        <w:tc>
          <w:tcPr>
            <w:tcW w:w="9993" w:type="dxa"/>
            <w:tcBorders/>
            <w:vAlign w:val="center"/>
          </w:tcPr>
          <w:p>
            <w:pPr>
              <w:pStyle w:val="TableContents"/>
              <w:bidi w:val="0"/>
              <w:spacing w:before="0" w:after="283"/>
              <w:jc w:val="left"/>
              <w:rPr/>
            </w:pPr>
            <w:r>
              <w:rPr/>
              <w:t>No Section 16 Individual or Key Employee (each as defined below) may trade in Company securities outside of the Company trading window described in Section V.B below.</w:t>
            </w:r>
          </w:p>
        </w:tc>
      </w:tr>
    </w:tbl>
    <w:tbl>
      <w:tblPr>
        <w:tblW w:w="10205" w:type="dxa"/>
        <w:jc w:val="left"/>
        <w:tblInd w:w="0" w:type="dxa"/>
        <w:tblLayout w:type="fixed"/>
        <w:tblCellMar>
          <w:top w:w="0" w:type="dxa"/>
          <w:left w:w="0" w:type="dxa"/>
          <w:bottom w:w="0" w:type="dxa"/>
          <w:right w:w="0" w:type="dxa"/>
        </w:tblCellMar>
      </w:tblPr>
      <w:tblGrid>
        <w:gridCol w:w="38"/>
        <w:gridCol w:w="171"/>
        <w:gridCol w:w="9996"/>
      </w:tblGrid>
      <w:tr>
        <w:trPr/>
        <w:tc>
          <w:tcPr>
            <w:tcW w:w="3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pPr>
            <w:r>
              <w:rPr/>
              <w:t>2.</w:t>
            </w:r>
          </w:p>
        </w:tc>
        <w:tc>
          <w:tcPr>
            <w:tcW w:w="9996" w:type="dxa"/>
            <w:tcBorders/>
            <w:vAlign w:val="center"/>
          </w:tcPr>
          <w:p>
            <w:pPr>
              <w:pStyle w:val="TableContents"/>
              <w:bidi w:val="0"/>
              <w:spacing w:before="0" w:after="283"/>
              <w:jc w:val="left"/>
              <w:rPr/>
            </w:pPr>
            <w:r>
              <w:rPr/>
              <w:t>No Section 16 Individual may trade in Company securities unless the trade(s) have been approved by the General Counsel in accordance with the procedures set forth in Section V.C.1 below.</w:t>
            </w:r>
          </w:p>
        </w:tc>
      </w:tr>
    </w:tbl>
    <w:tbl>
      <w:tblPr>
        <w:tblW w:w="5000" w:type="pct"/>
        <w:jc w:val="left"/>
        <w:tblInd w:w="0" w:type="dxa"/>
        <w:tblLayout w:type="fixed"/>
        <w:tblCellMar>
          <w:top w:w="0" w:type="dxa"/>
          <w:left w:w="0" w:type="dxa"/>
          <w:bottom w:w="0" w:type="dxa"/>
          <w:right w:w="0" w:type="dxa"/>
        </w:tblCellMar>
      </w:tblPr>
      <w:tblGrid>
        <w:gridCol w:w="271"/>
        <w:gridCol w:w="1751"/>
        <w:gridCol w:w="8183"/>
      </w:tblGrid>
      <w:tr>
        <w:trPr/>
        <w:tc>
          <w:tcPr>
            <w:tcW w:w="271"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pPr>
            <w:r>
              <w:rPr/>
              <w:t>C.</w:t>
            </w:r>
          </w:p>
        </w:tc>
        <w:tc>
          <w:tcPr>
            <w:tcW w:w="8183" w:type="dxa"/>
            <w:tcBorders/>
            <w:vAlign w:val="center"/>
          </w:tcPr>
          <w:p>
            <w:pPr>
              <w:pStyle w:val="TableContents"/>
              <w:bidi w:val="0"/>
              <w:spacing w:before="0" w:after="283"/>
              <w:jc w:val="left"/>
              <w:rPr/>
            </w:pPr>
            <w:r>
              <w:rPr/>
              <w:t>Exceptions.</w:t>
            </w:r>
          </w:p>
        </w:tc>
      </w:tr>
    </w:tbl>
    <w:p>
      <w:pPr>
        <w:pStyle w:val="TextBody"/>
        <w:bidi w:val="0"/>
        <w:spacing w:before="0" w:after="0"/>
        <w:ind w:left="1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prohibited activities above do not apply to:</w:t>
      </w:r>
    </w:p>
    <w:tbl>
      <w:tblPr>
        <w:tblW w:w="5000" w:type="pct"/>
        <w:jc w:val="left"/>
        <w:tblInd w:w="0" w:type="dxa"/>
        <w:tblLayout w:type="fixed"/>
        <w:tblCellMar>
          <w:top w:w="0" w:type="dxa"/>
          <w:left w:w="0" w:type="dxa"/>
          <w:bottom w:w="0" w:type="dxa"/>
          <w:right w:w="0" w:type="dxa"/>
        </w:tblCellMar>
      </w:tblPr>
      <w:tblGrid>
        <w:gridCol w:w="37"/>
        <w:gridCol w:w="151"/>
        <w:gridCol w:w="10017"/>
      </w:tblGrid>
      <w:tr>
        <w:trPr/>
        <w:tc>
          <w:tcPr>
            <w:tcW w:w="3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pPr>
            <w:r>
              <w:rPr/>
              <w:t>1.</w:t>
            </w:r>
          </w:p>
        </w:tc>
        <w:tc>
          <w:tcPr>
            <w:tcW w:w="10017" w:type="dxa"/>
            <w:tcBorders/>
            <w:vAlign w:val="center"/>
          </w:tcPr>
          <w:p>
            <w:pPr>
              <w:pStyle w:val="TableContents"/>
              <w:bidi w:val="0"/>
              <w:spacing w:before="0" w:after="283"/>
              <w:jc w:val="left"/>
              <w:rPr/>
            </w:pPr>
            <w:r>
              <w:rPr/>
              <w:t xml:space="preserve">Exercises of stock options or similar equity awards or the surrender of shares to the Company in payment of the stock option exercise price or in satisfaction of any tax withholding obligations, provided that any securities acquired pursuant to such exercise </w:t>
            </w:r>
            <w:r>
              <w:rPr>
                <w:b/>
                <w:i/>
                <w:u w:val="single"/>
              </w:rPr>
              <w:t>may not be sold</w:t>
            </w:r>
            <w:r>
              <w:rPr/>
              <w:t xml:space="preserve"> while the Insider is in possession of material nonpublic information or subject to a special trading blackout or, with respect to Section 16 Individuals and Key Employees, while the Company’s trading window is closed</w:t>
            </w:r>
            <w:r>
              <w:rPr>
                <w:i/>
              </w:rPr>
              <w:t>.</w:t>
            </w:r>
          </w:p>
        </w:tc>
      </w:tr>
    </w:tbl>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19</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152"/>
        <w:gridCol w:w="10016"/>
      </w:tblGrid>
      <w:tr>
        <w:trPr/>
        <w:tc>
          <w:tcPr>
            <w:tcW w:w="3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pPr>
            <w:r>
              <w:rPr/>
              <w:t>2.</w:t>
            </w:r>
          </w:p>
        </w:tc>
        <w:tc>
          <w:tcPr>
            <w:tcW w:w="10016" w:type="dxa"/>
            <w:tcBorders/>
            <w:vAlign w:val="center"/>
          </w:tcPr>
          <w:p>
            <w:pPr>
              <w:pStyle w:val="TableContents"/>
              <w:bidi w:val="0"/>
              <w:spacing w:before="0" w:after="283"/>
              <w:jc w:val="left"/>
              <w:rPr/>
            </w:pPr>
            <w:r>
              <w:rPr/>
              <w:t>Acquisitions or dispositions of Company securities under the Company’s 401(k) plan, the Middlesex Water Company Investment Plan or any other individual account that are made pursuant to standing instructions to a broker entered into while the Insider is not in possession of material nonpublic information or otherwise subject to a special trading blackout and, with respect to Section 16 Individuals and Key Employees, while the Company’s trading window is open.</w:t>
            </w:r>
          </w:p>
        </w:tc>
      </w:tr>
    </w:tbl>
    <w:tbl>
      <w:tblPr>
        <w:tblW w:w="5000" w:type="pct"/>
        <w:jc w:val="left"/>
        <w:tblInd w:w="0" w:type="dxa"/>
        <w:tblLayout w:type="fixed"/>
        <w:tblCellMar>
          <w:top w:w="0" w:type="dxa"/>
          <w:left w:w="0" w:type="dxa"/>
          <w:bottom w:w="0" w:type="dxa"/>
          <w:right w:w="0" w:type="dxa"/>
        </w:tblCellMar>
      </w:tblPr>
      <w:tblGrid>
        <w:gridCol w:w="37"/>
        <w:gridCol w:w="144"/>
        <w:gridCol w:w="10024"/>
      </w:tblGrid>
      <w:tr>
        <w:trPr/>
        <w:tc>
          <w:tcPr>
            <w:tcW w:w="3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pPr>
            <w:r>
              <w:rPr/>
              <w:t>3.</w:t>
            </w:r>
          </w:p>
        </w:tc>
        <w:tc>
          <w:tcPr>
            <w:tcW w:w="10024" w:type="dxa"/>
            <w:tcBorders/>
            <w:vAlign w:val="center"/>
          </w:tcPr>
          <w:p>
            <w:pPr>
              <w:pStyle w:val="TableContents"/>
              <w:bidi w:val="0"/>
              <w:spacing w:before="0" w:after="283"/>
              <w:jc w:val="left"/>
              <w:rPr/>
            </w:pPr>
            <w:r>
              <w:rPr/>
              <w:t>Automatic periodic purchases of Company stock through employee payroll deductions under the Middlesex Water Company Investment Plan. This exception, however, does not apply to voluntary transactions including: (a) the initial election to enroll in the Middlesex Water Company Investment Plan; (b) an election to increase or decrease the amount of automatic periodic contributions by payroll deduction; (c) election to cease payroll deductions altogether and withdraw any accumulated cash; and (d) sales of Company stock that were purchased under the Middlesex Water Company Investment Plan, none of which should be done when an employee is in possession of material nonpublic information. An employee who participates in the Middlesex Water Company Investment Plan and does not possess material nonpublic information at the time of enrollment may have all subsequent automatic investments by payroll deduction established by the enrollment proceed without restriction under this Policy. Section 16 Individuals are not permitted to participate in automatic payroll deduction purchases under the Middlesex Water Company Investment Plan.</w:t>
            </w:r>
          </w:p>
        </w:tc>
      </w:tr>
    </w:tbl>
    <w:tbl>
      <w:tblPr>
        <w:tblW w:w="5000" w:type="pct"/>
        <w:jc w:val="left"/>
        <w:tblInd w:w="0" w:type="dxa"/>
        <w:tblLayout w:type="fixed"/>
        <w:tblCellMar>
          <w:top w:w="0" w:type="dxa"/>
          <w:left w:w="0" w:type="dxa"/>
          <w:bottom w:w="0" w:type="dxa"/>
          <w:right w:w="0" w:type="dxa"/>
        </w:tblCellMar>
      </w:tblPr>
      <w:tblGrid>
        <w:gridCol w:w="37"/>
        <w:gridCol w:w="153"/>
        <w:gridCol w:w="10015"/>
      </w:tblGrid>
      <w:tr>
        <w:trPr/>
        <w:tc>
          <w:tcPr>
            <w:tcW w:w="3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pPr>
            <w:r>
              <w:rPr/>
              <w:t>4.</w:t>
            </w:r>
          </w:p>
        </w:tc>
        <w:tc>
          <w:tcPr>
            <w:tcW w:w="10015" w:type="dxa"/>
            <w:tcBorders/>
            <w:vAlign w:val="center"/>
          </w:tcPr>
          <w:p>
            <w:pPr>
              <w:pStyle w:val="TableContents"/>
              <w:bidi w:val="0"/>
              <w:spacing w:before="0" w:after="283"/>
              <w:jc w:val="left"/>
              <w:rPr/>
            </w:pPr>
            <w:r>
              <w:rPr/>
              <w:t>Automatic reinvestment of dividends paid on Company stock held in the Middlesex Water Company Investment Plan (“Dividend Reinvestment Plan”). This exception, however, does not apply to voluntary purchases of Company stock under the Dividend Reinvestment Plan resulting from an employee’s initial election to participate in the plan, to make additional contributions or to increase the employee’s level of participation.</w:t>
            </w:r>
          </w:p>
        </w:tc>
      </w:tr>
    </w:tbl>
    <w:tbl>
      <w:tblPr>
        <w:tblW w:w="5000" w:type="pct"/>
        <w:jc w:val="left"/>
        <w:tblInd w:w="0" w:type="dxa"/>
        <w:tblLayout w:type="fixed"/>
        <w:tblCellMar>
          <w:top w:w="0" w:type="dxa"/>
          <w:left w:w="0" w:type="dxa"/>
          <w:bottom w:w="0" w:type="dxa"/>
          <w:right w:w="0" w:type="dxa"/>
        </w:tblCellMar>
      </w:tblPr>
      <w:tblGrid>
        <w:gridCol w:w="37"/>
        <w:gridCol w:w="181"/>
        <w:gridCol w:w="9987"/>
      </w:tblGrid>
      <w:tr>
        <w:trPr/>
        <w:tc>
          <w:tcPr>
            <w:tcW w:w="3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pPr>
            <w:r>
              <w:rPr/>
              <w:t>5.</w:t>
            </w:r>
          </w:p>
        </w:tc>
        <w:tc>
          <w:tcPr>
            <w:tcW w:w="9987" w:type="dxa"/>
            <w:tcBorders/>
            <w:vAlign w:val="center"/>
          </w:tcPr>
          <w:p>
            <w:pPr>
              <w:pStyle w:val="TableContents"/>
              <w:bidi w:val="0"/>
              <w:spacing w:before="0" w:after="283"/>
              <w:jc w:val="left"/>
              <w:rPr/>
            </w:pPr>
            <w:r>
              <w:rPr/>
              <w:t>Purchases or sales made pursuant to a Rule 10b5-1 plan that is adopted and operated in compliance with the terms of this Policy (see Section VII).</w:t>
            </w:r>
          </w:p>
        </w:tc>
      </w:tr>
    </w:tbl>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388"/>
        <w:gridCol w:w="9773"/>
      </w:tblGrid>
      <w:tr>
        <w:trPr/>
        <w:tc>
          <w:tcPr>
            <w:tcW w:w="44"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pPr>
            <w:r>
              <w:rPr/>
              <w:t>IV.</w:t>
            </w:r>
          </w:p>
        </w:tc>
        <w:tc>
          <w:tcPr>
            <w:tcW w:w="9773" w:type="dxa"/>
            <w:tcBorders/>
            <w:vAlign w:val="center"/>
          </w:tcPr>
          <w:p>
            <w:pPr>
              <w:pStyle w:val="TableContents"/>
              <w:bidi w:val="0"/>
              <w:spacing w:before="0" w:after="283"/>
              <w:jc w:val="left"/>
              <w:rPr/>
            </w:pPr>
            <w:r>
              <w:rPr/>
              <w:t>DETERMINING WHETHER INFORMATION IS MATERIAL AND NONPUBLIC</w:t>
            </w:r>
          </w:p>
        </w:tc>
      </w:tr>
    </w:tbl>
    <w:tbl>
      <w:tblPr>
        <w:tblW w:w="5000" w:type="pct"/>
        <w:jc w:val="left"/>
        <w:tblInd w:w="0" w:type="dxa"/>
        <w:tblLayout w:type="fixed"/>
        <w:tblCellMar>
          <w:top w:w="0" w:type="dxa"/>
          <w:left w:w="0" w:type="dxa"/>
          <w:bottom w:w="0" w:type="dxa"/>
          <w:right w:w="0" w:type="dxa"/>
        </w:tblCellMar>
      </w:tblPr>
      <w:tblGrid>
        <w:gridCol w:w="94"/>
        <w:gridCol w:w="645"/>
        <w:gridCol w:w="9466"/>
      </w:tblGrid>
      <w:tr>
        <w:trPr/>
        <w:tc>
          <w:tcPr>
            <w:tcW w:w="94"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b/>
              </w:rPr>
            </w:pPr>
            <w:r>
              <w:rPr>
                <w:b/>
              </w:rPr>
              <w:t>A.</w:t>
            </w:r>
          </w:p>
        </w:tc>
        <w:tc>
          <w:tcPr>
            <w:tcW w:w="9466" w:type="dxa"/>
            <w:tcBorders/>
            <w:vAlign w:val="center"/>
          </w:tcPr>
          <w:p>
            <w:pPr>
              <w:pStyle w:val="TableContents"/>
              <w:bidi w:val="0"/>
              <w:spacing w:before="0" w:after="283"/>
              <w:jc w:val="left"/>
              <w:rPr>
                <w:b/>
              </w:rPr>
            </w:pPr>
            <w:r>
              <w:rPr>
                <w:b/>
              </w:rPr>
              <w:t>Definition of “Material” Information.</w:t>
            </w:r>
          </w:p>
        </w:tc>
      </w:tr>
    </w:tbl>
    <w:tbl>
      <w:tblPr>
        <w:tblW w:w="5000" w:type="pct"/>
        <w:jc w:val="left"/>
        <w:tblInd w:w="0" w:type="dxa"/>
        <w:tblLayout w:type="fixed"/>
        <w:tblCellMar>
          <w:top w:w="0" w:type="dxa"/>
          <w:left w:w="0" w:type="dxa"/>
          <w:bottom w:w="0" w:type="dxa"/>
          <w:right w:w="0" w:type="dxa"/>
        </w:tblCellMar>
      </w:tblPr>
      <w:tblGrid>
        <w:gridCol w:w="37"/>
        <w:gridCol w:w="162"/>
        <w:gridCol w:w="10006"/>
      </w:tblGrid>
      <w:tr>
        <w:trPr/>
        <w:tc>
          <w:tcPr>
            <w:tcW w:w="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pPr>
            <w:r>
              <w:rPr/>
              <w:t>1.</w:t>
            </w:r>
          </w:p>
        </w:tc>
        <w:tc>
          <w:tcPr>
            <w:tcW w:w="10006" w:type="dxa"/>
            <w:tcBorders/>
            <w:vAlign w:val="center"/>
          </w:tcPr>
          <w:p>
            <w:pPr>
              <w:pStyle w:val="TableContents"/>
              <w:bidi w:val="0"/>
              <w:spacing w:before="0" w:after="283"/>
              <w:jc w:val="both"/>
              <w:rPr/>
            </w:pPr>
            <w:r>
              <w:rPr/>
              <w:t>There is no bright line test for determining whether particular information is material. Such a determination depends on the facts and circumstances unique to each situation, and cannot be made solely based on the potential financial impact of the information.</w:t>
            </w:r>
          </w:p>
        </w:tc>
      </w:tr>
    </w:tbl>
    <w:tbl>
      <w:tblPr>
        <w:tblW w:w="5000" w:type="pct"/>
        <w:jc w:val="left"/>
        <w:tblInd w:w="0" w:type="dxa"/>
        <w:tblLayout w:type="fixed"/>
        <w:tblCellMar>
          <w:top w:w="0" w:type="dxa"/>
          <w:left w:w="0" w:type="dxa"/>
          <w:bottom w:w="0" w:type="dxa"/>
          <w:right w:w="0" w:type="dxa"/>
        </w:tblCellMar>
      </w:tblPr>
      <w:tblGrid>
        <w:gridCol w:w="50"/>
        <w:gridCol w:w="265"/>
        <w:gridCol w:w="9890"/>
      </w:tblGrid>
      <w:tr>
        <w:trPr/>
        <w:tc>
          <w:tcPr>
            <w:tcW w:w="5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pPr>
            <w:r>
              <w:rPr/>
              <w:t>2.</w:t>
            </w:r>
          </w:p>
        </w:tc>
        <w:tc>
          <w:tcPr>
            <w:tcW w:w="9890" w:type="dxa"/>
            <w:tcBorders/>
            <w:vAlign w:val="center"/>
          </w:tcPr>
          <w:p>
            <w:pPr>
              <w:pStyle w:val="TableContents"/>
              <w:bidi w:val="0"/>
              <w:spacing w:before="0" w:after="283"/>
              <w:jc w:val="left"/>
              <w:rPr/>
            </w:pPr>
            <w:r>
              <w:rPr/>
              <w:t>In general, information about the Company should be considered “material” if:</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A reasonable investor would consider the information significant when deciding whether to buy or sell Company securities; or</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information, if disclosed, could be viewed by a reasonable investor as having significantly altered the general perception in the marketplace about the Company.</w:t>
            </w:r>
          </w:p>
        </w:tc>
      </w:tr>
    </w:tbl>
    <w:p>
      <w:pPr>
        <w:pStyle w:val="TextBody"/>
        <w:bidi w:val="0"/>
        <w:spacing w:before="0" w:after="180"/>
        <w:ind w:left="2260" w:right="33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Put simply, if the information could reasonably be expected to affect the price of the Company’s stock, it should be considered material.</w:t>
      </w:r>
    </w:p>
    <w:tbl>
      <w:tblPr>
        <w:tblW w:w="5000" w:type="pct"/>
        <w:jc w:val="left"/>
        <w:tblInd w:w="0" w:type="dxa"/>
        <w:tblLayout w:type="fixed"/>
        <w:tblCellMar>
          <w:top w:w="0" w:type="dxa"/>
          <w:left w:w="0" w:type="dxa"/>
          <w:bottom w:w="0" w:type="dxa"/>
          <w:right w:w="0" w:type="dxa"/>
        </w:tblCellMar>
      </w:tblPr>
      <w:tblGrid>
        <w:gridCol w:w="37"/>
        <w:gridCol w:w="158"/>
        <w:gridCol w:w="10010"/>
      </w:tblGrid>
      <w:tr>
        <w:trPr/>
        <w:tc>
          <w:tcPr>
            <w:tcW w:w="3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pPr>
            <w:r>
              <w:rPr/>
              <w:t>3.</w:t>
            </w:r>
          </w:p>
        </w:tc>
        <w:tc>
          <w:tcPr>
            <w:tcW w:w="10010" w:type="dxa"/>
            <w:tcBorders/>
            <w:vAlign w:val="center"/>
          </w:tcPr>
          <w:p>
            <w:pPr>
              <w:pStyle w:val="TableContents"/>
              <w:bidi w:val="0"/>
              <w:spacing w:before="0" w:after="283"/>
              <w:jc w:val="left"/>
              <w:rPr/>
            </w:pPr>
            <w:r>
              <w:rPr/>
              <w:t>It is important to remember that whether information is material will be viewed by enforcement authorities with the benefit of hindsight. In other words, if the price of the Company’s stock changed as a result of the information having been made public, it will likely be considered material by enforcement authorities.</w:t>
            </w:r>
          </w:p>
        </w:tc>
      </w:tr>
    </w:tbl>
    <w:tbl>
      <w:tblPr>
        <w:tblW w:w="5000" w:type="pct"/>
        <w:jc w:val="left"/>
        <w:tblInd w:w="0" w:type="dxa"/>
        <w:tblLayout w:type="fixed"/>
        <w:tblCellMar>
          <w:top w:w="0" w:type="dxa"/>
          <w:left w:w="0" w:type="dxa"/>
          <w:bottom w:w="0" w:type="dxa"/>
          <w:right w:w="0" w:type="dxa"/>
        </w:tblCellMar>
      </w:tblPr>
      <w:tblGrid>
        <w:gridCol w:w="37"/>
        <w:gridCol w:w="178"/>
        <w:gridCol w:w="9990"/>
      </w:tblGrid>
      <w:tr>
        <w:trPr/>
        <w:tc>
          <w:tcPr>
            <w:tcW w:w="3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pPr>
            <w:r>
              <w:rPr/>
              <w:t>4.</w:t>
            </w:r>
          </w:p>
        </w:tc>
        <w:tc>
          <w:tcPr>
            <w:tcW w:w="9990" w:type="dxa"/>
            <w:tcBorders/>
            <w:vAlign w:val="center"/>
          </w:tcPr>
          <w:p>
            <w:pPr>
              <w:pStyle w:val="TableContents"/>
              <w:bidi w:val="0"/>
              <w:spacing w:before="0" w:after="283"/>
              <w:jc w:val="both"/>
              <w:rPr/>
            </w:pPr>
            <w:r>
              <w:rPr/>
              <w:t>While it is not possible to identify every type of information that could be deemed “material,” the following matters ordinarily should be considered material:</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Financial performance, especially quarterly and year-end earnings or significant changes in financial performance or liquidity.</w:t>
            </w:r>
          </w:p>
        </w:tc>
      </w:tr>
    </w:tbl>
    <w:tbl>
      <w:tblPr>
        <w:tblW w:w="5000" w:type="pct"/>
        <w:jc w:val="left"/>
        <w:tblInd w:w="0" w:type="dxa"/>
        <w:tblLayout w:type="fixed"/>
        <w:tblCellMar>
          <w:top w:w="0" w:type="dxa"/>
          <w:left w:w="0" w:type="dxa"/>
          <w:bottom w:w="0" w:type="dxa"/>
          <w:right w:w="0" w:type="dxa"/>
        </w:tblCellMar>
      </w:tblPr>
      <w:tblGrid>
        <w:gridCol w:w="43"/>
        <w:gridCol w:w="145"/>
        <w:gridCol w:w="10017"/>
      </w:tblGrid>
      <w:tr>
        <w:trPr/>
        <w:tc>
          <w:tcPr>
            <w:tcW w:w="4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rFonts w:ascii="Symbol" w:hAnsi="Symbol"/>
              </w:rPr>
            </w:pPr>
            <w:r>
              <w:rPr>
                <w:rFonts w:ascii="Symbol" w:hAnsi="Symbol"/>
              </w:rPr>
              <w:t>·</w:t>
            </w:r>
          </w:p>
        </w:tc>
        <w:tc>
          <w:tcPr>
            <w:tcW w:w="10017" w:type="dxa"/>
            <w:tcBorders/>
            <w:vAlign w:val="center"/>
          </w:tcPr>
          <w:p>
            <w:pPr>
              <w:pStyle w:val="TableContents"/>
              <w:bidi w:val="0"/>
              <w:spacing w:before="0" w:after="283"/>
              <w:jc w:val="left"/>
              <w:rPr/>
            </w:pPr>
            <w:r>
              <w:rPr/>
              <w:t>Potential significant mergers and acquisitions or the sale of significant assets or subsidiaries.</w:t>
            </w:r>
          </w:p>
        </w:tc>
      </w:tr>
    </w:tbl>
    <w:tbl>
      <w:tblPr>
        <w:tblW w:w="5000" w:type="pct"/>
        <w:jc w:val="left"/>
        <w:tblInd w:w="0" w:type="dxa"/>
        <w:tblLayout w:type="fixed"/>
        <w:tblCellMar>
          <w:top w:w="0" w:type="dxa"/>
          <w:left w:w="0" w:type="dxa"/>
          <w:bottom w:w="0" w:type="dxa"/>
          <w:right w:w="0" w:type="dxa"/>
        </w:tblCellMar>
      </w:tblPr>
      <w:tblGrid>
        <w:gridCol w:w="45"/>
        <w:gridCol w:w="148"/>
        <w:gridCol w:w="10012"/>
      </w:tblGrid>
      <w:tr>
        <w:trPr/>
        <w:tc>
          <w:tcPr>
            <w:tcW w:w="4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rFonts w:ascii="Symbol" w:hAnsi="Symbol"/>
              </w:rPr>
            </w:pPr>
            <w:r>
              <w:rPr>
                <w:rFonts w:ascii="Symbol" w:hAnsi="Symbol"/>
              </w:rPr>
              <w:t>·</w:t>
            </w:r>
          </w:p>
        </w:tc>
        <w:tc>
          <w:tcPr>
            <w:tcW w:w="10012" w:type="dxa"/>
            <w:tcBorders/>
            <w:vAlign w:val="center"/>
          </w:tcPr>
          <w:p>
            <w:pPr>
              <w:pStyle w:val="TableContents"/>
              <w:bidi w:val="0"/>
              <w:spacing w:before="0" w:after="283"/>
              <w:jc w:val="left"/>
              <w:rPr/>
            </w:pPr>
            <w:r>
              <w:rPr/>
              <w:t>New major contracts, orders, suppliers, customers, or finance sources, or the loss thereof.</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Major discoveries or significant changes or developments in products or product lines, research or technologies.</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Significant changes or developments in supplies or inventory, including significant product defects, recalls or product returns.</w:t>
            </w:r>
          </w:p>
        </w:tc>
      </w:tr>
    </w:tbl>
    <w:tbl>
      <w:tblPr>
        <w:tblW w:w="5000" w:type="pct"/>
        <w:jc w:val="left"/>
        <w:tblInd w:w="0" w:type="dxa"/>
        <w:tblLayout w:type="fixed"/>
        <w:tblCellMar>
          <w:top w:w="0" w:type="dxa"/>
          <w:left w:w="0" w:type="dxa"/>
          <w:bottom w:w="0" w:type="dxa"/>
          <w:right w:w="0" w:type="dxa"/>
        </w:tblCellMar>
      </w:tblPr>
      <w:tblGrid>
        <w:gridCol w:w="69"/>
        <w:gridCol w:w="227"/>
        <w:gridCol w:w="9909"/>
      </w:tblGrid>
      <w:tr>
        <w:trPr/>
        <w:tc>
          <w:tcPr>
            <w:tcW w:w="6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Symbol" w:hAnsi="Symbol"/>
              </w:rPr>
            </w:pPr>
            <w:r>
              <w:rPr>
                <w:rFonts w:ascii="Symbol" w:hAnsi="Symbol"/>
              </w:rPr>
              <w:t>·</w:t>
            </w:r>
          </w:p>
        </w:tc>
        <w:tc>
          <w:tcPr>
            <w:tcW w:w="9909" w:type="dxa"/>
            <w:tcBorders/>
            <w:vAlign w:val="center"/>
          </w:tcPr>
          <w:p>
            <w:pPr>
              <w:pStyle w:val="TableContents"/>
              <w:bidi w:val="0"/>
              <w:spacing w:before="0" w:after="283"/>
              <w:jc w:val="left"/>
              <w:rPr/>
            </w:pPr>
            <w:r>
              <w:rPr/>
              <w:t>Significant write-downs in assets or increases in reserves.</w:t>
            </w:r>
          </w:p>
        </w:tc>
      </w:tr>
    </w:tbl>
    <w:tbl>
      <w:tblPr>
        <w:tblW w:w="5000" w:type="pct"/>
        <w:jc w:val="left"/>
        <w:tblInd w:w="0" w:type="dxa"/>
        <w:tblLayout w:type="fixed"/>
        <w:tblCellMar>
          <w:top w:w="0" w:type="dxa"/>
          <w:left w:w="0" w:type="dxa"/>
          <w:bottom w:w="0" w:type="dxa"/>
          <w:right w:w="0" w:type="dxa"/>
        </w:tblCellMar>
      </w:tblPr>
      <w:tblGrid>
        <w:gridCol w:w="188"/>
        <w:gridCol w:w="620"/>
        <w:gridCol w:w="9397"/>
      </w:tblGrid>
      <w:tr>
        <w:trPr/>
        <w:tc>
          <w:tcPr>
            <w:tcW w:w="18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rFonts w:ascii="Symbol" w:hAnsi="Symbol"/>
              </w:rPr>
            </w:pPr>
            <w:r>
              <w:rPr>
                <w:rFonts w:ascii="Symbol" w:hAnsi="Symbol"/>
              </w:rPr>
              <w:t>·</w:t>
            </w:r>
          </w:p>
        </w:tc>
        <w:tc>
          <w:tcPr>
            <w:tcW w:w="9397" w:type="dxa"/>
            <w:tcBorders/>
            <w:vAlign w:val="center"/>
          </w:tcPr>
          <w:p>
            <w:pPr>
              <w:pStyle w:val="TableContents"/>
              <w:bidi w:val="0"/>
              <w:spacing w:before="0" w:after="283"/>
              <w:jc w:val="left"/>
              <w:rPr/>
            </w:pPr>
            <w:r>
              <w:rPr/>
              <w:t>Liquidity problems.</w:t>
            </w:r>
          </w:p>
        </w:tc>
      </w:tr>
    </w:tbl>
    <w:tbl>
      <w:tblPr>
        <w:tblW w:w="5000" w:type="pct"/>
        <w:jc w:val="left"/>
        <w:tblInd w:w="0" w:type="dxa"/>
        <w:tblLayout w:type="fixed"/>
        <w:tblCellMar>
          <w:top w:w="0" w:type="dxa"/>
          <w:left w:w="0" w:type="dxa"/>
          <w:bottom w:w="0" w:type="dxa"/>
          <w:right w:w="0" w:type="dxa"/>
        </w:tblCellMar>
      </w:tblPr>
      <w:tblGrid>
        <w:gridCol w:w="54"/>
        <w:gridCol w:w="181"/>
        <w:gridCol w:w="9970"/>
      </w:tblGrid>
      <w:tr>
        <w:trPr/>
        <w:tc>
          <w:tcPr>
            <w:tcW w:w="5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rFonts w:ascii="Symbol" w:hAnsi="Symbol"/>
              </w:rPr>
            </w:pPr>
            <w:r>
              <w:rPr>
                <w:rFonts w:ascii="Symbol" w:hAnsi="Symbol"/>
              </w:rPr>
              <w:t>·</w:t>
            </w:r>
          </w:p>
        </w:tc>
        <w:tc>
          <w:tcPr>
            <w:tcW w:w="9970" w:type="dxa"/>
            <w:tcBorders/>
            <w:vAlign w:val="center"/>
          </w:tcPr>
          <w:p>
            <w:pPr>
              <w:pStyle w:val="TableContents"/>
              <w:bidi w:val="0"/>
              <w:spacing w:before="0" w:after="283"/>
              <w:jc w:val="left"/>
              <w:rPr/>
            </w:pPr>
            <w:r>
              <w:rPr/>
              <w:t>Cybersecurity risks and incidents, including vulnerabilities and breaches.</w:t>
            </w:r>
          </w:p>
        </w:tc>
      </w:tr>
    </w:tbl>
    <w:tbl>
      <w:tblPr>
        <w:tblW w:w="5000" w:type="pct"/>
        <w:jc w:val="left"/>
        <w:tblInd w:w="0" w:type="dxa"/>
        <w:tblLayout w:type="fixed"/>
        <w:tblCellMar>
          <w:top w:w="0" w:type="dxa"/>
          <w:left w:w="0" w:type="dxa"/>
          <w:bottom w:w="0" w:type="dxa"/>
          <w:right w:w="0" w:type="dxa"/>
        </w:tblCellMar>
      </w:tblPr>
      <w:tblGrid>
        <w:gridCol w:w="40"/>
        <w:gridCol w:w="135"/>
        <w:gridCol w:w="10030"/>
      </w:tblGrid>
      <w:tr>
        <w:trPr/>
        <w:tc>
          <w:tcPr>
            <w:tcW w:w="4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rFonts w:ascii="Symbol" w:hAnsi="Symbol"/>
              </w:rPr>
            </w:pPr>
            <w:r>
              <w:rPr>
                <w:rFonts w:ascii="Symbol" w:hAnsi="Symbol"/>
              </w:rPr>
              <w:t>·</w:t>
            </w:r>
          </w:p>
        </w:tc>
        <w:tc>
          <w:tcPr>
            <w:tcW w:w="10030" w:type="dxa"/>
            <w:tcBorders/>
            <w:vAlign w:val="center"/>
          </w:tcPr>
          <w:p>
            <w:pPr>
              <w:pStyle w:val="TableContents"/>
              <w:bidi w:val="0"/>
              <w:spacing w:before="0" w:after="283"/>
              <w:jc w:val="left"/>
              <w:rPr/>
            </w:pPr>
            <w:r>
              <w:rPr/>
              <w:t>Stock splits, public or private securities/debt offerings, or changes in dividend policies or amounts.</w:t>
            </w:r>
          </w:p>
        </w:tc>
      </w:tr>
    </w:tbl>
    <w:tbl>
      <w:tblPr>
        <w:tblW w:w="5000" w:type="pct"/>
        <w:jc w:val="left"/>
        <w:tblInd w:w="0" w:type="dxa"/>
        <w:tblLayout w:type="fixed"/>
        <w:tblCellMar>
          <w:top w:w="0" w:type="dxa"/>
          <w:left w:w="0" w:type="dxa"/>
          <w:bottom w:w="0" w:type="dxa"/>
          <w:right w:w="0" w:type="dxa"/>
        </w:tblCellMar>
      </w:tblPr>
      <w:tblGrid>
        <w:gridCol w:w="53"/>
        <w:gridCol w:w="174"/>
        <w:gridCol w:w="9978"/>
      </w:tblGrid>
      <w:tr>
        <w:trPr/>
        <w:tc>
          <w:tcPr>
            <w:tcW w:w="5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rFonts w:ascii="Symbol" w:hAnsi="Symbol"/>
              </w:rPr>
            </w:pPr>
            <w:r>
              <w:rPr>
                <w:rFonts w:ascii="Symbol" w:hAnsi="Symbol"/>
              </w:rPr>
              <w:t>·</w:t>
            </w:r>
          </w:p>
        </w:tc>
        <w:tc>
          <w:tcPr>
            <w:tcW w:w="9978" w:type="dxa"/>
            <w:tcBorders/>
            <w:vAlign w:val="center"/>
          </w:tcPr>
          <w:p>
            <w:pPr>
              <w:pStyle w:val="TableContents"/>
              <w:bidi w:val="0"/>
              <w:spacing w:before="0" w:after="283"/>
              <w:jc w:val="left"/>
              <w:rPr/>
            </w:pPr>
            <w:r>
              <w:rPr/>
              <w:t>Significant changes in senior management or the Board (as defined below).</w:t>
            </w:r>
          </w:p>
        </w:tc>
      </w:tr>
    </w:tbl>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19</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56"/>
        <w:gridCol w:w="185"/>
        <w:gridCol w:w="9964"/>
      </w:tblGrid>
      <w:tr>
        <w:trPr/>
        <w:tc>
          <w:tcPr>
            <w:tcW w:w="5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Symbol" w:hAnsi="Symbol"/>
              </w:rPr>
            </w:pPr>
            <w:r>
              <w:rPr>
                <w:rFonts w:ascii="Symbol" w:hAnsi="Symbol"/>
              </w:rPr>
              <w:t>·</w:t>
            </w:r>
          </w:p>
        </w:tc>
        <w:tc>
          <w:tcPr>
            <w:tcW w:w="9964" w:type="dxa"/>
            <w:tcBorders/>
            <w:vAlign w:val="center"/>
          </w:tcPr>
          <w:p>
            <w:pPr>
              <w:pStyle w:val="TableContents"/>
              <w:bidi w:val="0"/>
              <w:spacing w:before="0" w:after="283"/>
              <w:jc w:val="left"/>
              <w:rPr/>
            </w:pPr>
            <w:r>
              <w:rPr/>
              <w:t>Actual or threatened major litigation or the resolution of such litigation.</w:t>
            </w:r>
          </w:p>
        </w:tc>
      </w:tr>
    </w:tbl>
    <w:tbl>
      <w:tblPr>
        <w:tblW w:w="5000" w:type="pct"/>
        <w:jc w:val="left"/>
        <w:tblInd w:w="0" w:type="dxa"/>
        <w:tblLayout w:type="fixed"/>
        <w:tblCellMar>
          <w:top w:w="0" w:type="dxa"/>
          <w:left w:w="0" w:type="dxa"/>
          <w:bottom w:w="0" w:type="dxa"/>
          <w:right w:w="0" w:type="dxa"/>
        </w:tblCellMar>
      </w:tblPr>
      <w:tblGrid>
        <w:gridCol w:w="55"/>
        <w:gridCol w:w="183"/>
        <w:gridCol w:w="9967"/>
      </w:tblGrid>
      <w:tr>
        <w:trPr/>
        <w:tc>
          <w:tcPr>
            <w:tcW w:w="5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rFonts w:ascii="Symbol" w:hAnsi="Symbol"/>
              </w:rPr>
            </w:pPr>
            <w:r>
              <w:rPr>
                <w:rFonts w:ascii="Symbol" w:hAnsi="Symbol"/>
              </w:rPr>
              <w:t>·</w:t>
            </w:r>
          </w:p>
        </w:tc>
        <w:tc>
          <w:tcPr>
            <w:tcW w:w="9967" w:type="dxa"/>
            <w:tcBorders/>
            <w:vAlign w:val="center"/>
          </w:tcPr>
          <w:p>
            <w:pPr>
              <w:pStyle w:val="TableContents"/>
              <w:bidi w:val="0"/>
              <w:spacing w:before="0" w:after="283"/>
              <w:jc w:val="left"/>
              <w:rPr/>
            </w:pPr>
            <w:r>
              <w:rPr/>
              <w:t>An imminent change in the Company’s credit rating by a rating agency.</w:t>
            </w:r>
          </w:p>
        </w:tc>
      </w:tr>
    </w:tbl>
    <w:tbl>
      <w:tblPr>
        <w:tblW w:w="5000" w:type="pct"/>
        <w:jc w:val="left"/>
        <w:tblInd w:w="0" w:type="dxa"/>
        <w:tblLayout w:type="fixed"/>
        <w:tblCellMar>
          <w:top w:w="0" w:type="dxa"/>
          <w:left w:w="0" w:type="dxa"/>
          <w:bottom w:w="0" w:type="dxa"/>
          <w:right w:w="0" w:type="dxa"/>
        </w:tblCellMar>
      </w:tblPr>
      <w:tblGrid>
        <w:gridCol w:w="41"/>
        <w:gridCol w:w="136"/>
        <w:gridCol w:w="10028"/>
      </w:tblGrid>
      <w:tr>
        <w:trPr/>
        <w:tc>
          <w:tcPr>
            <w:tcW w:w="4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rFonts w:ascii="Symbol" w:hAnsi="Symbol"/>
              </w:rPr>
            </w:pPr>
            <w:r>
              <w:rPr>
                <w:rFonts w:ascii="Symbol" w:hAnsi="Symbol"/>
              </w:rPr>
              <w:t>·</w:t>
            </w:r>
          </w:p>
        </w:tc>
        <w:tc>
          <w:tcPr>
            <w:tcW w:w="10028" w:type="dxa"/>
            <w:tcBorders/>
            <w:vAlign w:val="center"/>
          </w:tcPr>
          <w:p>
            <w:pPr>
              <w:pStyle w:val="TableContents"/>
              <w:bidi w:val="0"/>
              <w:spacing w:before="0" w:after="283"/>
              <w:jc w:val="left"/>
              <w:rPr/>
            </w:pPr>
            <w:r>
              <w:rPr/>
              <w:t>The contents of forthcoming publications that may affect the market price of Company securities.</w:t>
            </w:r>
          </w:p>
        </w:tc>
      </w:tr>
    </w:tbl>
    <w:tbl>
      <w:tblPr>
        <w:tblW w:w="5000" w:type="pct"/>
        <w:jc w:val="left"/>
        <w:tblInd w:w="0" w:type="dxa"/>
        <w:tblLayout w:type="fixed"/>
        <w:tblCellMar>
          <w:top w:w="0" w:type="dxa"/>
          <w:left w:w="0" w:type="dxa"/>
          <w:bottom w:w="0" w:type="dxa"/>
          <w:right w:w="0" w:type="dxa"/>
        </w:tblCellMar>
      </w:tblPr>
      <w:tblGrid>
        <w:gridCol w:w="95"/>
        <w:gridCol w:w="620"/>
        <w:gridCol w:w="9490"/>
      </w:tblGrid>
      <w:tr>
        <w:trPr/>
        <w:tc>
          <w:tcPr>
            <w:tcW w:w="95"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pPr>
            <w:r>
              <w:rPr/>
              <w:t>B.</w:t>
            </w:r>
          </w:p>
        </w:tc>
        <w:tc>
          <w:tcPr>
            <w:tcW w:w="9490" w:type="dxa"/>
            <w:tcBorders/>
            <w:vAlign w:val="center"/>
          </w:tcPr>
          <w:p>
            <w:pPr>
              <w:pStyle w:val="TableContents"/>
              <w:bidi w:val="0"/>
              <w:spacing w:before="0" w:after="283"/>
              <w:jc w:val="left"/>
              <w:rPr/>
            </w:pPr>
            <w:r>
              <w:rPr/>
              <w:t>Definition of “Nonpublic” Information.</w:t>
            </w:r>
          </w:p>
        </w:tc>
      </w:tr>
    </w:tbl>
    <w:p>
      <w:pPr>
        <w:pStyle w:val="TextBody"/>
        <w:bidi w:val="0"/>
        <w:spacing w:before="0" w:after="180"/>
        <w:ind w:left="15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is “nonpublic” if it has not been disseminated to investors through a widely circulated news or wire service (such as Dow Jones, Bloomberg, PR Newswire, etc.) or through a public filing with the Securities and Exchange Commission (the “SEC”). For the purposes of this Policy, information will be not considered public until after the close of trading on the second full trading day following the Company’s widespread public release of the information.</w:t>
      </w:r>
    </w:p>
    <w:tbl>
      <w:tblPr>
        <w:tblW w:w="5000" w:type="pct"/>
        <w:jc w:val="left"/>
        <w:tblInd w:w="0" w:type="dxa"/>
        <w:tblLayout w:type="fixed"/>
        <w:tblCellMar>
          <w:top w:w="0" w:type="dxa"/>
          <w:left w:w="0" w:type="dxa"/>
          <w:bottom w:w="0" w:type="dxa"/>
          <w:right w:w="0" w:type="dxa"/>
        </w:tblCellMar>
      </w:tblPr>
      <w:tblGrid>
        <w:gridCol w:w="87"/>
        <w:gridCol w:w="567"/>
        <w:gridCol w:w="9551"/>
      </w:tblGrid>
      <w:tr>
        <w:trPr/>
        <w:tc>
          <w:tcPr>
            <w:tcW w:w="87"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pPr>
            <w:r>
              <w:rPr/>
              <w:t>C.</w:t>
            </w:r>
          </w:p>
        </w:tc>
        <w:tc>
          <w:tcPr>
            <w:tcW w:w="9551" w:type="dxa"/>
            <w:tcBorders/>
            <w:vAlign w:val="center"/>
          </w:tcPr>
          <w:p>
            <w:pPr>
              <w:pStyle w:val="TableContents"/>
              <w:bidi w:val="0"/>
              <w:spacing w:before="0" w:after="283"/>
              <w:jc w:val="left"/>
              <w:rPr/>
            </w:pPr>
            <w:r>
              <w:rPr/>
              <w:t>Consult the General Counsel for Guidance.</w:t>
            </w:r>
          </w:p>
        </w:tc>
      </w:tr>
    </w:tbl>
    <w:p>
      <w:pPr>
        <w:pStyle w:val="TextBody"/>
        <w:bidi w:val="0"/>
        <w:spacing w:before="0" w:after="0"/>
        <w:ind w:left="1540" w:right="2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Insider who is unsure whether the information that he or she possesses is material or nonpublic should consult the General Counsel for guidance before trading in any Company securities.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275"/>
        <w:gridCol w:w="9890"/>
      </w:tblGrid>
      <w:tr>
        <w:trPr/>
        <w:tc>
          <w:tcPr>
            <w:tcW w:w="4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V.</w:t>
            </w:r>
          </w:p>
        </w:tc>
        <w:tc>
          <w:tcPr>
            <w:tcW w:w="9890" w:type="dxa"/>
            <w:tcBorders/>
            <w:vAlign w:val="center"/>
          </w:tcPr>
          <w:p>
            <w:pPr>
              <w:pStyle w:val="TableContents"/>
              <w:bidi w:val="0"/>
              <w:spacing w:before="0" w:after="283"/>
              <w:jc w:val="left"/>
              <w:rPr/>
            </w:pPr>
            <w:r>
              <w:rPr/>
              <w:t>ADDITIONAL PROVISIONS FOR SECTION 16 INDIVIDUALS AND KEY EMPLOYEES</w:t>
            </w:r>
          </w:p>
        </w:tc>
      </w:tr>
    </w:tbl>
    <w:tbl>
      <w:tblPr>
        <w:tblW w:w="5000" w:type="pct"/>
        <w:jc w:val="left"/>
        <w:tblInd w:w="0" w:type="dxa"/>
        <w:tblLayout w:type="fixed"/>
        <w:tblCellMar>
          <w:top w:w="0" w:type="dxa"/>
          <w:left w:w="0" w:type="dxa"/>
          <w:bottom w:w="0" w:type="dxa"/>
          <w:right w:w="0" w:type="dxa"/>
        </w:tblCellMar>
      </w:tblPr>
      <w:tblGrid>
        <w:gridCol w:w="63"/>
        <w:gridCol w:w="434"/>
        <w:gridCol w:w="9708"/>
      </w:tblGrid>
      <w:tr>
        <w:trPr/>
        <w:tc>
          <w:tcPr>
            <w:tcW w:w="63"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b/>
              </w:rPr>
            </w:pPr>
            <w:r>
              <w:rPr>
                <w:b/>
              </w:rPr>
              <w:t>A.</w:t>
            </w:r>
          </w:p>
        </w:tc>
        <w:tc>
          <w:tcPr>
            <w:tcW w:w="9708" w:type="dxa"/>
            <w:tcBorders/>
            <w:vAlign w:val="center"/>
          </w:tcPr>
          <w:p>
            <w:pPr>
              <w:pStyle w:val="TableContents"/>
              <w:bidi w:val="0"/>
              <w:spacing w:before="0" w:after="283"/>
              <w:jc w:val="left"/>
              <w:rPr>
                <w:b/>
              </w:rPr>
            </w:pPr>
            <w:r>
              <w:rPr>
                <w:b/>
              </w:rPr>
              <w:t>Definitions of Section 16 Individuals and Key Employees.</w:t>
            </w:r>
          </w:p>
        </w:tc>
      </w:tr>
    </w:tbl>
    <w:tbl>
      <w:tblPr>
        <w:tblW w:w="5000" w:type="pct"/>
        <w:jc w:val="left"/>
        <w:tblInd w:w="0" w:type="dxa"/>
        <w:tblLayout w:type="fixed"/>
        <w:tblCellMar>
          <w:top w:w="0" w:type="dxa"/>
          <w:left w:w="0" w:type="dxa"/>
          <w:bottom w:w="0" w:type="dxa"/>
          <w:right w:w="0" w:type="dxa"/>
        </w:tblCellMar>
      </w:tblPr>
      <w:tblGrid>
        <w:gridCol w:w="37"/>
        <w:gridCol w:w="156"/>
        <w:gridCol w:w="10012"/>
      </w:tblGrid>
      <w:tr>
        <w:trPr/>
        <w:tc>
          <w:tcPr>
            <w:tcW w:w="3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pPr>
            <w:r>
              <w:rPr/>
              <w:t>1.</w:t>
            </w:r>
          </w:p>
        </w:tc>
        <w:tc>
          <w:tcPr>
            <w:tcW w:w="10012" w:type="dxa"/>
            <w:tcBorders/>
            <w:vAlign w:val="center"/>
          </w:tcPr>
          <w:p>
            <w:pPr>
              <w:pStyle w:val="TableContents"/>
              <w:bidi w:val="0"/>
              <w:spacing w:before="0" w:after="283"/>
              <w:jc w:val="left"/>
              <w:rPr/>
            </w:pPr>
            <w:r>
              <w:rPr/>
              <w:t>“</w:t>
            </w:r>
            <w:r>
              <w:rPr>
                <w:u w:val="single"/>
              </w:rPr>
              <w:t>Section 16 Individual</w:t>
            </w:r>
            <w:r>
              <w:rPr/>
              <w:t>” – Each member of the Company’s Board of Directors (“Board”), those officers of the Company designated by the Board as “Section 16 officers” of the Company, and their respective family members and others in their households, for purposes of compliance with Section 16 of the Securities and Exchange Act of 1934.</w:t>
            </w:r>
          </w:p>
        </w:tc>
      </w:tr>
    </w:tbl>
    <w:tbl>
      <w:tblPr>
        <w:tblW w:w="5000" w:type="pct"/>
        <w:jc w:val="left"/>
        <w:tblInd w:w="0" w:type="dxa"/>
        <w:tblLayout w:type="fixed"/>
        <w:tblCellMar>
          <w:top w:w="0" w:type="dxa"/>
          <w:left w:w="0" w:type="dxa"/>
          <w:bottom w:w="0" w:type="dxa"/>
          <w:right w:w="0" w:type="dxa"/>
        </w:tblCellMar>
      </w:tblPr>
      <w:tblGrid>
        <w:gridCol w:w="37"/>
        <w:gridCol w:w="175"/>
        <w:gridCol w:w="9993"/>
      </w:tblGrid>
      <w:tr>
        <w:trPr/>
        <w:tc>
          <w:tcPr>
            <w:tcW w:w="3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pPr>
            <w:r>
              <w:rPr/>
              <w:t>2.</w:t>
            </w:r>
          </w:p>
        </w:tc>
        <w:tc>
          <w:tcPr>
            <w:tcW w:w="9993" w:type="dxa"/>
            <w:tcBorders/>
            <w:vAlign w:val="center"/>
          </w:tcPr>
          <w:p>
            <w:pPr>
              <w:pStyle w:val="TableContents"/>
              <w:bidi w:val="0"/>
              <w:spacing w:before="0" w:after="283"/>
              <w:jc w:val="left"/>
              <w:rPr/>
            </w:pPr>
            <w:r>
              <w:rPr/>
              <w:t>“</w:t>
            </w:r>
            <w:r>
              <w:rPr>
                <w:u w:val="single"/>
              </w:rPr>
              <w:t>Key Employees</w:t>
            </w:r>
            <w:r>
              <w:rPr/>
              <w:t>” – The following individuals are Key Employees because of their position with the Company and their possible access to material nonpublic information:</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Active employees of the Company who have met or currently meet the eligibility requirements to receive annual stock option and/or restricted stock unit awards awarded by the Compensation Committee of the Board (the “Committee”); and</w:t>
            </w:r>
          </w:p>
        </w:tc>
      </w:tr>
    </w:tbl>
    <w:tbl>
      <w:tblPr>
        <w:tblW w:w="5000" w:type="pct"/>
        <w:jc w:val="left"/>
        <w:tblInd w:w="0" w:type="dxa"/>
        <w:tblLayout w:type="fixed"/>
        <w:tblCellMar>
          <w:top w:w="0" w:type="dxa"/>
          <w:left w:w="0" w:type="dxa"/>
          <w:bottom w:w="0" w:type="dxa"/>
          <w:right w:w="0" w:type="dxa"/>
        </w:tblCellMar>
      </w:tblPr>
      <w:tblGrid>
        <w:gridCol w:w="39"/>
        <w:gridCol w:w="129"/>
        <w:gridCol w:w="10037"/>
      </w:tblGrid>
      <w:tr>
        <w:trPr/>
        <w:tc>
          <w:tcPr>
            <w:tcW w:w="3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rFonts w:ascii="Symbol" w:hAnsi="Symbol"/>
              </w:rPr>
            </w:pPr>
            <w:r>
              <w:rPr>
                <w:rFonts w:ascii="Symbol" w:hAnsi="Symbol"/>
              </w:rPr>
              <w:t>·</w:t>
            </w:r>
          </w:p>
        </w:tc>
        <w:tc>
          <w:tcPr>
            <w:tcW w:w="10037" w:type="dxa"/>
            <w:tcBorders/>
            <w:vAlign w:val="center"/>
          </w:tcPr>
          <w:p>
            <w:pPr>
              <w:pStyle w:val="TableContents"/>
              <w:bidi w:val="0"/>
              <w:spacing w:before="0" w:after="283"/>
              <w:jc w:val="left"/>
              <w:rPr/>
            </w:pPr>
            <w:r>
              <w:rPr/>
              <w:t>Any other individual designated from time to time by the Board or the Committee as a Key Employee.</w:t>
            </w:r>
          </w:p>
        </w:tc>
      </w:tr>
    </w:tbl>
    <w:p>
      <w:pPr>
        <w:pStyle w:val="TextBody"/>
        <w:bidi w:val="0"/>
        <w:spacing w:before="0" w:after="0"/>
        <w:ind w:left="1880" w:right="142"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Employees and other individuals who are recipients of stock option and/or restricted stock unit awards awarded by the Committee that are broad-based or special awards from the Chief Executive Officer or other authorized officer under a pool of stock options or restricted stock units established by the Committee shall not be considered Key Employees unless they also meet one or more of the conditions set forth in the preceding two bullets.</w:t>
      </w:r>
    </w:p>
    <w:p>
      <w:pPr>
        <w:pStyle w:val="TextBody"/>
        <w:bidi w:val="0"/>
        <w:spacing w:before="0" w:after="0"/>
        <w:ind w:left="1880" w:right="142"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19</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70"/>
        <w:gridCol w:w="455"/>
        <w:gridCol w:w="9680"/>
      </w:tblGrid>
      <w:tr>
        <w:trPr/>
        <w:tc>
          <w:tcPr>
            <w:tcW w:w="7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pPr>
            <w:r>
              <w:rPr/>
              <w:t>B.</w:t>
            </w:r>
          </w:p>
        </w:tc>
        <w:tc>
          <w:tcPr>
            <w:tcW w:w="9680" w:type="dxa"/>
            <w:tcBorders/>
            <w:vAlign w:val="center"/>
          </w:tcPr>
          <w:p>
            <w:pPr>
              <w:pStyle w:val="TableContents"/>
              <w:bidi w:val="0"/>
              <w:spacing w:before="0" w:after="283"/>
              <w:jc w:val="left"/>
              <w:rPr/>
            </w:pPr>
            <w:r>
              <w:rPr/>
              <w:t>The Trading Window and Quarterly Blackout Periods.</w:t>
            </w:r>
          </w:p>
        </w:tc>
      </w:tr>
    </w:tbl>
    <w:tbl>
      <w:tblPr>
        <w:tblW w:w="5000" w:type="pct"/>
        <w:jc w:val="left"/>
        <w:tblInd w:w="0" w:type="dxa"/>
        <w:tblLayout w:type="fixed"/>
        <w:tblCellMar>
          <w:top w:w="0" w:type="dxa"/>
          <w:left w:w="0" w:type="dxa"/>
          <w:bottom w:w="0" w:type="dxa"/>
          <w:right w:w="0" w:type="dxa"/>
        </w:tblCellMar>
      </w:tblPr>
      <w:tblGrid>
        <w:gridCol w:w="37"/>
        <w:gridCol w:w="154"/>
        <w:gridCol w:w="10014"/>
      </w:tblGrid>
      <w:tr>
        <w:trPr/>
        <w:tc>
          <w:tcPr>
            <w:tcW w:w="3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pPr>
            <w:r>
              <w:rPr/>
              <w:t>1.</w:t>
            </w:r>
          </w:p>
        </w:tc>
        <w:tc>
          <w:tcPr>
            <w:tcW w:w="10014" w:type="dxa"/>
            <w:tcBorders/>
            <w:vAlign w:val="center"/>
          </w:tcPr>
          <w:p>
            <w:pPr>
              <w:pStyle w:val="TableContents"/>
              <w:bidi w:val="0"/>
              <w:spacing w:before="0" w:after="283"/>
              <w:jc w:val="left"/>
              <w:rPr/>
            </w:pPr>
            <w:r>
              <w:rPr>
                <w:u w:val="single"/>
              </w:rPr>
              <w:t>Trading Only While Trading Window is Open</w:t>
            </w:r>
            <w:r>
              <w:rPr/>
              <w:t>. Section 16 Individuals and Key Employees may buy, sell or trade in Company securities only while the Company’s trading window is open. No Section 16 Individual or Key Employee may trade in Company securities during a quarterly blackout period, regardless of whether they are then actually aware of material non-public information.</w:t>
            </w:r>
          </w:p>
        </w:tc>
      </w:tr>
    </w:tbl>
    <w:tbl>
      <w:tblPr>
        <w:tblW w:w="5000" w:type="pct"/>
        <w:jc w:val="left"/>
        <w:tblInd w:w="0" w:type="dxa"/>
        <w:tblLayout w:type="fixed"/>
        <w:tblCellMar>
          <w:top w:w="0" w:type="dxa"/>
          <w:left w:w="0" w:type="dxa"/>
          <w:bottom w:w="0" w:type="dxa"/>
          <w:right w:w="0" w:type="dxa"/>
        </w:tblCellMar>
      </w:tblPr>
      <w:tblGrid>
        <w:gridCol w:w="37"/>
        <w:gridCol w:w="149"/>
        <w:gridCol w:w="10019"/>
      </w:tblGrid>
      <w:tr>
        <w:trPr/>
        <w:tc>
          <w:tcPr>
            <w:tcW w:w="3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pPr>
            <w:r>
              <w:rPr/>
              <w:t>2.</w:t>
            </w:r>
          </w:p>
        </w:tc>
        <w:tc>
          <w:tcPr>
            <w:tcW w:w="10019" w:type="dxa"/>
            <w:tcBorders/>
            <w:vAlign w:val="center"/>
          </w:tcPr>
          <w:p>
            <w:pPr>
              <w:pStyle w:val="TableContents"/>
              <w:bidi w:val="0"/>
              <w:spacing w:before="0" w:after="283"/>
              <w:jc w:val="left"/>
              <w:rPr/>
            </w:pPr>
            <w:r>
              <w:rPr>
                <w:u w:val="single"/>
              </w:rPr>
              <w:t>Quarterly Blackout Periods</w:t>
            </w:r>
            <w:r>
              <w:rPr/>
              <w:t xml:space="preserve">. A quarterly blackout period is in effect with respect to each quarterly earnings announcement, starting no less than the last day of the Middlesex Water Company fiscal quarter and ending when two full trading days have passed following the public announcement of Middlesex Water Company’s quarterly financial results. </w:t>
            </w:r>
            <w:r>
              <w:rPr>
                <w:position w:val="8"/>
                <w:sz w:val="19"/>
              </w:rPr>
              <w:t>1</w:t>
            </w:r>
            <w:r>
              <w:rPr/>
              <w:t xml:space="preserve"> Middlesex Water Company has selected this period because it is the time when there is likely to be material non-public information about Middlesex Water Company that may be available to Section 16 Individuals and Key Employees.</w:t>
            </w:r>
          </w:p>
        </w:tc>
      </w:tr>
    </w:tbl>
    <w:tbl>
      <w:tblPr>
        <w:tblW w:w="5000" w:type="pct"/>
        <w:jc w:val="left"/>
        <w:tblInd w:w="0" w:type="dxa"/>
        <w:tblLayout w:type="fixed"/>
        <w:tblCellMar>
          <w:top w:w="0" w:type="dxa"/>
          <w:left w:w="0" w:type="dxa"/>
          <w:bottom w:w="0" w:type="dxa"/>
          <w:right w:w="0" w:type="dxa"/>
        </w:tblCellMar>
      </w:tblPr>
      <w:tblGrid>
        <w:gridCol w:w="37"/>
        <w:gridCol w:w="152"/>
        <w:gridCol w:w="10016"/>
      </w:tblGrid>
      <w:tr>
        <w:trPr/>
        <w:tc>
          <w:tcPr>
            <w:tcW w:w="3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pPr>
            <w:r>
              <w:rPr/>
              <w:t>3.</w:t>
            </w:r>
          </w:p>
        </w:tc>
        <w:tc>
          <w:tcPr>
            <w:tcW w:w="10016" w:type="dxa"/>
            <w:tcBorders/>
            <w:vAlign w:val="center"/>
          </w:tcPr>
          <w:p>
            <w:pPr>
              <w:pStyle w:val="TableContents"/>
              <w:bidi w:val="0"/>
              <w:spacing w:before="0" w:after="283"/>
              <w:jc w:val="left"/>
              <w:rPr/>
            </w:pPr>
            <w:r>
              <w:rPr>
                <w:u w:val="single"/>
              </w:rPr>
              <w:t>No Trading While Aware of Material Nonpublic Information</w:t>
            </w:r>
            <w:r>
              <w:rPr/>
              <w:t>. Notwithstanding the provisions of the immediately preceding section, any Section 16 Individual or Key Employee who is in possession of material nonpublic information regarding the Company may not trade in Company securities during an open trading window until after two full trading days have passed following the Company’s widespread public release of such information.</w:t>
            </w:r>
          </w:p>
        </w:tc>
      </w:tr>
    </w:tbl>
    <w:p>
      <w:pPr>
        <w:pStyle w:val="TextBody"/>
        <w:bidi w:val="0"/>
        <w:spacing w:before="0" w:after="0"/>
        <w:ind w:left="1880" w:right="252"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Exceptions for Hardship Cases</w:t>
      </w:r>
      <w:r>
        <w:rPr>
          <w:rFonts w:ascii="Times New Roman;Times;Serif" w:hAnsi="Times New Roman;Times;Serif"/>
          <w:b w:val="false"/>
          <w:i w:val="false"/>
          <w:caps w:val="false"/>
          <w:smallCaps w:val="false"/>
          <w:sz w:val="20"/>
        </w:rPr>
        <w:t>. The General Counsel may, on a case- by-case basis, authorize trading in Company securities outside of the applicable trading windows (but not during special trading blackout periods) due to financial hardship or other hardships, but only in accordance with the procedures set forth in Section V.C.2 below.</w:t>
      </w:r>
    </w:p>
    <w:p>
      <w:pPr>
        <w:pStyle w:val="TextBody"/>
        <w:bidi w:val="0"/>
        <w:spacing w:before="0" w:after="0"/>
        <w:ind w:left="1880" w:right="252"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320"/>
        <w:gridCol w:w="9836"/>
      </w:tblGrid>
      <w:tr>
        <w:trPr/>
        <w:tc>
          <w:tcPr>
            <w:tcW w:w="4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C.</w:t>
            </w:r>
          </w:p>
        </w:tc>
        <w:tc>
          <w:tcPr>
            <w:tcW w:w="9836" w:type="dxa"/>
            <w:tcBorders/>
            <w:vAlign w:val="center"/>
          </w:tcPr>
          <w:p>
            <w:pPr>
              <w:pStyle w:val="TableContents"/>
              <w:bidi w:val="0"/>
              <w:spacing w:before="0" w:after="283"/>
              <w:jc w:val="left"/>
              <w:rPr/>
            </w:pPr>
            <w:r>
              <w:rPr/>
              <w:t>Procedures for approving trades by Section 16 Individuals and Hardship Cases.</w:t>
            </w:r>
          </w:p>
        </w:tc>
      </w:tr>
    </w:tbl>
    <w:tbl>
      <w:tblPr>
        <w:tblW w:w="5000" w:type="pct"/>
        <w:jc w:val="left"/>
        <w:tblInd w:w="0" w:type="dxa"/>
        <w:tblLayout w:type="fixed"/>
        <w:tblCellMar>
          <w:top w:w="0" w:type="dxa"/>
          <w:left w:w="0" w:type="dxa"/>
          <w:bottom w:w="0" w:type="dxa"/>
          <w:right w:w="0" w:type="dxa"/>
        </w:tblCellMar>
      </w:tblPr>
      <w:tblGrid>
        <w:gridCol w:w="42"/>
        <w:gridCol w:w="221"/>
        <w:gridCol w:w="9942"/>
      </w:tblGrid>
      <w:tr>
        <w:trPr/>
        <w:tc>
          <w:tcPr>
            <w:tcW w:w="4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1.</w:t>
            </w:r>
          </w:p>
        </w:tc>
        <w:tc>
          <w:tcPr>
            <w:tcW w:w="9942" w:type="dxa"/>
            <w:tcBorders/>
            <w:vAlign w:val="center"/>
          </w:tcPr>
          <w:p>
            <w:pPr>
              <w:pStyle w:val="TableContents"/>
              <w:bidi w:val="0"/>
              <w:spacing w:before="0" w:after="283"/>
              <w:jc w:val="left"/>
              <w:rPr/>
            </w:pPr>
            <w:r>
              <w:rPr>
                <w:u w:val="single"/>
              </w:rPr>
              <w:t>Section 16 Individual Trades</w:t>
            </w:r>
            <w:r>
              <w:rPr/>
              <w:t>. No Section 16 Individual may trade in Company securities until:</w:t>
            </w:r>
          </w:p>
        </w:tc>
      </w:tr>
    </w:tbl>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3" w:type="dxa"/>
            <w:tcBorders/>
            <w:vAlign w:val="center"/>
          </w:tcPr>
          <w:p>
            <w:pPr>
              <w:pStyle w:val="TableContents"/>
              <w:bidi w:val="0"/>
              <w:spacing w:before="0" w:after="283"/>
              <w:jc w:val="left"/>
              <w:rPr/>
            </w:pPr>
            <w:r>
              <w:rPr/>
              <w:t>the individual has notified the General Counsel in writing, at least three business days prior to the proposed trade(s), of the amount and nature of the proposed trade(s), and</w:t>
            </w:r>
          </w:p>
        </w:tc>
      </w:tr>
    </w:tbl>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8" w:type="dxa"/>
            <w:tcBorders/>
            <w:vAlign w:val="center"/>
          </w:tcPr>
          <w:p>
            <w:pPr>
              <w:pStyle w:val="TableContents"/>
              <w:bidi w:val="0"/>
              <w:spacing w:before="0" w:after="283"/>
              <w:jc w:val="left"/>
              <w:rPr/>
            </w:pPr>
            <w:r>
              <w:rPr/>
              <w:t>the individual has certified to the General Counsel in writing, no more than three business days prior to the proposed trade(s), that he or she is not aware of material nonpublic information regarding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18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The end dates for each Quarterly Blackout Period shall be as follows: (a) 60 days after year-end (December 31) for the annual 10-K reporting period; and (b) 40 days after the close of each quarter for the quarterly 10-Q reporting period. Trading Windows open </w:t>
      </w:r>
      <w:r>
        <w:rPr>
          <w:rFonts w:ascii="Times New Roman;Times;Serif" w:hAnsi="Times New Roman;Times;Serif"/>
          <w:b w:val="false"/>
          <w:i w:val="false"/>
          <w:caps w:val="false"/>
          <w:smallCaps w:val="false"/>
          <w:sz w:val="20"/>
          <w:u w:val="single"/>
        </w:rPr>
        <w:t>after</w:t>
      </w:r>
      <w:r>
        <w:rPr>
          <w:rFonts w:ascii="Times New Roman;Times;Serif" w:hAnsi="Times New Roman;Times;Serif"/>
          <w:b w:val="false"/>
          <w:i w:val="false"/>
          <w:caps w:val="false"/>
          <w:smallCaps w:val="false"/>
          <w:sz w:val="20"/>
        </w:rPr>
        <w:t xml:space="preserve"> 2 full trading days following each Quarterly Blackout Period End Date. Specific filing dates for the 10-K and 10-Q reports are subject to change, and the Vice President, General Counsel &amp; Secretary shall advise Section 16 Individuals and Key Employees of any changes and impacts on the opening of a Trading Window period.</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19</w:t>
      </w:r>
    </w:p>
    <w:p>
      <w:pPr>
        <w:pStyle w:val="TextBody"/>
        <w:bidi w:val="0"/>
        <w:spacing w:before="0" w:after="0"/>
        <w:ind w:left="0" w:right="0" w:hanging="0"/>
        <w:jc w:val="left"/>
        <w:rPr/>
      </w:pPr>
      <w:r>
        <w:rPr/>
        <w:t> </w:t>
      </w:r>
    </w:p>
    <w:p>
      <w:pPr>
        <w:pStyle w:val="TextBody"/>
        <w:bidi w:val="0"/>
        <w:spacing w:before="0" w:after="180"/>
        <w:ind w:left="1879" w:right="136"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notice and certification required by this Section V.C.1 shall be given using the form attached hereto as </w:t>
      </w:r>
      <w:r>
        <w:rPr>
          <w:rFonts w:ascii="Times New Roman;Times;Serif" w:hAnsi="Times New Roman;Times;Serif"/>
          <w:b/>
          <w:i w:val="false"/>
          <w:caps w:val="false"/>
          <w:smallCaps w:val="false"/>
          <w:sz w:val="20"/>
          <w:u w:val="single"/>
        </w:rPr>
        <w:t>Exhibit A</w:t>
      </w:r>
      <w:r>
        <w:rPr>
          <w:rFonts w:ascii="Times New Roman;Times;Serif" w:hAnsi="Times New Roman;Times;Serif"/>
          <w:b w:val="false"/>
          <w:i w:val="false"/>
          <w:caps w:val="false"/>
          <w:smallCaps w:val="false"/>
          <w:sz w:val="20"/>
        </w:rPr>
        <w:t>. Beginning on the day that is the fourth business day following the date of such notice, and for ten additional business days thereafter, provided that the facts referred to in Section V.C.1.b remain correct, the Section 16 Individual may execute the trade set forth in such notice. Once the approval period identified in the notice has expired, a new notice and certification pursuant to this Section V.C.1 must be given in order for the Section 16 Individual to trade in Company securities. </w:t>
      </w:r>
    </w:p>
    <w:tbl>
      <w:tblPr>
        <w:tblW w:w="5000" w:type="pct"/>
        <w:jc w:val="left"/>
        <w:tblInd w:w="0" w:type="dxa"/>
        <w:tblLayout w:type="fixed"/>
        <w:tblCellMar>
          <w:top w:w="0" w:type="dxa"/>
          <w:left w:w="0" w:type="dxa"/>
          <w:bottom w:w="0" w:type="dxa"/>
          <w:right w:w="0" w:type="dxa"/>
        </w:tblCellMar>
      </w:tblPr>
      <w:tblGrid>
        <w:gridCol w:w="37"/>
        <w:gridCol w:w="168"/>
        <w:gridCol w:w="10000"/>
      </w:tblGrid>
      <w:tr>
        <w:trPr/>
        <w:tc>
          <w:tcPr>
            <w:tcW w:w="3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pPr>
            <w:r>
              <w:rPr/>
              <w:t>2.</w:t>
            </w:r>
          </w:p>
        </w:tc>
        <w:tc>
          <w:tcPr>
            <w:tcW w:w="10000" w:type="dxa"/>
            <w:tcBorders/>
            <w:vAlign w:val="center"/>
          </w:tcPr>
          <w:p>
            <w:pPr>
              <w:pStyle w:val="TableContents"/>
              <w:bidi w:val="0"/>
              <w:spacing w:before="0" w:after="283"/>
              <w:jc w:val="left"/>
              <w:rPr/>
            </w:pPr>
            <w:r>
              <w:rPr>
                <w:u w:val="single"/>
              </w:rPr>
              <w:t>Hardship Trades</w:t>
            </w:r>
            <w:r>
              <w:rPr/>
              <w:t>. The General Counsel may, on a case-by-case basis, authorize trading in Company securities outside of an applicable trading window due to financial hardship or other hardships only after:</w:t>
            </w:r>
          </w:p>
        </w:tc>
      </w:tr>
    </w:tbl>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3" w:type="dxa"/>
            <w:tcBorders/>
            <w:vAlign w:val="center"/>
          </w:tcPr>
          <w:p>
            <w:pPr>
              <w:pStyle w:val="TableContents"/>
              <w:bidi w:val="0"/>
              <w:spacing w:before="0" w:after="283"/>
              <w:jc w:val="left"/>
              <w:rPr/>
            </w:pPr>
            <w:r>
              <w:rPr/>
              <w:t>the person trading has notified the General Counsel in writing of the circumstances of the hardship and the amount and nature of the proposed trade(s), and</w:t>
            </w:r>
          </w:p>
        </w:tc>
      </w:tr>
    </w:tbl>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8" w:type="dxa"/>
            <w:tcBorders/>
            <w:vAlign w:val="center"/>
          </w:tcPr>
          <w:p>
            <w:pPr>
              <w:pStyle w:val="TableContents"/>
              <w:bidi w:val="0"/>
              <w:spacing w:before="0" w:after="283"/>
              <w:jc w:val="left"/>
              <w:rPr/>
            </w:pPr>
            <w:r>
              <w:rPr/>
              <w:t>the person trading has certified to the General Counsel in writing no earlier than two business days prior to the proposed trade(s) that he or she is not aware of material nonpublic information concerning the Company.</w:t>
            </w:r>
          </w:p>
        </w:tc>
      </w:tr>
    </w:tbl>
    <w:tbl>
      <w:tblPr>
        <w:tblW w:w="5000" w:type="pct"/>
        <w:jc w:val="left"/>
        <w:tblInd w:w="0" w:type="dxa"/>
        <w:tblLayout w:type="fixed"/>
        <w:tblCellMar>
          <w:top w:w="0" w:type="dxa"/>
          <w:left w:w="0" w:type="dxa"/>
          <w:bottom w:w="0" w:type="dxa"/>
          <w:right w:w="0" w:type="dxa"/>
        </w:tblCellMar>
      </w:tblPr>
      <w:tblGrid>
        <w:gridCol w:w="37"/>
        <w:gridCol w:w="166"/>
        <w:gridCol w:w="10002"/>
      </w:tblGrid>
      <w:tr>
        <w:trPr/>
        <w:tc>
          <w:tcPr>
            <w:tcW w:w="3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3.</w:t>
            </w:r>
          </w:p>
        </w:tc>
        <w:tc>
          <w:tcPr>
            <w:tcW w:w="10002" w:type="dxa"/>
            <w:tcBorders/>
            <w:vAlign w:val="center"/>
          </w:tcPr>
          <w:p>
            <w:pPr>
              <w:pStyle w:val="TableContents"/>
              <w:bidi w:val="0"/>
              <w:spacing w:before="0" w:after="283"/>
              <w:jc w:val="left"/>
              <w:rPr/>
            </w:pPr>
            <w:r>
              <w:rPr>
                <w:u w:val="single"/>
              </w:rPr>
              <w:t>General Counsel Trades</w:t>
            </w:r>
            <w:r>
              <w:rPr/>
              <w:t>. If the General Counsel desires to complete any trades involving Company securities, he or she must first obtain the approval of the Chief Executive Officer or the Chief Financial Officer of the Company.</w:t>
            </w:r>
          </w:p>
        </w:tc>
      </w:tr>
    </w:tbl>
    <w:tbl>
      <w:tblPr>
        <w:tblW w:w="5000" w:type="pct"/>
        <w:jc w:val="left"/>
        <w:tblInd w:w="0" w:type="dxa"/>
        <w:tblLayout w:type="fixed"/>
        <w:tblCellMar>
          <w:top w:w="0" w:type="dxa"/>
          <w:left w:w="0" w:type="dxa"/>
          <w:bottom w:w="0" w:type="dxa"/>
          <w:right w:w="0" w:type="dxa"/>
        </w:tblCellMar>
      </w:tblPr>
      <w:tblGrid>
        <w:gridCol w:w="37"/>
        <w:gridCol w:w="155"/>
        <w:gridCol w:w="10013"/>
      </w:tblGrid>
      <w:tr>
        <w:trPr/>
        <w:tc>
          <w:tcPr>
            <w:tcW w:w="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pPr>
            <w:r>
              <w:rPr/>
              <w:t>4.</w:t>
            </w:r>
          </w:p>
        </w:tc>
        <w:tc>
          <w:tcPr>
            <w:tcW w:w="10013" w:type="dxa"/>
            <w:tcBorders/>
            <w:vAlign w:val="center"/>
          </w:tcPr>
          <w:p>
            <w:pPr>
              <w:pStyle w:val="TableContents"/>
              <w:bidi w:val="0"/>
              <w:spacing w:before="0" w:after="283"/>
              <w:jc w:val="left"/>
              <w:rPr/>
            </w:pPr>
            <w:r>
              <w:rPr>
                <w:u w:val="single"/>
              </w:rPr>
              <w:t>No Obligation to Approve Trades</w:t>
            </w:r>
            <w:r>
              <w:rPr/>
              <w:t>. The existence of the foregoing approval procedures does not in any way obligate the General Counsel (or, in the case of any trade by the General Counsel, the Chief Executive Officer or the Chief Financial Officer of the Company) to approve any trades requested by Section 16 Individuals, hardship applicants or the General Counsel.</w:t>
            </w:r>
          </w:p>
        </w:tc>
      </w:tr>
    </w:tbl>
    <w:tbl>
      <w:tblPr>
        <w:tblW w:w="5000" w:type="pct"/>
        <w:jc w:val="left"/>
        <w:tblInd w:w="0" w:type="dxa"/>
        <w:tblLayout w:type="fixed"/>
        <w:tblCellMar>
          <w:top w:w="0" w:type="dxa"/>
          <w:left w:w="0" w:type="dxa"/>
          <w:bottom w:w="0" w:type="dxa"/>
          <w:right w:w="0" w:type="dxa"/>
        </w:tblCellMar>
      </w:tblPr>
      <w:tblGrid>
        <w:gridCol w:w="84"/>
        <w:gridCol w:w="741"/>
        <w:gridCol w:w="9380"/>
      </w:tblGrid>
      <w:tr>
        <w:trPr/>
        <w:tc>
          <w:tcPr>
            <w:tcW w:w="84"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pPr>
            <w:r>
              <w:rPr/>
              <w:t>VI.</w:t>
            </w:r>
          </w:p>
        </w:tc>
        <w:tc>
          <w:tcPr>
            <w:tcW w:w="9380" w:type="dxa"/>
            <w:tcBorders/>
            <w:vAlign w:val="center"/>
          </w:tcPr>
          <w:p>
            <w:pPr>
              <w:pStyle w:val="TableContents"/>
              <w:bidi w:val="0"/>
              <w:spacing w:before="0" w:after="283"/>
              <w:jc w:val="left"/>
              <w:rPr/>
            </w:pPr>
            <w:r>
              <w:rPr/>
              <w:t>DUTIES OF THE GENERAL COUNSEL</w:t>
            </w:r>
          </w:p>
        </w:tc>
      </w:tr>
    </w:tbl>
    <w:p>
      <w:pPr>
        <w:pStyle w:val="TextBody"/>
        <w:bidi w:val="0"/>
        <w:spacing w:before="0" w:after="180"/>
        <w:ind w:left="819" w:right="33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designated its General Counsel as the individual responsible for ensuring compliance with this Policy. The duties of the General Counsel include the following:</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b/>
              </w:rPr>
            </w:pPr>
            <w:r>
              <w:rPr>
                <w:b/>
              </w:rPr>
              <w:t>A.</w:t>
            </w:r>
          </w:p>
        </w:tc>
        <w:tc>
          <w:tcPr>
            <w:tcW w:w="9908" w:type="dxa"/>
            <w:tcBorders/>
            <w:vAlign w:val="center"/>
          </w:tcPr>
          <w:p>
            <w:pPr>
              <w:pStyle w:val="TableContents"/>
              <w:bidi w:val="0"/>
              <w:spacing w:before="0" w:after="283"/>
              <w:jc w:val="left"/>
              <w:rPr/>
            </w:pPr>
            <w:r>
              <w:rPr/>
              <w:t>Administering this Policy and monitoring and enforcing compliance with all Policy provisions and procedures.</w:t>
            </w:r>
          </w:p>
        </w:tc>
      </w:tr>
    </w:tbl>
    <w:tbl>
      <w:tblPr>
        <w:tblW w:w="5000" w:type="pct"/>
        <w:jc w:val="left"/>
        <w:tblInd w:w="0" w:type="dxa"/>
        <w:tblLayout w:type="fixed"/>
        <w:tblCellMar>
          <w:top w:w="0" w:type="dxa"/>
          <w:left w:w="0" w:type="dxa"/>
          <w:bottom w:w="0" w:type="dxa"/>
          <w:right w:w="0" w:type="dxa"/>
        </w:tblCellMar>
      </w:tblPr>
      <w:tblGrid>
        <w:gridCol w:w="78"/>
        <w:gridCol w:w="503"/>
        <w:gridCol w:w="9624"/>
      </w:tblGrid>
      <w:tr>
        <w:trPr/>
        <w:tc>
          <w:tcPr>
            <w:tcW w:w="78"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b/>
              </w:rPr>
            </w:pPr>
            <w:r>
              <w:rPr>
                <w:b/>
              </w:rPr>
              <w:t>B.</w:t>
            </w:r>
          </w:p>
        </w:tc>
        <w:tc>
          <w:tcPr>
            <w:tcW w:w="9624" w:type="dxa"/>
            <w:tcBorders/>
            <w:vAlign w:val="center"/>
          </w:tcPr>
          <w:p>
            <w:pPr>
              <w:pStyle w:val="TableContents"/>
              <w:bidi w:val="0"/>
              <w:spacing w:before="0" w:after="283"/>
              <w:jc w:val="left"/>
              <w:rPr/>
            </w:pPr>
            <w:r>
              <w:rPr/>
              <w:t>Responding to all inquiries relating to this Policy.</w:t>
            </w:r>
          </w:p>
        </w:tc>
      </w:tr>
    </w:tbl>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b/>
              </w:rPr>
            </w:pPr>
            <w:r>
              <w:rPr>
                <w:b/>
              </w:rPr>
              <w:t>C.</w:t>
            </w:r>
          </w:p>
        </w:tc>
        <w:tc>
          <w:tcPr>
            <w:tcW w:w="9908" w:type="dxa"/>
            <w:tcBorders/>
            <w:vAlign w:val="center"/>
          </w:tcPr>
          <w:p>
            <w:pPr>
              <w:pStyle w:val="TableContents"/>
              <w:bidi w:val="0"/>
              <w:spacing w:before="0" w:after="283"/>
              <w:jc w:val="left"/>
              <w:rPr/>
            </w:pPr>
            <w:r>
              <w:rPr/>
              <w:t>Reviewing and either approving or denying all proposed trades by Section 16 Individuals in accordance with the procedures set forth in Section V.C.1 above.</w:t>
            </w:r>
          </w:p>
        </w:tc>
      </w:tr>
    </w:tbl>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b/>
              </w:rPr>
            </w:pPr>
            <w:r>
              <w:rPr>
                <w:b/>
              </w:rPr>
              <w:t>D.</w:t>
            </w:r>
          </w:p>
        </w:tc>
        <w:tc>
          <w:tcPr>
            <w:tcW w:w="9908" w:type="dxa"/>
            <w:tcBorders/>
            <w:vAlign w:val="center"/>
          </w:tcPr>
          <w:p>
            <w:pPr>
              <w:pStyle w:val="TableContents"/>
              <w:bidi w:val="0"/>
              <w:spacing w:before="0" w:after="283"/>
              <w:jc w:val="left"/>
              <w:rPr/>
            </w:pPr>
            <w:r>
              <w:rPr/>
              <w:t>After discussing with the Chief Executive Officer or the Chief Financial Officer, designating and announcing special trading blackout periods during which certain Insiders may not trade in Company securities.</w:t>
            </w:r>
          </w:p>
        </w:tc>
      </w:tr>
    </w:tbl>
    <w:tbl>
      <w:tblPr>
        <w:tblW w:w="5000" w:type="pct"/>
        <w:jc w:val="left"/>
        <w:tblInd w:w="0" w:type="dxa"/>
        <w:tblLayout w:type="fixed"/>
        <w:tblCellMar>
          <w:top w:w="0" w:type="dxa"/>
          <w:left w:w="0" w:type="dxa"/>
          <w:bottom w:w="0" w:type="dxa"/>
          <w:right w:w="0" w:type="dxa"/>
        </w:tblCellMar>
      </w:tblPr>
      <w:tblGrid>
        <w:gridCol w:w="48"/>
        <w:gridCol w:w="311"/>
        <w:gridCol w:w="9846"/>
      </w:tblGrid>
      <w:tr>
        <w:trPr/>
        <w:tc>
          <w:tcPr>
            <w:tcW w:w="4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b/>
              </w:rPr>
            </w:pPr>
            <w:r>
              <w:rPr>
                <w:b/>
              </w:rPr>
              <w:t>E.</w:t>
            </w:r>
          </w:p>
        </w:tc>
        <w:tc>
          <w:tcPr>
            <w:tcW w:w="9846" w:type="dxa"/>
            <w:tcBorders/>
            <w:vAlign w:val="center"/>
          </w:tcPr>
          <w:p>
            <w:pPr>
              <w:pStyle w:val="TableContents"/>
              <w:bidi w:val="0"/>
              <w:spacing w:before="0" w:after="283"/>
              <w:jc w:val="left"/>
              <w:rPr/>
            </w:pPr>
            <w:r>
              <w:rPr/>
              <w:t>Providing copies of this Policy and other appropriate materials to all new Insiders.</w:t>
            </w:r>
          </w:p>
        </w:tc>
      </w:tr>
    </w:tbl>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b/>
              </w:rPr>
            </w:pPr>
            <w:r>
              <w:rPr>
                <w:b/>
              </w:rPr>
              <w:t>F.</w:t>
            </w:r>
          </w:p>
        </w:tc>
        <w:tc>
          <w:tcPr>
            <w:tcW w:w="9938" w:type="dxa"/>
            <w:tcBorders/>
            <w:vAlign w:val="center"/>
          </w:tcPr>
          <w:p>
            <w:pPr>
              <w:pStyle w:val="TableContents"/>
              <w:bidi w:val="0"/>
              <w:spacing w:before="0" w:after="283"/>
              <w:jc w:val="left"/>
              <w:rPr/>
            </w:pPr>
            <w:r>
              <w:rPr/>
              <w:t>Administering, monitoring and enforcing compliance with all federal and state insider trading laws and regulations.</w:t>
            </w:r>
          </w:p>
        </w:tc>
      </w:tr>
    </w:tbl>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19</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b/>
              </w:rPr>
            </w:pPr>
            <w:r>
              <w:rPr>
                <w:b/>
              </w:rPr>
              <w:t>G.</w:t>
            </w:r>
          </w:p>
        </w:tc>
        <w:tc>
          <w:tcPr>
            <w:tcW w:w="9908" w:type="dxa"/>
            <w:tcBorders/>
            <w:vAlign w:val="center"/>
          </w:tcPr>
          <w:p>
            <w:pPr>
              <w:pStyle w:val="TableContents"/>
              <w:bidi w:val="0"/>
              <w:spacing w:before="0" w:after="283"/>
              <w:jc w:val="left"/>
              <w:rPr/>
            </w:pPr>
            <w:r>
              <w:rPr/>
              <w:t>Assisting in the preparation and filing of all required SEC reports relating to insider trading in Company securities.</w:t>
            </w:r>
          </w:p>
        </w:tc>
      </w:tr>
    </w:tbl>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b/>
              </w:rPr>
            </w:pPr>
            <w:r>
              <w:rPr>
                <w:b/>
              </w:rPr>
              <w:t>H.</w:t>
            </w:r>
          </w:p>
        </w:tc>
        <w:tc>
          <w:tcPr>
            <w:tcW w:w="9908" w:type="dxa"/>
            <w:tcBorders/>
            <w:vAlign w:val="center"/>
          </w:tcPr>
          <w:p>
            <w:pPr>
              <w:pStyle w:val="TableContents"/>
              <w:bidi w:val="0"/>
              <w:spacing w:before="0" w:after="283"/>
              <w:jc w:val="left"/>
              <w:rPr/>
            </w:pPr>
            <w:r>
              <w:rPr/>
              <w:t>Revising the Policy as necessary to reflect changes in federal or state insider trading laws and regulations, or as otherwise deemed necessary or appropriate.</w:t>
            </w:r>
          </w:p>
        </w:tc>
      </w:tr>
    </w:tbl>
    <w:p>
      <w:pPr>
        <w:pStyle w:val="TextBody"/>
        <w:bidi w:val="0"/>
        <w:spacing w:before="0" w:after="0"/>
        <w:ind w:left="839" w:right="456"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General Counsel may designate one or more individuals who may perform the General Counsel’s duties in the event that the General Counsel is unable or unavailable to perform such duties.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9"/>
        <w:gridCol w:w="1081"/>
        <w:gridCol w:w="9025"/>
      </w:tblGrid>
      <w:tr>
        <w:trPr/>
        <w:tc>
          <w:tcPr>
            <w:tcW w:w="9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VII.</w:t>
            </w:r>
          </w:p>
        </w:tc>
        <w:tc>
          <w:tcPr>
            <w:tcW w:w="9025" w:type="dxa"/>
            <w:tcBorders/>
            <w:vAlign w:val="center"/>
          </w:tcPr>
          <w:p>
            <w:pPr>
              <w:pStyle w:val="TableContents"/>
              <w:bidi w:val="0"/>
              <w:spacing w:before="0" w:after="283"/>
              <w:jc w:val="left"/>
              <w:rPr/>
            </w:pPr>
            <w:r>
              <w:rPr/>
              <w:t>RULE 10b5-1 TRADING PLANS</w:t>
            </w:r>
          </w:p>
        </w:tc>
      </w:tr>
    </w:tbl>
    <w:tbl>
      <w:tblPr>
        <w:tblW w:w="5000" w:type="pct"/>
        <w:jc w:val="left"/>
        <w:tblInd w:w="0" w:type="dxa"/>
        <w:tblLayout w:type="fixed"/>
        <w:tblCellMar>
          <w:top w:w="0" w:type="dxa"/>
          <w:left w:w="0" w:type="dxa"/>
          <w:bottom w:w="0" w:type="dxa"/>
          <w:right w:w="0" w:type="dxa"/>
        </w:tblCellMar>
      </w:tblPr>
      <w:tblGrid>
        <w:gridCol w:w="155"/>
        <w:gridCol w:w="1064"/>
        <w:gridCol w:w="8986"/>
      </w:tblGrid>
      <w:tr>
        <w:trPr/>
        <w:tc>
          <w:tcPr>
            <w:tcW w:w="155"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b/>
              </w:rPr>
            </w:pPr>
            <w:r>
              <w:rPr>
                <w:b/>
              </w:rPr>
              <w:t>A.</w:t>
            </w:r>
          </w:p>
        </w:tc>
        <w:tc>
          <w:tcPr>
            <w:tcW w:w="8986" w:type="dxa"/>
            <w:tcBorders/>
            <w:vAlign w:val="center"/>
          </w:tcPr>
          <w:p>
            <w:pPr>
              <w:pStyle w:val="TableContents"/>
              <w:bidi w:val="0"/>
              <w:spacing w:before="0" w:after="283"/>
              <w:jc w:val="left"/>
              <w:rPr>
                <w:b/>
              </w:rPr>
            </w:pPr>
            <w:r>
              <w:rPr>
                <w:b/>
              </w:rPr>
              <w:t>General Information.</w:t>
            </w:r>
          </w:p>
        </w:tc>
      </w:tr>
    </w:tbl>
    <w:p>
      <w:pPr>
        <w:pStyle w:val="TextBody"/>
        <w:bidi w:val="0"/>
        <w:spacing w:before="0" w:after="0"/>
        <w:ind w:left="1559" w:right="116"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Rule 10b5-1 of the Securities Exchange Act of 1934, an individual has an affirmative defense against an allegation of insider trading if he or she demonstrates that the purchase, sale or trade in question took place pursuant to a binding contract, specific instruction or written plan that was put into place before he or she became aware of material nonpublic information. Such contracts, irrevocable instructions and plans are commonly referred to as Rule 10b5-1 plans.</w:t>
      </w:r>
    </w:p>
    <w:p>
      <w:pPr>
        <w:pStyle w:val="TextBody"/>
        <w:bidi w:val="0"/>
        <w:spacing w:before="0" w:after="0"/>
        <w:ind w:left="1559" w:right="22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 10b5-1 plans have the obvious advantage of protecting against insider trading liability. However, they also require advance commitments regarding the amounts, prices and timing of purchases or sales of Company securities and thus limit flexibility and discretion. In addition, once a Rule 10b5-1 plan has been adopted, it is generally not permissible to amend or modify such plan.</w:t>
      </w:r>
    </w:p>
    <w:p>
      <w:pPr>
        <w:pStyle w:val="TextBody"/>
        <w:bidi w:val="0"/>
        <w:spacing w:before="0" w:after="0"/>
        <w:ind w:left="1560" w:right="22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while some individuals may find Rule 10b5-1 plans attractive, they may not be suitable for all Insiders.</w:t>
      </w:r>
    </w:p>
    <w:p>
      <w:pPr>
        <w:pStyle w:val="TextBody"/>
        <w:bidi w:val="0"/>
        <w:spacing w:before="0" w:after="0"/>
        <w:ind w:left="228" w:right="228"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4"/>
        <w:gridCol w:w="997"/>
        <w:gridCol w:w="9054"/>
      </w:tblGrid>
      <w:tr>
        <w:trPr/>
        <w:tc>
          <w:tcPr>
            <w:tcW w:w="154"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pPr>
            <w:r>
              <w:rPr/>
              <w:t>B.</w:t>
            </w:r>
          </w:p>
        </w:tc>
        <w:tc>
          <w:tcPr>
            <w:tcW w:w="9054" w:type="dxa"/>
            <w:tcBorders/>
            <w:vAlign w:val="center"/>
          </w:tcPr>
          <w:p>
            <w:pPr>
              <w:pStyle w:val="TableContents"/>
              <w:bidi w:val="0"/>
              <w:spacing w:before="0" w:after="283"/>
              <w:jc w:val="left"/>
              <w:rPr/>
            </w:pPr>
            <w:r>
              <w:rPr/>
              <w:t>Specific Requirements.</w:t>
            </w:r>
          </w:p>
        </w:tc>
      </w:tr>
    </w:tbl>
    <w:tbl>
      <w:tblPr>
        <w:tblW w:w="5000" w:type="pct"/>
        <w:jc w:val="left"/>
        <w:tblInd w:w="0" w:type="dxa"/>
        <w:tblLayout w:type="fixed"/>
        <w:tblCellMar>
          <w:top w:w="0" w:type="dxa"/>
          <w:left w:w="0" w:type="dxa"/>
          <w:bottom w:w="0" w:type="dxa"/>
          <w:right w:w="0" w:type="dxa"/>
        </w:tblCellMar>
      </w:tblPr>
      <w:tblGrid>
        <w:gridCol w:w="37"/>
        <w:gridCol w:w="152"/>
        <w:gridCol w:w="10016"/>
      </w:tblGrid>
      <w:tr>
        <w:trPr/>
        <w:tc>
          <w:tcPr>
            <w:tcW w:w="3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pPr>
            <w:r>
              <w:rPr/>
              <w:t>1.</w:t>
            </w:r>
          </w:p>
        </w:tc>
        <w:tc>
          <w:tcPr>
            <w:tcW w:w="10016" w:type="dxa"/>
            <w:tcBorders/>
            <w:vAlign w:val="center"/>
          </w:tcPr>
          <w:p>
            <w:pPr>
              <w:pStyle w:val="TableContents"/>
              <w:bidi w:val="0"/>
              <w:spacing w:before="0" w:after="283"/>
              <w:jc w:val="left"/>
              <w:rPr/>
            </w:pPr>
            <w:r>
              <w:rPr>
                <w:u w:val="single"/>
              </w:rPr>
              <w:t>Pre-Approval</w:t>
            </w:r>
            <w:r>
              <w:rPr/>
              <w:t>. For a Rule 10b5-1 plan to serve as an adequate defense against an allegation of insider trading, a number of legal requirements must be satisfied. Accordingly, anyone wishing to establish a Rule 10b5-1 plan must first receive approval from the General Counsel or his or her designee. Section 16 Individuals wanting to establish a Rule 10b5-1 plan must also satisfy the notification and certification requirements set forth in Section V.C.1 above.</w:t>
            </w:r>
          </w:p>
        </w:tc>
      </w:tr>
    </w:tbl>
    <w:tbl>
      <w:tblPr>
        <w:tblW w:w="5000" w:type="pct"/>
        <w:jc w:val="left"/>
        <w:tblInd w:w="0" w:type="dxa"/>
        <w:tblLayout w:type="fixed"/>
        <w:tblCellMar>
          <w:top w:w="0" w:type="dxa"/>
          <w:left w:w="0" w:type="dxa"/>
          <w:bottom w:w="0" w:type="dxa"/>
          <w:right w:w="0" w:type="dxa"/>
        </w:tblCellMar>
      </w:tblPr>
      <w:tblGrid>
        <w:gridCol w:w="37"/>
        <w:gridCol w:w="160"/>
        <w:gridCol w:w="10008"/>
      </w:tblGrid>
      <w:tr>
        <w:trPr/>
        <w:tc>
          <w:tcPr>
            <w:tcW w:w="3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pPr>
            <w:r>
              <w:rPr/>
              <w:t>2.</w:t>
            </w:r>
          </w:p>
        </w:tc>
        <w:tc>
          <w:tcPr>
            <w:tcW w:w="10008" w:type="dxa"/>
            <w:tcBorders/>
            <w:vAlign w:val="center"/>
          </w:tcPr>
          <w:p>
            <w:pPr>
              <w:pStyle w:val="TableContents"/>
              <w:bidi w:val="0"/>
              <w:spacing w:before="0" w:after="283"/>
              <w:jc w:val="left"/>
              <w:rPr/>
            </w:pPr>
            <w:r>
              <w:rPr>
                <w:u w:val="single"/>
              </w:rPr>
              <w:t>Material Nonpublic Information and Special Blackouts</w:t>
            </w:r>
            <w:r>
              <w:rPr/>
              <w:t>. An individual desiring to enter into a Rule 10b5-1 plan must enter into the plan at a time when he or she is not aware of any material nonpublic information about the Company or otherwise subject to a special trading blackout.</w:t>
            </w:r>
          </w:p>
        </w:tc>
      </w:tr>
    </w:tbl>
    <w:tbl>
      <w:tblPr>
        <w:tblW w:w="5000" w:type="pct"/>
        <w:jc w:val="left"/>
        <w:tblInd w:w="0" w:type="dxa"/>
        <w:tblLayout w:type="fixed"/>
        <w:tblCellMar>
          <w:top w:w="0" w:type="dxa"/>
          <w:left w:w="0" w:type="dxa"/>
          <w:bottom w:w="0" w:type="dxa"/>
          <w:right w:w="0" w:type="dxa"/>
        </w:tblCellMar>
      </w:tblPr>
      <w:tblGrid>
        <w:gridCol w:w="37"/>
        <w:gridCol w:w="181"/>
        <w:gridCol w:w="9987"/>
      </w:tblGrid>
      <w:tr>
        <w:trPr/>
        <w:tc>
          <w:tcPr>
            <w:tcW w:w="3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pPr>
            <w:r>
              <w:rPr/>
              <w:t>3.</w:t>
            </w:r>
          </w:p>
        </w:tc>
        <w:tc>
          <w:tcPr>
            <w:tcW w:w="9987" w:type="dxa"/>
            <w:tcBorders/>
            <w:vAlign w:val="center"/>
          </w:tcPr>
          <w:p>
            <w:pPr>
              <w:pStyle w:val="TableContents"/>
              <w:bidi w:val="0"/>
              <w:spacing w:before="0" w:after="283"/>
              <w:jc w:val="left"/>
              <w:rPr/>
            </w:pPr>
            <w:r>
              <w:rPr>
                <w:u w:val="single"/>
              </w:rPr>
              <w:t>Trading Window</w:t>
            </w:r>
            <w:r>
              <w:rPr/>
              <w:t>. Section 16 Individuals and Key Employees may only establish a Rule 10b5-1 plan when the Company’s trading window is open.</w:t>
            </w:r>
          </w:p>
        </w:tc>
      </w:tr>
    </w:tbl>
    <w:tbl>
      <w:tblPr>
        <w:tblW w:w="5000" w:type="pct"/>
        <w:jc w:val="left"/>
        <w:tblInd w:w="0" w:type="dxa"/>
        <w:tblLayout w:type="fixed"/>
        <w:tblCellMar>
          <w:top w:w="0" w:type="dxa"/>
          <w:left w:w="0" w:type="dxa"/>
          <w:bottom w:w="0" w:type="dxa"/>
          <w:right w:w="0" w:type="dxa"/>
        </w:tblCellMar>
      </w:tblPr>
      <w:tblGrid>
        <w:gridCol w:w="37"/>
        <w:gridCol w:w="165"/>
        <w:gridCol w:w="10003"/>
      </w:tblGrid>
      <w:tr>
        <w:trPr/>
        <w:tc>
          <w:tcPr>
            <w:tcW w:w="3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pPr>
            <w:r>
              <w:rPr/>
              <w:t>4.</w:t>
            </w:r>
          </w:p>
        </w:tc>
        <w:tc>
          <w:tcPr>
            <w:tcW w:w="10003" w:type="dxa"/>
            <w:tcBorders/>
            <w:vAlign w:val="center"/>
          </w:tcPr>
          <w:p>
            <w:pPr>
              <w:pStyle w:val="TableContents"/>
              <w:bidi w:val="0"/>
              <w:spacing w:before="0" w:after="283"/>
              <w:jc w:val="left"/>
              <w:rPr/>
            </w:pPr>
            <w:r>
              <w:rPr>
                <w:u w:val="single"/>
              </w:rPr>
              <w:t>30-Day Waiting Period</w:t>
            </w:r>
            <w:r>
              <w:rPr/>
              <w:t>. To avoid even the appearance of impropriety, the Company requires a waiting period of 30 days between the date the Rule 10b5-1 plan is adopted and the date of the first possible transaction under the plan.</w:t>
            </w:r>
          </w:p>
        </w:tc>
      </w:tr>
    </w:tbl>
    <w:p>
      <w:pPr>
        <w:pStyle w:val="TextBody"/>
        <w:bidi w:val="0"/>
        <w:spacing w:before="0" w:after="0"/>
        <w:ind w:left="2250" w:right="147"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8 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19</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54"/>
        <w:gridCol w:w="700"/>
        <w:gridCol w:w="9451"/>
      </w:tblGrid>
      <w:tr>
        <w:trPr/>
        <w:tc>
          <w:tcPr>
            <w:tcW w:w="54"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pPr>
            <w:r>
              <w:rPr/>
              <w:t>VIII.</w:t>
            </w:r>
          </w:p>
        </w:tc>
        <w:tc>
          <w:tcPr>
            <w:tcW w:w="9451" w:type="dxa"/>
            <w:tcBorders/>
            <w:vAlign w:val="center"/>
          </w:tcPr>
          <w:p>
            <w:pPr>
              <w:pStyle w:val="TableContents"/>
              <w:bidi w:val="0"/>
              <w:spacing w:before="0" w:after="283"/>
              <w:jc w:val="left"/>
              <w:rPr/>
            </w:pPr>
            <w:r>
              <w:rPr/>
              <w:t>POTENTIAL PENALTIES AND DISCIPLINARY SANCTIONS</w:t>
            </w:r>
          </w:p>
        </w:tc>
      </w:tr>
    </w:tbl>
    <w:tbl>
      <w:tblPr>
        <w:tblW w:w="5000" w:type="pct"/>
        <w:jc w:val="left"/>
        <w:tblInd w:w="0" w:type="dxa"/>
        <w:tblLayout w:type="fixed"/>
        <w:tblCellMar>
          <w:top w:w="0" w:type="dxa"/>
          <w:left w:w="0" w:type="dxa"/>
          <w:bottom w:w="0" w:type="dxa"/>
          <w:right w:w="0" w:type="dxa"/>
        </w:tblCellMar>
      </w:tblPr>
      <w:tblGrid>
        <w:gridCol w:w="118"/>
        <w:gridCol w:w="815"/>
        <w:gridCol w:w="9272"/>
      </w:tblGrid>
      <w:tr>
        <w:trPr/>
        <w:tc>
          <w:tcPr>
            <w:tcW w:w="118"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b/>
              </w:rPr>
            </w:pPr>
            <w:r>
              <w:rPr>
                <w:b/>
              </w:rPr>
              <w:t>A.</w:t>
            </w:r>
          </w:p>
        </w:tc>
        <w:tc>
          <w:tcPr>
            <w:tcW w:w="9272" w:type="dxa"/>
            <w:tcBorders/>
            <w:vAlign w:val="center"/>
          </w:tcPr>
          <w:p>
            <w:pPr>
              <w:pStyle w:val="TableContents"/>
              <w:bidi w:val="0"/>
              <w:spacing w:before="0" w:after="283"/>
              <w:jc w:val="left"/>
              <w:rPr>
                <w:b/>
              </w:rPr>
            </w:pPr>
            <w:r>
              <w:rPr>
                <w:b/>
              </w:rPr>
              <w:t>Civil and Criminal Penalties.</w:t>
            </w:r>
          </w:p>
        </w:tc>
      </w:tr>
    </w:tbl>
    <w:p>
      <w:pPr>
        <w:pStyle w:val="TextBody"/>
        <w:bidi w:val="0"/>
        <w:spacing w:before="0" w:after="0"/>
        <w:ind w:left="1559" w:right="22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consequences of prohibited insider trading or tipping can be severe. Persons violating insider trading or tipping rules may be required to disgorge the profit made or the loss avoided by the trading, pay the loss suffered by the person who purchased securities from or sold securities to the Insider or the recipient of the tip, pay significant civil and/or criminal penalties, and serve a lengthy jail term. The Company in such circumstances may also be required to pay major civil or criminal penalties.</w:t>
      </w:r>
    </w:p>
    <w:tbl>
      <w:tblPr>
        <w:tblW w:w="5000" w:type="pct"/>
        <w:jc w:val="left"/>
        <w:tblInd w:w="0" w:type="dxa"/>
        <w:tblLayout w:type="fixed"/>
        <w:tblCellMar>
          <w:top w:w="0" w:type="dxa"/>
          <w:left w:w="0" w:type="dxa"/>
          <w:bottom w:w="0" w:type="dxa"/>
          <w:right w:w="0" w:type="dxa"/>
        </w:tblCellMar>
      </w:tblPr>
      <w:tblGrid>
        <w:gridCol w:w="166"/>
        <w:gridCol w:w="1074"/>
        <w:gridCol w:w="8965"/>
      </w:tblGrid>
      <w:tr>
        <w:trPr/>
        <w:tc>
          <w:tcPr>
            <w:tcW w:w="166"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pPr>
            <w:r>
              <w:rPr/>
              <w:t>B.</w:t>
            </w:r>
          </w:p>
        </w:tc>
        <w:tc>
          <w:tcPr>
            <w:tcW w:w="8965" w:type="dxa"/>
            <w:tcBorders/>
            <w:vAlign w:val="center"/>
          </w:tcPr>
          <w:p>
            <w:pPr>
              <w:pStyle w:val="TableContents"/>
              <w:bidi w:val="0"/>
              <w:spacing w:before="0" w:after="283"/>
              <w:jc w:val="left"/>
              <w:rPr/>
            </w:pPr>
            <w:r>
              <w:rPr/>
              <w:t>Company Discipline.</w:t>
            </w:r>
          </w:p>
        </w:tc>
      </w:tr>
    </w:tbl>
    <w:p>
      <w:pPr>
        <w:pStyle w:val="TextBody"/>
        <w:bidi w:val="0"/>
        <w:spacing w:before="0" w:after="0"/>
        <w:ind w:left="1560" w:right="1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Violation of this Policy or federal or state insider trading or tipping laws by any Insider may, in the case of a director, subject the director to dismissal proceedings and, in the case of an officer or employee, subject the officer or employee to disciplinary action by the Company up to and including termination for cause.</w:t>
      </w:r>
    </w:p>
    <w:tbl>
      <w:tblPr>
        <w:tblW w:w="5000" w:type="pct"/>
        <w:jc w:val="left"/>
        <w:tblInd w:w="0" w:type="dxa"/>
        <w:tblLayout w:type="fixed"/>
        <w:tblCellMar>
          <w:top w:w="0" w:type="dxa"/>
          <w:left w:w="0" w:type="dxa"/>
          <w:bottom w:w="0" w:type="dxa"/>
          <w:right w:w="0" w:type="dxa"/>
        </w:tblCellMar>
      </w:tblPr>
      <w:tblGrid>
        <w:gridCol w:w="148"/>
        <w:gridCol w:w="957"/>
        <w:gridCol w:w="9100"/>
      </w:tblGrid>
      <w:tr>
        <w:trPr/>
        <w:tc>
          <w:tcPr>
            <w:tcW w:w="148"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pPr>
            <w:r>
              <w:rPr/>
              <w:t>C.</w:t>
            </w:r>
          </w:p>
        </w:tc>
        <w:tc>
          <w:tcPr>
            <w:tcW w:w="9100" w:type="dxa"/>
            <w:tcBorders/>
            <w:vAlign w:val="center"/>
          </w:tcPr>
          <w:p>
            <w:pPr>
              <w:pStyle w:val="TableContents"/>
              <w:bidi w:val="0"/>
              <w:spacing w:before="0" w:after="283"/>
              <w:jc w:val="left"/>
              <w:rPr/>
            </w:pPr>
            <w:r>
              <w:rPr/>
              <w:t>Reporting of Violations.</w:t>
            </w:r>
          </w:p>
        </w:tc>
      </w:tr>
    </w:tbl>
    <w:p>
      <w:pPr>
        <w:pStyle w:val="TextBody"/>
        <w:bidi w:val="0"/>
        <w:spacing w:before="0" w:after="0"/>
        <w:ind w:left="1559" w:right="107"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Insider who violates this Policy or any federal or state law governing insider trading or tipping, or knows of any such violation by any other Insider, must report the violation immediately to the General Counsel. Upon determining that any such violation has occurred, the General Counsel, in consultation with the Company’s Disclosure Committee and, where appropriate, the Chair of the Audit Committee of the Board, will determine whether the Company should release any material nonpublic information, and, when required by applicable law, shall cause the Company to report the violation to the SEC or other appropriate governmental authority.</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8"/>
        <w:gridCol w:w="1396"/>
        <w:gridCol w:w="8651"/>
      </w:tblGrid>
      <w:tr>
        <w:trPr/>
        <w:tc>
          <w:tcPr>
            <w:tcW w:w="158"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pPr>
            <w:r>
              <w:rPr/>
              <w:t>IX.</w:t>
            </w:r>
          </w:p>
        </w:tc>
        <w:tc>
          <w:tcPr>
            <w:tcW w:w="8651" w:type="dxa"/>
            <w:tcBorders/>
            <w:vAlign w:val="center"/>
          </w:tcPr>
          <w:p>
            <w:pPr>
              <w:pStyle w:val="TableContents"/>
              <w:bidi w:val="0"/>
              <w:spacing w:before="0" w:after="283"/>
              <w:jc w:val="left"/>
              <w:rPr/>
            </w:pPr>
            <w:r>
              <w:rPr/>
              <w:t>MISCELLANEOUS</w:t>
            </w:r>
          </w:p>
        </w:tc>
      </w:tr>
    </w:tbl>
    <w:p>
      <w:pPr>
        <w:pStyle w:val="TextBody"/>
        <w:bidi w:val="0"/>
        <w:spacing w:before="0" w:after="0"/>
        <w:ind w:left="839" w:right="83"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Policy will be delivered to all directors, officers, employees and designated outsiders upon its adoption by the Company and to all new directors, officers, employees and designated outsiders at the start of their employment or relationship with the Company.</w:t>
      </w:r>
    </w:p>
    <w:p>
      <w:pPr>
        <w:pStyle w:val="TextBody"/>
        <w:bidi w:val="0"/>
        <w:spacing w:before="0" w:after="0"/>
        <w:ind w:left="839" w:right="96"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first receiving a copy of this Policy or any revised versions, each Section 16 Individual and Key Employee must sign an acknowledgment that he or she has received a copy of this Policy and agrees to comply with its terms.</w:t>
      </w:r>
    </w:p>
    <w:p>
      <w:pPr>
        <w:pStyle w:val="TextBody"/>
        <w:bidi w:val="0"/>
        <w:spacing w:before="0" w:after="0"/>
        <w:ind w:left="96" w:right="96" w:hanging="0"/>
        <w:jc w:val="left"/>
        <w:rPr>
          <w:caps w:val="false"/>
          <w:smallCaps w:val="false"/>
        </w:rPr>
      </w:pPr>
      <w:r>
        <w:rPr>
          <w:caps w:val="false"/>
          <w:smallCaps w:val="false"/>
        </w:rPr>
        <w:t> </w:t>
      </w:r>
    </w:p>
    <w:p>
      <w:pPr>
        <w:pStyle w:val="TextBody"/>
        <w:bidi w:val="0"/>
        <w:spacing w:before="0" w:after="0"/>
        <w:ind w:left="96" w:right="96" w:hanging="0"/>
        <w:jc w:val="left"/>
        <w:rPr>
          <w:caps w:val="false"/>
          <w:smallCaps w:val="false"/>
        </w:rPr>
      </w:pPr>
      <w:r>
        <w:rPr>
          <w:caps w:val="false"/>
          <w:smallCaps w:val="false"/>
        </w:rPr>
        <w:t> </w:t>
      </w:r>
    </w:p>
    <w:p>
      <w:pPr>
        <w:pStyle w:val="TextBody"/>
        <w:bidi w:val="0"/>
        <w:spacing w:before="0" w:after="0"/>
        <w:ind w:left="96" w:right="96"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Re-Approved: December 15, 2020</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9 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19</w:t>
      </w:r>
    </w:p>
    <w:p>
      <w:pPr>
        <w:pStyle w:val="TextBody"/>
        <w:bidi w:val="0"/>
        <w:spacing w:before="0" w:after="0"/>
        <w:ind w:left="0" w:right="0" w:hanging="0"/>
        <w:jc w:val="left"/>
        <w:rPr/>
      </w:pPr>
      <w:r>
        <w:rPr/>
        <w:t> </w:t>
      </w:r>
    </w:p>
    <w:p>
      <w:pPr>
        <w:pStyle w:val="TextBody"/>
        <w:bidi w:val="0"/>
        <w:spacing w:before="0" w:after="0"/>
        <w:ind w:left="2340" w:right="234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Receipt and Acknowledgment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0" w:right="136"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first receiving a copy of The Middlesex Water Company Insider Trading Policy or any revised version thereof, each member of the Board of Directors, each officer designated under the Policy as a “Section 16 Individual” and each individual meeting the definition of “Key Employee” must sign and return to the Office of the General Counsel the following receipt and acknowledgement.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19" w:right="142"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hereby acknowledge that I have received and read a copy of The Middlesex Water Company Insider Trading Policy and agree to comply with its terms. I understand that violation of insider trading or tipping laws or regulations may subject me to severe civil and/or criminal penalties, and that violation of the terms of the above-titled policy may subject me to discipline by the Company up to and including termination for cause.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810" w:type="dxa"/>
        <w:jc w:val="left"/>
        <w:tblInd w:w="0" w:type="dxa"/>
        <w:tblLayout w:type="fixed"/>
        <w:tblCellMar>
          <w:top w:w="0" w:type="dxa"/>
          <w:left w:w="0" w:type="dxa"/>
          <w:bottom w:w="28" w:type="dxa"/>
          <w:right w:w="0" w:type="dxa"/>
        </w:tblCellMar>
      </w:tblPr>
      <w:tblGrid>
        <w:gridCol w:w="1265"/>
        <w:gridCol w:w="60"/>
        <w:gridCol w:w="485"/>
      </w:tblGrid>
      <w:tr>
        <w:trPr/>
        <w:tc>
          <w:tcPr>
            <w:tcW w:w="126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5" w:type="dxa"/>
            <w:tcBorders>
              <w:bottom w:val="single" w:sz="8" w:space="0" w:color="000000"/>
            </w:tcBorders>
            <w:vAlign w:val="center"/>
          </w:tcPr>
          <w:p>
            <w:pPr>
              <w:pStyle w:val="TableContents"/>
              <w:bidi w:val="0"/>
              <w:spacing w:before="0" w:after="283"/>
              <w:jc w:val="left"/>
              <w:rPr/>
            </w:pPr>
            <w:r>
              <w:rPr/>
              <w:t> </w:t>
            </w:r>
          </w:p>
        </w:tc>
      </w:tr>
      <w:tr>
        <w:trPr/>
        <w:tc>
          <w:tcPr>
            <w:tcW w:w="1265" w:type="dxa"/>
            <w:tcBorders/>
            <w:tcMar>
              <w:bottom w:w="0" w:type="dxa"/>
            </w:tcMar>
            <w:vAlign w:val="center"/>
          </w:tcPr>
          <w:p>
            <w:pPr>
              <w:pStyle w:val="TableContents"/>
              <w:bidi w:val="0"/>
              <w:spacing w:before="0" w:after="283"/>
              <w:jc w:val="left"/>
              <w:rPr/>
            </w:pPr>
            <w:r>
              <w:rPr/>
              <w:t>Signature</w:t>
            </w:r>
          </w:p>
        </w:tc>
        <w:tc>
          <w:tcPr>
            <w:tcW w:w="60" w:type="dxa"/>
            <w:tcBorders/>
            <w:tcMar>
              <w:bottom w:w="0" w:type="dxa"/>
            </w:tcMar>
            <w:vAlign w:val="center"/>
          </w:tcPr>
          <w:p>
            <w:pPr>
              <w:pStyle w:val="TableContents"/>
              <w:bidi w:val="0"/>
              <w:spacing w:before="0" w:after="283"/>
              <w:jc w:val="left"/>
              <w:rPr/>
            </w:pPr>
            <w:r>
              <w:rPr/>
              <w:t> </w:t>
            </w:r>
          </w:p>
        </w:tc>
        <w:tc>
          <w:tcPr>
            <w:tcW w:w="485" w:type="dxa"/>
            <w:tcBorders/>
            <w:tcMar>
              <w:bottom w:w="0" w:type="dxa"/>
            </w:tcMar>
            <w:vAlign w:val="center"/>
          </w:tcPr>
          <w:p>
            <w:pPr>
              <w:pStyle w:val="TableContents"/>
              <w:bidi w:val="0"/>
              <w:spacing w:before="0" w:after="283"/>
              <w:jc w:val="left"/>
              <w:rPr/>
            </w:pPr>
            <w:r>
              <w:rPr/>
              <w:t>Date</w:t>
            </w:r>
          </w:p>
        </w:tc>
      </w:tr>
      <w:tr>
        <w:trPr/>
        <w:tc>
          <w:tcPr>
            <w:tcW w:w="12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5" w:type="dxa"/>
            <w:tcBorders/>
            <w:tcMar>
              <w:bottom w:w="0" w:type="dxa"/>
            </w:tcMar>
            <w:vAlign w:val="center"/>
          </w:tcPr>
          <w:p>
            <w:pPr>
              <w:pStyle w:val="TableContents"/>
              <w:bidi w:val="0"/>
              <w:spacing w:before="0" w:after="283"/>
              <w:jc w:val="left"/>
              <w:rPr/>
            </w:pPr>
            <w:r>
              <w:rPr/>
              <w:t> </w:t>
            </w:r>
          </w:p>
        </w:tc>
      </w:tr>
      <w:tr>
        <w:trPr/>
        <w:tc>
          <w:tcPr>
            <w:tcW w:w="12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5" w:type="dxa"/>
            <w:tcBorders/>
            <w:tcMar>
              <w:bottom w:w="0" w:type="dxa"/>
            </w:tcMar>
            <w:vAlign w:val="center"/>
          </w:tcPr>
          <w:p>
            <w:pPr>
              <w:pStyle w:val="TableContents"/>
              <w:bidi w:val="0"/>
              <w:spacing w:before="0" w:after="283"/>
              <w:jc w:val="left"/>
              <w:rPr/>
            </w:pPr>
            <w:r>
              <w:rPr/>
              <w:t> </w:t>
            </w:r>
          </w:p>
        </w:tc>
      </w:tr>
      <w:tr>
        <w:trPr/>
        <w:tc>
          <w:tcPr>
            <w:tcW w:w="1265" w:type="dxa"/>
            <w:tcBorders/>
            <w:tcMar>
              <w:bottom w:w="0" w:type="dxa"/>
            </w:tcMar>
            <w:vAlign w:val="center"/>
          </w:tcPr>
          <w:p>
            <w:pPr>
              <w:pStyle w:val="TableContents"/>
              <w:pBdr>
                <w:bottom w:val="single" w:sz="8" w:space="1" w:color="000000"/>
              </w:pBdr>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5" w:type="dxa"/>
            <w:tcBorders/>
            <w:tcMar>
              <w:bottom w:w="0" w:type="dxa"/>
            </w:tcMar>
            <w:vAlign w:val="center"/>
          </w:tcPr>
          <w:p>
            <w:pPr>
              <w:pStyle w:val="TableContents"/>
              <w:bidi w:val="0"/>
              <w:spacing w:before="0" w:after="283"/>
              <w:jc w:val="left"/>
              <w:rPr/>
            </w:pPr>
            <w:r>
              <w:rPr/>
              <w:t> </w:t>
            </w:r>
          </w:p>
        </w:tc>
      </w:tr>
      <w:tr>
        <w:trPr/>
        <w:tc>
          <w:tcPr>
            <w:tcW w:w="1265" w:type="dxa"/>
            <w:tcBorders/>
            <w:tcMar>
              <w:bottom w:w="0" w:type="dxa"/>
            </w:tcMar>
            <w:vAlign w:val="center"/>
          </w:tcPr>
          <w:p>
            <w:pPr>
              <w:pStyle w:val="TableContents"/>
              <w:bidi w:val="0"/>
              <w:spacing w:before="0" w:after="283"/>
              <w:jc w:val="left"/>
              <w:rPr/>
            </w:pPr>
            <w:r>
              <w:rPr/>
              <w:t>(Print Name)</w:t>
            </w:r>
          </w:p>
        </w:tc>
        <w:tc>
          <w:tcPr>
            <w:tcW w:w="60" w:type="dxa"/>
            <w:tcBorders/>
            <w:tcMar>
              <w:bottom w:w="0" w:type="dxa"/>
            </w:tcMar>
            <w:vAlign w:val="center"/>
          </w:tcPr>
          <w:p>
            <w:pPr>
              <w:pStyle w:val="TableContents"/>
              <w:bidi w:val="0"/>
              <w:spacing w:before="0" w:after="283"/>
              <w:jc w:val="left"/>
              <w:rPr/>
            </w:pPr>
            <w:r>
              <w:rPr/>
              <w:t> </w:t>
            </w:r>
          </w:p>
        </w:tc>
        <w:tc>
          <w:tcPr>
            <w:tcW w:w="48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119" w:right="0" w:hanging="0"/>
        <w:jc w:val="left"/>
        <w:rPr>
          <w:caps w:val="false"/>
          <w:smallCaps w:val="false"/>
        </w:rPr>
      </w:pPr>
      <w:r>
        <w:rPr>
          <w:caps w:val="false"/>
          <w:smallCaps w:val="false"/>
        </w:rPr>
        <w:t> </w:t>
      </w:r>
    </w:p>
    <w:p>
      <w:pPr>
        <w:pStyle w:val="TextBody"/>
        <w:bidi w:val="0"/>
        <w:spacing w:before="0" w:after="0"/>
        <w:ind w:left="119"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10 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19</w:t>
      </w:r>
    </w:p>
    <w:p>
      <w:pPr>
        <w:pStyle w:val="TextBody"/>
        <w:bidi w:val="0"/>
        <w:spacing w:before="0" w:after="0"/>
        <w:ind w:left="0" w:right="0" w:hanging="0"/>
        <w:jc w:val="left"/>
        <w:rPr/>
      </w:pPr>
      <w:r>
        <w:rPr/>
        <w:t> </w:t>
      </w:r>
    </w:p>
    <w:p>
      <w:pPr>
        <w:pStyle w:val="TextBody"/>
        <w:bidi w:val="0"/>
        <w:spacing w:before="0" w:after="0"/>
        <w:ind w:left="2340" w:right="234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w:t>
      </w:r>
    </w:p>
    <w:p>
      <w:pPr>
        <w:pStyle w:val="TextBody"/>
        <w:bidi w:val="0"/>
        <w:spacing w:before="0" w:after="0"/>
        <w:ind w:left="2340" w:right="2340" w:hanging="0"/>
        <w:jc w:val="center"/>
        <w:rPr>
          <w:caps w:val="false"/>
          <w:smallCaps w:val="false"/>
        </w:rPr>
      </w:pPr>
      <w:r>
        <w:rPr>
          <w:caps w:val="false"/>
          <w:smallCaps w:val="false"/>
        </w:rPr>
        <w:t> </w:t>
      </w:r>
    </w:p>
    <w:p>
      <w:pPr>
        <w:pStyle w:val="TextBody"/>
        <w:bidi w:val="0"/>
        <w:spacing w:before="0" w:after="0"/>
        <w:ind w:left="2347" w:right="2347"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MIDDLESEX WATER COMPANY</w:t>
      </w:r>
    </w:p>
    <w:p>
      <w:pPr>
        <w:pStyle w:val="TextBody"/>
        <w:bidi w:val="0"/>
        <w:spacing w:before="0" w:after="0"/>
        <w:ind w:left="2347" w:right="2347"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INSIDER TRADING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340" w:right="2341"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Notice and Certification for Section 16 Individuals </w:t>
      </w:r>
      <w:r>
        <w:rPr>
          <w:rFonts w:ascii="Times New Roman;Times;Serif" w:hAnsi="Times New Roman;Times;Serif"/>
          <w:b w:val="false"/>
          <w:i w:val="false"/>
          <w:caps w:val="false"/>
          <w:smallCaps w:val="false"/>
          <w:position w:val="7"/>
          <w:sz w:val="16"/>
          <w:sz w:val="20"/>
          <w:u w:val="single"/>
        </w:rPr>
        <w:t>2</w:t>
      </w:r>
      <w:r>
        <w:rPr>
          <w:rFonts w:ascii="Times New Roman;Times;Serif" w:hAnsi="Times New Roman;Times;Serif"/>
          <w:b w:val="false"/>
          <w:i w:val="false"/>
          <w:caps w:val="false"/>
          <w:smallCaps w:val="false"/>
          <w:sz w:val="20"/>
          <w:u w:val="single"/>
        </w:rPr>
        <w:t xml:space="preserve"> and Other Key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General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0" w:right="136"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hereby notify you of my intent to trade in securities of The Middlesex Water Company (the “Company”). The amount and nature of the proposed trade is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0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Sell in the open market _______ shares of Company Common Stock currently held at ___________ (example: Fidelity; another broker; in certificated form);</w:t>
      </w:r>
    </w:p>
    <w:p>
      <w:pPr>
        <w:pStyle w:val="TextBody"/>
        <w:bidi w:val="0"/>
        <w:spacing w:before="0" w:after="0"/>
        <w:ind w:left="120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Purchase in the open market_______shares of Company Common Stock;</w:t>
      </w:r>
    </w:p>
    <w:p>
      <w:pPr>
        <w:pStyle w:val="TextBody"/>
        <w:bidi w:val="0"/>
        <w:spacing w:before="0" w:after="0"/>
        <w:ind w:left="1200" w:right="985"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Gift_______shares of Company Common Stock to ____________________________;</w:t>
      </w:r>
    </w:p>
    <w:tbl>
      <w:tblPr>
        <w:tblW w:w="1960" w:type="dxa"/>
        <w:jc w:val="left"/>
        <w:tblInd w:w="0" w:type="dxa"/>
        <w:tblLayout w:type="fixed"/>
        <w:tblCellMar>
          <w:top w:w="0" w:type="dxa"/>
          <w:left w:w="0" w:type="dxa"/>
          <w:bottom w:w="0" w:type="dxa"/>
          <w:right w:w="0" w:type="dxa"/>
        </w:tblCellMar>
      </w:tblPr>
      <w:tblGrid>
        <w:gridCol w:w="75"/>
        <w:gridCol w:w="290"/>
        <w:gridCol w:w="1460"/>
        <w:gridCol w:w="60"/>
        <w:gridCol w:w="7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ind w:left="0" w:right="0" w:hanging="0"/>
              <w:jc w:val="left"/>
              <w:rPr/>
            </w:pPr>
            <w:r>
              <w:rPr/>
              <w:t>☐ </w:t>
            </w:r>
          </w:p>
        </w:tc>
        <w:tc>
          <w:tcPr>
            <w:tcW w:w="1460" w:type="dxa"/>
            <w:tcBorders/>
            <w:vAlign w:val="center"/>
          </w:tcPr>
          <w:p>
            <w:pPr>
              <w:pStyle w:val="TableContents"/>
              <w:bidi w:val="0"/>
              <w:spacing w:before="0" w:after="283"/>
              <w:ind w:left="0" w:right="0" w:hanging="0"/>
              <w:jc w:val="left"/>
              <w:rPr/>
            </w:pPr>
            <w:r>
              <w:rPr/>
              <w:t>Other (explain)</w:t>
            </w:r>
          </w:p>
        </w:tc>
        <w:tc>
          <w:tcPr>
            <w:tcW w:w="60" w:type="dxa"/>
            <w:tcBorders>
              <w:bottom w:val="single" w:sz="8" w:space="0" w:color="000000"/>
            </w:tcBorders>
            <w:tcMar>
              <w:bottom w:w="28" w:type="dxa"/>
            </w:tcMar>
            <w:vAlign w:val="center"/>
          </w:tcPr>
          <w:p>
            <w:pPr>
              <w:pStyle w:val="TableContents"/>
              <w:bidi w:val="0"/>
              <w:spacing w:before="0" w:after="283"/>
              <w:ind w:left="0" w:right="0" w:hanging="0"/>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810" w:type="dxa"/>
            <w:gridSpan w:val="3"/>
            <w:tcBorders>
              <w:bottom w:val="single" w:sz="8" w:space="0" w:color="000000"/>
            </w:tcBorders>
            <w:tcMar>
              <w:bottom w:w="28" w:type="dxa"/>
            </w:tcMar>
            <w:vAlign w:val="center"/>
          </w:tcPr>
          <w:p>
            <w:pPr>
              <w:pStyle w:val="TableContents"/>
              <w:bidi w:val="0"/>
              <w:spacing w:before="0" w:after="283"/>
              <w:ind w:left="0" w:right="0" w:hanging="0"/>
              <w:jc w:val="right"/>
              <w:rPr/>
            </w:pPr>
            <w:r>
              <w:rPr/>
              <w:t>.</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19" w:right="117"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understand that I am not authorized to trade in Company securities in reliance upon this Notice and Certification until______________________________________(insert the date that is four business days after the date hereof), and that such authorization will continue until ______________________________(insert the date that is ten business days after the date hereof). I understand that if I have not completed my proposed trade by the last date of the authorization period set forth in the immediately preceding sentence, I must submit a new Notice and Certification in order to trade in Company securities or adopt a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1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hereby certify that I am not aware of material nonpublic information concerning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062" w:type="dxa"/>
        <w:jc w:val="left"/>
        <w:tblInd w:w="0" w:type="dxa"/>
        <w:tblLayout w:type="fixed"/>
        <w:tblCellMar>
          <w:top w:w="0" w:type="dxa"/>
          <w:left w:w="0" w:type="dxa"/>
          <w:bottom w:w="0" w:type="dxa"/>
          <w:right w:w="0" w:type="dxa"/>
        </w:tblCellMar>
      </w:tblPr>
      <w:tblGrid>
        <w:gridCol w:w="1296"/>
        <w:gridCol w:w="171"/>
        <w:gridCol w:w="85"/>
        <w:gridCol w:w="1403"/>
        <w:gridCol w:w="107"/>
      </w:tblGrid>
      <w:tr>
        <w:trPr/>
        <w:tc>
          <w:tcPr>
            <w:tcW w:w="1296"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171" w:type="dxa"/>
            <w:tcBorders>
              <w:bottom w:val="single" w:sz="8" w:space="0" w:color="000000"/>
            </w:tcBorders>
            <w:tcMar>
              <w:bottom w:w="28"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85" w:type="dxa"/>
            <w:tcBorders/>
            <w:vAlign w:val="center"/>
          </w:tcPr>
          <w:p>
            <w:pPr>
              <w:pStyle w:val="TableContents"/>
              <w:bidi w:val="0"/>
              <w:spacing w:before="0" w:after="283"/>
              <w:ind w:left="0" w:right="0" w:hanging="0"/>
              <w:jc w:val="left"/>
              <w:rPr>
                <w:sz w:val="4"/>
                <w:szCs w:val="4"/>
              </w:rPr>
            </w:pPr>
            <w:r>
              <w:rPr>
                <w:sz w:val="4"/>
                <w:szCs w:val="4"/>
              </w:rPr>
            </w:r>
          </w:p>
        </w:tc>
        <w:tc>
          <w:tcPr>
            <w:tcW w:w="1403"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tc>
        <w:tc>
          <w:tcPr>
            <w:tcW w:w="107" w:type="dxa"/>
            <w:tcBorders>
              <w:bottom w:val="single" w:sz="8" w:space="0" w:color="000000"/>
            </w:tcBorders>
            <w:tcMar>
              <w:bottom w:w="28" w:type="dxa"/>
            </w:tcMar>
            <w:vAlign w:val="center"/>
          </w:tcPr>
          <w:p>
            <w:pPr>
              <w:pStyle w:val="TableContents"/>
              <w:bidi w:val="0"/>
              <w:spacing w:before="0" w:after="283"/>
              <w:ind w:left="0" w:right="0" w:hanging="0"/>
              <w:jc w:val="left"/>
              <w:rPr>
                <w:caps w:val="false"/>
                <w:smallCaps w:val="false"/>
              </w:rPr>
            </w:pPr>
            <w:r>
              <w:rPr>
                <w:caps w:val="false"/>
                <w:smallCaps w:val="false"/>
              </w:rPr>
              <w:t> </w:t>
            </w:r>
          </w:p>
        </w:tc>
      </w:tr>
      <w:tr>
        <w:trPr/>
        <w:tc>
          <w:tcPr>
            <w:tcW w:w="1296"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1"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8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403"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07"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r>
      <w:tr>
        <w:trPr/>
        <w:tc>
          <w:tcPr>
            <w:tcW w:w="1296" w:type="dxa"/>
            <w:tcBorders/>
            <w:vAlign w:val="center"/>
          </w:tcPr>
          <w:p>
            <w:pPr>
              <w:pStyle w:val="TableContents"/>
              <w:bidi w:val="0"/>
              <w:spacing w:before="0" w:after="283"/>
              <w:ind w:left="0" w:right="0" w:hanging="0"/>
              <w:jc w:val="left"/>
              <w:rPr>
                <w:sz w:val="4"/>
                <w:szCs w:val="4"/>
              </w:rPr>
            </w:pPr>
            <w:r>
              <w:rPr>
                <w:sz w:val="4"/>
                <w:szCs w:val="4"/>
              </w:rPr>
            </w:r>
          </w:p>
        </w:tc>
        <w:tc>
          <w:tcPr>
            <w:tcW w:w="171"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8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403"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Print Name:</w:t>
            </w:r>
          </w:p>
        </w:tc>
        <w:tc>
          <w:tcPr>
            <w:tcW w:w="107" w:type="dxa"/>
            <w:tcBorders>
              <w:bottom w:val="single" w:sz="8" w:space="0" w:color="000000"/>
            </w:tcBorders>
            <w:tcMar>
              <w:bottom w:w="28" w:type="dxa"/>
            </w:tcMar>
            <w:vAlign w:val="center"/>
          </w:tcPr>
          <w:p>
            <w:pPr>
              <w:pStyle w:val="TableContents"/>
              <w:bidi w:val="0"/>
              <w:spacing w:before="0" w:after="283"/>
              <w:ind w:left="0" w:right="0" w:hanging="0"/>
              <w:jc w:val="left"/>
              <w:rPr>
                <w:caps w:val="false"/>
                <w:smallCaps w:val="false"/>
              </w:rPr>
            </w:pPr>
            <w:r>
              <w:rPr>
                <w:caps w:val="false"/>
                <w:smallCaps w:val="false"/>
              </w:rPr>
              <w:t> </w:t>
            </w:r>
          </w:p>
        </w:tc>
      </w:tr>
      <w:tr>
        <w:trPr/>
        <w:tc>
          <w:tcPr>
            <w:tcW w:w="1296"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1"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8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403"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07"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r>
      <w:tr>
        <w:trPr/>
        <w:tc>
          <w:tcPr>
            <w:tcW w:w="1296"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171"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8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403"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0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62" w:type="dxa"/>
            <w:gridSpan w:val="5"/>
            <w:tcBorders>
              <w:top w:val="single" w:sz="8" w:space="0" w:color="000000"/>
            </w:tcBorders>
            <w:tcMar>
              <w:top w:w="28" w:type="dxa"/>
            </w:tcMar>
            <w:vAlign w:val="center"/>
          </w:tcPr>
          <w:p>
            <w:pPr>
              <w:pStyle w:val="TableContents"/>
              <w:bidi w:val="0"/>
              <w:spacing w:before="0" w:after="283"/>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completed by General Counsel</w:t>
            </w:r>
          </w:p>
        </w:tc>
      </w:tr>
      <w:tr>
        <w:trPr/>
        <w:tc>
          <w:tcPr>
            <w:tcW w:w="1296"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1"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8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403"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07"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r>
      <w:tr>
        <w:trPr/>
        <w:tc>
          <w:tcPr>
            <w:tcW w:w="1296"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Approved:</w:t>
            </w:r>
          </w:p>
        </w:tc>
        <w:tc>
          <w:tcPr>
            <w:tcW w:w="171" w:type="dxa"/>
            <w:tcBorders>
              <w:bottom w:val="single" w:sz="8" w:space="0" w:color="000000"/>
            </w:tcBorders>
            <w:tcMar>
              <w:bottom w:w="28"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8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403"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07"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r>
      <w:tr>
        <w:trPr/>
        <w:tc>
          <w:tcPr>
            <w:tcW w:w="1296"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1"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8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403"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07"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r>
      <w:tr>
        <w:trPr/>
        <w:tc>
          <w:tcPr>
            <w:tcW w:w="1296"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171" w:type="dxa"/>
            <w:tcBorders>
              <w:bottom w:val="single" w:sz="8" w:space="0" w:color="000000"/>
            </w:tcBorders>
            <w:tcMar>
              <w:bottom w:w="28"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8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403"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07"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A “Section 16 Individual” is each member of the Company’s Board of Directors, those officers designated by the Board of Directors as “Section 16 officers” of the Company, and their respective family members and others in their households.</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11 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bookmarkStart w:id="72" w:name="ex21.htm"/>
      <w:bookmarkStart w:id="73" w:name="ksex21"/>
      <w:bookmarkEnd w:id="72"/>
      <w:bookmarkEnd w:id="7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Middlesex Water Company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Subsidiaries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665" w:type="dxa"/>
        <w:jc w:val="left"/>
        <w:tblInd w:w="0" w:type="dxa"/>
        <w:tblLayout w:type="fixed"/>
        <w:tblCellMar>
          <w:top w:w="0" w:type="dxa"/>
          <w:left w:w="0" w:type="dxa"/>
          <w:bottom w:w="0" w:type="dxa"/>
          <w:right w:w="0" w:type="dxa"/>
        </w:tblCellMar>
      </w:tblPr>
      <w:tblGrid>
        <w:gridCol w:w="4235"/>
        <w:gridCol w:w="1430"/>
      </w:tblGrid>
      <w:tr>
        <w:trPr/>
        <w:tc>
          <w:tcPr>
            <w:tcW w:w="4235" w:type="dxa"/>
            <w:tcBorders/>
            <w:vAlign w:val="center"/>
          </w:tcPr>
          <w:p>
            <w:pPr>
              <w:pStyle w:val="TableContents"/>
              <w:bidi w:val="0"/>
              <w:spacing w:before="0" w:after="283"/>
              <w:jc w:val="left"/>
              <w:rPr/>
            </w:pPr>
            <w:r>
              <w:rPr/>
              <w:t> </w:t>
            </w:r>
          </w:p>
        </w:tc>
        <w:tc>
          <w:tcPr>
            <w:tcW w:w="1430" w:type="dxa"/>
            <w:tcBorders>
              <w:bottom w:val="single" w:sz="8" w:space="0" w:color="000000"/>
            </w:tcBorders>
            <w:tcMar>
              <w:bottom w:w="28" w:type="dxa"/>
            </w:tcMar>
            <w:vAlign w:val="center"/>
          </w:tcPr>
          <w:p>
            <w:pPr>
              <w:pStyle w:val="TableContents"/>
              <w:bidi w:val="0"/>
              <w:spacing w:before="0" w:after="283"/>
              <w:jc w:val="center"/>
              <w:rPr/>
            </w:pPr>
            <w:r>
              <w:rPr/>
              <w:t xml:space="preserve">Jurisdiction of </w:t>
              <w:br/>
              <w:t>Organization</w:t>
            </w:r>
          </w:p>
        </w:tc>
      </w:tr>
      <w:tr>
        <w:trPr/>
        <w:tc>
          <w:tcPr>
            <w:tcW w:w="4235" w:type="dxa"/>
            <w:tcBorders/>
            <w:shd w:fill="CCEEFF" w:val="clear"/>
            <w:vAlign w:val="center"/>
          </w:tcPr>
          <w:p>
            <w:pPr>
              <w:pStyle w:val="TableContents"/>
              <w:bidi w:val="0"/>
              <w:spacing w:before="0" w:after="283"/>
              <w:jc w:val="left"/>
              <w:rPr/>
            </w:pPr>
            <w:r>
              <w:rPr/>
              <w:t>Tidewater Utilities, Inc.</w:t>
            </w:r>
          </w:p>
        </w:tc>
        <w:tc>
          <w:tcPr>
            <w:tcW w:w="1430" w:type="dxa"/>
            <w:tcBorders/>
            <w:shd w:fill="CCEEFF" w:val="clear"/>
            <w:vAlign w:val="center"/>
          </w:tcPr>
          <w:p>
            <w:pPr>
              <w:pStyle w:val="TableContents"/>
              <w:bidi w:val="0"/>
              <w:spacing w:before="0" w:after="283"/>
              <w:jc w:val="center"/>
              <w:rPr/>
            </w:pPr>
            <w:r>
              <w:rPr/>
              <w:t>Delaware</w:t>
            </w:r>
          </w:p>
        </w:tc>
      </w:tr>
      <w:tr>
        <w:trPr/>
        <w:tc>
          <w:tcPr>
            <w:tcW w:w="4235" w:type="dxa"/>
            <w:tcBorders/>
            <w:shd w:fill="FFFFFF" w:val="clear"/>
            <w:vAlign w:val="center"/>
          </w:tcPr>
          <w:p>
            <w:pPr>
              <w:pStyle w:val="TableContents"/>
              <w:bidi w:val="0"/>
              <w:spacing w:before="0" w:after="283"/>
              <w:jc w:val="left"/>
              <w:rPr/>
            </w:pPr>
            <w:r>
              <w:rPr/>
              <w:t>Pinelands Water Company</w:t>
            </w:r>
          </w:p>
        </w:tc>
        <w:tc>
          <w:tcPr>
            <w:tcW w:w="1430" w:type="dxa"/>
            <w:tcBorders/>
            <w:shd w:fill="FFFFFF" w:val="clear"/>
            <w:vAlign w:val="center"/>
          </w:tcPr>
          <w:p>
            <w:pPr>
              <w:pStyle w:val="TableContents"/>
              <w:bidi w:val="0"/>
              <w:spacing w:before="0" w:after="283"/>
              <w:jc w:val="center"/>
              <w:rPr/>
            </w:pPr>
            <w:r>
              <w:rPr/>
              <w:t>New Jersey</w:t>
            </w:r>
          </w:p>
        </w:tc>
      </w:tr>
      <w:tr>
        <w:trPr/>
        <w:tc>
          <w:tcPr>
            <w:tcW w:w="4235" w:type="dxa"/>
            <w:tcBorders/>
            <w:shd w:fill="CCEEFF" w:val="clear"/>
            <w:vAlign w:val="center"/>
          </w:tcPr>
          <w:p>
            <w:pPr>
              <w:pStyle w:val="TableContents"/>
              <w:bidi w:val="0"/>
              <w:spacing w:before="0" w:after="283"/>
              <w:jc w:val="left"/>
              <w:rPr/>
            </w:pPr>
            <w:r>
              <w:rPr/>
              <w:t>Pinelands Wastewater Company</w:t>
            </w:r>
          </w:p>
        </w:tc>
        <w:tc>
          <w:tcPr>
            <w:tcW w:w="1430" w:type="dxa"/>
            <w:tcBorders/>
            <w:shd w:fill="CCEEFF" w:val="clear"/>
            <w:vAlign w:val="center"/>
          </w:tcPr>
          <w:p>
            <w:pPr>
              <w:pStyle w:val="TableContents"/>
              <w:bidi w:val="0"/>
              <w:spacing w:before="0" w:after="283"/>
              <w:jc w:val="center"/>
              <w:rPr/>
            </w:pPr>
            <w:r>
              <w:rPr/>
              <w:t>New Jersey</w:t>
            </w:r>
          </w:p>
        </w:tc>
      </w:tr>
      <w:tr>
        <w:trPr/>
        <w:tc>
          <w:tcPr>
            <w:tcW w:w="4235" w:type="dxa"/>
            <w:tcBorders/>
            <w:shd w:fill="FFFFFF" w:val="clear"/>
            <w:vAlign w:val="center"/>
          </w:tcPr>
          <w:p>
            <w:pPr>
              <w:pStyle w:val="TableContents"/>
              <w:bidi w:val="0"/>
              <w:spacing w:before="0" w:after="283"/>
              <w:jc w:val="left"/>
              <w:rPr/>
            </w:pPr>
            <w:r>
              <w:rPr/>
              <w:t>Utility Service Affiliates (Perth Amboy) Inc.</w:t>
            </w:r>
          </w:p>
        </w:tc>
        <w:tc>
          <w:tcPr>
            <w:tcW w:w="1430" w:type="dxa"/>
            <w:tcBorders/>
            <w:shd w:fill="FFFFFF" w:val="clear"/>
            <w:vAlign w:val="center"/>
          </w:tcPr>
          <w:p>
            <w:pPr>
              <w:pStyle w:val="TableContents"/>
              <w:bidi w:val="0"/>
              <w:spacing w:before="0" w:after="283"/>
              <w:jc w:val="center"/>
              <w:rPr/>
            </w:pPr>
            <w:r>
              <w:rPr/>
              <w:t>New Jersey</w:t>
            </w:r>
          </w:p>
        </w:tc>
      </w:tr>
      <w:tr>
        <w:trPr/>
        <w:tc>
          <w:tcPr>
            <w:tcW w:w="4235" w:type="dxa"/>
            <w:tcBorders/>
            <w:shd w:fill="CCEEFF" w:val="clear"/>
            <w:vAlign w:val="center"/>
          </w:tcPr>
          <w:p>
            <w:pPr>
              <w:pStyle w:val="TableContents"/>
              <w:bidi w:val="0"/>
              <w:spacing w:before="0" w:after="283"/>
              <w:jc w:val="left"/>
              <w:rPr/>
            </w:pPr>
            <w:r>
              <w:rPr/>
              <w:t>Utility Service Affiliates, Inc.</w:t>
            </w:r>
          </w:p>
        </w:tc>
        <w:tc>
          <w:tcPr>
            <w:tcW w:w="1430" w:type="dxa"/>
            <w:tcBorders/>
            <w:shd w:fill="CCEEFF" w:val="clear"/>
            <w:vAlign w:val="center"/>
          </w:tcPr>
          <w:p>
            <w:pPr>
              <w:pStyle w:val="TableContents"/>
              <w:bidi w:val="0"/>
              <w:spacing w:before="0" w:after="283"/>
              <w:jc w:val="center"/>
              <w:rPr/>
            </w:pPr>
            <w:r>
              <w:rPr/>
              <w:t>New Jersey</w:t>
            </w:r>
          </w:p>
        </w:tc>
      </w:tr>
      <w:tr>
        <w:trPr/>
        <w:tc>
          <w:tcPr>
            <w:tcW w:w="4235" w:type="dxa"/>
            <w:tcBorders/>
            <w:shd w:fill="FFFFFF" w:val="clear"/>
            <w:vAlign w:val="center"/>
          </w:tcPr>
          <w:p>
            <w:pPr>
              <w:pStyle w:val="TableContents"/>
              <w:bidi w:val="0"/>
              <w:spacing w:before="0" w:after="283"/>
              <w:jc w:val="left"/>
              <w:rPr/>
            </w:pPr>
            <w:r>
              <w:rPr/>
              <w:t>Twin Lakes Utilities, Inc.</w:t>
            </w:r>
          </w:p>
        </w:tc>
        <w:tc>
          <w:tcPr>
            <w:tcW w:w="1430" w:type="dxa"/>
            <w:tcBorders/>
            <w:shd w:fill="FFFFFF" w:val="clear"/>
            <w:vAlign w:val="center"/>
          </w:tcPr>
          <w:p>
            <w:pPr>
              <w:pStyle w:val="TableContents"/>
              <w:bidi w:val="0"/>
              <w:spacing w:before="0" w:after="283"/>
              <w:jc w:val="center"/>
              <w:rPr/>
            </w:pPr>
            <w:r>
              <w:rPr/>
              <w:t>Pennsylvania</w:t>
            </w:r>
          </w:p>
        </w:tc>
      </w:tr>
    </w:tbl>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74" w:name="ex23-1.htm"/>
      <w:bookmarkStart w:id="75" w:name="ksex231"/>
      <w:bookmarkEnd w:id="74"/>
      <w:bookmarkEnd w:id="75"/>
      <w:r>
        <w:rPr>
          <w:rFonts w:ascii="Times New Roman;Times;Serif" w:hAnsi="Times New Roman;Times;Serif"/>
          <w:b/>
          <w:i w:val="false"/>
          <w:caps w:val="false"/>
          <w:smallCaps w:val="false"/>
          <w:sz w:val="20"/>
        </w:rPr>
        <w:t>Exhibit 23.1</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the Registration Statements on Form S-3 (File No. 333-266482) and Form S-8 (File No. 333-156269) of Middlesex Water Company of our report dated February 29, 2024, relating to the consolidated financial statements and the effectiveness of internal control over financial reporting, which appears in this Annual Report on Form 10-K for the year ended December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 Baker Tilly US, LLP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Baker Tilly US, LLP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Philadelphia, Pennsylvania</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29, 2024</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76" w:name="ex31.htm"/>
      <w:bookmarkStart w:id="77" w:name="ksex31"/>
      <w:bookmarkEnd w:id="76"/>
      <w:bookmarkEnd w:id="77"/>
      <w:r>
        <w:rPr>
          <w:rFonts w:ascii="Times New Roman;Times;Serif" w:hAnsi="Times New Roman;Times;Serif"/>
          <w:b/>
          <w:i w:val="false"/>
          <w:caps w:val="false"/>
          <w:smallCaps w:val="false"/>
          <w:sz w:val="20"/>
        </w:rPr>
        <w:t>Exhibit 31</w:t>
      </w:r>
      <w:r>
        <w:br w:type="page"/>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302 CERTIFICATION PURSUANT TO RULES 13a-14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15d-14 OF THE SECURITIES EXCHANGE ACT OF 1934</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Dennis W. Doll, certify that: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
        <w:gridCol w:w="253"/>
        <w:gridCol w:w="9904"/>
      </w:tblGrid>
      <w:tr>
        <w:trPr/>
        <w:tc>
          <w:tcPr>
            <w:tcW w:w="4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pPr>
            <w:r>
              <w:rPr/>
              <w:t>1.</w:t>
            </w:r>
          </w:p>
        </w:tc>
        <w:tc>
          <w:tcPr>
            <w:tcW w:w="9904" w:type="dxa"/>
            <w:tcBorders/>
            <w:vAlign w:val="center"/>
          </w:tcPr>
          <w:p>
            <w:pPr>
              <w:pStyle w:val="TableContents"/>
              <w:bidi w:val="0"/>
              <w:spacing w:before="0" w:after="283"/>
              <w:jc w:val="left"/>
              <w:rPr/>
            </w:pPr>
            <w:r>
              <w:rPr/>
              <w:t>I have reviewed this Annual Report on Form 10-K of Middlesex Water Company;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9"/>
        <w:gridCol w:w="10009"/>
      </w:tblGrid>
      <w:tr>
        <w:trPr/>
        <w:tc>
          <w:tcPr>
            <w:tcW w:w="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2.</w:t>
            </w:r>
          </w:p>
        </w:tc>
        <w:tc>
          <w:tcPr>
            <w:tcW w:w="10009" w:type="dxa"/>
            <w:tcBorders/>
            <w:vAlign w:val="center"/>
          </w:tcPr>
          <w:p>
            <w:pPr>
              <w:pStyle w:val="TableContents"/>
              <w:bidi w:val="0"/>
              <w:spacing w:before="0" w:after="283"/>
              <w:jc w:val="left"/>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2"/>
        <w:gridCol w:w="10006"/>
      </w:tblGrid>
      <w:tr>
        <w:trPr/>
        <w:tc>
          <w:tcPr>
            <w:tcW w:w="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pPr>
            <w:r>
              <w:rPr/>
              <w:t>3.</w:t>
            </w:r>
          </w:p>
        </w:tc>
        <w:tc>
          <w:tcPr>
            <w:tcW w:w="10006" w:type="dxa"/>
            <w:tcBorders/>
            <w:vAlign w:val="center"/>
          </w:tcPr>
          <w:p>
            <w:pPr>
              <w:pStyle w:val="TableContents"/>
              <w:bidi w:val="0"/>
              <w:spacing w:before="0" w:after="283"/>
              <w:jc w:val="left"/>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8"/>
        <w:gridCol w:w="10010"/>
      </w:tblGrid>
      <w:tr>
        <w:trPr/>
        <w:tc>
          <w:tcPr>
            <w:tcW w:w="3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pPr>
            <w:r>
              <w:rPr/>
              <w:t>4.</w:t>
            </w:r>
          </w:p>
        </w:tc>
        <w:tc>
          <w:tcPr>
            <w:tcW w:w="10010" w:type="dxa"/>
            <w:tcBorders/>
            <w:vAlign w:val="center"/>
          </w:tcPr>
          <w:p>
            <w:pPr>
              <w:pStyle w:val="TableContents"/>
              <w:bidi w:val="0"/>
              <w:spacing w:before="0" w:after="283"/>
              <w:jc w:val="left"/>
              <w:rPr/>
            </w:pPr>
            <w:r>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5"/>
        <w:gridCol w:w="10023"/>
      </w:tblGrid>
      <w:tr>
        <w:trPr/>
        <w:tc>
          <w:tcPr>
            <w:tcW w:w="3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pPr>
            <w:r>
              <w:rPr/>
              <w:t>a)</w:t>
            </w:r>
          </w:p>
        </w:tc>
        <w:tc>
          <w:tcPr>
            <w:tcW w:w="10023" w:type="dxa"/>
            <w:tcBorders/>
            <w:vAlign w:val="center"/>
          </w:tcPr>
          <w:p>
            <w:pPr>
              <w:pStyle w:val="TableContents"/>
              <w:bidi w:val="0"/>
              <w:spacing w:before="0" w:after="283"/>
              <w:jc w:val="left"/>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0"/>
        <w:gridCol w:w="10008"/>
      </w:tblGrid>
      <w:tr>
        <w:trPr/>
        <w:tc>
          <w:tcPr>
            <w:tcW w:w="3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pPr>
            <w:r>
              <w:rPr/>
              <w:t>b)</w:t>
            </w:r>
          </w:p>
        </w:tc>
        <w:tc>
          <w:tcPr>
            <w:tcW w:w="10008" w:type="dxa"/>
            <w:tcBorders/>
            <w:vAlign w:val="center"/>
          </w:tcPr>
          <w:p>
            <w:pPr>
              <w:pStyle w:val="TableContents"/>
              <w:bidi w:val="0"/>
              <w:spacing w:before="0" w:after="283"/>
              <w:jc w:val="left"/>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2"/>
        <w:gridCol w:w="10016"/>
      </w:tblGrid>
      <w:tr>
        <w:trPr/>
        <w:tc>
          <w:tcPr>
            <w:tcW w:w="3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pPr>
            <w:r>
              <w:rPr/>
              <w:t>c)</w:t>
            </w:r>
          </w:p>
        </w:tc>
        <w:tc>
          <w:tcPr>
            <w:tcW w:w="10016" w:type="dxa"/>
            <w:tcBorders/>
            <w:vAlign w:val="center"/>
          </w:tcPr>
          <w:p>
            <w:pPr>
              <w:pStyle w:val="TableContents"/>
              <w:bidi w:val="0"/>
              <w:spacing w:before="0" w:after="283"/>
              <w:jc w:val="left"/>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1"/>
        <w:gridCol w:w="10007"/>
      </w:tblGrid>
      <w:tr>
        <w:trPr/>
        <w:tc>
          <w:tcPr>
            <w:tcW w:w="3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d)</w:t>
            </w:r>
          </w:p>
        </w:tc>
        <w:tc>
          <w:tcPr>
            <w:tcW w:w="10007" w:type="dxa"/>
            <w:tcBorders/>
            <w:vAlign w:val="center"/>
          </w:tcPr>
          <w:p>
            <w:pPr>
              <w:pStyle w:val="TableContents"/>
              <w:bidi w:val="0"/>
              <w:spacing w:before="0" w:after="283"/>
              <w:jc w:val="left"/>
              <w:rPr/>
            </w:pPr>
            <w:r>
              <w:rPr/>
              <w:t>Disclosed in this report any changes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1"/>
        <w:gridCol w:w="10007"/>
      </w:tblGrid>
      <w:tr>
        <w:trPr/>
        <w:tc>
          <w:tcPr>
            <w:tcW w:w="3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5.</w:t>
            </w:r>
          </w:p>
        </w:tc>
        <w:tc>
          <w:tcPr>
            <w:tcW w:w="10007" w:type="dxa"/>
            <w:tcBorders/>
            <w:vAlign w:val="center"/>
          </w:tcPr>
          <w:p>
            <w:pPr>
              <w:pStyle w:val="TableContents"/>
              <w:bidi w:val="0"/>
              <w:spacing w:before="0" w:after="283"/>
              <w:jc w:val="left"/>
              <w:rPr/>
            </w:pPr>
            <w:r>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tc>
      </w:tr>
    </w:tbl>
    <w:p>
      <w:pPr>
        <w:pStyle w:val="TextBody"/>
        <w:bidi w:val="0"/>
        <w:spacing w:before="0" w:after="0"/>
        <w:ind w:left="36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3"/>
        <w:gridCol w:w="10015"/>
      </w:tblGrid>
      <w:tr>
        <w:trPr/>
        <w:tc>
          <w:tcPr>
            <w:tcW w:w="3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pPr>
            <w:r>
              <w:rPr/>
              <w:t>a)</w:t>
            </w:r>
          </w:p>
        </w:tc>
        <w:tc>
          <w:tcPr>
            <w:tcW w:w="10015" w:type="dxa"/>
            <w:tcBorders/>
            <w:vAlign w:val="center"/>
          </w:tcPr>
          <w:p>
            <w:pPr>
              <w:pStyle w:val="TableContents"/>
              <w:bidi w:val="0"/>
              <w:spacing w:before="0" w:after="283"/>
              <w:jc w:val="left"/>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4"/>
        <w:gridCol w:w="9984"/>
      </w:tblGrid>
      <w:tr>
        <w:trPr/>
        <w:tc>
          <w:tcPr>
            <w:tcW w:w="3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pPr>
            <w:r>
              <w:rPr/>
              <w:t>b)</w:t>
            </w:r>
          </w:p>
        </w:tc>
        <w:tc>
          <w:tcPr>
            <w:tcW w:w="9984" w:type="dxa"/>
            <w:tcBorders/>
            <w:vAlign w:val="center"/>
          </w:tcPr>
          <w:p>
            <w:pPr>
              <w:pStyle w:val="TableContents"/>
              <w:bidi w:val="0"/>
              <w:spacing w:before="0" w:after="283"/>
              <w:jc w:val="left"/>
              <w:rPr/>
            </w:pPr>
            <w:r>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2030" w:type="dxa"/>
        <w:jc w:val="left"/>
        <w:tblInd w:w="0" w:type="dxa"/>
        <w:tblLayout w:type="fixed"/>
        <w:tblCellMar>
          <w:top w:w="0" w:type="dxa"/>
          <w:left w:w="0" w:type="dxa"/>
          <w:bottom w:w="0" w:type="dxa"/>
          <w:right w:w="0" w:type="dxa"/>
        </w:tblCellMar>
      </w:tblPr>
      <w:tblGrid>
        <w:gridCol w:w="75"/>
        <w:gridCol w:w="1955"/>
      </w:tblGrid>
      <w:tr>
        <w:trPr/>
        <w:tc>
          <w:tcPr>
            <w:tcW w:w="75" w:type="dxa"/>
            <w:tcBorders/>
            <w:vAlign w:val="center"/>
          </w:tcPr>
          <w:p>
            <w:pPr>
              <w:pStyle w:val="TableContents"/>
              <w:bidi w:val="0"/>
              <w:spacing w:before="0" w:after="283"/>
              <w:jc w:val="left"/>
              <w:rPr/>
            </w:pPr>
            <w:r>
              <w:rPr/>
              <w:t> </w:t>
            </w:r>
          </w:p>
        </w:tc>
        <w:tc>
          <w:tcPr>
            <w:tcW w:w="195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Dennis W. Doll</w:t>
            </w:r>
          </w:p>
        </w:tc>
      </w:tr>
      <w:tr>
        <w:trPr/>
        <w:tc>
          <w:tcPr>
            <w:tcW w:w="75"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sz w:val="20"/>
              </w:rPr>
            </w:pPr>
            <w:r>
              <w:rPr>
                <w:sz w:val="20"/>
              </w:rPr>
              <w:t>Dennis W. Doll</w:t>
            </w:r>
          </w:p>
        </w:tc>
      </w:tr>
      <w:tr>
        <w:trPr/>
        <w:tc>
          <w:tcPr>
            <w:tcW w:w="75"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sz w:val="20"/>
              </w:rPr>
            </w:pPr>
            <w:r>
              <w:rPr>
                <w:sz w:val="20"/>
              </w:rPr>
              <w:t>Chief Executive Officer</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February 29, 2024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78" w:name="ex31-1.htm"/>
      <w:bookmarkStart w:id="79" w:name="ksex311"/>
      <w:bookmarkEnd w:id="78"/>
      <w:bookmarkEnd w:id="79"/>
      <w:r>
        <w:rPr>
          <w:rFonts w:ascii="Times New Roman;Times;Serif" w:hAnsi="Times New Roman;Times;Serif"/>
          <w:b/>
          <w:i w:val="false"/>
          <w:caps w:val="false"/>
          <w:smallCaps w:val="false"/>
          <w:sz w:val="20"/>
        </w:rPr>
        <w:t>Exhibit 31.1</w:t>
      </w:r>
      <w:r>
        <w:br w:type="page"/>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302 CERTIFICATION PURSUANT TO RULES 13a-14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15d-14 OF THE SECURITIES EXCHANGE ACT OF 1934</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Bruce O’Connor, certify that: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
        <w:gridCol w:w="253"/>
        <w:gridCol w:w="9904"/>
      </w:tblGrid>
      <w:tr>
        <w:trPr/>
        <w:tc>
          <w:tcPr>
            <w:tcW w:w="4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pPr>
            <w:r>
              <w:rPr/>
              <w:t>1.</w:t>
            </w:r>
          </w:p>
        </w:tc>
        <w:tc>
          <w:tcPr>
            <w:tcW w:w="9904" w:type="dxa"/>
            <w:tcBorders/>
            <w:vAlign w:val="center"/>
          </w:tcPr>
          <w:p>
            <w:pPr>
              <w:pStyle w:val="TableContents"/>
              <w:bidi w:val="0"/>
              <w:spacing w:before="0" w:after="283"/>
              <w:jc w:val="left"/>
              <w:rPr/>
            </w:pPr>
            <w:r>
              <w:rPr/>
              <w:t>I have reviewed this Annual Report on Form 10-K of Middlesex Water Company;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9"/>
        <w:gridCol w:w="10009"/>
      </w:tblGrid>
      <w:tr>
        <w:trPr/>
        <w:tc>
          <w:tcPr>
            <w:tcW w:w="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2.</w:t>
            </w:r>
          </w:p>
        </w:tc>
        <w:tc>
          <w:tcPr>
            <w:tcW w:w="10009" w:type="dxa"/>
            <w:tcBorders/>
            <w:vAlign w:val="center"/>
          </w:tcPr>
          <w:p>
            <w:pPr>
              <w:pStyle w:val="TableContents"/>
              <w:bidi w:val="0"/>
              <w:spacing w:before="0" w:after="283"/>
              <w:jc w:val="left"/>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2"/>
        <w:gridCol w:w="10006"/>
      </w:tblGrid>
      <w:tr>
        <w:trPr/>
        <w:tc>
          <w:tcPr>
            <w:tcW w:w="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pPr>
            <w:r>
              <w:rPr/>
              <w:t>3.</w:t>
            </w:r>
          </w:p>
        </w:tc>
        <w:tc>
          <w:tcPr>
            <w:tcW w:w="10006" w:type="dxa"/>
            <w:tcBorders/>
            <w:vAlign w:val="center"/>
          </w:tcPr>
          <w:p>
            <w:pPr>
              <w:pStyle w:val="TableContents"/>
              <w:bidi w:val="0"/>
              <w:spacing w:before="0" w:after="283"/>
              <w:jc w:val="left"/>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8"/>
        <w:gridCol w:w="10010"/>
      </w:tblGrid>
      <w:tr>
        <w:trPr/>
        <w:tc>
          <w:tcPr>
            <w:tcW w:w="3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pPr>
            <w:r>
              <w:rPr/>
              <w:t>4.</w:t>
            </w:r>
          </w:p>
        </w:tc>
        <w:tc>
          <w:tcPr>
            <w:tcW w:w="10010" w:type="dxa"/>
            <w:tcBorders/>
            <w:vAlign w:val="center"/>
          </w:tcPr>
          <w:p>
            <w:pPr>
              <w:pStyle w:val="TableContents"/>
              <w:bidi w:val="0"/>
              <w:spacing w:before="0" w:after="283"/>
              <w:jc w:val="left"/>
              <w:rPr/>
            </w:pPr>
            <w:r>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3" w:type="dxa"/>
            <w:tcBorders/>
            <w:vAlign w:val="center"/>
          </w:tcPr>
          <w:p>
            <w:pPr>
              <w:pStyle w:val="TableContents"/>
              <w:bidi w:val="0"/>
              <w:spacing w:before="0" w:after="283"/>
              <w:jc w:val="left"/>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8" w:type="dxa"/>
            <w:tcBorders/>
            <w:vAlign w:val="center"/>
          </w:tcPr>
          <w:p>
            <w:pPr>
              <w:pStyle w:val="TableContents"/>
              <w:bidi w:val="0"/>
              <w:spacing w:before="0" w:after="283"/>
              <w:jc w:val="left"/>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c.</w:t>
            </w:r>
          </w:p>
        </w:tc>
        <w:tc>
          <w:tcPr>
            <w:tcW w:w="9983" w:type="dxa"/>
            <w:tcBorders/>
            <w:vAlign w:val="center"/>
          </w:tcPr>
          <w:p>
            <w:pPr>
              <w:pStyle w:val="TableContents"/>
              <w:bidi w:val="0"/>
              <w:spacing w:before="0" w:after="283"/>
              <w:jc w:val="left"/>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d.</w:t>
            </w:r>
          </w:p>
        </w:tc>
        <w:tc>
          <w:tcPr>
            <w:tcW w:w="9968" w:type="dxa"/>
            <w:tcBorders/>
            <w:vAlign w:val="center"/>
          </w:tcPr>
          <w:p>
            <w:pPr>
              <w:pStyle w:val="TableContents"/>
              <w:bidi w:val="0"/>
              <w:spacing w:before="0" w:after="283"/>
              <w:jc w:val="left"/>
              <w:rPr/>
            </w:pPr>
            <w:r>
              <w:rPr/>
              <w:t>Disclosed in this report any changes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1"/>
        <w:gridCol w:w="10007"/>
      </w:tblGrid>
      <w:tr>
        <w:trPr/>
        <w:tc>
          <w:tcPr>
            <w:tcW w:w="3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5.</w:t>
            </w:r>
          </w:p>
        </w:tc>
        <w:tc>
          <w:tcPr>
            <w:tcW w:w="10007" w:type="dxa"/>
            <w:tcBorders/>
            <w:vAlign w:val="center"/>
          </w:tcPr>
          <w:p>
            <w:pPr>
              <w:pStyle w:val="TableContents"/>
              <w:bidi w:val="0"/>
              <w:spacing w:before="0" w:after="283"/>
              <w:jc w:val="left"/>
              <w:rPr/>
            </w:pPr>
            <w:r>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tc>
      </w:tr>
    </w:tbl>
    <w:p>
      <w:pPr>
        <w:pStyle w:val="TextBody"/>
        <w:bidi w:val="0"/>
        <w:spacing w:before="0" w:after="0"/>
        <w:ind w:left="36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3" w:type="dxa"/>
            <w:tcBorders/>
            <w:vAlign w:val="center"/>
          </w:tcPr>
          <w:p>
            <w:pPr>
              <w:pStyle w:val="TableContents"/>
              <w:bidi w:val="0"/>
              <w:spacing w:before="0" w:after="283"/>
              <w:jc w:val="left"/>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8" w:type="dxa"/>
            <w:tcBorders/>
            <w:vAlign w:val="center"/>
          </w:tcPr>
          <w:p>
            <w:pPr>
              <w:pStyle w:val="TableContents"/>
              <w:bidi w:val="0"/>
              <w:spacing w:before="0" w:after="283"/>
              <w:jc w:val="left"/>
              <w:rPr/>
            </w:pPr>
            <w:r>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2090" w:type="dxa"/>
        <w:jc w:val="left"/>
        <w:tblInd w:w="0" w:type="dxa"/>
        <w:tblLayout w:type="fixed"/>
        <w:tblCellMar>
          <w:top w:w="0" w:type="dxa"/>
          <w:left w:w="0" w:type="dxa"/>
          <w:bottom w:w="0" w:type="dxa"/>
          <w:right w:w="0" w:type="dxa"/>
        </w:tblCellMar>
      </w:tblPr>
      <w:tblGrid>
        <w:gridCol w:w="195"/>
        <w:gridCol w:w="1895"/>
      </w:tblGrid>
      <w:tr>
        <w:trPr/>
        <w:tc>
          <w:tcPr>
            <w:tcW w:w="195" w:type="dxa"/>
            <w:tcBorders/>
            <w:vAlign w:val="center"/>
          </w:tcPr>
          <w:p>
            <w:pPr>
              <w:pStyle w:val="TableContents"/>
              <w:bidi w:val="0"/>
              <w:spacing w:before="0" w:after="283"/>
              <w:jc w:val="left"/>
              <w:rPr/>
            </w:pPr>
            <w:r>
              <w:rPr/>
              <w:t> </w:t>
            </w:r>
          </w:p>
        </w:tc>
        <w:tc>
          <w:tcPr>
            <w:tcW w:w="189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A. Bruce O’Connor</w:t>
            </w:r>
          </w:p>
        </w:tc>
      </w:tr>
      <w:tr>
        <w:trPr/>
        <w:tc>
          <w:tcPr>
            <w:tcW w:w="195"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sz w:val="20"/>
              </w:rPr>
            </w:pPr>
            <w:r>
              <w:rPr>
                <w:sz w:val="20"/>
              </w:rPr>
              <w:t>A. Bruce O’Connor</w:t>
            </w:r>
          </w:p>
        </w:tc>
      </w:tr>
      <w:tr>
        <w:trPr/>
        <w:tc>
          <w:tcPr>
            <w:tcW w:w="195"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sz w:val="20"/>
              </w:rPr>
            </w:pPr>
            <w:r>
              <w:rPr>
                <w:sz w:val="20"/>
              </w:rPr>
              <w:t>Chief Financial Officer</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February 29, 2024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80" w:name="ex32.htm"/>
      <w:bookmarkStart w:id="81" w:name="ksex32"/>
      <w:bookmarkEnd w:id="80"/>
      <w:bookmarkEnd w:id="81"/>
      <w:r>
        <w:rPr>
          <w:rFonts w:ascii="Times New Roman;Times;Serif" w:hAnsi="Times New Roman;Times;Serif"/>
          <w:b/>
          <w:i w:val="false"/>
          <w:caps w:val="false"/>
          <w:smallCaps w:val="false"/>
          <w:sz w:val="20"/>
        </w:rPr>
        <w:t>Exhibit 32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CERTIFICATION PURSUANT TO 18 U.S.C. §1350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Dennis W. Doll, hereby certify that, to the best of my knowledge, the periodic report being filed herewith containing financial statements fully complies with the requirements of section 13(a) or 15(d) of the Securities Exchange Act of 1934 (15 U.S.C. 78m(a) or 78o(d)) and that information contained in said periodic report fairly presents, in all material respects, the financial condition and results of operations of Middlesex Water Company for the period covered by said periodic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2030" w:type="dxa"/>
        <w:jc w:val="left"/>
        <w:tblInd w:w="0" w:type="dxa"/>
        <w:tblLayout w:type="fixed"/>
        <w:tblCellMar>
          <w:top w:w="0" w:type="dxa"/>
          <w:left w:w="0" w:type="dxa"/>
          <w:bottom w:w="0" w:type="dxa"/>
          <w:right w:w="0" w:type="dxa"/>
        </w:tblCellMar>
      </w:tblPr>
      <w:tblGrid>
        <w:gridCol w:w="75"/>
        <w:gridCol w:w="1955"/>
      </w:tblGrid>
      <w:tr>
        <w:trPr/>
        <w:tc>
          <w:tcPr>
            <w:tcW w:w="75" w:type="dxa"/>
            <w:tcBorders/>
            <w:vAlign w:val="center"/>
          </w:tcPr>
          <w:p>
            <w:pPr>
              <w:pStyle w:val="TableContents"/>
              <w:bidi w:val="0"/>
              <w:spacing w:before="0" w:after="283"/>
              <w:jc w:val="left"/>
              <w:rPr/>
            </w:pPr>
            <w:r>
              <w:rPr/>
              <w:t> </w:t>
            </w:r>
          </w:p>
        </w:tc>
        <w:tc>
          <w:tcPr>
            <w:tcW w:w="195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Dennis W. Doll</w:t>
            </w:r>
          </w:p>
        </w:tc>
      </w:tr>
      <w:tr>
        <w:trPr/>
        <w:tc>
          <w:tcPr>
            <w:tcW w:w="75"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sz w:val="20"/>
              </w:rPr>
            </w:pPr>
            <w:r>
              <w:rPr>
                <w:sz w:val="20"/>
              </w:rPr>
              <w:t>Dennis W. Doll</w:t>
            </w:r>
          </w:p>
        </w:tc>
      </w:tr>
      <w:tr>
        <w:trPr/>
        <w:tc>
          <w:tcPr>
            <w:tcW w:w="75"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sz w:val="20"/>
              </w:rPr>
            </w:pPr>
            <w:r>
              <w:rPr>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February 29,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signed original of this written statement required by Section 906 has been provided to Middlesex Water Company and will be retained by Middlesex Water Company and furnished to the Securities and Exchange Commission or its staff upon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82" w:name="ex32-1.htm"/>
      <w:bookmarkStart w:id="83" w:name="ksex321"/>
      <w:bookmarkEnd w:id="82"/>
      <w:bookmarkEnd w:id="83"/>
      <w:r>
        <w:rPr>
          <w:rFonts w:ascii="Times New Roman;Times;Serif" w:hAnsi="Times New Roman;Times;Serif"/>
          <w:b/>
          <w:i w:val="false"/>
          <w:caps w:val="false"/>
          <w:smallCaps w:val="false"/>
          <w:sz w:val="20"/>
        </w:rPr>
        <w:t xml:space="preserve">Exhibit 32.1 </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CERTIFICATION PURSUANT TO 18 U.S.C. §1350</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Bruce O’Connor, hereby certify that, to the best of my knowledge, the periodic report being filed herewith containing financial statements fully complies with the requirements of section 13(a) or 15(d) of the Securities Exchange Act of 1934 (15 U.S.C. 78m(a) or 78o(d)) and that information contained in said periodic report fairly presents, in all material respects, the financial condition and results of operations of Middlesex Water Company for the period covered by said periodic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2090" w:type="dxa"/>
        <w:jc w:val="left"/>
        <w:tblInd w:w="0" w:type="dxa"/>
        <w:tblLayout w:type="fixed"/>
        <w:tblCellMar>
          <w:top w:w="0" w:type="dxa"/>
          <w:left w:w="0" w:type="dxa"/>
          <w:bottom w:w="0" w:type="dxa"/>
          <w:right w:w="0" w:type="dxa"/>
        </w:tblCellMar>
      </w:tblPr>
      <w:tblGrid>
        <w:gridCol w:w="195"/>
        <w:gridCol w:w="1895"/>
      </w:tblGrid>
      <w:tr>
        <w:trPr/>
        <w:tc>
          <w:tcPr>
            <w:tcW w:w="195" w:type="dxa"/>
            <w:tcBorders/>
            <w:vAlign w:val="center"/>
          </w:tcPr>
          <w:p>
            <w:pPr>
              <w:pStyle w:val="TableContents"/>
              <w:bidi w:val="0"/>
              <w:spacing w:before="0" w:after="283"/>
              <w:jc w:val="left"/>
              <w:rPr/>
            </w:pPr>
            <w:r>
              <w:rPr/>
              <w:t> </w:t>
            </w:r>
          </w:p>
        </w:tc>
        <w:tc>
          <w:tcPr>
            <w:tcW w:w="189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A. Bruce O’Connor</w:t>
            </w:r>
          </w:p>
        </w:tc>
      </w:tr>
      <w:tr>
        <w:trPr/>
        <w:tc>
          <w:tcPr>
            <w:tcW w:w="195"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sz w:val="20"/>
              </w:rPr>
            </w:pPr>
            <w:r>
              <w:rPr>
                <w:sz w:val="20"/>
              </w:rPr>
              <w:t>A. Bruce O’Connor</w:t>
            </w:r>
          </w:p>
        </w:tc>
      </w:tr>
      <w:tr>
        <w:trPr/>
        <w:tc>
          <w:tcPr>
            <w:tcW w:w="195"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sz w:val="20"/>
              </w:rPr>
            </w:pPr>
            <w:r>
              <w:rPr>
                <w:sz w:val="20"/>
              </w:rPr>
              <w:t>Chief Financial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February 29,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signed original of this written statement required by Section 906 has been provided to Middlesex Water Company and will be retained by Middlesex Water Company and furnished to the Securities and Exchange Commission or its staff upon request.</w:t>
      </w:r>
    </w:p>
    <w:p>
      <w:pPr>
        <w:pStyle w:val="TextBody"/>
        <w:bidi w:val="0"/>
        <w:spacing w:before="0" w:after="283"/>
        <w:jc w:val="left"/>
        <w:rPr/>
      </w:pPr>
      <w:r>
        <w:rPr/>
        <w:t> </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jc w:val="right"/>
        <w:rPr>
          <w:rFonts w:ascii="Times New Roman;Times;Serif" w:hAnsi="Times New Roman;Times;Serif"/>
          <w:b/>
          <w:i w:val="false"/>
          <w:caps w:val="false"/>
          <w:smallCaps w:val="false"/>
          <w:sz w:val="20"/>
        </w:rPr>
      </w:pPr>
      <w:bookmarkStart w:id="84" w:name="ex97.htm"/>
      <w:bookmarkStart w:id="85" w:name="ksex97"/>
      <w:bookmarkEnd w:id="84"/>
      <w:bookmarkEnd w:id="85"/>
      <w:r>
        <w:rPr>
          <w:rFonts w:ascii="Times New Roman;Times;Serif" w:hAnsi="Times New Roman;Times;Serif"/>
          <w:b/>
          <w:i w:val="false"/>
          <w:caps w:val="false"/>
          <w:smallCaps w:val="false"/>
          <w:sz w:val="20"/>
        </w:rPr>
        <w:t>Exhibit 97</w:t>
      </w:r>
      <w:r>
        <w:br w:type="page"/>
      </w:r>
    </w:p>
    <w:p>
      <w:pPr>
        <w:pStyle w:val="TextBody"/>
        <w:bidi w:val="0"/>
        <w:jc w:val="right"/>
        <w:rPr>
          <w:caps w:val="false"/>
          <w:smallCaps w:val="false"/>
        </w:rPr>
      </w:pPr>
      <w:r>
        <w:rPr>
          <w:caps w:val="false"/>
          <w:smallCaps w:val="false"/>
        </w:rPr>
        <w:t> </w:t>
      </w:r>
    </w:p>
    <w:p>
      <w:pPr>
        <w:pStyle w:val="TextBody"/>
        <w:bidi w:val="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Middlesex Water Company Incentive-Based Award Clawback Policy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Incentive-based awards are subject to the Company’s “clawback” policy. Such policy requires that incentive-based awards are subject to return to the Company, in whole or in part, if a financial statement restatement occurs within the three calendar years subsequent to an award, where such restatement effectively negates the previous achievement of financial targets that precipitated such prior award. Awards made to any Executive Officer (as defined below) are subject to the provisions of the clawback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clawback policy, Executive Officer means the Company’s president, principal financial officer, principal accounting officer (or, if there is no such accounting officer, the controller), any vice-president of the Company in charge of a principal business unit, division or function (such as administration or finance), any other officer who performs a policy-making function, or any other person who performs similar policy-making functions for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6" w:space="1" w:color="000000"/>
        </w:rPr>
      </w:pPr>
      <w:r>
        <w:rPr>
          <w:caps w:val="false"/>
          <w:smallCaps w:val="false"/>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66004/000091431799000176/0000914317-99-000176.txt" TargetMode="External"/><Relationship Id="rId4" Type="http://schemas.openxmlformats.org/officeDocument/2006/relationships/hyperlink" Target="http://www.sec.gov/Archives/edgar/data/66004/000093041398000415/0000930413-98-000415.txt" TargetMode="External"/><Relationship Id="rId5" Type="http://schemas.openxmlformats.org/officeDocument/2006/relationships/hyperlink" Target="http://www.sec.gov/Archives/edgar/data/66004/000091431799000176/0000914317-99-000176.txt" TargetMode="External"/><Relationship Id="rId6" Type="http://schemas.openxmlformats.org/officeDocument/2006/relationships/hyperlink" Target="http://www.sec.gov/Archives/edgar/data/66004/000091431799000176/0000914317-99-000176.txt" TargetMode="External"/><Relationship Id="rId7" Type="http://schemas.openxmlformats.org/officeDocument/2006/relationships/hyperlink" Target="http://www.sec.gov/Archives/edgar/data/66004/000091431704001833/ex3-3.txt" TargetMode="External"/><Relationship Id="rId8" Type="http://schemas.openxmlformats.org/officeDocument/2006/relationships/hyperlink" Target="http://www.sec.gov/Archives/edgar/data/66004/000091431704001833/ex3-4.txt" TargetMode="External"/><Relationship Id="rId9" Type="http://schemas.openxmlformats.org/officeDocument/2006/relationships/hyperlink" Target="http://www.sec.gov/Archives/edgar/data/66004/000091431704001833/ex3-5.txt" TargetMode="External"/><Relationship Id="rId10" Type="http://schemas.openxmlformats.org/officeDocument/2006/relationships/hyperlink" Target="http://www.sec.gov/Archives/edgar/data/66004/000091431710000726/ex3-1.htm" TargetMode="External"/><Relationship Id="rId11" Type="http://schemas.openxmlformats.org/officeDocument/2006/relationships/hyperlink" Target="http://www.sec.gov/Archives/edgar/data/66004/000117494719001035/ex3-1.htm" TargetMode="External"/><Relationship Id="rId12" Type="http://schemas.openxmlformats.org/officeDocument/2006/relationships/hyperlink" Target="http://www.sec.gov/Archives/edgar/data/66004/000117494719001073/ex3-1.htm" TargetMode="External"/><Relationship Id="rId13" Type="http://schemas.openxmlformats.org/officeDocument/2006/relationships/hyperlink" Target="http://www.sec.gov/Archives/edgar/data/66004/000091431710001211/ex4-10.htm" TargetMode="External"/><Relationship Id="rId14" Type="http://schemas.openxmlformats.org/officeDocument/2006/relationships/hyperlink" Target="http://www.sec.gov/Archives/edgar/data/66004/000117494717001686/ex3ii.htm" TargetMode="External"/><Relationship Id="rId15" Type="http://schemas.openxmlformats.org/officeDocument/2006/relationships/hyperlink" Target="http://www.sec.gov/Archives/edgar/data/66004/000091431706001322/ex10.txt" TargetMode="External"/><Relationship Id="rId16" Type="http://schemas.openxmlformats.org/officeDocument/2006/relationships/hyperlink" Target="http://www.sec.gov/Archives/edgar/data/66004/000091431711001422/ex10-4.htm" TargetMode="External"/><Relationship Id="rId17" Type="http://schemas.openxmlformats.org/officeDocument/2006/relationships/hyperlink" Target="http://www.sec.gov/Archives/edgar/data/66004/000117494717000294/ex10-7.htm" TargetMode="External"/><Relationship Id="rId18" Type="http://schemas.openxmlformats.org/officeDocument/2006/relationships/hyperlink" Target="http://www.sec.gov/Archives/edgar/data/66004/000091431706001322/ex10-1.txt" TargetMode="External"/><Relationship Id="rId19" Type="http://schemas.openxmlformats.org/officeDocument/2006/relationships/hyperlink" Target="http://www.sec.gov/Archives/edgar/data/66004/000117494716002165/ex10-9a.htm" TargetMode="External"/><Relationship Id="rId20" Type="http://schemas.openxmlformats.org/officeDocument/2006/relationships/hyperlink" Target="http://www.sec.gov/Archives/edgar/data/66004/000091431799000652/0000914317-99-000652.txt" TargetMode="External"/><Relationship Id="rId21" Type="http://schemas.openxmlformats.org/officeDocument/2006/relationships/hyperlink" Target="http://www.sec.gov/Archives/edgar/data/66004/000117494718000595/def14a-19332_msx.htm" TargetMode="External"/><Relationship Id="rId22" Type="http://schemas.openxmlformats.org/officeDocument/2006/relationships/hyperlink" Target="http://www.sec.gov/Archives/edgar/data/66004/000091431708003008/s8-96451_msex.htm" TargetMode="External"/><Relationship Id="rId23" Type="http://schemas.openxmlformats.org/officeDocument/2006/relationships/hyperlink" Target="http://www.sec.gov/Archives/edgar/data/66004/000117494724000110/ex99-2.htm" TargetMode="External"/><Relationship Id="rId24" Type="http://schemas.openxmlformats.org/officeDocument/2006/relationships/hyperlink" Target="http://www.sec.gov/Archives/edgar/data/66004/000117494724000110/ex99-3.htm" TargetMode="External"/><Relationship Id="rId25" Type="http://schemas.openxmlformats.org/officeDocument/2006/relationships/hyperlink" Target="http://www.sec.gov/Archives/edgar/data/66004/000091431709000646/ex10-13b.htm" TargetMode="External"/><Relationship Id="rId26" Type="http://schemas.openxmlformats.org/officeDocument/2006/relationships/hyperlink" Target="http://www.sec.gov/Archives/edgar/data/66004/000091431712000299/ex10-13e.htm" TargetMode="External"/><Relationship Id="rId27" Type="http://schemas.openxmlformats.org/officeDocument/2006/relationships/hyperlink" Target="http://www.sec.gov/Archives/edgar/data/66004/000091431709000646/ex10-13h.htm" TargetMode="External"/><Relationship Id="rId28" Type="http://schemas.openxmlformats.org/officeDocument/2006/relationships/hyperlink" Target="http://www.sec.gov/Archives/edgar/data/66004/000091431714001038/ex10-12g.htm" TargetMode="External"/><Relationship Id="rId29" Type="http://schemas.openxmlformats.org/officeDocument/2006/relationships/hyperlink" Target="http://www.sec.gov/Archives/edgar/data/66004/000117494720000248/msex10kex10-12f.htm" TargetMode="External"/><Relationship Id="rId30" Type="http://schemas.openxmlformats.org/officeDocument/2006/relationships/hyperlink" Target="http://www.sec.gov/Archives/edgar/data/66004/000117494720000248/msex10kex10-12g.htm" TargetMode="External"/><Relationship Id="rId31" Type="http://schemas.openxmlformats.org/officeDocument/2006/relationships/hyperlink" Target="http://www.sec.gov/Archives/edgar/data/66004/000117494720000248/msex10kex10-12h.htm" TargetMode="External"/><Relationship Id="rId32" Type="http://schemas.openxmlformats.org/officeDocument/2006/relationships/hyperlink" Target="http://www.sec.gov/Archives/edgar/data/66004/000117494723000678/ext10-12i.htm" TargetMode="External"/><Relationship Id="rId33" Type="http://schemas.openxmlformats.org/officeDocument/2006/relationships/hyperlink" Target="http://www.sec.gov/Archives/edgar/data/66004/000117494717000294/ex10-13a.htm" TargetMode="External"/><Relationship Id="rId34" Type="http://schemas.openxmlformats.org/officeDocument/2006/relationships/hyperlink" Target="http://www.sec.gov/Archives/edgar/data/66004/000117494718001309/ex10-16.htm" TargetMode="External"/><Relationship Id="rId35" Type="http://schemas.openxmlformats.org/officeDocument/2006/relationships/hyperlink" Target="http://www.sec.gov/Archives/edgar/data/66004/000091431705000934/ex10-26.txt" TargetMode="External"/><Relationship Id="rId36" Type="http://schemas.openxmlformats.org/officeDocument/2006/relationships/hyperlink" Target="http://www.sec.gov/Archives/edgar/data/66004/000091431705000934/ex10-27.txt" TargetMode="External"/><Relationship Id="rId37" Type="http://schemas.openxmlformats.org/officeDocument/2006/relationships/hyperlink" Target="http://www.sec.gov/Archives/edgar/data/66004/000117494715000337/ex10-23.htm" TargetMode="External"/><Relationship Id="rId38" Type="http://schemas.openxmlformats.org/officeDocument/2006/relationships/hyperlink" Target="http://www.sec.gov/Archives/edgar/data/66004/000117494721000499/msex10qex10-19b.htm" TargetMode="External"/><Relationship Id="rId39" Type="http://schemas.openxmlformats.org/officeDocument/2006/relationships/hyperlink" Target="http://www.sec.gov/Archives/edgar/data/66004/000117494723001376/ex10-17c.htm" TargetMode="External"/><Relationship Id="rId40" Type="http://schemas.openxmlformats.org/officeDocument/2006/relationships/hyperlink" Target="http://www.sec.gov/Archives/edgar/data/66004/000117494723001376/ex10-17d.htm" TargetMode="External"/><Relationship Id="rId41" Type="http://schemas.openxmlformats.org/officeDocument/2006/relationships/hyperlink" Target="http://www.sec.gov/Archives/edgar/data/66004/000091431706001322/ex10-2.txt" TargetMode="External"/><Relationship Id="rId42" Type="http://schemas.openxmlformats.org/officeDocument/2006/relationships/hyperlink" Target="http://www.sec.gov/Archives/edgar/data/66004/000091431707000647/ex10-30.htm" TargetMode="External"/><Relationship Id="rId43" Type="http://schemas.openxmlformats.org/officeDocument/2006/relationships/hyperlink" Target="http://www.sec.gov/Archives/edgar/data/66004/000091431707000647/ex10-31.htm" TargetMode="External"/><Relationship Id="rId44" Type="http://schemas.openxmlformats.org/officeDocument/2006/relationships/hyperlink" Target="http://www.sec.gov/Archives/edgar/data/66004/000091431708000733/ex10_32.htm" TargetMode="External"/><Relationship Id="rId45" Type="http://schemas.openxmlformats.org/officeDocument/2006/relationships/hyperlink" Target="http://www.sec.gov/Archives/edgar/data/66004/000091431708000733/ex10_33.htm" TargetMode="External"/><Relationship Id="rId46" Type="http://schemas.openxmlformats.org/officeDocument/2006/relationships/hyperlink" Target="http://www.sec.gov/Archives/edgar/data/66004/000091431709000646/ex10-34.htm" TargetMode="External"/><Relationship Id="rId47" Type="http://schemas.openxmlformats.org/officeDocument/2006/relationships/hyperlink" Target="http://www.sec.gov/Archives/edgar/data/66004/000091431709000646/ex10-35.htm" TargetMode="External"/><Relationship Id="rId48" Type="http://schemas.openxmlformats.org/officeDocument/2006/relationships/hyperlink" Target="http://www.sec.gov/Archives/edgar/data/66004/000110465922085546/tm2222254d2_424b5.htm" TargetMode="External"/><Relationship Id="rId49" Type="http://schemas.openxmlformats.org/officeDocument/2006/relationships/hyperlink" Target="http://www.sec.gov/Archives/edgar/data/66004/000117494723000909/form424b5-30532_msx.htm" TargetMode="External"/><Relationship Id="rId50" Type="http://schemas.openxmlformats.org/officeDocument/2006/relationships/hyperlink" Target="http://www.sec.gov/Archives/edgar/data/66004/000117494722000283/msex10kex10-26a.htm" TargetMode="External"/><Relationship Id="rId51" Type="http://schemas.openxmlformats.org/officeDocument/2006/relationships/hyperlink" Target="http://www.sec.gov/Archives/edgar/data/66004/000117494722000283/msex10kex10-26b.htm" TargetMode="External"/><Relationship Id="rId52" Type="http://schemas.openxmlformats.org/officeDocument/2006/relationships/hyperlink" Target="http://www.sec.gov/Archives/edgar/data/66004/000117494723000678/ex10-26c.htm" TargetMode="External"/><Relationship Id="rId53" Type="http://schemas.openxmlformats.org/officeDocument/2006/relationships/hyperlink" Target="http://www.sec.gov/Archives/edgar/data/66004/000117494723000678/ex10-26d.htm" TargetMode="External"/><Relationship Id="rId54" Type="http://schemas.openxmlformats.org/officeDocument/2006/relationships/hyperlink" Target="http://www.sec.gov/Archives/edgar/data/66004/000117494723000933/ex10-26e.htm" TargetMode="External"/><Relationship Id="rId55" Type="http://schemas.openxmlformats.org/officeDocument/2006/relationships/hyperlink" Target="http://www.sec.gov/Archives/edgar/data/66004/000117494721000198/msex10kex10-30.htm" TargetMode="External"/><Relationship Id="rId56" Type="http://schemas.openxmlformats.org/officeDocument/2006/relationships/hyperlink" Target="http://www.sec.gov/Archives/edgar/data/66004/000117494722000283/msex10kex10-27b.htm" TargetMode="External"/><Relationship Id="rId57" Type="http://schemas.openxmlformats.org/officeDocument/2006/relationships/hyperlink" Target="http://www.sec.gov/Archives/edgar/data/66004/000117494723000258/ex10-27c.htm" TargetMode="External"/><Relationship Id="rId58" Type="http://schemas.openxmlformats.org/officeDocument/2006/relationships/hyperlink" Target="http://www.sec.gov/Archives/edgar/data/66004/000117494720001063/msex10qex10-34.htm" TargetMode="External"/><Relationship Id="rId59" Type="http://schemas.openxmlformats.org/officeDocument/2006/relationships/hyperlink" Target="http://www.sec.gov/Archives/edgar/data/66004/000091431711000359/ex10_41.htm" TargetMode="External"/><Relationship Id="rId60" Type="http://schemas.openxmlformats.org/officeDocument/2006/relationships/hyperlink" Target="http://www.sec.gov/Archives/edgar/data/66004/000091431711000359/ex10_42.htm" TargetMode="External"/><Relationship Id="rId61" Type="http://schemas.openxmlformats.org/officeDocument/2006/relationships/hyperlink" Target="http://www.sec.gov/Archives/edgar/data/66004/000091431712001169/ex10-43.htm" TargetMode="External"/><Relationship Id="rId62" Type="http://schemas.openxmlformats.org/officeDocument/2006/relationships/hyperlink" Target="http://www.sec.gov/Archives/edgar/data/66004/000091431712001169/ex10-44.htm" TargetMode="External"/><Relationship Id="rId63" Type="http://schemas.openxmlformats.org/officeDocument/2006/relationships/hyperlink" Target="http://www.sec.gov/Archives/edgar/data/66004/000091431713000279/ex10-41.htm" TargetMode="External"/><Relationship Id="rId64" Type="http://schemas.openxmlformats.org/officeDocument/2006/relationships/hyperlink" Target="http://www.sec.gov/Archives/edgar/data/66004/000091431713001000/ex10-42.htm" TargetMode="External"/><Relationship Id="rId65" Type="http://schemas.openxmlformats.org/officeDocument/2006/relationships/hyperlink" Target="http://www.sec.gov/Archives/edgar/data/66004/000091431713001000/ex10-43.htm" TargetMode="External"/><Relationship Id="rId66" Type="http://schemas.openxmlformats.org/officeDocument/2006/relationships/hyperlink" Target="http://www.sec.gov/Archives/edgar/data/66004/000091431714001038/ex10-43.htm" TargetMode="External"/><Relationship Id="rId67" Type="http://schemas.openxmlformats.org/officeDocument/2006/relationships/hyperlink" Target="http://www.sec.gov/Archives/edgar/data/66004/000091431714001038/ex10-44.htm" TargetMode="External"/><Relationship Id="rId68" Type="http://schemas.openxmlformats.org/officeDocument/2006/relationships/hyperlink" Target="http://www.sec.gov/Archives/edgar/data/66004/000117494718000337/ex10-44.htm" TargetMode="External"/><Relationship Id="rId69" Type="http://schemas.openxmlformats.org/officeDocument/2006/relationships/hyperlink" Target="http://www.sec.gov/Archives/edgar/data/66004/000117494718000337/ex10-45.htm" TargetMode="External"/><Relationship Id="rId70" Type="http://schemas.openxmlformats.org/officeDocument/2006/relationships/hyperlink" Target="http://www.sec.gov/Archives/edgar/data/66004/000117494718001063/ex10-46.htm" TargetMode="External"/><Relationship Id="rId71" Type="http://schemas.openxmlformats.org/officeDocument/2006/relationships/hyperlink" Target="http://www.sec.gov/Archives/edgar/data/66004/000117494718001063/ex10-47.htm" TargetMode="External"/><Relationship Id="rId72" Type="http://schemas.openxmlformats.org/officeDocument/2006/relationships/hyperlink" Target="http://www.sec.gov/Archives/edgar/data/66004/000117494719001035/ex10-50.htm" TargetMode="External"/><Relationship Id="rId73" Type="http://schemas.openxmlformats.org/officeDocument/2006/relationships/hyperlink" Target="http://www.sec.gov/Archives/edgar/data/66004/000117494721000198/msex10kex10-48.htm" TargetMode="External"/><Relationship Id="rId74" Type="http://schemas.openxmlformats.org/officeDocument/2006/relationships/hyperlink" Target="http://www.sec.gov/Archives/edgar/data/66004/000117494722000283/msex10kex10-46.htm" TargetMode="External"/><Relationship Id="rId75" Type="http://schemas.openxmlformats.org/officeDocument/2006/relationships/hyperlink" Target="http://www.sec.gov/Archives/edgar/data/66004/000117494722000283/msex10kex10-46.htm" TargetMode="External"/><Relationship Id="rId76" Type="http://schemas.openxmlformats.org/officeDocument/2006/relationships/hyperlink" Target="http://www.sec.gov/Archives/edgar/data/66004/000117494722000866/ex10-40.htm" TargetMode="External"/><Relationship Id="rId77" Type="http://schemas.openxmlformats.org/officeDocument/2006/relationships/hyperlink" Target="http://www.sec.gov/Archives/edgar/data/66004/000117494722000866/ex10-41.htm" TargetMode="External"/><Relationship Id="rId78" Type="http://schemas.openxmlformats.org/officeDocument/2006/relationships/hyperlink" Target="http://www.sec.gov/Archives/edgar/data/66004/000117494723000678/ex10-48.htm" TargetMode="External"/><Relationship Id="rId79" Type="http://schemas.openxmlformats.org/officeDocument/2006/relationships/hyperlink" Target="http://www.sec.gov/Archives/edgar/data/66004/000117494723000678/ex10-49.htm" TargetMode="External"/><Relationship Id="rId80" Type="http://schemas.openxmlformats.org/officeDocument/2006/relationships/hyperlink" Target="http://www.sec.gov/Archives/edgar/data/66004/000117494723000678/ex10-50.htm" TargetMode="External"/><Relationship Id="rId81" Type="http://schemas.openxmlformats.org/officeDocument/2006/relationships/hyperlink" Target="http://www.sec.gov/Archives/edgar/data/66004/000117494723000678/ex10-51.htm" TargetMode="External"/><Relationship Id="rId82" Type="http://schemas.openxmlformats.org/officeDocument/2006/relationships/hyperlink" Target="http://www.sec.gov/Archives/edgar/data/66004/000117494723001376/ex10-53.htm" TargetMode="External"/><Relationship Id="rId83" Type="http://schemas.openxmlformats.org/officeDocument/2006/relationships/hyperlink" Target="http://www.sec.gov/Archives/edgar/data/66004/000117494723001376/ex10-54.htm" TargetMode="External"/><Relationship Id="rId84" Type="http://schemas.openxmlformats.org/officeDocument/2006/relationships/hyperlink" Target="http://www.sec.gov/Archives/edgar/data/66004/000117494723001376/ex10-55.htm" TargetMode="External"/><Relationship Id="rId85" Type="http://schemas.openxmlformats.org/officeDocument/2006/relationships/hyperlink" Target="http://www.sec.gov/Archives/edgar/data/66004/000117494724000110/ex99-4.htm" TargetMode="External"/><Relationship Id="rId86" Type="http://schemas.openxmlformats.org/officeDocument/2006/relationships/image" Target="media/image2.jpeg"/><Relationship Id="rId87" Type="http://schemas.openxmlformats.org/officeDocument/2006/relationships/fontTable" Target="fontTable.xml"/><Relationship Id="rId8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Pages>
  <Words>60641</Words>
  <Characters>333231</Characters>
  <CharactersWithSpaces>397027</CharactersWithSpaces>
  <Paragraphs>11837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