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Date of Report: May 19, 2026</w:t>
            </w:r>
          </w:p>
        </w:tc>
        <w:tc>
          <w:tcPr>
            <w:tcW w:w="2980" w:type="dxa"/>
            <w:vAlign w:val="bottom"/>
          </w:tcPr>
          <w:p>
            <w:pPr>
              <w:spacing w:after="0"/>
              <w:rPr>
                <w:sz w:val="20"/>
                <w:szCs w:val="20"/>
                <w:color w:val="auto"/>
              </w:rPr>
            </w:pPr>
          </w:p>
        </w:tc>
      </w:tr>
      <w:tr>
        <w:trPr>
          <w:trHeight w:val="391"/>
        </w:trPr>
        <w:tc>
          <w:tcPr>
            <w:tcW w:w="3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MIDDLESEX WATER COMPANY</w:t>
            </w:r>
          </w:p>
        </w:tc>
        <w:tc>
          <w:tcPr>
            <w:tcW w:w="2980" w:type="dxa"/>
            <w:vAlign w:val="bottom"/>
          </w:tcPr>
          <w:p>
            <w:pPr>
              <w:spacing w:after="0"/>
              <w:rPr>
                <w:sz w:val="24"/>
                <w:szCs w:val="24"/>
                <w:color w:val="auto"/>
              </w:rPr>
            </w:pPr>
          </w:p>
        </w:tc>
      </w:tr>
      <w:tr>
        <w:trPr>
          <w:trHeight w:val="20"/>
        </w:trPr>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37"/>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80" w:type="dxa"/>
            <w:vAlign w:val="bottom"/>
          </w:tcPr>
          <w:p>
            <w:pPr>
              <w:spacing w:after="0"/>
              <w:rPr>
                <w:sz w:val="20"/>
                <w:szCs w:val="20"/>
                <w:color w:val="auto"/>
              </w:rPr>
            </w:pPr>
          </w:p>
        </w:tc>
      </w:tr>
      <w:tr>
        <w:trPr>
          <w:trHeight w:val="486"/>
        </w:trPr>
        <w:tc>
          <w:tcPr>
            <w:tcW w:w="32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New Jersey</w:t>
            </w:r>
          </w:p>
        </w:tc>
        <w:tc>
          <w:tcPr>
            <w:tcW w:w="3800" w:type="dxa"/>
            <w:vAlign w:val="bottom"/>
            <w:gridSpan w:val="4"/>
          </w:tcPr>
          <w:p>
            <w:pPr>
              <w:jc w:val="center"/>
              <w:ind w:left="890"/>
              <w:spacing w:after="0"/>
              <w:rPr>
                <w:sz w:val="20"/>
                <w:szCs w:val="20"/>
                <w:color w:val="auto"/>
              </w:rPr>
            </w:pPr>
            <w:r>
              <w:rPr>
                <w:rFonts w:ascii="Times New Roman" w:cs="Times New Roman" w:eastAsia="Times New Roman" w:hAnsi="Times New Roman"/>
                <w:sz w:val="18"/>
                <w:szCs w:val="18"/>
                <w:color w:val="auto"/>
                <w:w w:val="99"/>
              </w:rPr>
              <w:t>0-422</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22-1114430</w:t>
            </w:r>
          </w:p>
        </w:tc>
      </w:tr>
      <w:tr>
        <w:trPr>
          <w:trHeight w:val="27"/>
        </w:trPr>
        <w:tc>
          <w:tcPr>
            <w:tcW w:w="3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8"/>
              </w:rPr>
              <w:t>(Commission</w:t>
            </w:r>
          </w:p>
        </w:tc>
        <w:tc>
          <w:tcPr>
            <w:tcW w:w="29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2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color w:val="auto"/>
              </w:rPr>
              <w:t>File Number)</w:t>
            </w:r>
          </w:p>
        </w:tc>
        <w:tc>
          <w:tcPr>
            <w:tcW w:w="29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4"/>
        </w:trPr>
        <w:tc>
          <w:tcPr>
            <w:tcW w:w="3200" w:type="dxa"/>
            <w:vAlign w:val="bottom"/>
          </w:tcPr>
          <w:p>
            <w:pPr>
              <w:spacing w:after="0"/>
              <w:rPr>
                <w:sz w:val="24"/>
                <w:szCs w:val="24"/>
                <w:color w:val="auto"/>
              </w:rPr>
            </w:pPr>
          </w:p>
        </w:tc>
        <w:tc>
          <w:tcPr>
            <w:tcW w:w="504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485C Route 1 South, Suite 400, Iselin, New Jersey 08830</w:t>
            </w:r>
          </w:p>
        </w:tc>
        <w:tc>
          <w:tcPr>
            <w:tcW w:w="298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8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8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380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732-634-1500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8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8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6"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right="2860" w:firstLine="8"/>
        <w:spacing w:after="0" w:line="454" w:lineRule="auto"/>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7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MSEX</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738505</wp:posOffset>
            </wp:positionV>
            <wp:extent cx="7136130" cy="9313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931354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39"/>
        <w:spacing w:after="0" w:line="258" w:lineRule="auto"/>
        <w:rPr>
          <w:sz w:val="20"/>
          <w:szCs w:val="20"/>
          <w:color w:val="auto"/>
        </w:rPr>
      </w:pPr>
      <w:r>
        <w:rPr>
          <w:rFonts w:ascii="Times New Roman" w:cs="Times New Roman" w:eastAsia="Times New Roman" w:hAnsi="Times New Roman"/>
          <w:sz w:val="18"/>
          <w:szCs w:val="18"/>
          <w:color w:val="auto"/>
        </w:rPr>
        <w:t>The 2026 Annual Meeting of Shareholders (the “Annual Meeting”) of Middlesex Water Company (the “Company”) was held on May 19, 2026, as a virtual meeting pursuant to the notice sent, on or about April 6, 2026, to all shareholders of record at the close of business on March 24, 2026, the record date for the Annual Meeting.</w:t>
      </w:r>
    </w:p>
    <w:p>
      <w:pPr>
        <w:spacing w:after="0" w:line="196" w:lineRule="exact"/>
        <w:rPr>
          <w:sz w:val="20"/>
          <w:szCs w:val="20"/>
          <w:color w:val="auto"/>
        </w:rPr>
      </w:pPr>
    </w:p>
    <w:p>
      <w:pPr>
        <w:ind w:right="99"/>
        <w:spacing w:after="0" w:line="312" w:lineRule="auto"/>
        <w:rPr>
          <w:sz w:val="20"/>
          <w:szCs w:val="20"/>
          <w:color w:val="auto"/>
        </w:rPr>
      </w:pPr>
      <w:r>
        <w:rPr>
          <w:rFonts w:ascii="Times New Roman" w:cs="Times New Roman" w:eastAsia="Times New Roman" w:hAnsi="Times New Roman"/>
          <w:sz w:val="17"/>
          <w:szCs w:val="17"/>
          <w:color w:val="auto"/>
        </w:rPr>
        <w:t>At the Annual Meeting, the shareholders approved the following proposals as set forth in the Company’s Definitive Proxy Statement on Schedule 14A ("2026 Proxy Statement") filed with the Securities and Exchange Commission on April 6, 2026:</w:t>
      </w:r>
    </w:p>
    <w:p>
      <w:pPr>
        <w:spacing w:after="0" w:line="149" w:lineRule="exact"/>
        <w:rPr>
          <w:sz w:val="20"/>
          <w:szCs w:val="20"/>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19" w:lineRule="exact"/>
        <w:rPr>
          <w:rFonts w:ascii="Times New Roman" w:cs="Times New Roman" w:eastAsia="Times New Roman" w:hAnsi="Times New Roman"/>
          <w:sz w:val="18"/>
          <w:szCs w:val="18"/>
          <w:b w:val="1"/>
          <w:bCs w:val="1"/>
          <w:color w:val="auto"/>
        </w:rPr>
      </w:pPr>
    </w:p>
    <w:p>
      <w:pPr>
        <w:ind w:left="640" w:right="1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one Class II director to serve for a period of two years and three Class III directors to serve for a period of three years to our Board of Directors (the “Board”) and until their successors are elected and qualified.</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3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7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II</w:t>
            </w:r>
          </w:p>
        </w:tc>
        <w:tc>
          <w:tcPr>
            <w:tcW w:w="1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Hoglund</w:t>
            </w:r>
          </w:p>
        </w:tc>
        <w:tc>
          <w:tcPr>
            <w:tcW w:w="17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14,146,401</w:t>
            </w:r>
          </w:p>
        </w:tc>
        <w:tc>
          <w:tcPr>
            <w:tcW w:w="13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150,835</w:t>
            </w:r>
          </w:p>
        </w:tc>
        <w:tc>
          <w:tcPr>
            <w:tcW w:w="17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2,470,748</w:t>
            </w:r>
          </w:p>
        </w:tc>
      </w:tr>
      <w:tr>
        <w:trPr>
          <w:trHeight w:val="148"/>
        </w:trPr>
        <w:tc>
          <w:tcPr>
            <w:tcW w:w="2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III</w:t>
            </w:r>
          </w:p>
        </w:tc>
        <w:tc>
          <w:tcPr>
            <w:tcW w:w="17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Bershad, M.D.</w:t>
            </w:r>
          </w:p>
        </w:tc>
        <w:tc>
          <w:tcPr>
            <w:tcW w:w="1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13,598,978</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698,258</w:t>
            </w:r>
          </w:p>
        </w:tc>
        <w:tc>
          <w:tcPr>
            <w:tcW w:w="17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2,470,748</w:t>
            </w: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 Cosgrove, Jr.</w:t>
            </w:r>
          </w:p>
        </w:tc>
        <w:tc>
          <w:tcPr>
            <w:tcW w:w="17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13,630,988</w:t>
            </w:r>
          </w:p>
        </w:tc>
        <w:tc>
          <w:tcPr>
            <w:tcW w:w="13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666,248</w:t>
            </w:r>
          </w:p>
        </w:tc>
        <w:tc>
          <w:tcPr>
            <w:tcW w:w="17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2,470,748</w:t>
            </w:r>
          </w:p>
        </w:tc>
      </w:tr>
      <w:tr>
        <w:trPr>
          <w:trHeight w:val="230"/>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Vaughn L. McKoy</w:t>
            </w:r>
          </w:p>
        </w:tc>
        <w:tc>
          <w:tcPr>
            <w:tcW w:w="17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11,393,674</w:t>
            </w:r>
          </w:p>
        </w:tc>
        <w:tc>
          <w:tcPr>
            <w:tcW w:w="1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2,903,562</w:t>
            </w:r>
          </w:p>
        </w:tc>
        <w:tc>
          <w:tcPr>
            <w:tcW w:w="17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2,470,748</w:t>
            </w:r>
          </w:p>
        </w:tc>
      </w:tr>
    </w:tbl>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directors continued to serve on the Board of the Company immediately after the Annual Meeting:</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Nadine Leslie, Amy B. Mansue, Kim C. Hanemann, Steven M. Klein, and Ann L. Noble.</w:t>
      </w:r>
    </w:p>
    <w:p>
      <w:pPr>
        <w:spacing w:after="0" w:line="200" w:lineRule="exact"/>
        <w:rPr>
          <w:sz w:val="20"/>
          <w:szCs w:val="20"/>
          <w:color w:val="auto"/>
        </w:rPr>
      </w:pPr>
    </w:p>
    <w:p>
      <w:pPr>
        <w:spacing w:after="0" w:line="258" w:lineRule="exact"/>
        <w:rPr>
          <w:sz w:val="20"/>
          <w:szCs w:val="20"/>
          <w:color w:val="auto"/>
        </w:rPr>
      </w:pPr>
    </w:p>
    <w:p>
      <w:pPr>
        <w:ind w:left="640" w:right="79" w:hanging="322"/>
        <w:spacing w:after="0" w:line="286" w:lineRule="auto"/>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on a advisory basis, of the Company’s Named Executive Officers Compensation as disclosed in the 2026 Proxy Statement</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8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19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13,250,940</w:t>
            </w:r>
          </w:p>
        </w:tc>
        <w:tc>
          <w:tcPr>
            <w:tcW w:w="18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982,607</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63,689</w:t>
            </w:r>
          </w:p>
        </w:tc>
        <w:tc>
          <w:tcPr>
            <w:tcW w:w="18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2,470,748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right="639" w:hanging="322"/>
        <w:spacing w:after="0" w:line="271" w:lineRule="auto"/>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the Appointment by the Audit Committee of the Board of the Company’s Independent Registered Public Accounting Firm for the fiscal year ending December 31, 2026</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8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19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16,632,847</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98,839</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36,298</w:t>
            </w:r>
          </w:p>
        </w:tc>
        <w:tc>
          <w:tcPr>
            <w:tcW w:w="1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ectPr>
          <w:pgSz w:w="11900" w:h="16838" w:orient="portrait"/>
          <w:cols w:equalWidth="0" w:num="1">
            <w:col w:w="9059"/>
          </w:cols>
          <w:pgMar w:left="14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59"/>
          </w:cols>
          <w:pgMar w:left="1400" w:top="1440" w:right="1440" w:bottom="0" w:gutter="0" w:footer="0" w:header="0"/>
          <w:type w:val="continuous"/>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of the undersigned hereunto duly authorized.</w:t>
      </w:r>
    </w:p>
    <w:p>
      <w:pPr>
        <w:spacing w:after="0" w:line="200" w:lineRule="exact"/>
        <w:rPr>
          <w:sz w:val="20"/>
          <w:szCs w:val="20"/>
          <w:color w:val="auto"/>
        </w:rPr>
      </w:pPr>
    </w:p>
    <w:p>
      <w:pPr>
        <w:spacing w:after="0" w:line="205"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63"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Jay Kooper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180"/>
      </w:cols>
      <w:pgMar w:left="320" w:top="114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2026-05-20T15:08:02Z</dcterms:created>
  <dcterms:modified xsi:type="dcterms:W3CDTF">2026-05-20T15:08:02Z</dcterms:modified>
</cp:coreProperties>
</file>