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1"/>
        <w:spacing w:after="0"/>
        <w:rPr>
          <w:sz w:val="20"/>
          <w:szCs w:val="20"/>
          <w:color w:val="auto"/>
        </w:rPr>
      </w:pPr>
      <w:r>
        <w:rPr>
          <w:rFonts w:ascii="Arial" w:cs="Arial" w:eastAsia="Arial" w:hAnsi="Arial"/>
          <w:sz w:val="15"/>
          <w:szCs w:val="15"/>
          <w:b w:val="1"/>
          <w:bCs w:val="1"/>
          <w:color w:val="auto"/>
        </w:rPr>
        <w:t>UNITED STATES</w:t>
      </w:r>
    </w:p>
    <w:p>
      <w:pPr>
        <w:spacing w:after="0" w:line="14" w:lineRule="exact"/>
        <w:rPr>
          <w:sz w:val="24"/>
          <w:szCs w:val="24"/>
          <w:color w:val="auto"/>
        </w:rPr>
      </w:pPr>
    </w:p>
    <w:p>
      <w:pPr>
        <w:jc w:val="center"/>
        <w:ind w:right="-1101"/>
        <w:spacing w:after="0"/>
        <w:rPr>
          <w:sz w:val="20"/>
          <w:szCs w:val="20"/>
          <w:color w:val="auto"/>
        </w:rPr>
      </w:pPr>
      <w:r>
        <w:rPr>
          <w:rFonts w:ascii="Arial" w:cs="Arial" w:eastAsia="Arial" w:hAnsi="Arial"/>
          <w:sz w:val="15"/>
          <w:szCs w:val="15"/>
          <w:b w:val="1"/>
          <w:bCs w:val="1"/>
          <w:color w:val="auto"/>
        </w:rPr>
        <w:t>SECURITIES AND EXCHANGE COMMISSION</w:t>
      </w:r>
    </w:p>
    <w:p>
      <w:pPr>
        <w:jc w:val="center"/>
        <w:ind w:right="-1101"/>
        <w:spacing w:after="0"/>
        <w:rPr>
          <w:sz w:val="20"/>
          <w:szCs w:val="20"/>
          <w:color w:val="auto"/>
        </w:rPr>
      </w:pPr>
      <w:r>
        <w:rPr>
          <w:rFonts w:ascii="Arial" w:cs="Arial" w:eastAsia="Arial" w:hAnsi="Arial"/>
          <w:sz w:val="15"/>
          <w:szCs w:val="15"/>
          <w:b w:val="1"/>
          <w:bCs w:val="1"/>
          <w:color w:val="auto"/>
        </w:rPr>
        <w:t>Washington, D.C. 20549</w:t>
      </w:r>
    </w:p>
    <w:p>
      <w:pPr>
        <w:spacing w:after="0" w:line="117" w:lineRule="exact"/>
        <w:rPr>
          <w:sz w:val="24"/>
          <w:szCs w:val="24"/>
          <w:color w:val="auto"/>
        </w:rPr>
      </w:pPr>
    </w:p>
    <w:p>
      <w:pPr>
        <w:jc w:val="center"/>
        <w:ind w:right="-1101"/>
        <w:spacing w:after="0"/>
        <w:rPr>
          <w:sz w:val="20"/>
          <w:szCs w:val="20"/>
          <w:color w:val="auto"/>
        </w:rPr>
      </w:pPr>
      <w:r>
        <w:rPr>
          <w:rFonts w:ascii="Arial" w:cs="Arial" w:eastAsia="Arial" w:hAnsi="Arial"/>
          <w:sz w:val="16"/>
          <w:szCs w:val="16"/>
          <w:b w:val="1"/>
          <w:bCs w:val="1"/>
          <w:color w:val="auto"/>
        </w:rPr>
        <w:t>SCHEDULE 14A</w:t>
      </w:r>
    </w:p>
    <w:p>
      <w:pPr>
        <w:spacing w:after="0" w:line="153" w:lineRule="exact"/>
        <w:rPr>
          <w:sz w:val="24"/>
          <w:szCs w:val="24"/>
          <w:color w:val="auto"/>
        </w:rPr>
      </w:pPr>
    </w:p>
    <w:p>
      <w:pPr>
        <w:jc w:val="center"/>
        <w:ind w:right="-1101"/>
        <w:spacing w:after="0"/>
        <w:rPr>
          <w:sz w:val="20"/>
          <w:szCs w:val="20"/>
          <w:color w:val="auto"/>
        </w:rPr>
      </w:pPr>
      <w:r>
        <w:rPr>
          <w:rFonts w:ascii="Arial" w:cs="Arial" w:eastAsia="Arial" w:hAnsi="Arial"/>
          <w:sz w:val="15"/>
          <w:szCs w:val="15"/>
          <w:b w:val="1"/>
          <w:bCs w:val="1"/>
          <w:color w:val="auto"/>
        </w:rPr>
        <w:t>Proxy Statement Pursuant to Section 14(a) of</w:t>
      </w:r>
    </w:p>
    <w:p>
      <w:pPr>
        <w:spacing w:after="0" w:line="26" w:lineRule="exact"/>
        <w:rPr>
          <w:sz w:val="24"/>
          <w:szCs w:val="24"/>
          <w:color w:val="auto"/>
        </w:rPr>
      </w:pPr>
    </w:p>
    <w:p>
      <w:pPr>
        <w:jc w:val="center"/>
        <w:ind w:right="-1101"/>
        <w:spacing w:after="0"/>
        <w:rPr>
          <w:sz w:val="20"/>
          <w:szCs w:val="20"/>
          <w:color w:val="auto"/>
        </w:rPr>
      </w:pPr>
      <w:r>
        <w:rPr>
          <w:rFonts w:ascii="Arial" w:cs="Arial" w:eastAsia="Arial" w:hAnsi="Arial"/>
          <w:sz w:val="15"/>
          <w:szCs w:val="15"/>
          <w:b w:val="1"/>
          <w:bCs w:val="1"/>
          <w:color w:val="auto"/>
        </w:rPr>
        <w:t>The Securities Exchange Act of 1934 (Amendment No. )</w:t>
      </w:r>
    </w:p>
    <w:p>
      <w:pPr>
        <w:spacing w:after="0" w:line="88" w:lineRule="exact"/>
        <w:rPr>
          <w:sz w:val="24"/>
          <w:szCs w:val="24"/>
          <w:color w:val="auto"/>
        </w:rPr>
      </w:pPr>
    </w:p>
    <w:p>
      <w:pPr>
        <w:ind w:left="2"/>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p>
      <w:pPr>
        <w:spacing w:after="0" w:line="135" w:lineRule="exact"/>
        <w:rPr>
          <w:sz w:val="24"/>
          <w:szCs w:val="24"/>
          <w:color w:val="auto"/>
        </w:rPr>
      </w:pPr>
    </w:p>
    <w:p>
      <w:pPr>
        <w:ind w:left="2"/>
        <w:spacing w:after="0" w:line="173" w:lineRule="exact"/>
        <w:rPr>
          <w:sz w:val="20"/>
          <w:szCs w:val="20"/>
          <w:color w:val="auto"/>
        </w:rPr>
      </w:pP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69" w:lineRule="exact"/>
        <w:rPr>
          <w:sz w:val="24"/>
          <w:szCs w:val="24"/>
          <w:color w:val="auto"/>
        </w:rPr>
      </w:pPr>
    </w:p>
    <w:p>
      <w:pPr>
        <w:ind w:left="2"/>
        <w:spacing w:after="0"/>
        <w:rPr>
          <w:sz w:val="20"/>
          <w:szCs w:val="20"/>
          <w:color w:val="auto"/>
        </w:rPr>
      </w:pPr>
      <w:r>
        <w:rPr>
          <w:rFonts w:ascii="Arial" w:cs="Arial" w:eastAsia="Arial" w:hAnsi="Arial"/>
          <w:sz w:val="15"/>
          <w:szCs w:val="15"/>
          <w:color w:val="auto"/>
        </w:rPr>
        <w:t>Check the appropriate box:</w:t>
      </w:r>
    </w:p>
    <w:p>
      <w:pPr>
        <w:spacing w:after="0" w:line="135" w:lineRule="exact"/>
        <w:rPr>
          <w:sz w:val="24"/>
          <w:szCs w:val="24"/>
          <w:color w:val="auto"/>
        </w:rPr>
      </w:pPr>
    </w:p>
    <w:p>
      <w:pPr>
        <w:ind w:left="302" w:hanging="302"/>
        <w:spacing w:after="0"/>
        <w:tabs>
          <w:tab w:leader="none" w:pos="302"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Preliminary Proxy Statement</w:t>
      </w:r>
    </w:p>
    <w:p>
      <w:pPr>
        <w:spacing w:after="0" w:line="61" w:lineRule="exact"/>
        <w:rPr>
          <w:rFonts w:ascii="MS PGothic" w:cs="MS PGothic" w:eastAsia="MS PGothic" w:hAnsi="MS PGothic"/>
          <w:sz w:val="15"/>
          <w:szCs w:val="15"/>
          <w:color w:val="auto"/>
        </w:rPr>
      </w:pPr>
    </w:p>
    <w:p>
      <w:pPr>
        <w:ind w:left="2" w:right="4619" w:hanging="2"/>
        <w:spacing w:after="0" w:line="231" w:lineRule="exact"/>
        <w:tabs>
          <w:tab w:leader="none" w:pos="301"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xml:space="preserve">Confidential, for Use of the Commission Only (as permitted by Rule 14a-6(e)(2)) </w:t>
      </w:r>
      <w:r>
        <w:rPr>
          <w:rFonts w:ascii="MS PGothic" w:cs="MS PGothic" w:eastAsia="MS PGothic" w:hAnsi="MS PGothic"/>
          <w:sz w:val="15"/>
          <w:szCs w:val="15"/>
          <w:color w:val="auto"/>
        </w:rPr>
        <w:t>☒</w:t>
      </w:r>
      <w:r>
        <w:rPr>
          <w:rFonts w:ascii="Arial" w:cs="Arial" w:eastAsia="Arial" w:hAnsi="Arial"/>
          <w:sz w:val="15"/>
          <w:szCs w:val="15"/>
          <w:color w:val="auto"/>
        </w:rPr>
        <w:t xml:space="preserve"> Definitive Proxy Statement</w:t>
      </w:r>
    </w:p>
    <w:p>
      <w:pPr>
        <w:spacing w:after="0" w:line="30" w:lineRule="exact"/>
        <w:rPr>
          <w:rFonts w:ascii="MS PGothic" w:cs="MS PGothic" w:eastAsia="MS PGothic" w:hAnsi="MS PGothic"/>
          <w:sz w:val="15"/>
          <w:szCs w:val="15"/>
          <w:color w:val="auto"/>
        </w:rPr>
      </w:pPr>
    </w:p>
    <w:p>
      <w:pPr>
        <w:ind w:left="302" w:hanging="302"/>
        <w:spacing w:after="0"/>
        <w:tabs>
          <w:tab w:leader="none" w:pos="302"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Definitive Additional Materials</w:t>
      </w:r>
    </w:p>
    <w:p>
      <w:pPr>
        <w:spacing w:after="0" w:line="73" w:lineRule="exact"/>
        <w:rPr>
          <w:rFonts w:ascii="MS PGothic" w:cs="MS PGothic" w:eastAsia="MS PGothic" w:hAnsi="MS PGothic"/>
          <w:sz w:val="15"/>
          <w:szCs w:val="15"/>
          <w:color w:val="auto"/>
        </w:rPr>
      </w:pPr>
    </w:p>
    <w:p>
      <w:pPr>
        <w:ind w:left="302" w:hanging="302"/>
        <w:spacing w:after="0"/>
        <w:tabs>
          <w:tab w:leader="none" w:pos="302"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§240.14a-12</w:t>
      </w:r>
    </w:p>
    <w:p>
      <w:pPr>
        <w:spacing w:after="0" w:line="249" w:lineRule="exact"/>
        <w:rPr>
          <w:sz w:val="24"/>
          <w:szCs w:val="24"/>
          <w:color w:val="auto"/>
        </w:rPr>
      </w:pPr>
    </w:p>
    <w:p>
      <w:pPr>
        <w:jc w:val="center"/>
        <w:ind w:right="-1101"/>
        <w:spacing w:after="0"/>
        <w:rPr>
          <w:sz w:val="20"/>
          <w:szCs w:val="20"/>
          <w:color w:val="auto"/>
        </w:rPr>
      </w:pPr>
      <w:r>
        <w:rPr>
          <w:rFonts w:ascii="Arial" w:cs="Arial" w:eastAsia="Arial" w:hAnsi="Arial"/>
          <w:sz w:val="28"/>
          <w:szCs w:val="28"/>
          <w:b w:val="1"/>
          <w:bCs w:val="1"/>
          <w:color w:val="auto"/>
        </w:rPr>
        <w:t>Middlesex Water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43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172" w:lineRule="exact"/>
        <w:rPr>
          <w:sz w:val="24"/>
          <w:szCs w:val="24"/>
          <w:color w:val="auto"/>
        </w:rPr>
      </w:pPr>
    </w:p>
    <w:p>
      <w:pPr>
        <w:ind w:left="4082"/>
        <w:spacing w:after="0"/>
        <w:rPr>
          <w:sz w:val="20"/>
          <w:szCs w:val="20"/>
          <w:color w:val="auto"/>
        </w:rPr>
      </w:pPr>
      <w:r>
        <w:rPr>
          <w:rFonts w:ascii="Arial" w:cs="Arial" w:eastAsia="Arial" w:hAnsi="Arial"/>
          <w:sz w:val="15"/>
          <w:szCs w:val="15"/>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1443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88" w:lineRule="exact"/>
        <w:rPr>
          <w:sz w:val="24"/>
          <w:szCs w:val="24"/>
          <w:color w:val="auto"/>
        </w:rPr>
      </w:pPr>
    </w:p>
    <w:p>
      <w:pPr>
        <w:ind w:left="3282"/>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47" w:lineRule="exact"/>
        <w:rPr>
          <w:sz w:val="24"/>
          <w:szCs w:val="24"/>
          <w:color w:val="auto"/>
        </w:rPr>
      </w:pPr>
    </w:p>
    <w:p>
      <w:pPr>
        <w:ind w:left="2"/>
        <w:spacing w:after="0"/>
        <w:rPr>
          <w:sz w:val="20"/>
          <w:szCs w:val="20"/>
          <w:color w:val="auto"/>
        </w:rPr>
      </w:pPr>
      <w:r>
        <w:rPr>
          <w:rFonts w:ascii="Arial" w:cs="Arial" w:eastAsia="Arial" w:hAnsi="Arial"/>
          <w:sz w:val="15"/>
          <w:szCs w:val="15"/>
          <w:color w:val="auto"/>
        </w:rPr>
        <w:t>Payment of Filing Fee (Check the appropriate box):</w:t>
      </w:r>
    </w:p>
    <w:p>
      <w:pPr>
        <w:spacing w:after="0" w:line="135" w:lineRule="exact"/>
        <w:rPr>
          <w:sz w:val="24"/>
          <w:szCs w:val="24"/>
          <w:color w:val="auto"/>
        </w:rPr>
      </w:pPr>
    </w:p>
    <w:p>
      <w:pPr>
        <w:ind w:left="302" w:hanging="302"/>
        <w:spacing w:after="0"/>
        <w:tabs>
          <w:tab w:leader="none" w:pos="302"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74" w:lineRule="exact"/>
        <w:rPr>
          <w:sz w:val="24"/>
          <w:szCs w:val="24"/>
          <w:color w:val="auto"/>
        </w:rPr>
      </w:pPr>
    </w:p>
    <w:p>
      <w:pPr>
        <w:ind w:left="302" w:hanging="302"/>
        <w:spacing w:after="0"/>
        <w:tabs>
          <w:tab w:leader="none" w:pos="302"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61" w:lineRule="exact"/>
        <w:rPr>
          <w:rFonts w:ascii="MS PGothic" w:cs="MS PGothic" w:eastAsia="MS PGothic" w:hAnsi="MS PGothic"/>
          <w:sz w:val="15"/>
          <w:szCs w:val="15"/>
          <w:color w:val="auto"/>
        </w:rPr>
      </w:pPr>
    </w:p>
    <w:p>
      <w:pPr>
        <w:ind w:left="302" w:hanging="302"/>
        <w:spacing w:after="0"/>
        <w:tabs>
          <w:tab w:leader="none" w:pos="302"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807720</wp:posOffset>
            </wp:positionV>
            <wp:extent cx="7169785"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978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226695</wp:posOffset>
            </wp:positionV>
            <wp:extent cx="71443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141"/>
          </w:cols>
          <w:pgMar w:left="318" w:top="1247"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315595</wp:posOffset>
            </wp:positionV>
            <wp:extent cx="7169785" cy="8227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9785" cy="8227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768985</wp:posOffset>
            </wp:positionV>
            <wp:extent cx="1336675" cy="601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336675" cy="601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3"/>
          <w:szCs w:val="23"/>
          <w:b w:val="1"/>
          <w:bCs w:val="1"/>
          <w:color w:val="191769"/>
        </w:rPr>
        <w:t>Dear Valued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41910</wp:posOffset>
            </wp:positionV>
            <wp:extent cx="1117600" cy="1117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7600" cy="1117600"/>
                    </a:xfrm>
                    <a:prstGeom prst="rect">
                      <a:avLst/>
                    </a:prstGeom>
                    <a:noFill/>
                  </pic:spPr>
                </pic:pic>
              </a:graphicData>
            </a:graphic>
          </wp:anchor>
        </w:drawing>
      </w:r>
    </w:p>
    <w:p>
      <w:pPr>
        <w:spacing w:after="0" w:line="54" w:lineRule="exact"/>
        <w:rPr>
          <w:sz w:val="20"/>
          <w:szCs w:val="20"/>
          <w:color w:val="auto"/>
        </w:rPr>
      </w:pPr>
    </w:p>
    <w:p>
      <w:pPr>
        <w:ind w:left="2500" w:right="100"/>
        <w:spacing w:after="0" w:line="262" w:lineRule="auto"/>
        <w:rPr>
          <w:sz w:val="20"/>
          <w:szCs w:val="20"/>
          <w:color w:val="auto"/>
        </w:rPr>
      </w:pPr>
      <w:r>
        <w:rPr>
          <w:rFonts w:ascii="Arial" w:cs="Arial" w:eastAsia="Arial" w:hAnsi="Arial"/>
          <w:sz w:val="16"/>
          <w:szCs w:val="16"/>
          <w:color w:val="auto"/>
        </w:rPr>
        <w:t>I am pleased to invite you to Middlesex Water Company’s Annual Meeting of Shareholders which will be conducted virtually on Tuesday, May 19, 2026 at 11:00 a.m. EDT. Over the past two years, I have had the privilege to serve as your President and Chief Executive officer and since 2025, as Chair of the Board.</w:t>
      </w:r>
    </w:p>
    <w:p>
      <w:pPr>
        <w:spacing w:after="0" w:line="39" w:lineRule="exact"/>
        <w:rPr>
          <w:sz w:val="20"/>
          <w:szCs w:val="20"/>
          <w:color w:val="auto"/>
        </w:rPr>
      </w:pPr>
    </w:p>
    <w:p>
      <w:pPr>
        <w:ind w:left="20" w:right="160"/>
        <w:spacing w:after="0" w:line="261" w:lineRule="auto"/>
        <w:rPr>
          <w:sz w:val="20"/>
          <w:szCs w:val="20"/>
          <w:color w:val="auto"/>
        </w:rPr>
      </w:pPr>
      <w:r>
        <w:rPr>
          <w:rFonts w:ascii="Arial" w:cs="Arial" w:eastAsia="Arial" w:hAnsi="Arial"/>
          <w:sz w:val="16"/>
          <w:szCs w:val="16"/>
          <w:color w:val="auto"/>
        </w:rPr>
        <w:t>During this period, our leadership team has worked with purpose and discipline to position Middlesex Water for long term success with the development and implementation of our MWC2030 vision. Your engagement and continued support are essential to our success and we value the opportunity to share our progress with you. For 2025, our operating and financial performance remained strong, driven by disciplined execution of our strategic priorities within each of our five pillars: Employee Engagement, Operational Excellence, Customer Experience, Stakeholder Management and Selective and Sustainable Growth. These results underscore the strength of our strategy and our commitment to delivering long-term value to our shareholders.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HIGHLIGHTS</w:t>
      </w:r>
    </w:p>
    <w:p>
      <w:pPr>
        <w:spacing w:after="0" w:line="13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2025 financial performance reflects the strength of our strategy and the stability of our regulated business model. The Company delivered solid net income of $42.8 million and revenue of $194.7 million while continuing our long-standing commitment to shareholder returns, marked by 53 consecutive years of dividend increases. Diluted earnings per share remained resilient at $2.36, supported by disciplined cost management and prudent capital allocation. We also expanded our regulated footprint, welcoming approximately 3,000 new customers into our company, further strengthening our foundation for sustainable growth.</w:t>
      </w:r>
    </w:p>
    <w:p>
      <w:pPr>
        <w:spacing w:after="0" w:line="20" w:lineRule="exact"/>
        <w:rPr>
          <w:sz w:val="20"/>
          <w:szCs w:val="20"/>
          <w:color w:val="auto"/>
        </w:rPr>
      </w:pPr>
      <w:r>
        <w:rPr>
          <w:sz w:val="20"/>
          <w:szCs w:val="20"/>
          <w:color w:val="auto"/>
        </w:rPr>
        <w:br w:type="column"/>
      </w:r>
    </w:p>
    <w:p>
      <w:pPr>
        <w:ind w:left="2880"/>
        <w:spacing w:after="0"/>
        <w:rPr>
          <w:sz w:val="20"/>
          <w:szCs w:val="20"/>
          <w:color w:val="auto"/>
        </w:rPr>
      </w:pPr>
      <w:r>
        <w:rPr>
          <w:rFonts w:ascii="Arial" w:cs="Arial" w:eastAsia="Arial" w:hAnsi="Arial"/>
          <w:sz w:val="16"/>
          <w:szCs w:val="16"/>
          <w:color w:val="auto"/>
        </w:rPr>
        <w:t>Middlesex Water Company</w:t>
      </w:r>
    </w:p>
    <w:p>
      <w:pPr>
        <w:spacing w:after="0" w:line="29"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485C Route 1 South Suite 400</w:t>
      </w:r>
    </w:p>
    <w:p>
      <w:pPr>
        <w:spacing w:after="0" w:line="13"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Iselin, New Jersey 08830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STRATEGIC INFRASTRUCTURE INVESTMENT</w:t>
      </w:r>
    </w:p>
    <w:p>
      <w:pPr>
        <w:spacing w:after="0" w:line="136"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Strategic investment in infrastructure remains at the core of our value proposition. In 2025, the company invested $96.4 million to upgrade, replace and enhance the resiliency of its water and wastewater utility infrastructure. In addition, from 2026 through 2028, we plan to invest approximately $506 million in infrastructure investments, which includes approximately $255 million to install treatment for Perfluoroalkyl Substances at our Carl J. Olsen surface water treatment plant in Edison, New Jersey.</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As we look ahead, I want to express my sincere gratitude for</w:t>
      </w:r>
    </w:p>
    <w:p>
      <w:pPr>
        <w:spacing w:after="0" w:line="29"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your continued confidence in Middlesex Water Company. Your trust enables us to fulfill our mission of delivering safe, reliable, and life-sustaining water and wastewater services to the communities we are privileged to serve. We remain steadfast in our commitment to disciplined execution, long-term value creation, and responsible stewardship—today and for generations to come.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750570" cy="344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50570" cy="344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Nadine Leslie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Chair, President and Chief Executive Officer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April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3700" w:type="dxa"/>
        <w:tblCellMar>
          <w:top w:w="0" w:type="dxa"/>
          <w:left w:w="0" w:type="dxa"/>
          <w:bottom w:w="0" w:type="dxa"/>
          <w:right w:w="0" w:type="dxa"/>
        </w:tblCellMar>
      </w:tblPr>
      <w:tr>
        <w:trPr>
          <w:trHeight w:val="209"/>
        </w:trPr>
        <w:tc>
          <w:tcPr>
            <w:tcW w:w="1440" w:type="dxa"/>
            <w:vAlign w:val="bottom"/>
            <w:tcBorders>
              <w:right w:val="single" w:sz="8" w:color="00AEEF"/>
            </w:tcBorders>
          </w:tcPr>
          <w:p>
            <w:pPr>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60" w:type="dxa"/>
            <w:vAlign w:val="bottom"/>
          </w:tcPr>
          <w:p>
            <w:pPr>
              <w:jc w:val="right"/>
              <w:spacing w:after="0"/>
              <w:rPr>
                <w:sz w:val="20"/>
                <w:szCs w:val="20"/>
                <w:color w:val="auto"/>
              </w:rPr>
            </w:pPr>
            <w:r>
              <w:rPr>
                <w:rFonts w:ascii="Arial" w:cs="Arial" w:eastAsia="Arial" w:hAnsi="Arial"/>
                <w:sz w:val="13"/>
                <w:szCs w:val="13"/>
                <w:b w:val="1"/>
                <w:bCs w:val="1"/>
                <w:color w:val="191769"/>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190500</wp:posOffset>
            </wp:positionV>
            <wp:extent cx="716978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2">
            <w:col w:w="5420" w:space="300"/>
            <w:col w:w="5500"/>
          </w:cols>
          <w:pgMar w:left="320" w:top="1415" w:right="359" w:bottom="1440" w:gutter="0" w:footer="0" w:header="0"/>
        </w:sectPr>
      </w:pPr>
    </w:p>
    <w:bookmarkStart w:id="3" w:name="page4"/>
    <w:bookmarkEnd w:id="3"/>
    <w:p>
      <w:pPr>
        <w:spacing w:after="0"/>
        <w:rPr>
          <w:sz w:val="20"/>
          <w:szCs w:val="20"/>
          <w:color w:val="auto"/>
        </w:rPr>
      </w:pPr>
      <w:r>
        <w:rPr>
          <w:rFonts w:ascii="Arial" w:cs="Arial" w:eastAsia="Arial" w:hAnsi="Arial"/>
          <w:sz w:val="46"/>
          <w:szCs w:val="46"/>
          <w:color w:val="191769"/>
        </w:rPr>
        <w:t>Table of Contents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ind w:left="20"/>
              <w:spacing w:after="0"/>
              <w:rPr>
                <w:sz w:val="20"/>
                <w:szCs w:val="20"/>
                <w:color w:val="auto"/>
              </w:rPr>
            </w:pPr>
            <w:r>
              <w:rPr>
                <w:rFonts w:ascii="Arial" w:cs="Arial" w:eastAsia="Arial" w:hAnsi="Arial"/>
                <w:sz w:val="15"/>
                <w:szCs w:val="15"/>
                <w:b w:val="1"/>
                <w:bCs w:val="1"/>
                <w:color w:val="191769"/>
              </w:rPr>
              <w:t>Notice of 2026 Annual Meeting of Shareholders to be Held on May</w:t>
            </w:r>
          </w:p>
        </w:tc>
        <w:tc>
          <w:tcPr>
            <w:tcW w:w="480" w:type="dxa"/>
            <w:vAlign w:val="bottom"/>
          </w:tcPr>
          <w:p>
            <w:pPr>
              <w:jc w:val="right"/>
              <w:spacing w:after="0"/>
              <w:rPr>
                <w:sz w:val="20"/>
                <w:szCs w:val="20"/>
                <w:color w:val="auto"/>
              </w:rPr>
            </w:pPr>
            <w:r>
              <w:rPr>
                <w:rFonts w:ascii="Arial" w:cs="Arial" w:eastAsia="Arial" w:hAnsi="Arial"/>
                <w:sz w:val="15"/>
                <w:szCs w:val="15"/>
                <w:b w:val="1"/>
                <w:bCs w:val="1"/>
                <w:color w:val="191769"/>
              </w:rPr>
              <w:t>4</w:t>
            </w:r>
          </w:p>
        </w:tc>
      </w:tr>
      <w:tr>
        <w:trPr>
          <w:trHeight w:val="205"/>
        </w:trPr>
        <w:tc>
          <w:tcPr>
            <w:tcW w:w="4940" w:type="dxa"/>
            <w:vAlign w:val="bottom"/>
            <w:tcBorders>
              <w:bottom w:val="single" w:sz="8" w:color="00AEEF"/>
            </w:tcBorders>
          </w:tcPr>
          <w:p>
            <w:pPr>
              <w:ind w:left="20"/>
              <w:spacing w:after="0"/>
              <w:rPr>
                <w:sz w:val="20"/>
                <w:szCs w:val="20"/>
                <w:color w:val="auto"/>
              </w:rPr>
            </w:pPr>
            <w:r>
              <w:rPr>
                <w:rFonts w:ascii="Arial" w:cs="Arial" w:eastAsia="Arial" w:hAnsi="Arial"/>
                <w:sz w:val="15"/>
                <w:szCs w:val="15"/>
                <w:b w:val="1"/>
                <w:bCs w:val="1"/>
                <w:color w:val="191769"/>
              </w:rPr>
              <w:t>19, 2026</w:t>
            </w:r>
          </w:p>
        </w:tc>
        <w:tc>
          <w:tcPr>
            <w:tcW w:w="480" w:type="dxa"/>
            <w:vAlign w:val="bottom"/>
            <w:tcBorders>
              <w:bottom w:val="single" w:sz="8" w:color="00AEEF"/>
            </w:tcBorders>
          </w:tcPr>
          <w:p>
            <w:pPr>
              <w:spacing w:after="0"/>
              <w:rPr>
                <w:sz w:val="17"/>
                <w:szCs w:val="17"/>
                <w:color w:val="auto"/>
              </w:rPr>
            </w:pPr>
          </w:p>
        </w:tc>
      </w:tr>
      <w:tr>
        <w:trPr>
          <w:trHeight w:val="251"/>
        </w:trPr>
        <w:tc>
          <w:tcPr>
            <w:tcW w:w="4940" w:type="dxa"/>
            <w:vAlign w:val="bottom"/>
            <w:tcBorders>
              <w:bottom w:val="single" w:sz="8" w:color="00AEEF"/>
            </w:tcBorders>
          </w:tcPr>
          <w:p>
            <w:pPr>
              <w:ind w:left="20"/>
              <w:spacing w:after="0"/>
              <w:rPr>
                <w:sz w:val="20"/>
                <w:szCs w:val="20"/>
                <w:color w:val="auto"/>
              </w:rPr>
            </w:pPr>
            <w:r>
              <w:rPr>
                <w:rFonts w:ascii="Arial" w:cs="Arial" w:eastAsia="Arial" w:hAnsi="Arial"/>
                <w:sz w:val="15"/>
                <w:szCs w:val="15"/>
                <w:b w:val="1"/>
                <w:bCs w:val="1"/>
                <w:color w:val="191769"/>
              </w:rPr>
              <w:t>Proxy Statement Summary</w:t>
            </w:r>
          </w:p>
        </w:tc>
        <w:tc>
          <w:tcPr>
            <w:tcW w:w="480" w:type="dxa"/>
            <w:vAlign w:val="bottom"/>
            <w:tcBorders>
              <w:bottom w:val="single" w:sz="8" w:color="00AEEF"/>
            </w:tcBorders>
          </w:tcPr>
          <w:p>
            <w:pPr>
              <w:jc w:val="right"/>
              <w:spacing w:after="0"/>
              <w:rPr>
                <w:sz w:val="20"/>
                <w:szCs w:val="20"/>
                <w:color w:val="auto"/>
              </w:rPr>
            </w:pPr>
            <w:r>
              <w:rPr>
                <w:rFonts w:ascii="Arial" w:cs="Arial" w:eastAsia="Arial" w:hAnsi="Arial"/>
                <w:sz w:val="15"/>
                <w:szCs w:val="15"/>
                <w:b w:val="1"/>
                <w:bCs w:val="1"/>
                <w:color w:val="191769"/>
              </w:rPr>
              <w:t>5</w:t>
            </w:r>
          </w:p>
        </w:tc>
      </w:tr>
      <w:tr>
        <w:trPr>
          <w:trHeight w:val="300"/>
        </w:trPr>
        <w:tc>
          <w:tcPr>
            <w:tcW w:w="4940" w:type="dxa"/>
            <w:vAlign w:val="bottom"/>
            <w:tcBorders>
              <w:bottom w:val="single" w:sz="8" w:color="00AEEF"/>
            </w:tcBorders>
          </w:tcPr>
          <w:p>
            <w:pPr>
              <w:ind w:left="20"/>
              <w:spacing w:after="0"/>
              <w:rPr>
                <w:sz w:val="20"/>
                <w:szCs w:val="20"/>
                <w:color w:val="auto"/>
              </w:rPr>
            </w:pPr>
            <w:r>
              <w:rPr>
                <w:rFonts w:ascii="Arial" w:cs="Arial" w:eastAsia="Arial" w:hAnsi="Arial"/>
                <w:sz w:val="15"/>
                <w:szCs w:val="15"/>
                <w:b w:val="1"/>
                <w:bCs w:val="1"/>
                <w:color w:val="191769"/>
              </w:rPr>
              <w:t>General Information</w:t>
            </w:r>
          </w:p>
        </w:tc>
        <w:tc>
          <w:tcPr>
            <w:tcW w:w="480" w:type="dxa"/>
            <w:vAlign w:val="bottom"/>
            <w:tcBorders>
              <w:bottom w:val="single" w:sz="8" w:color="00AEEF"/>
            </w:tcBorders>
          </w:tcPr>
          <w:p>
            <w:pPr>
              <w:jc w:val="right"/>
              <w:spacing w:after="0"/>
              <w:rPr>
                <w:sz w:val="20"/>
                <w:szCs w:val="20"/>
                <w:color w:val="auto"/>
              </w:rPr>
            </w:pPr>
            <w:r>
              <w:rPr>
                <w:rFonts w:ascii="Arial" w:cs="Arial" w:eastAsia="Arial" w:hAnsi="Arial"/>
                <w:sz w:val="15"/>
                <w:szCs w:val="15"/>
                <w:b w:val="1"/>
                <w:bCs w:val="1"/>
                <w:color w:val="191769"/>
              </w:rPr>
              <w:t>6</w:t>
            </w:r>
          </w:p>
        </w:tc>
      </w:tr>
      <w:tr>
        <w:trPr>
          <w:trHeight w:val="260"/>
        </w:trPr>
        <w:tc>
          <w:tcPr>
            <w:tcW w:w="4940" w:type="dxa"/>
            <w:vAlign w:val="bottom"/>
          </w:tcPr>
          <w:p>
            <w:pPr>
              <w:ind w:left="340"/>
              <w:spacing w:after="0"/>
              <w:rPr>
                <w:sz w:val="20"/>
                <w:szCs w:val="20"/>
                <w:color w:val="auto"/>
              </w:rPr>
            </w:pPr>
            <w:r>
              <w:rPr>
                <w:rFonts w:ascii="Arial" w:cs="Arial" w:eastAsia="Arial" w:hAnsi="Arial"/>
                <w:sz w:val="11"/>
                <w:szCs w:val="11"/>
                <w:b w:val="1"/>
                <w:bCs w:val="1"/>
                <w:color w:val="0076A8"/>
              </w:rPr>
              <w:t>PROPOSAL 1</w:t>
            </w:r>
          </w:p>
        </w:tc>
        <w:tc>
          <w:tcPr>
            <w:tcW w:w="480" w:type="dxa"/>
            <w:vAlign w:val="bottom"/>
          </w:tcPr>
          <w:p>
            <w:pPr>
              <w:spacing w:after="0"/>
              <w:rPr>
                <w:sz w:val="22"/>
                <w:szCs w:val="22"/>
                <w:color w:val="auto"/>
              </w:rPr>
            </w:pPr>
          </w:p>
        </w:tc>
      </w:tr>
      <w:tr>
        <w:trPr>
          <w:trHeight w:val="299"/>
        </w:trPr>
        <w:tc>
          <w:tcPr>
            <w:tcW w:w="4940" w:type="dxa"/>
            <w:vAlign w:val="bottom"/>
            <w:tcBorders>
              <w:bottom w:val="single" w:sz="8" w:color="00AEEF"/>
            </w:tcBorders>
          </w:tcPr>
          <w:p>
            <w:pPr>
              <w:ind w:left="20"/>
              <w:spacing w:after="0"/>
              <w:rPr>
                <w:sz w:val="20"/>
                <w:szCs w:val="20"/>
                <w:color w:val="auto"/>
              </w:rPr>
            </w:pPr>
            <w:r>
              <w:rPr>
                <w:rFonts w:ascii="Arial" w:cs="Arial" w:eastAsia="Arial" w:hAnsi="Arial"/>
                <w:sz w:val="15"/>
                <w:szCs w:val="15"/>
                <w:b w:val="1"/>
                <w:bCs w:val="1"/>
                <w:color w:val="191769"/>
              </w:rPr>
              <w:t>Election of Directors</w:t>
            </w:r>
          </w:p>
        </w:tc>
        <w:tc>
          <w:tcPr>
            <w:tcW w:w="480" w:type="dxa"/>
            <w:vAlign w:val="bottom"/>
            <w:tcBorders>
              <w:bottom w:val="single" w:sz="8" w:color="00AEEF"/>
            </w:tcBorders>
          </w:tcPr>
          <w:p>
            <w:pPr>
              <w:jc w:val="right"/>
              <w:spacing w:after="0"/>
              <w:rPr>
                <w:sz w:val="20"/>
                <w:szCs w:val="20"/>
                <w:color w:val="auto"/>
              </w:rPr>
            </w:pPr>
            <w:r>
              <w:rPr>
                <w:rFonts w:ascii="Arial" w:cs="Arial" w:eastAsia="Arial" w:hAnsi="Arial"/>
                <w:sz w:val="15"/>
                <w:szCs w:val="15"/>
                <w:b w:val="1"/>
                <w:bCs w:val="1"/>
                <w:color w:val="191769"/>
              </w:rPr>
              <w:t>9</w:t>
            </w:r>
          </w:p>
        </w:tc>
      </w:tr>
      <w:tr>
        <w:trPr>
          <w:trHeight w:val="239"/>
        </w:trPr>
        <w:tc>
          <w:tcPr>
            <w:tcW w:w="4940" w:type="dxa"/>
            <w:vAlign w:val="bottom"/>
          </w:tcPr>
          <w:p>
            <w:pPr>
              <w:ind w:left="20"/>
              <w:spacing w:after="0"/>
              <w:rPr>
                <w:sz w:val="20"/>
                <w:szCs w:val="20"/>
                <w:color w:val="auto"/>
              </w:rPr>
            </w:pPr>
            <w:r>
              <w:rPr>
                <w:rFonts w:ascii="Arial" w:cs="Arial" w:eastAsia="Arial" w:hAnsi="Arial"/>
                <w:sz w:val="15"/>
                <w:szCs w:val="15"/>
                <w:color w:val="auto"/>
              </w:rPr>
              <w:t>Nominees for the Board of Directors</w:t>
            </w:r>
          </w:p>
        </w:tc>
        <w:tc>
          <w:tcPr>
            <w:tcW w:w="48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22"/>
        </w:trPr>
        <w:tc>
          <w:tcPr>
            <w:tcW w:w="4940" w:type="dxa"/>
            <w:vAlign w:val="bottom"/>
          </w:tcPr>
          <w:p>
            <w:pPr>
              <w:ind w:left="20"/>
              <w:spacing w:after="0"/>
              <w:rPr>
                <w:sz w:val="20"/>
                <w:szCs w:val="20"/>
                <w:color w:val="auto"/>
              </w:rPr>
            </w:pPr>
            <w:r>
              <w:rPr>
                <w:rFonts w:ascii="Arial" w:cs="Arial" w:eastAsia="Arial" w:hAnsi="Arial"/>
                <w:sz w:val="15"/>
                <w:szCs w:val="15"/>
                <w:color w:val="auto"/>
              </w:rPr>
              <w:t>Directors Not Standing for Election in 2026</w:t>
            </w:r>
          </w:p>
        </w:tc>
        <w:tc>
          <w:tcPr>
            <w:tcW w:w="48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33"/>
        </w:trPr>
        <w:tc>
          <w:tcPr>
            <w:tcW w:w="4940" w:type="dxa"/>
            <w:vAlign w:val="bottom"/>
            <w:tcBorders>
              <w:bottom w:val="single" w:sz="8" w:color="00AEEF"/>
            </w:tcBorders>
          </w:tcPr>
          <w:p>
            <w:pPr>
              <w:ind w:left="20"/>
              <w:spacing w:after="0"/>
              <w:rPr>
                <w:sz w:val="20"/>
                <w:szCs w:val="20"/>
                <w:color w:val="auto"/>
              </w:rPr>
            </w:pPr>
            <w:r>
              <w:rPr>
                <w:rFonts w:ascii="Arial" w:cs="Arial" w:eastAsia="Arial" w:hAnsi="Arial"/>
                <w:sz w:val="15"/>
                <w:szCs w:val="15"/>
                <w:b w:val="1"/>
                <w:bCs w:val="1"/>
                <w:color w:val="191769"/>
              </w:rPr>
              <w:t>Director Compensation and Equity Ownership Guidelines</w:t>
            </w:r>
          </w:p>
        </w:tc>
        <w:tc>
          <w:tcPr>
            <w:tcW w:w="480" w:type="dxa"/>
            <w:vAlign w:val="bottom"/>
            <w:tcBorders>
              <w:bottom w:val="single" w:sz="8" w:color="00AEEF"/>
            </w:tcBorders>
          </w:tcPr>
          <w:p>
            <w:pPr>
              <w:jc w:val="right"/>
              <w:spacing w:after="0"/>
              <w:rPr>
                <w:sz w:val="20"/>
                <w:szCs w:val="20"/>
                <w:color w:val="auto"/>
              </w:rPr>
            </w:pPr>
            <w:r>
              <w:rPr>
                <w:rFonts w:ascii="Arial" w:cs="Arial" w:eastAsia="Arial" w:hAnsi="Arial"/>
                <w:sz w:val="15"/>
                <w:szCs w:val="15"/>
                <w:b w:val="1"/>
                <w:bCs w:val="1"/>
                <w:color w:val="191769"/>
              </w:rPr>
              <w:t>16</w:t>
            </w:r>
          </w:p>
        </w:tc>
      </w:tr>
      <w:tr>
        <w:trPr>
          <w:trHeight w:val="239"/>
        </w:trPr>
        <w:tc>
          <w:tcPr>
            <w:tcW w:w="4940" w:type="dxa"/>
            <w:vAlign w:val="bottom"/>
          </w:tcPr>
          <w:p>
            <w:pPr>
              <w:ind w:left="20"/>
              <w:spacing w:after="0"/>
              <w:rPr>
                <w:sz w:val="20"/>
                <w:szCs w:val="20"/>
                <w:color w:val="auto"/>
              </w:rPr>
            </w:pPr>
            <w:r>
              <w:rPr>
                <w:rFonts w:ascii="Arial" w:cs="Arial" w:eastAsia="Arial" w:hAnsi="Arial"/>
                <w:sz w:val="15"/>
                <w:szCs w:val="15"/>
                <w:color w:val="auto"/>
              </w:rPr>
              <w:t>Director Compensation</w:t>
            </w:r>
          </w:p>
        </w:tc>
        <w:tc>
          <w:tcPr>
            <w:tcW w:w="48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22"/>
        </w:trPr>
        <w:tc>
          <w:tcPr>
            <w:tcW w:w="4940" w:type="dxa"/>
            <w:vAlign w:val="bottom"/>
          </w:tcPr>
          <w:p>
            <w:pPr>
              <w:ind w:left="20"/>
              <w:spacing w:after="0"/>
              <w:rPr>
                <w:sz w:val="20"/>
                <w:szCs w:val="20"/>
                <w:color w:val="auto"/>
              </w:rPr>
            </w:pPr>
            <w:r>
              <w:rPr>
                <w:rFonts w:ascii="Arial" w:cs="Arial" w:eastAsia="Arial" w:hAnsi="Arial"/>
                <w:sz w:val="15"/>
                <w:szCs w:val="15"/>
                <w:color w:val="auto"/>
              </w:rPr>
              <w:t>Director Compensation Table</w:t>
            </w:r>
          </w:p>
        </w:tc>
        <w:tc>
          <w:tcPr>
            <w:tcW w:w="48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22"/>
        </w:trPr>
        <w:tc>
          <w:tcPr>
            <w:tcW w:w="4940" w:type="dxa"/>
            <w:vAlign w:val="bottom"/>
          </w:tcPr>
          <w:p>
            <w:pPr>
              <w:ind w:left="20"/>
              <w:spacing w:after="0"/>
              <w:rPr>
                <w:sz w:val="20"/>
                <w:szCs w:val="20"/>
                <w:color w:val="auto"/>
              </w:rPr>
            </w:pPr>
            <w:r>
              <w:rPr>
                <w:rFonts w:ascii="Arial" w:cs="Arial" w:eastAsia="Arial" w:hAnsi="Arial"/>
                <w:sz w:val="15"/>
                <w:szCs w:val="15"/>
                <w:color w:val="auto"/>
              </w:rPr>
              <w:t>Director Equity Ownership and Board Attendance</w:t>
            </w:r>
          </w:p>
        </w:tc>
        <w:tc>
          <w:tcPr>
            <w:tcW w:w="48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233"/>
        </w:trPr>
        <w:tc>
          <w:tcPr>
            <w:tcW w:w="4940" w:type="dxa"/>
            <w:vAlign w:val="bottom"/>
            <w:tcBorders>
              <w:bottom w:val="single" w:sz="8" w:color="00AEEF"/>
            </w:tcBorders>
          </w:tcPr>
          <w:p>
            <w:pPr>
              <w:ind w:left="20"/>
              <w:spacing w:after="0"/>
              <w:rPr>
                <w:sz w:val="20"/>
                <w:szCs w:val="20"/>
                <w:color w:val="auto"/>
              </w:rPr>
            </w:pPr>
            <w:r>
              <w:rPr>
                <w:rFonts w:ascii="Arial" w:cs="Arial" w:eastAsia="Arial" w:hAnsi="Arial"/>
                <w:sz w:val="15"/>
                <w:szCs w:val="15"/>
                <w:b w:val="1"/>
                <w:bCs w:val="1"/>
                <w:color w:val="191769"/>
              </w:rPr>
              <w:t>Corporate Governance</w:t>
            </w:r>
          </w:p>
        </w:tc>
        <w:tc>
          <w:tcPr>
            <w:tcW w:w="480" w:type="dxa"/>
            <w:vAlign w:val="bottom"/>
            <w:tcBorders>
              <w:bottom w:val="single" w:sz="8" w:color="00AEEF"/>
            </w:tcBorders>
          </w:tcPr>
          <w:p>
            <w:pPr>
              <w:jc w:val="right"/>
              <w:spacing w:after="0"/>
              <w:rPr>
                <w:sz w:val="20"/>
                <w:szCs w:val="20"/>
                <w:color w:val="auto"/>
              </w:rPr>
            </w:pPr>
            <w:r>
              <w:rPr>
                <w:rFonts w:ascii="Arial" w:cs="Arial" w:eastAsia="Arial" w:hAnsi="Arial"/>
                <w:sz w:val="15"/>
                <w:szCs w:val="15"/>
                <w:b w:val="1"/>
                <w:bCs w:val="1"/>
                <w:color w:val="191769"/>
              </w:rPr>
              <w:t>18</w:t>
            </w:r>
          </w:p>
        </w:tc>
      </w:tr>
      <w:tr>
        <w:trPr>
          <w:trHeight w:val="239"/>
        </w:trPr>
        <w:tc>
          <w:tcPr>
            <w:tcW w:w="4940" w:type="dxa"/>
            <w:vAlign w:val="bottom"/>
          </w:tcPr>
          <w:p>
            <w:pPr>
              <w:ind w:left="20"/>
              <w:spacing w:after="0"/>
              <w:rPr>
                <w:sz w:val="20"/>
                <w:szCs w:val="20"/>
                <w:color w:val="auto"/>
              </w:rPr>
            </w:pPr>
            <w:r>
              <w:rPr>
                <w:rFonts w:ascii="Arial" w:cs="Arial" w:eastAsia="Arial" w:hAnsi="Arial"/>
                <w:sz w:val="15"/>
                <w:szCs w:val="15"/>
                <w:color w:val="auto"/>
              </w:rPr>
              <w:t>Key Highlights</w:t>
            </w:r>
          </w:p>
        </w:tc>
        <w:tc>
          <w:tcPr>
            <w:tcW w:w="48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222"/>
        </w:trPr>
        <w:tc>
          <w:tcPr>
            <w:tcW w:w="4940" w:type="dxa"/>
            <w:vAlign w:val="bottom"/>
          </w:tcPr>
          <w:p>
            <w:pPr>
              <w:ind w:left="20"/>
              <w:spacing w:after="0"/>
              <w:rPr>
                <w:sz w:val="20"/>
                <w:szCs w:val="20"/>
                <w:color w:val="auto"/>
              </w:rPr>
            </w:pPr>
            <w:r>
              <w:rPr>
                <w:rFonts w:ascii="Arial" w:cs="Arial" w:eastAsia="Arial" w:hAnsi="Arial"/>
                <w:sz w:val="15"/>
                <w:szCs w:val="15"/>
                <w:color w:val="auto"/>
              </w:rPr>
              <w:t>Code of Ethics and Corporate Governance Guidelines</w:t>
            </w:r>
          </w:p>
        </w:tc>
        <w:tc>
          <w:tcPr>
            <w:tcW w:w="48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222"/>
        </w:trPr>
        <w:tc>
          <w:tcPr>
            <w:tcW w:w="4940" w:type="dxa"/>
            <w:vAlign w:val="bottom"/>
          </w:tcPr>
          <w:p>
            <w:pPr>
              <w:ind w:left="20"/>
              <w:spacing w:after="0"/>
              <w:rPr>
                <w:sz w:val="20"/>
                <w:szCs w:val="20"/>
                <w:color w:val="auto"/>
              </w:rPr>
            </w:pPr>
            <w:r>
              <w:rPr>
                <w:rFonts w:ascii="Arial" w:cs="Arial" w:eastAsia="Arial" w:hAnsi="Arial"/>
                <w:sz w:val="15"/>
                <w:szCs w:val="15"/>
                <w:color w:val="auto"/>
              </w:rPr>
              <w:t>Code of Business Conduct</w:t>
            </w:r>
          </w:p>
        </w:tc>
        <w:tc>
          <w:tcPr>
            <w:tcW w:w="48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222"/>
        </w:trPr>
        <w:tc>
          <w:tcPr>
            <w:tcW w:w="4940" w:type="dxa"/>
            <w:vAlign w:val="bottom"/>
          </w:tcPr>
          <w:p>
            <w:pPr>
              <w:ind w:left="20"/>
              <w:spacing w:after="0"/>
              <w:rPr>
                <w:sz w:val="20"/>
                <w:szCs w:val="20"/>
                <w:color w:val="auto"/>
              </w:rPr>
            </w:pPr>
            <w:r>
              <w:rPr>
                <w:rFonts w:ascii="Arial" w:cs="Arial" w:eastAsia="Arial" w:hAnsi="Arial"/>
                <w:sz w:val="15"/>
                <w:szCs w:val="15"/>
                <w:color w:val="auto"/>
              </w:rPr>
              <w:t>Board Structure and Composition</w:t>
            </w:r>
          </w:p>
        </w:tc>
        <w:tc>
          <w:tcPr>
            <w:tcW w:w="48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222"/>
        </w:trPr>
        <w:tc>
          <w:tcPr>
            <w:tcW w:w="4940" w:type="dxa"/>
            <w:vAlign w:val="bottom"/>
          </w:tcPr>
          <w:p>
            <w:pPr>
              <w:ind w:left="20"/>
              <w:spacing w:after="0"/>
              <w:rPr>
                <w:sz w:val="20"/>
                <w:szCs w:val="20"/>
                <w:color w:val="auto"/>
              </w:rPr>
            </w:pPr>
            <w:r>
              <w:rPr>
                <w:rFonts w:ascii="Arial" w:cs="Arial" w:eastAsia="Arial" w:hAnsi="Arial"/>
                <w:sz w:val="15"/>
                <w:szCs w:val="15"/>
                <w:color w:val="auto"/>
              </w:rPr>
              <w:t>Board Composition</w:t>
            </w:r>
          </w:p>
        </w:tc>
        <w:tc>
          <w:tcPr>
            <w:tcW w:w="48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22"/>
        </w:trPr>
        <w:tc>
          <w:tcPr>
            <w:tcW w:w="4940" w:type="dxa"/>
            <w:vAlign w:val="bottom"/>
          </w:tcPr>
          <w:p>
            <w:pPr>
              <w:ind w:left="20"/>
              <w:spacing w:after="0"/>
              <w:rPr>
                <w:sz w:val="20"/>
                <w:szCs w:val="20"/>
                <w:color w:val="auto"/>
              </w:rPr>
            </w:pPr>
            <w:r>
              <w:rPr>
                <w:rFonts w:ascii="Arial" w:cs="Arial" w:eastAsia="Arial" w:hAnsi="Arial"/>
                <w:sz w:val="15"/>
                <w:szCs w:val="15"/>
                <w:color w:val="auto"/>
              </w:rPr>
              <w:t>Board Role in Risk Oversight</w:t>
            </w:r>
          </w:p>
        </w:tc>
        <w:tc>
          <w:tcPr>
            <w:tcW w:w="48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22"/>
        </w:trPr>
        <w:tc>
          <w:tcPr>
            <w:tcW w:w="4940" w:type="dxa"/>
            <w:vAlign w:val="bottom"/>
          </w:tcPr>
          <w:p>
            <w:pPr>
              <w:ind w:left="20"/>
              <w:spacing w:after="0"/>
              <w:rPr>
                <w:sz w:val="20"/>
                <w:szCs w:val="20"/>
                <w:color w:val="auto"/>
              </w:rPr>
            </w:pPr>
            <w:r>
              <w:rPr>
                <w:rFonts w:ascii="Arial" w:cs="Arial" w:eastAsia="Arial" w:hAnsi="Arial"/>
                <w:sz w:val="15"/>
                <w:szCs w:val="15"/>
                <w:color w:val="auto"/>
              </w:rPr>
              <w:t>Board Policies</w:t>
            </w:r>
          </w:p>
        </w:tc>
        <w:tc>
          <w:tcPr>
            <w:tcW w:w="48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22"/>
        </w:trPr>
        <w:tc>
          <w:tcPr>
            <w:tcW w:w="4940" w:type="dxa"/>
            <w:vAlign w:val="bottom"/>
          </w:tcPr>
          <w:p>
            <w:pPr>
              <w:ind w:left="20"/>
              <w:spacing w:after="0"/>
              <w:rPr>
                <w:sz w:val="20"/>
                <w:szCs w:val="20"/>
                <w:color w:val="auto"/>
              </w:rPr>
            </w:pPr>
            <w:r>
              <w:rPr>
                <w:rFonts w:ascii="Arial" w:cs="Arial" w:eastAsia="Arial" w:hAnsi="Arial"/>
                <w:sz w:val="15"/>
                <w:szCs w:val="15"/>
                <w:color w:val="auto"/>
              </w:rPr>
              <w:t>Advance Notice of Business to be Conducted at the Annual Meeting</w:t>
            </w:r>
          </w:p>
        </w:tc>
        <w:tc>
          <w:tcPr>
            <w:tcW w:w="48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222"/>
        </w:trPr>
        <w:tc>
          <w:tcPr>
            <w:tcW w:w="4940" w:type="dxa"/>
            <w:vAlign w:val="bottom"/>
          </w:tcPr>
          <w:p>
            <w:pPr>
              <w:ind w:left="20"/>
              <w:spacing w:after="0"/>
              <w:rPr>
                <w:sz w:val="20"/>
                <w:szCs w:val="20"/>
                <w:color w:val="auto"/>
              </w:rPr>
            </w:pPr>
            <w:r>
              <w:rPr>
                <w:rFonts w:ascii="Arial" w:cs="Arial" w:eastAsia="Arial" w:hAnsi="Arial"/>
                <w:sz w:val="15"/>
                <w:szCs w:val="15"/>
                <w:color w:val="auto"/>
              </w:rPr>
              <w:t>Shareholder Engagement</w:t>
            </w:r>
          </w:p>
        </w:tc>
        <w:tc>
          <w:tcPr>
            <w:tcW w:w="48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222"/>
        </w:trPr>
        <w:tc>
          <w:tcPr>
            <w:tcW w:w="4940" w:type="dxa"/>
            <w:vAlign w:val="bottom"/>
          </w:tcPr>
          <w:p>
            <w:pPr>
              <w:ind w:left="20"/>
              <w:spacing w:after="0"/>
              <w:rPr>
                <w:sz w:val="20"/>
                <w:szCs w:val="20"/>
                <w:color w:val="auto"/>
              </w:rPr>
            </w:pPr>
            <w:r>
              <w:rPr>
                <w:rFonts w:ascii="Arial" w:cs="Arial" w:eastAsia="Arial" w:hAnsi="Arial"/>
                <w:sz w:val="15"/>
                <w:szCs w:val="15"/>
                <w:color w:val="auto"/>
              </w:rPr>
              <w:t>Committees of the Board</w:t>
            </w:r>
          </w:p>
        </w:tc>
        <w:tc>
          <w:tcPr>
            <w:tcW w:w="48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222"/>
        </w:trPr>
        <w:tc>
          <w:tcPr>
            <w:tcW w:w="4940" w:type="dxa"/>
            <w:vAlign w:val="bottom"/>
          </w:tcPr>
          <w:p>
            <w:pPr>
              <w:ind w:left="120"/>
              <w:spacing w:after="0"/>
              <w:rPr>
                <w:sz w:val="20"/>
                <w:szCs w:val="20"/>
                <w:color w:val="auto"/>
              </w:rPr>
            </w:pPr>
            <w:r>
              <w:rPr>
                <w:rFonts w:ascii="Arial" w:cs="Arial" w:eastAsia="Arial" w:hAnsi="Arial"/>
                <w:sz w:val="15"/>
                <w:szCs w:val="15"/>
                <w:color w:val="auto"/>
              </w:rPr>
              <w:t>Audit Committee</w:t>
            </w:r>
          </w:p>
        </w:tc>
        <w:tc>
          <w:tcPr>
            <w:tcW w:w="48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22"/>
        </w:trPr>
        <w:tc>
          <w:tcPr>
            <w:tcW w:w="4940" w:type="dxa"/>
            <w:vAlign w:val="bottom"/>
          </w:tcPr>
          <w:p>
            <w:pPr>
              <w:ind w:left="120"/>
              <w:spacing w:after="0"/>
              <w:rPr>
                <w:sz w:val="20"/>
                <w:szCs w:val="20"/>
                <w:color w:val="auto"/>
              </w:rPr>
            </w:pPr>
            <w:r>
              <w:rPr>
                <w:rFonts w:ascii="Arial" w:cs="Arial" w:eastAsia="Arial" w:hAnsi="Arial"/>
                <w:sz w:val="15"/>
                <w:szCs w:val="15"/>
                <w:color w:val="auto"/>
              </w:rPr>
              <w:t>Compensation Committee</w:t>
            </w:r>
          </w:p>
        </w:tc>
        <w:tc>
          <w:tcPr>
            <w:tcW w:w="48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222"/>
        </w:trPr>
        <w:tc>
          <w:tcPr>
            <w:tcW w:w="4940" w:type="dxa"/>
            <w:vAlign w:val="bottom"/>
          </w:tcPr>
          <w:p>
            <w:pPr>
              <w:ind w:left="120"/>
              <w:spacing w:after="0"/>
              <w:rPr>
                <w:sz w:val="20"/>
                <w:szCs w:val="20"/>
                <w:color w:val="auto"/>
              </w:rPr>
            </w:pPr>
            <w:r>
              <w:rPr>
                <w:rFonts w:ascii="Arial" w:cs="Arial" w:eastAsia="Arial" w:hAnsi="Arial"/>
                <w:sz w:val="15"/>
                <w:szCs w:val="15"/>
                <w:color w:val="auto"/>
              </w:rPr>
              <w:t>Corporate Governance and Nominating Committee</w:t>
            </w:r>
          </w:p>
        </w:tc>
        <w:tc>
          <w:tcPr>
            <w:tcW w:w="48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222"/>
        </w:trPr>
        <w:tc>
          <w:tcPr>
            <w:tcW w:w="4940" w:type="dxa"/>
            <w:vAlign w:val="bottom"/>
          </w:tcPr>
          <w:p>
            <w:pPr>
              <w:ind w:left="120"/>
              <w:spacing w:after="0"/>
              <w:rPr>
                <w:sz w:val="20"/>
                <w:szCs w:val="20"/>
                <w:color w:val="auto"/>
              </w:rPr>
            </w:pPr>
            <w:r>
              <w:rPr>
                <w:rFonts w:ascii="Arial" w:cs="Arial" w:eastAsia="Arial" w:hAnsi="Arial"/>
                <w:sz w:val="15"/>
                <w:szCs w:val="15"/>
                <w:color w:val="auto"/>
              </w:rPr>
              <w:t>Enterprise Risk Committee</w:t>
            </w:r>
          </w:p>
        </w:tc>
        <w:tc>
          <w:tcPr>
            <w:tcW w:w="48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22"/>
        </w:trPr>
        <w:tc>
          <w:tcPr>
            <w:tcW w:w="4940" w:type="dxa"/>
            <w:vAlign w:val="bottom"/>
          </w:tcPr>
          <w:p>
            <w:pPr>
              <w:ind w:left="120"/>
              <w:spacing w:after="0"/>
              <w:rPr>
                <w:sz w:val="20"/>
                <w:szCs w:val="20"/>
                <w:color w:val="auto"/>
              </w:rPr>
            </w:pPr>
            <w:r>
              <w:rPr>
                <w:rFonts w:ascii="Arial" w:cs="Arial" w:eastAsia="Arial" w:hAnsi="Arial"/>
                <w:sz w:val="15"/>
                <w:szCs w:val="15"/>
                <w:color w:val="auto"/>
              </w:rPr>
              <w:t>Pension Committee</w:t>
            </w:r>
          </w:p>
        </w:tc>
        <w:tc>
          <w:tcPr>
            <w:tcW w:w="48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233"/>
        </w:trPr>
        <w:tc>
          <w:tcPr>
            <w:tcW w:w="4940" w:type="dxa"/>
            <w:vAlign w:val="bottom"/>
            <w:tcBorders>
              <w:bottom w:val="single" w:sz="8" w:color="00AEEF"/>
            </w:tcBorders>
          </w:tcPr>
          <w:p>
            <w:pPr>
              <w:ind w:left="20"/>
              <w:spacing w:after="0"/>
              <w:rPr>
                <w:sz w:val="20"/>
                <w:szCs w:val="20"/>
                <w:color w:val="auto"/>
              </w:rPr>
            </w:pPr>
            <w:r>
              <w:rPr>
                <w:rFonts w:ascii="Arial" w:cs="Arial" w:eastAsia="Arial" w:hAnsi="Arial"/>
                <w:sz w:val="15"/>
                <w:szCs w:val="15"/>
                <w:b w:val="1"/>
                <w:bCs w:val="1"/>
                <w:color w:val="191769"/>
              </w:rPr>
              <w:t>Corporate Sustainability</w:t>
            </w:r>
          </w:p>
        </w:tc>
        <w:tc>
          <w:tcPr>
            <w:tcW w:w="480" w:type="dxa"/>
            <w:vAlign w:val="bottom"/>
            <w:tcBorders>
              <w:bottom w:val="single" w:sz="8" w:color="00AEEF"/>
            </w:tcBorders>
          </w:tcPr>
          <w:p>
            <w:pPr>
              <w:jc w:val="right"/>
              <w:spacing w:after="0"/>
              <w:rPr>
                <w:sz w:val="20"/>
                <w:szCs w:val="20"/>
                <w:color w:val="auto"/>
              </w:rPr>
            </w:pPr>
            <w:r>
              <w:rPr>
                <w:rFonts w:ascii="Arial" w:cs="Arial" w:eastAsia="Arial" w:hAnsi="Arial"/>
                <w:sz w:val="15"/>
                <w:szCs w:val="15"/>
                <w:b w:val="1"/>
                <w:bCs w:val="1"/>
                <w:color w:val="191769"/>
              </w:rPr>
              <w:t>31</w:t>
            </w:r>
          </w:p>
        </w:tc>
      </w:tr>
      <w:tr>
        <w:trPr>
          <w:trHeight w:val="239"/>
        </w:trPr>
        <w:tc>
          <w:tcPr>
            <w:tcW w:w="4940" w:type="dxa"/>
            <w:vAlign w:val="bottom"/>
          </w:tcPr>
          <w:p>
            <w:pPr>
              <w:ind w:left="20"/>
              <w:spacing w:after="0"/>
              <w:rPr>
                <w:sz w:val="20"/>
                <w:szCs w:val="20"/>
                <w:color w:val="auto"/>
              </w:rPr>
            </w:pPr>
            <w:r>
              <w:rPr>
                <w:rFonts w:ascii="Arial" w:cs="Arial" w:eastAsia="Arial" w:hAnsi="Arial"/>
                <w:sz w:val="15"/>
                <w:szCs w:val="15"/>
                <w:color w:val="auto"/>
              </w:rPr>
              <w:t>Environmental Stewardship</w:t>
            </w:r>
          </w:p>
        </w:tc>
        <w:tc>
          <w:tcPr>
            <w:tcW w:w="48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222"/>
        </w:trPr>
        <w:tc>
          <w:tcPr>
            <w:tcW w:w="4940" w:type="dxa"/>
            <w:vAlign w:val="bottom"/>
          </w:tcPr>
          <w:p>
            <w:pPr>
              <w:ind w:left="20"/>
              <w:spacing w:after="0"/>
              <w:rPr>
                <w:sz w:val="20"/>
                <w:szCs w:val="20"/>
                <w:color w:val="auto"/>
              </w:rPr>
            </w:pPr>
            <w:r>
              <w:rPr>
                <w:rFonts w:ascii="Arial" w:cs="Arial" w:eastAsia="Arial" w:hAnsi="Arial"/>
                <w:sz w:val="15"/>
                <w:szCs w:val="15"/>
                <w:color w:val="auto"/>
              </w:rPr>
              <w:t>Social Responsibility</w:t>
            </w:r>
          </w:p>
        </w:tc>
        <w:tc>
          <w:tcPr>
            <w:tcW w:w="48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222"/>
        </w:trPr>
        <w:tc>
          <w:tcPr>
            <w:tcW w:w="4940" w:type="dxa"/>
            <w:vAlign w:val="bottom"/>
          </w:tcPr>
          <w:p>
            <w:pPr>
              <w:ind w:left="20"/>
              <w:spacing w:after="0"/>
              <w:rPr>
                <w:sz w:val="20"/>
                <w:szCs w:val="20"/>
                <w:color w:val="auto"/>
              </w:rPr>
            </w:pPr>
            <w:r>
              <w:rPr>
                <w:rFonts w:ascii="Arial" w:cs="Arial" w:eastAsia="Arial" w:hAnsi="Arial"/>
                <w:sz w:val="15"/>
                <w:szCs w:val="15"/>
                <w:color w:val="auto"/>
              </w:rPr>
              <w:t>Governance</w:t>
            </w:r>
          </w:p>
        </w:tc>
        <w:tc>
          <w:tcPr>
            <w:tcW w:w="480" w:type="dxa"/>
            <w:vAlign w:val="bottom"/>
          </w:tcPr>
          <w:p>
            <w:pPr>
              <w:jc w:val="right"/>
              <w:spacing w:after="0"/>
              <w:rPr>
                <w:sz w:val="20"/>
                <w:szCs w:val="20"/>
                <w:color w:val="auto"/>
              </w:rPr>
            </w:pPr>
            <w:r>
              <w:rPr>
                <w:rFonts w:ascii="Arial" w:cs="Arial" w:eastAsia="Arial" w:hAnsi="Arial"/>
                <w:sz w:val="15"/>
                <w:szCs w:val="15"/>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-4069715</wp:posOffset>
            </wp:positionV>
            <wp:extent cx="93980" cy="93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1276350</wp:posOffset>
            </wp:positionV>
            <wp:extent cx="7620" cy="132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60" w:hanging="445"/>
        <w:spacing w:after="0"/>
        <w:tabs>
          <w:tab w:leader="none" w:pos="460" w:val="left"/>
        </w:tabs>
        <w:numPr>
          <w:ilvl w:val="0"/>
          <w:numId w:val="4"/>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4880" w:type="dxa"/>
            <w:vAlign w:val="bottom"/>
            <w:tcBorders>
              <w:bottom w:val="single" w:sz="8" w:color="00AEEF"/>
            </w:tcBorders>
          </w:tcPr>
          <w:p>
            <w:pPr>
              <w:spacing w:after="0"/>
              <w:rPr>
                <w:sz w:val="20"/>
                <w:szCs w:val="20"/>
                <w:color w:val="auto"/>
              </w:rPr>
            </w:pPr>
            <w:r>
              <w:rPr>
                <w:rFonts w:ascii="Arial" w:cs="Arial" w:eastAsia="Arial" w:hAnsi="Arial"/>
                <w:sz w:val="15"/>
                <w:szCs w:val="15"/>
                <w:b w:val="1"/>
                <w:bCs w:val="1"/>
                <w:color w:val="191769"/>
              </w:rPr>
              <w:t>Executive Compensation</w:t>
            </w:r>
          </w:p>
        </w:tc>
        <w:tc>
          <w:tcPr>
            <w:tcW w:w="520" w:type="dxa"/>
            <w:vAlign w:val="bottom"/>
            <w:tcBorders>
              <w:bottom w:val="single" w:sz="8" w:color="00AEEF"/>
            </w:tcBorders>
          </w:tcPr>
          <w:p>
            <w:pPr>
              <w:jc w:val="right"/>
              <w:spacing w:after="0"/>
              <w:rPr>
                <w:sz w:val="20"/>
                <w:szCs w:val="20"/>
                <w:color w:val="auto"/>
              </w:rPr>
            </w:pPr>
            <w:r>
              <w:rPr>
                <w:rFonts w:ascii="Arial" w:cs="Arial" w:eastAsia="Arial" w:hAnsi="Arial"/>
                <w:sz w:val="15"/>
                <w:szCs w:val="15"/>
                <w:b w:val="1"/>
                <w:bCs w:val="1"/>
                <w:color w:val="191769"/>
              </w:rPr>
              <w:t>34</w:t>
            </w:r>
          </w:p>
        </w:tc>
      </w:tr>
      <w:tr>
        <w:trPr>
          <w:trHeight w:val="239"/>
        </w:trPr>
        <w:tc>
          <w:tcPr>
            <w:tcW w:w="4880" w:type="dxa"/>
            <w:vAlign w:val="bottom"/>
          </w:tcPr>
          <w:p>
            <w:pPr>
              <w:spacing w:after="0"/>
              <w:rPr>
                <w:sz w:val="20"/>
                <w:szCs w:val="20"/>
                <w:color w:val="auto"/>
              </w:rPr>
            </w:pPr>
            <w:r>
              <w:rPr>
                <w:rFonts w:ascii="Arial" w:cs="Arial" w:eastAsia="Arial" w:hAnsi="Arial"/>
                <w:sz w:val="15"/>
                <w:szCs w:val="15"/>
                <w:color w:val="auto"/>
              </w:rPr>
              <w:t>Compensation Discussion and Analysis</w:t>
            </w:r>
          </w:p>
        </w:tc>
        <w:tc>
          <w:tcPr>
            <w:tcW w:w="52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22"/>
        </w:trPr>
        <w:tc>
          <w:tcPr>
            <w:tcW w:w="4880" w:type="dxa"/>
            <w:vAlign w:val="bottom"/>
          </w:tcPr>
          <w:p>
            <w:pPr>
              <w:ind w:left="100"/>
              <w:spacing w:after="0"/>
              <w:rPr>
                <w:sz w:val="20"/>
                <w:szCs w:val="20"/>
                <w:color w:val="auto"/>
              </w:rPr>
            </w:pPr>
            <w:r>
              <w:rPr>
                <w:rFonts w:ascii="Arial" w:cs="Arial" w:eastAsia="Arial" w:hAnsi="Arial"/>
                <w:sz w:val="15"/>
                <w:szCs w:val="15"/>
                <w:color w:val="auto"/>
              </w:rPr>
              <w:t>I. Executive Summary</w:t>
            </w:r>
          </w:p>
        </w:tc>
        <w:tc>
          <w:tcPr>
            <w:tcW w:w="52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22"/>
        </w:trPr>
        <w:tc>
          <w:tcPr>
            <w:tcW w:w="4880" w:type="dxa"/>
            <w:vAlign w:val="bottom"/>
          </w:tcPr>
          <w:p>
            <w:pPr>
              <w:ind w:left="200"/>
              <w:spacing w:after="0"/>
              <w:rPr>
                <w:sz w:val="20"/>
                <w:szCs w:val="20"/>
                <w:color w:val="auto"/>
              </w:rPr>
            </w:pPr>
            <w:r>
              <w:rPr>
                <w:rFonts w:ascii="Arial" w:cs="Arial" w:eastAsia="Arial" w:hAnsi="Arial"/>
                <w:sz w:val="15"/>
                <w:szCs w:val="15"/>
                <w:color w:val="auto"/>
              </w:rPr>
              <w:t>Middlesex Water Background</w:t>
            </w:r>
          </w:p>
        </w:tc>
        <w:tc>
          <w:tcPr>
            <w:tcW w:w="52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22"/>
        </w:trPr>
        <w:tc>
          <w:tcPr>
            <w:tcW w:w="4880" w:type="dxa"/>
            <w:vAlign w:val="bottom"/>
          </w:tcPr>
          <w:p>
            <w:pPr>
              <w:ind w:left="200"/>
              <w:spacing w:after="0"/>
              <w:rPr>
                <w:sz w:val="20"/>
                <w:szCs w:val="20"/>
                <w:color w:val="auto"/>
              </w:rPr>
            </w:pPr>
            <w:r>
              <w:rPr>
                <w:rFonts w:ascii="Arial" w:cs="Arial" w:eastAsia="Arial" w:hAnsi="Arial"/>
                <w:sz w:val="15"/>
                <w:szCs w:val="15"/>
                <w:color w:val="auto"/>
              </w:rPr>
              <w:t>Executive Compensation Program Objectives</w:t>
            </w:r>
          </w:p>
        </w:tc>
        <w:tc>
          <w:tcPr>
            <w:tcW w:w="52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22"/>
        </w:trPr>
        <w:tc>
          <w:tcPr>
            <w:tcW w:w="4880" w:type="dxa"/>
            <w:vAlign w:val="bottom"/>
          </w:tcPr>
          <w:p>
            <w:pPr>
              <w:ind w:left="200"/>
              <w:spacing w:after="0"/>
              <w:rPr>
                <w:sz w:val="20"/>
                <w:szCs w:val="20"/>
                <w:color w:val="auto"/>
              </w:rPr>
            </w:pPr>
            <w:r>
              <w:rPr>
                <w:rFonts w:ascii="Arial" w:cs="Arial" w:eastAsia="Arial" w:hAnsi="Arial"/>
                <w:sz w:val="15"/>
                <w:szCs w:val="15"/>
                <w:color w:val="auto"/>
              </w:rPr>
              <w:t>Highlights of Our 2025 Executive Compensation Program</w:t>
            </w:r>
          </w:p>
        </w:tc>
        <w:tc>
          <w:tcPr>
            <w:tcW w:w="52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22"/>
        </w:trPr>
        <w:tc>
          <w:tcPr>
            <w:tcW w:w="4880" w:type="dxa"/>
            <w:vAlign w:val="bottom"/>
          </w:tcPr>
          <w:p>
            <w:pPr>
              <w:ind w:left="200"/>
              <w:spacing w:after="0"/>
              <w:rPr>
                <w:sz w:val="20"/>
                <w:szCs w:val="20"/>
                <w:color w:val="auto"/>
              </w:rPr>
            </w:pPr>
            <w:r>
              <w:rPr>
                <w:rFonts w:ascii="Arial" w:cs="Arial" w:eastAsia="Arial" w:hAnsi="Arial"/>
                <w:sz w:val="15"/>
                <w:szCs w:val="15"/>
                <w:color w:val="auto"/>
              </w:rPr>
              <w:t>2025 Compensation Mix</w:t>
            </w:r>
          </w:p>
        </w:tc>
        <w:tc>
          <w:tcPr>
            <w:tcW w:w="52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22"/>
        </w:trPr>
        <w:tc>
          <w:tcPr>
            <w:tcW w:w="4880" w:type="dxa"/>
            <w:vAlign w:val="bottom"/>
          </w:tcPr>
          <w:p>
            <w:pPr>
              <w:ind w:left="200"/>
              <w:spacing w:after="0"/>
              <w:rPr>
                <w:sz w:val="20"/>
                <w:szCs w:val="20"/>
                <w:color w:val="auto"/>
              </w:rPr>
            </w:pPr>
            <w:r>
              <w:rPr>
                <w:rFonts w:ascii="Arial" w:cs="Arial" w:eastAsia="Arial" w:hAnsi="Arial"/>
                <w:sz w:val="15"/>
                <w:szCs w:val="15"/>
                <w:color w:val="auto"/>
              </w:rPr>
              <w:t>2025 Performance Highlights</w:t>
            </w:r>
          </w:p>
        </w:tc>
        <w:tc>
          <w:tcPr>
            <w:tcW w:w="52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22"/>
        </w:trPr>
        <w:tc>
          <w:tcPr>
            <w:tcW w:w="4880" w:type="dxa"/>
            <w:vAlign w:val="bottom"/>
          </w:tcPr>
          <w:p>
            <w:pPr>
              <w:ind w:left="200"/>
              <w:spacing w:after="0"/>
              <w:rPr>
                <w:sz w:val="20"/>
                <w:szCs w:val="20"/>
                <w:color w:val="auto"/>
              </w:rPr>
            </w:pPr>
            <w:r>
              <w:rPr>
                <w:rFonts w:ascii="Arial" w:cs="Arial" w:eastAsia="Arial" w:hAnsi="Arial"/>
                <w:sz w:val="15"/>
                <w:szCs w:val="15"/>
                <w:color w:val="auto"/>
              </w:rPr>
              <w:t>Consideration of The Say-On-Pay Vote</w:t>
            </w:r>
          </w:p>
        </w:tc>
        <w:tc>
          <w:tcPr>
            <w:tcW w:w="52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22"/>
        </w:trPr>
        <w:tc>
          <w:tcPr>
            <w:tcW w:w="4880" w:type="dxa"/>
            <w:vAlign w:val="bottom"/>
          </w:tcPr>
          <w:p>
            <w:pPr>
              <w:ind w:left="100"/>
              <w:spacing w:after="0"/>
              <w:rPr>
                <w:sz w:val="20"/>
                <w:szCs w:val="20"/>
                <w:color w:val="auto"/>
              </w:rPr>
            </w:pPr>
            <w:r>
              <w:rPr>
                <w:rFonts w:ascii="Arial" w:cs="Arial" w:eastAsia="Arial" w:hAnsi="Arial"/>
                <w:sz w:val="15"/>
                <w:szCs w:val="15"/>
                <w:color w:val="auto"/>
              </w:rPr>
              <w:t>II. Compensation Philosophy and Objectives</w:t>
            </w:r>
          </w:p>
        </w:tc>
        <w:tc>
          <w:tcPr>
            <w:tcW w:w="520" w:type="dxa"/>
            <w:vAlign w:val="bottom"/>
          </w:tcPr>
          <w:p>
            <w:pPr>
              <w:jc w:val="right"/>
              <w:spacing w:after="0"/>
              <w:rPr>
                <w:sz w:val="20"/>
                <w:szCs w:val="20"/>
                <w:color w:val="auto"/>
              </w:rPr>
            </w:pPr>
            <w:r>
              <w:rPr>
                <w:rFonts w:ascii="Arial" w:cs="Arial" w:eastAsia="Arial" w:hAnsi="Arial"/>
                <w:sz w:val="15"/>
                <w:szCs w:val="15"/>
                <w:color w:val="auto"/>
              </w:rPr>
              <w:t>37</w:t>
            </w:r>
          </w:p>
        </w:tc>
      </w:tr>
      <w:tr>
        <w:trPr>
          <w:trHeight w:val="222"/>
        </w:trPr>
        <w:tc>
          <w:tcPr>
            <w:tcW w:w="4880" w:type="dxa"/>
            <w:vAlign w:val="bottom"/>
          </w:tcPr>
          <w:p>
            <w:pPr>
              <w:ind w:left="100"/>
              <w:spacing w:after="0"/>
              <w:rPr>
                <w:sz w:val="20"/>
                <w:szCs w:val="20"/>
                <w:color w:val="auto"/>
              </w:rPr>
            </w:pPr>
            <w:r>
              <w:rPr>
                <w:rFonts w:ascii="Arial" w:cs="Arial" w:eastAsia="Arial" w:hAnsi="Arial"/>
                <w:sz w:val="15"/>
                <w:szCs w:val="15"/>
                <w:color w:val="auto"/>
              </w:rPr>
              <w:t>III. Compensation Determination Process</w:t>
            </w:r>
          </w:p>
        </w:tc>
        <w:tc>
          <w:tcPr>
            <w:tcW w:w="52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222"/>
        </w:trPr>
        <w:tc>
          <w:tcPr>
            <w:tcW w:w="4880" w:type="dxa"/>
            <w:vAlign w:val="bottom"/>
          </w:tcPr>
          <w:p>
            <w:pPr>
              <w:ind w:left="100"/>
              <w:spacing w:after="0"/>
              <w:rPr>
                <w:sz w:val="20"/>
                <w:szCs w:val="20"/>
                <w:color w:val="auto"/>
              </w:rPr>
            </w:pPr>
            <w:r>
              <w:rPr>
                <w:rFonts w:ascii="Arial" w:cs="Arial" w:eastAsia="Arial" w:hAnsi="Arial"/>
                <w:sz w:val="15"/>
                <w:szCs w:val="15"/>
                <w:color w:val="auto"/>
              </w:rPr>
              <w:t>IV. Compensation Program Components</w:t>
            </w:r>
          </w:p>
        </w:tc>
        <w:tc>
          <w:tcPr>
            <w:tcW w:w="52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222"/>
        </w:trPr>
        <w:tc>
          <w:tcPr>
            <w:tcW w:w="4880" w:type="dxa"/>
            <w:vAlign w:val="bottom"/>
          </w:tcPr>
          <w:p>
            <w:pPr>
              <w:spacing w:after="0"/>
              <w:rPr>
                <w:sz w:val="20"/>
                <w:szCs w:val="20"/>
                <w:color w:val="auto"/>
              </w:rPr>
            </w:pPr>
            <w:r>
              <w:rPr>
                <w:rFonts w:ascii="Arial" w:cs="Arial" w:eastAsia="Arial" w:hAnsi="Arial"/>
                <w:sz w:val="15"/>
                <w:szCs w:val="15"/>
                <w:color w:val="auto"/>
              </w:rPr>
              <w:t>Compensation Committee Report</w:t>
            </w:r>
          </w:p>
        </w:tc>
        <w:tc>
          <w:tcPr>
            <w:tcW w:w="52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222"/>
        </w:trPr>
        <w:tc>
          <w:tcPr>
            <w:tcW w:w="4880" w:type="dxa"/>
            <w:vAlign w:val="bottom"/>
          </w:tcPr>
          <w:p>
            <w:pPr>
              <w:spacing w:after="0"/>
              <w:rPr>
                <w:sz w:val="20"/>
                <w:szCs w:val="20"/>
                <w:color w:val="auto"/>
              </w:rPr>
            </w:pPr>
            <w:r>
              <w:rPr>
                <w:rFonts w:ascii="Arial" w:cs="Arial" w:eastAsia="Arial" w:hAnsi="Arial"/>
                <w:sz w:val="15"/>
                <w:szCs w:val="15"/>
                <w:color w:val="auto"/>
              </w:rPr>
              <w:t>Summary Compensation Table</w:t>
            </w:r>
          </w:p>
        </w:tc>
        <w:tc>
          <w:tcPr>
            <w:tcW w:w="52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222"/>
        </w:trPr>
        <w:tc>
          <w:tcPr>
            <w:tcW w:w="4880" w:type="dxa"/>
            <w:vAlign w:val="bottom"/>
          </w:tcPr>
          <w:p>
            <w:pPr>
              <w:spacing w:after="0"/>
              <w:rPr>
                <w:sz w:val="20"/>
                <w:szCs w:val="20"/>
                <w:color w:val="auto"/>
              </w:rPr>
            </w:pPr>
            <w:r>
              <w:rPr>
                <w:rFonts w:ascii="Arial" w:cs="Arial" w:eastAsia="Arial" w:hAnsi="Arial"/>
                <w:sz w:val="15"/>
                <w:szCs w:val="15"/>
                <w:color w:val="auto"/>
              </w:rPr>
              <w:t>Schedule A – Summary - All Other Compensation</w:t>
            </w:r>
          </w:p>
        </w:tc>
        <w:tc>
          <w:tcPr>
            <w:tcW w:w="520" w:type="dxa"/>
            <w:vAlign w:val="bottom"/>
          </w:tcPr>
          <w:p>
            <w:pPr>
              <w:jc w:val="right"/>
              <w:spacing w:after="0"/>
              <w:rPr>
                <w:sz w:val="20"/>
                <w:szCs w:val="20"/>
                <w:color w:val="auto"/>
              </w:rPr>
            </w:pPr>
            <w:r>
              <w:rPr>
                <w:rFonts w:ascii="Arial" w:cs="Arial" w:eastAsia="Arial" w:hAnsi="Arial"/>
                <w:sz w:val="15"/>
                <w:szCs w:val="15"/>
                <w:color w:val="auto"/>
              </w:rPr>
              <w:t>52</w:t>
            </w:r>
          </w:p>
        </w:tc>
      </w:tr>
      <w:tr>
        <w:trPr>
          <w:trHeight w:val="222"/>
        </w:trPr>
        <w:tc>
          <w:tcPr>
            <w:tcW w:w="4880" w:type="dxa"/>
            <w:vAlign w:val="bottom"/>
          </w:tcPr>
          <w:p>
            <w:pPr>
              <w:spacing w:after="0"/>
              <w:rPr>
                <w:sz w:val="20"/>
                <w:szCs w:val="20"/>
                <w:color w:val="auto"/>
              </w:rPr>
            </w:pPr>
            <w:r>
              <w:rPr>
                <w:rFonts w:ascii="Arial" w:cs="Arial" w:eastAsia="Arial" w:hAnsi="Arial"/>
                <w:sz w:val="15"/>
                <w:szCs w:val="15"/>
                <w:color w:val="auto"/>
              </w:rPr>
              <w:t>Grants of Plan-Based Awards</w:t>
            </w:r>
          </w:p>
        </w:tc>
        <w:tc>
          <w:tcPr>
            <w:tcW w:w="520" w:type="dxa"/>
            <w:vAlign w:val="bottom"/>
          </w:tcPr>
          <w:p>
            <w:pPr>
              <w:jc w:val="right"/>
              <w:spacing w:after="0"/>
              <w:rPr>
                <w:sz w:val="20"/>
                <w:szCs w:val="20"/>
                <w:color w:val="auto"/>
              </w:rPr>
            </w:pPr>
            <w:r>
              <w:rPr>
                <w:rFonts w:ascii="Arial" w:cs="Arial" w:eastAsia="Arial" w:hAnsi="Arial"/>
                <w:sz w:val="15"/>
                <w:szCs w:val="15"/>
                <w:color w:val="auto"/>
              </w:rPr>
              <w:t>53</w:t>
            </w:r>
          </w:p>
        </w:tc>
      </w:tr>
      <w:tr>
        <w:trPr>
          <w:trHeight w:val="222"/>
        </w:trPr>
        <w:tc>
          <w:tcPr>
            <w:tcW w:w="4880" w:type="dxa"/>
            <w:vAlign w:val="bottom"/>
          </w:tcPr>
          <w:p>
            <w:pPr>
              <w:spacing w:after="0"/>
              <w:rPr>
                <w:sz w:val="20"/>
                <w:szCs w:val="20"/>
                <w:color w:val="auto"/>
              </w:rPr>
            </w:pPr>
            <w:r>
              <w:rPr>
                <w:rFonts w:ascii="Arial" w:cs="Arial" w:eastAsia="Arial" w:hAnsi="Arial"/>
                <w:sz w:val="15"/>
                <w:szCs w:val="15"/>
                <w:color w:val="auto"/>
              </w:rPr>
              <w:t>Stock Vested During 2025</w:t>
            </w:r>
          </w:p>
        </w:tc>
        <w:tc>
          <w:tcPr>
            <w:tcW w:w="520" w:type="dxa"/>
            <w:vAlign w:val="bottom"/>
          </w:tcPr>
          <w:p>
            <w:pPr>
              <w:jc w:val="right"/>
              <w:spacing w:after="0"/>
              <w:rPr>
                <w:sz w:val="20"/>
                <w:szCs w:val="20"/>
                <w:color w:val="auto"/>
              </w:rPr>
            </w:pPr>
            <w:r>
              <w:rPr>
                <w:rFonts w:ascii="Arial" w:cs="Arial" w:eastAsia="Arial" w:hAnsi="Arial"/>
                <w:sz w:val="15"/>
                <w:szCs w:val="15"/>
                <w:color w:val="auto"/>
              </w:rPr>
              <w:t>53</w:t>
            </w:r>
          </w:p>
        </w:tc>
      </w:tr>
      <w:tr>
        <w:trPr>
          <w:trHeight w:val="222"/>
        </w:trPr>
        <w:tc>
          <w:tcPr>
            <w:tcW w:w="4880" w:type="dxa"/>
            <w:vAlign w:val="bottom"/>
          </w:tcPr>
          <w:p>
            <w:pPr>
              <w:spacing w:after="0"/>
              <w:rPr>
                <w:sz w:val="20"/>
                <w:szCs w:val="20"/>
                <w:color w:val="auto"/>
              </w:rPr>
            </w:pPr>
            <w:r>
              <w:rPr>
                <w:rFonts w:ascii="Arial" w:cs="Arial" w:eastAsia="Arial" w:hAnsi="Arial"/>
                <w:sz w:val="15"/>
                <w:szCs w:val="15"/>
                <w:color w:val="auto"/>
              </w:rPr>
              <w:t>Outstanding Equity Awards</w:t>
            </w:r>
          </w:p>
        </w:tc>
        <w:tc>
          <w:tcPr>
            <w:tcW w:w="520" w:type="dxa"/>
            <w:vAlign w:val="bottom"/>
          </w:tcPr>
          <w:p>
            <w:pPr>
              <w:jc w:val="right"/>
              <w:spacing w:after="0"/>
              <w:rPr>
                <w:sz w:val="20"/>
                <w:szCs w:val="20"/>
                <w:color w:val="auto"/>
              </w:rPr>
            </w:pPr>
            <w:r>
              <w:rPr>
                <w:rFonts w:ascii="Arial" w:cs="Arial" w:eastAsia="Arial" w:hAnsi="Arial"/>
                <w:sz w:val="15"/>
                <w:szCs w:val="15"/>
                <w:color w:val="auto"/>
              </w:rPr>
              <w:t>53</w:t>
            </w:r>
          </w:p>
        </w:tc>
      </w:tr>
      <w:tr>
        <w:trPr>
          <w:trHeight w:val="222"/>
        </w:trPr>
        <w:tc>
          <w:tcPr>
            <w:tcW w:w="4880" w:type="dxa"/>
            <w:vAlign w:val="bottom"/>
          </w:tcPr>
          <w:p>
            <w:pPr>
              <w:spacing w:after="0"/>
              <w:rPr>
                <w:sz w:val="20"/>
                <w:szCs w:val="20"/>
                <w:color w:val="auto"/>
              </w:rPr>
            </w:pPr>
            <w:r>
              <w:rPr>
                <w:rFonts w:ascii="Arial" w:cs="Arial" w:eastAsia="Arial" w:hAnsi="Arial"/>
                <w:sz w:val="15"/>
                <w:szCs w:val="15"/>
                <w:color w:val="auto"/>
              </w:rPr>
              <w:t>CEO to Median Employee Pay Ratio</w:t>
            </w:r>
          </w:p>
        </w:tc>
        <w:tc>
          <w:tcPr>
            <w:tcW w:w="52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222"/>
        </w:trPr>
        <w:tc>
          <w:tcPr>
            <w:tcW w:w="4880" w:type="dxa"/>
            <w:vAlign w:val="bottom"/>
          </w:tcPr>
          <w:p>
            <w:pPr>
              <w:spacing w:after="0"/>
              <w:rPr>
                <w:sz w:val="20"/>
                <w:szCs w:val="20"/>
                <w:color w:val="auto"/>
              </w:rPr>
            </w:pPr>
            <w:r>
              <w:rPr>
                <w:rFonts w:ascii="Arial" w:cs="Arial" w:eastAsia="Arial" w:hAnsi="Arial"/>
                <w:sz w:val="15"/>
                <w:szCs w:val="15"/>
                <w:color w:val="auto"/>
              </w:rPr>
              <w:t>Potential Payments upon Change in Control</w:t>
            </w:r>
          </w:p>
        </w:tc>
        <w:tc>
          <w:tcPr>
            <w:tcW w:w="52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233"/>
        </w:trPr>
        <w:tc>
          <w:tcPr>
            <w:tcW w:w="4880" w:type="dxa"/>
            <w:vAlign w:val="bottom"/>
            <w:tcBorders>
              <w:bottom w:val="single" w:sz="8" w:color="00AEEF"/>
            </w:tcBorders>
          </w:tcPr>
          <w:p>
            <w:pPr>
              <w:spacing w:after="0"/>
              <w:rPr>
                <w:sz w:val="20"/>
                <w:szCs w:val="20"/>
                <w:color w:val="auto"/>
              </w:rPr>
            </w:pPr>
            <w:r>
              <w:rPr>
                <w:rFonts w:ascii="Arial" w:cs="Arial" w:eastAsia="Arial" w:hAnsi="Arial"/>
                <w:sz w:val="15"/>
                <w:szCs w:val="15"/>
                <w:b w:val="1"/>
                <w:bCs w:val="1"/>
                <w:color w:val="191769"/>
              </w:rPr>
              <w:t>Pay for Performance Comparison</w:t>
            </w:r>
          </w:p>
        </w:tc>
        <w:tc>
          <w:tcPr>
            <w:tcW w:w="520" w:type="dxa"/>
            <w:vAlign w:val="bottom"/>
            <w:tcBorders>
              <w:bottom w:val="single" w:sz="8" w:color="00AEEF"/>
            </w:tcBorders>
          </w:tcPr>
          <w:p>
            <w:pPr>
              <w:jc w:val="right"/>
              <w:spacing w:after="0"/>
              <w:rPr>
                <w:sz w:val="20"/>
                <w:szCs w:val="20"/>
                <w:color w:val="auto"/>
              </w:rPr>
            </w:pPr>
            <w:r>
              <w:rPr>
                <w:rFonts w:ascii="Arial" w:cs="Arial" w:eastAsia="Arial" w:hAnsi="Arial"/>
                <w:sz w:val="15"/>
                <w:szCs w:val="15"/>
                <w:b w:val="1"/>
                <w:bCs w:val="1"/>
                <w:color w:val="191769"/>
              </w:rPr>
              <w:t>56</w:t>
            </w:r>
          </w:p>
        </w:tc>
      </w:tr>
      <w:tr>
        <w:trPr>
          <w:trHeight w:val="239"/>
        </w:trPr>
        <w:tc>
          <w:tcPr>
            <w:tcW w:w="4880" w:type="dxa"/>
            <w:vAlign w:val="bottom"/>
          </w:tcPr>
          <w:p>
            <w:pPr>
              <w:spacing w:after="0"/>
              <w:rPr>
                <w:sz w:val="20"/>
                <w:szCs w:val="20"/>
                <w:color w:val="auto"/>
              </w:rPr>
            </w:pPr>
            <w:r>
              <w:rPr>
                <w:rFonts w:ascii="Arial" w:cs="Arial" w:eastAsia="Arial" w:hAnsi="Arial"/>
                <w:sz w:val="15"/>
                <w:szCs w:val="15"/>
                <w:color w:val="auto"/>
              </w:rPr>
              <w:t>Pay for Performance Alignment</w:t>
            </w:r>
          </w:p>
        </w:tc>
        <w:tc>
          <w:tcPr>
            <w:tcW w:w="520" w:type="dxa"/>
            <w:vAlign w:val="bottom"/>
          </w:tcPr>
          <w:p>
            <w:pPr>
              <w:jc w:val="right"/>
              <w:spacing w:after="0"/>
              <w:rPr>
                <w:sz w:val="20"/>
                <w:szCs w:val="20"/>
                <w:color w:val="auto"/>
              </w:rPr>
            </w:pPr>
            <w:r>
              <w:rPr>
                <w:rFonts w:ascii="Arial" w:cs="Arial" w:eastAsia="Arial" w:hAnsi="Arial"/>
                <w:sz w:val="15"/>
                <w:szCs w:val="15"/>
                <w:color w:val="auto"/>
              </w:rPr>
              <w:t>57</w:t>
            </w:r>
          </w:p>
        </w:tc>
      </w:tr>
      <w:tr>
        <w:trPr>
          <w:trHeight w:val="222"/>
        </w:trPr>
        <w:tc>
          <w:tcPr>
            <w:tcW w:w="4880" w:type="dxa"/>
            <w:vAlign w:val="bottom"/>
          </w:tcPr>
          <w:p>
            <w:pPr>
              <w:ind w:left="200"/>
              <w:spacing w:after="0"/>
              <w:rPr>
                <w:sz w:val="20"/>
                <w:szCs w:val="20"/>
                <w:color w:val="auto"/>
              </w:rPr>
            </w:pPr>
            <w:r>
              <w:rPr>
                <w:rFonts w:ascii="Arial" w:cs="Arial" w:eastAsia="Arial" w:hAnsi="Arial"/>
                <w:sz w:val="15"/>
                <w:szCs w:val="15"/>
                <w:color w:val="auto"/>
              </w:rPr>
              <w:t>Relationship between Pay and Performance</w:t>
            </w:r>
          </w:p>
        </w:tc>
        <w:tc>
          <w:tcPr>
            <w:tcW w:w="520" w:type="dxa"/>
            <w:vAlign w:val="bottom"/>
          </w:tcPr>
          <w:p>
            <w:pPr>
              <w:jc w:val="right"/>
              <w:spacing w:after="0"/>
              <w:rPr>
                <w:sz w:val="20"/>
                <w:szCs w:val="20"/>
                <w:color w:val="auto"/>
              </w:rPr>
            </w:pPr>
            <w:r>
              <w:rPr>
                <w:rFonts w:ascii="Arial" w:cs="Arial" w:eastAsia="Arial" w:hAnsi="Arial"/>
                <w:sz w:val="15"/>
                <w:szCs w:val="15"/>
                <w:color w:val="auto"/>
              </w:rPr>
              <w:t>58</w:t>
            </w:r>
          </w:p>
        </w:tc>
      </w:tr>
      <w:tr>
        <w:trPr>
          <w:trHeight w:val="242"/>
        </w:trPr>
        <w:tc>
          <w:tcPr>
            <w:tcW w:w="4880" w:type="dxa"/>
            <w:vAlign w:val="bottom"/>
          </w:tcPr>
          <w:p>
            <w:pPr>
              <w:ind w:left="340"/>
              <w:spacing w:after="0"/>
              <w:rPr>
                <w:sz w:val="20"/>
                <w:szCs w:val="20"/>
                <w:color w:val="auto"/>
              </w:rPr>
            </w:pPr>
            <w:r>
              <w:rPr>
                <w:rFonts w:ascii="Arial" w:cs="Arial" w:eastAsia="Arial" w:hAnsi="Arial"/>
                <w:sz w:val="11"/>
                <w:szCs w:val="11"/>
                <w:b w:val="1"/>
                <w:bCs w:val="1"/>
                <w:color w:val="0076A8"/>
              </w:rPr>
              <w:t>PROPOSAL 2</w:t>
            </w:r>
          </w:p>
        </w:tc>
        <w:tc>
          <w:tcPr>
            <w:tcW w:w="520" w:type="dxa"/>
            <w:vAlign w:val="bottom"/>
          </w:tcPr>
          <w:p>
            <w:pPr>
              <w:spacing w:after="0"/>
              <w:rPr>
                <w:sz w:val="21"/>
                <w:szCs w:val="21"/>
                <w:color w:val="auto"/>
              </w:rPr>
            </w:pPr>
          </w:p>
        </w:tc>
      </w:tr>
      <w:tr>
        <w:trPr>
          <w:trHeight w:val="278"/>
        </w:trPr>
        <w:tc>
          <w:tcPr>
            <w:tcW w:w="4880" w:type="dxa"/>
            <w:vAlign w:val="bottom"/>
          </w:tcPr>
          <w:p>
            <w:pPr>
              <w:spacing w:after="0"/>
              <w:rPr>
                <w:sz w:val="20"/>
                <w:szCs w:val="20"/>
                <w:color w:val="auto"/>
              </w:rPr>
            </w:pPr>
            <w:r>
              <w:rPr>
                <w:rFonts w:ascii="Arial" w:cs="Arial" w:eastAsia="Arial" w:hAnsi="Arial"/>
                <w:sz w:val="15"/>
                <w:szCs w:val="15"/>
                <w:b w:val="1"/>
                <w:bCs w:val="1"/>
                <w:color w:val="191769"/>
              </w:rPr>
              <w:t>Non-Binding Proposal to Approve the Compensation of Our</w:t>
            </w:r>
          </w:p>
        </w:tc>
        <w:tc>
          <w:tcPr>
            <w:tcW w:w="520" w:type="dxa"/>
            <w:vAlign w:val="bottom"/>
          </w:tcPr>
          <w:p>
            <w:pPr>
              <w:jc w:val="right"/>
              <w:spacing w:after="0"/>
              <w:rPr>
                <w:sz w:val="20"/>
                <w:szCs w:val="20"/>
                <w:color w:val="auto"/>
              </w:rPr>
            </w:pPr>
            <w:r>
              <w:rPr>
                <w:rFonts w:ascii="Arial" w:cs="Arial" w:eastAsia="Arial" w:hAnsi="Arial"/>
                <w:sz w:val="15"/>
                <w:szCs w:val="15"/>
                <w:b w:val="1"/>
                <w:bCs w:val="1"/>
                <w:color w:val="191769"/>
              </w:rPr>
              <w:t>60</w:t>
            </w:r>
          </w:p>
        </w:tc>
      </w:tr>
      <w:tr>
        <w:trPr>
          <w:trHeight w:val="205"/>
        </w:trPr>
        <w:tc>
          <w:tcPr>
            <w:tcW w:w="4880" w:type="dxa"/>
            <w:vAlign w:val="bottom"/>
            <w:tcBorders>
              <w:bottom w:val="single" w:sz="8" w:color="00AEEF"/>
            </w:tcBorders>
          </w:tcPr>
          <w:p>
            <w:pPr>
              <w:spacing w:after="0"/>
              <w:rPr>
                <w:sz w:val="20"/>
                <w:szCs w:val="20"/>
                <w:color w:val="auto"/>
              </w:rPr>
            </w:pPr>
            <w:r>
              <w:rPr>
                <w:rFonts w:ascii="Arial" w:cs="Arial" w:eastAsia="Arial" w:hAnsi="Arial"/>
                <w:sz w:val="15"/>
                <w:szCs w:val="15"/>
                <w:b w:val="1"/>
                <w:bCs w:val="1"/>
                <w:color w:val="191769"/>
              </w:rPr>
              <w:t>Named Executive Officers</w:t>
            </w:r>
          </w:p>
        </w:tc>
        <w:tc>
          <w:tcPr>
            <w:tcW w:w="520" w:type="dxa"/>
            <w:vAlign w:val="bottom"/>
            <w:tcBorders>
              <w:bottom w:val="single" w:sz="8" w:color="00AEEF"/>
            </w:tcBorders>
          </w:tcPr>
          <w:p>
            <w:pPr>
              <w:spacing w:after="0"/>
              <w:rPr>
                <w:sz w:val="17"/>
                <w:szCs w:val="17"/>
                <w:color w:val="auto"/>
              </w:rPr>
            </w:pPr>
          </w:p>
        </w:tc>
      </w:tr>
      <w:tr>
        <w:trPr>
          <w:trHeight w:val="251"/>
        </w:trPr>
        <w:tc>
          <w:tcPr>
            <w:tcW w:w="4880" w:type="dxa"/>
            <w:vAlign w:val="bottom"/>
            <w:tcBorders>
              <w:bottom w:val="single" w:sz="8" w:color="00AEEF"/>
            </w:tcBorders>
          </w:tcPr>
          <w:p>
            <w:pPr>
              <w:spacing w:after="0"/>
              <w:rPr>
                <w:sz w:val="20"/>
                <w:szCs w:val="20"/>
                <w:color w:val="auto"/>
              </w:rPr>
            </w:pPr>
            <w:r>
              <w:rPr>
                <w:rFonts w:ascii="Arial" w:cs="Arial" w:eastAsia="Arial" w:hAnsi="Arial"/>
                <w:sz w:val="15"/>
                <w:szCs w:val="15"/>
                <w:b w:val="1"/>
                <w:bCs w:val="1"/>
                <w:color w:val="191769"/>
              </w:rPr>
              <w:t>Report of the Audit Committee</w:t>
            </w:r>
          </w:p>
        </w:tc>
        <w:tc>
          <w:tcPr>
            <w:tcW w:w="520" w:type="dxa"/>
            <w:vAlign w:val="bottom"/>
            <w:tcBorders>
              <w:bottom w:val="single" w:sz="8" w:color="00AEEF"/>
            </w:tcBorders>
          </w:tcPr>
          <w:p>
            <w:pPr>
              <w:jc w:val="right"/>
              <w:spacing w:after="0"/>
              <w:rPr>
                <w:sz w:val="20"/>
                <w:szCs w:val="20"/>
                <w:color w:val="auto"/>
              </w:rPr>
            </w:pPr>
            <w:r>
              <w:rPr>
                <w:rFonts w:ascii="Arial" w:cs="Arial" w:eastAsia="Arial" w:hAnsi="Arial"/>
                <w:sz w:val="15"/>
                <w:szCs w:val="15"/>
                <w:b w:val="1"/>
                <w:bCs w:val="1"/>
                <w:color w:val="191769"/>
              </w:rPr>
              <w:t>61</w:t>
            </w:r>
          </w:p>
        </w:tc>
      </w:tr>
      <w:tr>
        <w:trPr>
          <w:trHeight w:val="260"/>
        </w:trPr>
        <w:tc>
          <w:tcPr>
            <w:tcW w:w="4880" w:type="dxa"/>
            <w:vAlign w:val="bottom"/>
          </w:tcPr>
          <w:p>
            <w:pPr>
              <w:ind w:left="340"/>
              <w:spacing w:after="0"/>
              <w:rPr>
                <w:sz w:val="20"/>
                <w:szCs w:val="20"/>
                <w:color w:val="auto"/>
              </w:rPr>
            </w:pPr>
            <w:r>
              <w:rPr>
                <w:rFonts w:ascii="Arial" w:cs="Arial" w:eastAsia="Arial" w:hAnsi="Arial"/>
                <w:sz w:val="11"/>
                <w:szCs w:val="11"/>
                <w:b w:val="1"/>
                <w:bCs w:val="1"/>
                <w:color w:val="0076A8"/>
              </w:rPr>
              <w:t>PROPOSAL 3</w:t>
            </w:r>
          </w:p>
        </w:tc>
        <w:tc>
          <w:tcPr>
            <w:tcW w:w="520" w:type="dxa"/>
            <w:vAlign w:val="bottom"/>
          </w:tcPr>
          <w:p>
            <w:pPr>
              <w:spacing w:after="0"/>
              <w:rPr>
                <w:sz w:val="22"/>
                <w:szCs w:val="22"/>
                <w:color w:val="auto"/>
              </w:rPr>
            </w:pPr>
          </w:p>
        </w:tc>
      </w:tr>
      <w:tr>
        <w:trPr>
          <w:trHeight w:val="278"/>
        </w:trPr>
        <w:tc>
          <w:tcPr>
            <w:tcW w:w="4880" w:type="dxa"/>
            <w:vAlign w:val="bottom"/>
          </w:tcPr>
          <w:p>
            <w:pPr>
              <w:spacing w:after="0"/>
              <w:rPr>
                <w:sz w:val="20"/>
                <w:szCs w:val="20"/>
                <w:color w:val="auto"/>
              </w:rPr>
            </w:pPr>
            <w:r>
              <w:rPr>
                <w:rFonts w:ascii="Arial" w:cs="Arial" w:eastAsia="Arial" w:hAnsi="Arial"/>
                <w:sz w:val="15"/>
                <w:szCs w:val="15"/>
                <w:b w:val="1"/>
                <w:bCs w:val="1"/>
                <w:color w:val="191769"/>
              </w:rPr>
              <w:t>Ratification of Appointment by the Audit Committee of the</w:t>
            </w:r>
          </w:p>
        </w:tc>
        <w:tc>
          <w:tcPr>
            <w:tcW w:w="520" w:type="dxa"/>
            <w:vAlign w:val="bottom"/>
          </w:tcPr>
          <w:p>
            <w:pPr>
              <w:jc w:val="right"/>
              <w:spacing w:after="0"/>
              <w:rPr>
                <w:sz w:val="20"/>
                <w:szCs w:val="20"/>
                <w:color w:val="auto"/>
              </w:rPr>
            </w:pPr>
            <w:r>
              <w:rPr>
                <w:rFonts w:ascii="Arial" w:cs="Arial" w:eastAsia="Arial" w:hAnsi="Arial"/>
                <w:sz w:val="15"/>
                <w:szCs w:val="15"/>
                <w:b w:val="1"/>
                <w:bCs w:val="1"/>
                <w:color w:val="191769"/>
              </w:rPr>
              <w:t>62</w:t>
            </w:r>
          </w:p>
        </w:tc>
      </w:tr>
      <w:tr>
        <w:trPr>
          <w:trHeight w:val="205"/>
        </w:trPr>
        <w:tc>
          <w:tcPr>
            <w:tcW w:w="4880" w:type="dxa"/>
            <w:vAlign w:val="bottom"/>
            <w:tcBorders>
              <w:bottom w:val="single" w:sz="8" w:color="00AEEF"/>
            </w:tcBorders>
          </w:tcPr>
          <w:p>
            <w:pPr>
              <w:spacing w:after="0"/>
              <w:rPr>
                <w:sz w:val="20"/>
                <w:szCs w:val="20"/>
                <w:color w:val="auto"/>
              </w:rPr>
            </w:pPr>
            <w:r>
              <w:rPr>
                <w:rFonts w:ascii="Arial" w:cs="Arial" w:eastAsia="Arial" w:hAnsi="Arial"/>
                <w:sz w:val="15"/>
                <w:szCs w:val="15"/>
                <w:b w:val="1"/>
                <w:bCs w:val="1"/>
                <w:color w:val="191769"/>
              </w:rPr>
              <w:t>Independent Registered Public Accounting Firm</w:t>
            </w:r>
          </w:p>
        </w:tc>
        <w:tc>
          <w:tcPr>
            <w:tcW w:w="520" w:type="dxa"/>
            <w:vAlign w:val="bottom"/>
            <w:tcBorders>
              <w:bottom w:val="single" w:sz="8" w:color="00AEEF"/>
            </w:tcBorders>
          </w:tcPr>
          <w:p>
            <w:pPr>
              <w:spacing w:after="0"/>
              <w:rPr>
                <w:sz w:val="17"/>
                <w:szCs w:val="17"/>
                <w:color w:val="auto"/>
              </w:rPr>
            </w:pPr>
          </w:p>
        </w:tc>
      </w:tr>
      <w:tr>
        <w:trPr>
          <w:trHeight w:val="239"/>
        </w:trPr>
        <w:tc>
          <w:tcPr>
            <w:tcW w:w="4880" w:type="dxa"/>
            <w:vAlign w:val="bottom"/>
          </w:tcPr>
          <w:p>
            <w:pPr>
              <w:spacing w:after="0"/>
              <w:rPr>
                <w:sz w:val="20"/>
                <w:szCs w:val="20"/>
                <w:color w:val="auto"/>
              </w:rPr>
            </w:pPr>
            <w:r>
              <w:rPr>
                <w:rFonts w:ascii="Arial" w:cs="Arial" w:eastAsia="Arial" w:hAnsi="Arial"/>
                <w:sz w:val="15"/>
                <w:szCs w:val="15"/>
                <w:color w:val="auto"/>
              </w:rPr>
              <w:t>Independent Registered Public Accounting Firm Fees</w:t>
            </w:r>
          </w:p>
        </w:tc>
        <w:tc>
          <w:tcPr>
            <w:tcW w:w="52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22"/>
        </w:trPr>
        <w:tc>
          <w:tcPr>
            <w:tcW w:w="4880" w:type="dxa"/>
            <w:vAlign w:val="bottom"/>
          </w:tcPr>
          <w:p>
            <w:pPr>
              <w:spacing w:after="0"/>
              <w:rPr>
                <w:sz w:val="20"/>
                <w:szCs w:val="20"/>
                <w:color w:val="auto"/>
              </w:rPr>
            </w:pPr>
            <w:r>
              <w:rPr>
                <w:rFonts w:ascii="Arial" w:cs="Arial" w:eastAsia="Arial" w:hAnsi="Arial"/>
                <w:sz w:val="15"/>
                <w:szCs w:val="15"/>
                <w:color w:val="auto"/>
              </w:rPr>
              <w:t>Change in Independent Registered Public Accounting Firm</w:t>
            </w:r>
          </w:p>
        </w:tc>
        <w:tc>
          <w:tcPr>
            <w:tcW w:w="52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233"/>
        </w:trPr>
        <w:tc>
          <w:tcPr>
            <w:tcW w:w="4880" w:type="dxa"/>
            <w:vAlign w:val="bottom"/>
            <w:tcBorders>
              <w:bottom w:val="single" w:sz="8" w:color="00AEEF"/>
            </w:tcBorders>
          </w:tcPr>
          <w:p>
            <w:pPr>
              <w:spacing w:after="0"/>
              <w:rPr>
                <w:sz w:val="20"/>
                <w:szCs w:val="20"/>
                <w:color w:val="auto"/>
              </w:rPr>
            </w:pPr>
            <w:r>
              <w:rPr>
                <w:rFonts w:ascii="Arial" w:cs="Arial" w:eastAsia="Arial" w:hAnsi="Arial"/>
                <w:sz w:val="15"/>
                <w:szCs w:val="15"/>
                <w:b w:val="1"/>
                <w:bCs w:val="1"/>
                <w:color w:val="1F235E"/>
              </w:rPr>
              <w:t>Security Ownership and Other Matters</w:t>
            </w:r>
          </w:p>
        </w:tc>
        <w:tc>
          <w:tcPr>
            <w:tcW w:w="520" w:type="dxa"/>
            <w:vAlign w:val="bottom"/>
            <w:tcBorders>
              <w:bottom w:val="single" w:sz="8" w:color="00AEEF"/>
            </w:tcBorders>
          </w:tcPr>
          <w:p>
            <w:pPr>
              <w:jc w:val="right"/>
              <w:spacing w:after="0"/>
              <w:rPr>
                <w:sz w:val="20"/>
                <w:szCs w:val="20"/>
                <w:color w:val="auto"/>
              </w:rPr>
            </w:pPr>
            <w:r>
              <w:rPr>
                <w:rFonts w:ascii="Arial" w:cs="Arial" w:eastAsia="Arial" w:hAnsi="Arial"/>
                <w:sz w:val="15"/>
                <w:szCs w:val="15"/>
                <w:b w:val="1"/>
                <w:bCs w:val="1"/>
                <w:color w:val="191769"/>
              </w:rPr>
              <w:t>65</w:t>
            </w:r>
          </w:p>
        </w:tc>
      </w:tr>
      <w:tr>
        <w:trPr>
          <w:trHeight w:val="230"/>
        </w:trPr>
        <w:tc>
          <w:tcPr>
            <w:tcW w:w="4880" w:type="dxa"/>
            <w:vAlign w:val="bottom"/>
          </w:tcPr>
          <w:p>
            <w:pPr>
              <w:spacing w:after="0"/>
              <w:rPr>
                <w:sz w:val="20"/>
                <w:szCs w:val="20"/>
                <w:color w:val="auto"/>
              </w:rPr>
            </w:pPr>
            <w:r>
              <w:rPr>
                <w:rFonts w:ascii="Arial" w:cs="Arial" w:eastAsia="Arial" w:hAnsi="Arial"/>
                <w:sz w:val="15"/>
                <w:szCs w:val="15"/>
                <w:color w:val="auto"/>
              </w:rPr>
              <w:t>Security Ownership of Directors, Management and Certain Beneficial</w:t>
            </w:r>
          </w:p>
        </w:tc>
        <w:tc>
          <w:tcPr>
            <w:tcW w:w="52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194"/>
        </w:trPr>
        <w:tc>
          <w:tcPr>
            <w:tcW w:w="4880" w:type="dxa"/>
            <w:vAlign w:val="bottom"/>
          </w:tcPr>
          <w:p>
            <w:pPr>
              <w:spacing w:after="0"/>
              <w:rPr>
                <w:sz w:val="20"/>
                <w:szCs w:val="20"/>
                <w:color w:val="auto"/>
              </w:rPr>
            </w:pPr>
            <w:r>
              <w:rPr>
                <w:rFonts w:ascii="Arial" w:cs="Arial" w:eastAsia="Arial" w:hAnsi="Arial"/>
                <w:sz w:val="15"/>
                <w:szCs w:val="15"/>
                <w:color w:val="auto"/>
              </w:rPr>
              <w:t>Owners</w:t>
            </w:r>
          </w:p>
        </w:tc>
        <w:tc>
          <w:tcPr>
            <w:tcW w:w="520" w:type="dxa"/>
            <w:vAlign w:val="bottom"/>
          </w:tcPr>
          <w:p>
            <w:pPr>
              <w:spacing w:after="0"/>
              <w:rPr>
                <w:sz w:val="16"/>
                <w:szCs w:val="16"/>
                <w:color w:val="auto"/>
              </w:rPr>
            </w:pPr>
          </w:p>
        </w:tc>
      </w:tr>
      <w:tr>
        <w:trPr>
          <w:trHeight w:val="222"/>
        </w:trPr>
        <w:tc>
          <w:tcPr>
            <w:tcW w:w="4880" w:type="dxa"/>
            <w:vAlign w:val="bottom"/>
          </w:tcPr>
          <w:p>
            <w:pPr>
              <w:ind w:left="100"/>
              <w:spacing w:after="0"/>
              <w:rPr>
                <w:sz w:val="20"/>
                <w:szCs w:val="20"/>
                <w:color w:val="auto"/>
              </w:rPr>
            </w:pPr>
            <w:r>
              <w:rPr>
                <w:rFonts w:ascii="Arial" w:cs="Arial" w:eastAsia="Arial" w:hAnsi="Arial"/>
                <w:sz w:val="15"/>
                <w:szCs w:val="15"/>
                <w:color w:val="auto"/>
              </w:rPr>
              <w:t>Section 16(A) Beneficial Ownership Reporting Compliance</w:t>
            </w:r>
          </w:p>
        </w:tc>
        <w:tc>
          <w:tcPr>
            <w:tcW w:w="52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222"/>
        </w:trPr>
        <w:tc>
          <w:tcPr>
            <w:tcW w:w="4880" w:type="dxa"/>
            <w:vAlign w:val="bottom"/>
          </w:tcPr>
          <w:p>
            <w:pPr>
              <w:ind w:left="100"/>
              <w:spacing w:after="0"/>
              <w:rPr>
                <w:sz w:val="20"/>
                <w:szCs w:val="20"/>
                <w:color w:val="auto"/>
              </w:rPr>
            </w:pPr>
            <w:r>
              <w:rPr>
                <w:rFonts w:ascii="Arial" w:cs="Arial" w:eastAsia="Arial" w:hAnsi="Arial"/>
                <w:sz w:val="15"/>
                <w:szCs w:val="15"/>
                <w:color w:val="auto"/>
              </w:rPr>
              <w:t>Other Security Holders</w:t>
            </w:r>
          </w:p>
        </w:tc>
        <w:tc>
          <w:tcPr>
            <w:tcW w:w="52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222"/>
        </w:trPr>
        <w:tc>
          <w:tcPr>
            <w:tcW w:w="4880" w:type="dxa"/>
            <w:vAlign w:val="bottom"/>
          </w:tcPr>
          <w:p>
            <w:pPr>
              <w:spacing w:after="0"/>
              <w:rPr>
                <w:sz w:val="20"/>
                <w:szCs w:val="20"/>
                <w:color w:val="auto"/>
              </w:rPr>
            </w:pPr>
            <w:r>
              <w:rPr>
                <w:rFonts w:ascii="Arial" w:cs="Arial" w:eastAsia="Arial" w:hAnsi="Arial"/>
                <w:sz w:val="15"/>
                <w:szCs w:val="15"/>
                <w:color w:val="auto"/>
              </w:rPr>
              <w:t>Other Matters</w:t>
            </w:r>
          </w:p>
        </w:tc>
        <w:tc>
          <w:tcPr>
            <w:tcW w:w="52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222"/>
        </w:trPr>
        <w:tc>
          <w:tcPr>
            <w:tcW w:w="4880" w:type="dxa"/>
            <w:vAlign w:val="bottom"/>
          </w:tcPr>
          <w:p>
            <w:pPr>
              <w:ind w:left="100"/>
              <w:spacing w:after="0"/>
              <w:rPr>
                <w:sz w:val="20"/>
                <w:szCs w:val="20"/>
                <w:color w:val="auto"/>
              </w:rPr>
            </w:pPr>
            <w:r>
              <w:rPr>
                <w:rFonts w:ascii="Arial" w:cs="Arial" w:eastAsia="Arial" w:hAnsi="Arial"/>
                <w:sz w:val="15"/>
                <w:szCs w:val="15"/>
                <w:color w:val="auto"/>
              </w:rPr>
              <w:t>Electronic Access to Proxy Materials and Annual Reports</w:t>
            </w:r>
          </w:p>
        </w:tc>
        <w:tc>
          <w:tcPr>
            <w:tcW w:w="520" w:type="dxa"/>
            <w:vAlign w:val="bottom"/>
          </w:tcPr>
          <w:p>
            <w:pPr>
              <w:jc w:val="right"/>
              <w:spacing w:after="0"/>
              <w:rPr>
                <w:sz w:val="20"/>
                <w:szCs w:val="20"/>
                <w:color w:val="auto"/>
              </w:rPr>
            </w:pPr>
            <w:r>
              <w:rPr>
                <w:rFonts w:ascii="Arial" w:cs="Arial" w:eastAsia="Arial" w:hAnsi="Arial"/>
                <w:sz w:val="15"/>
                <w:szCs w:val="15"/>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661670</wp:posOffset>
            </wp:positionV>
            <wp:extent cx="716978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9785" cy="4127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-2366010</wp:posOffset>
            </wp:positionV>
            <wp:extent cx="93980" cy="93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-1709420</wp:posOffset>
            </wp:positionV>
            <wp:extent cx="93980" cy="93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980" cy="93980"/>
                    </a:xfrm>
                    <a:prstGeom prst="rect">
                      <a:avLst/>
                    </a:prstGeom>
                    <a:noFill/>
                  </pic:spPr>
                </pic:pic>
              </a:graphicData>
            </a:graphic>
          </wp:anchor>
        </w:drawing>
      </w:r>
    </w:p>
    <w:p>
      <w:pPr>
        <w:sectPr>
          <w:pgSz w:w="11900" w:h="16838" w:orient="portrait"/>
          <w:cols w:equalWidth="0" w:num="2">
            <w:col w:w="5420" w:space="300"/>
            <w:col w:w="5400"/>
          </w:cols>
          <w:pgMar w:left="320" w:top="1093"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14"/>
          <w:szCs w:val="14"/>
          <w:b w:val="1"/>
          <w:bCs w:val="1"/>
          <w:color w:val="191769"/>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CONSERVING NATURAL RESOURCES THROUGH INTERNET AVAILABILITY OF PROXY MATERIALS</w:t>
      </w:r>
    </w:p>
    <w:p>
      <w:pPr>
        <w:spacing w:after="0" w:line="9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This year, we are again using the U.S. Securities and Exchange Commission’s Notice and Access model (“Notice and Access”) which allows delivery of proxy materials via the Internet as the primary means of furnishing proxy materials. We believe Notice and Access provides shareholders with a convenient method to access the proxy materials and vote, reduces the costs of printing and distributing proxy materials, and allows us to conserve natural resources in alignment with our role as an environmental steward.</w:t>
      </w:r>
    </w:p>
    <w:p>
      <w:pPr>
        <w:spacing w:after="0" w:line="80"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On or about April 6, 2026, we will mail a Notice of Internet Availability (“NOIA”) of Proxy Materials containing instructions on how to access our Proxy Statement and our 2025 Annual Report online and how to vote via the Internet. The NOIA also contains instructions on how to receive a paper copy of the proxy materials and our 2025 Annual Report to Shareholders.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YOUR VOTE IS IMPORTANT</w:t>
      </w:r>
    </w:p>
    <w:p>
      <w:pPr>
        <w:spacing w:after="0" w:line="8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urge you to vote using telephone or internet voting, if available to you, or if you received these proxy materials by U.S. mail, by completing, signing, dating and returning the enclosed proxy card promptly. If voting by phone, please call the toll-free number found on your NOIA of Proxy Materials or on your proxy card. To vote via the Internet, please visit the website shown on your NOIA (</w:t>
      </w:r>
      <w:r>
        <w:rPr>
          <w:rFonts w:ascii="Arial" w:cs="Arial" w:eastAsia="Arial" w:hAnsi="Arial"/>
          <w:sz w:val="16"/>
          <w:szCs w:val="16"/>
          <w:u w:val="single" w:color="auto"/>
          <w:color w:val="0076A8"/>
        </w:rPr>
        <w:t>www.proxyvote.com</w:t>
      </w:r>
      <w:r>
        <w:rPr>
          <w:rFonts w:ascii="Arial" w:cs="Arial" w:eastAsia="Arial" w:hAnsi="Arial"/>
          <w:sz w:val="16"/>
          <w:szCs w:val="16"/>
          <w:color w:val="auto"/>
        </w:rPr>
        <w:t xml:space="preserve">) before 11:59 p.m. on May 18, 2026 to transmit voting instructions. (Shareholders will need the 12-digit control number from the proxy card or NOIA to view proxy materials at </w:t>
      </w:r>
      <w:r>
        <w:rPr>
          <w:rFonts w:ascii="Arial" w:cs="Arial" w:eastAsia="Arial" w:hAnsi="Arial"/>
          <w:sz w:val="16"/>
          <w:szCs w:val="16"/>
          <w:u w:val="single" w:color="auto"/>
          <w:color w:val="0076A8"/>
        </w:rPr>
        <w:t>www.proxyvote.com</w:t>
      </w:r>
      <w:r>
        <w:rPr>
          <w:rFonts w:ascii="Arial" w:cs="Arial" w:eastAsia="Arial" w:hAnsi="Arial"/>
          <w:sz w:val="16"/>
          <w:szCs w:val="16"/>
          <w:color w:val="auto"/>
        </w:rPr>
        <w:t>).</w:t>
      </w:r>
    </w:p>
    <w:p>
      <w:pPr>
        <w:spacing w:after="0" w:line="92"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Shareholders of record may deliver their vote online during the virtual Annual Meeting by following directions on the Annual Meeting website. Beneficial owners of shares of common stock held in street name through a bank or brokerage account should follow the voting instructions enclosed with their proxy materials.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860" w:type="dxa"/>
            <w:vAlign w:val="bottom"/>
            <w:tcBorders>
              <w:right w:val="single" w:sz="8" w:color="00AEEF"/>
            </w:tcBorders>
          </w:tcPr>
          <w:p>
            <w:pPr>
              <w:ind w:left="94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3</w:t>
            </w:r>
          </w:p>
        </w:tc>
      </w:tr>
      <w:tr>
        <w:trPr>
          <w:trHeight w:val="325"/>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ind w:right="3620"/>
        <w:spacing w:after="0" w:line="252" w:lineRule="auto"/>
        <w:rPr>
          <w:sz w:val="20"/>
          <w:szCs w:val="20"/>
          <w:color w:val="auto"/>
        </w:rPr>
      </w:pPr>
      <w:r>
        <w:rPr>
          <w:rFonts w:ascii="Arial" w:cs="Arial" w:eastAsia="Arial" w:hAnsi="Arial"/>
          <w:sz w:val="34"/>
          <w:szCs w:val="34"/>
          <w:b w:val="1"/>
          <w:bCs w:val="1"/>
          <w:color w:val="191769"/>
        </w:rPr>
        <w:t xml:space="preserve">Notice of 2026 Annual Meeting of Shareholders </w:t>
      </w:r>
      <w:r>
        <w:rPr>
          <w:rFonts w:ascii="Arial" w:cs="Arial" w:eastAsia="Arial" w:hAnsi="Arial"/>
          <w:sz w:val="34"/>
          <w:szCs w:val="34"/>
          <w:color w:val="191769"/>
        </w:rPr>
        <w:t>to be Held on May 19, 2026</w:t>
      </w:r>
    </w:p>
    <w:p>
      <w:pPr>
        <w:sectPr>
          <w:pgSz w:w="11900" w:h="16838" w:orient="portrait"/>
          <w:cols w:equalWidth="0" w:num="1">
            <w:col w:w="11340"/>
          </w:cols>
          <w:pgMar w:left="320" w:top="1096" w:right="239" w:bottom="1440" w:gutter="0" w:footer="0" w:header="0"/>
        </w:sectPr>
      </w:pPr>
    </w:p>
    <w:p>
      <w:pPr>
        <w:spacing w:after="0" w:line="95" w:lineRule="exact"/>
        <w:rPr>
          <w:sz w:val="20"/>
          <w:szCs w:val="20"/>
          <w:color w:val="auto"/>
        </w:rPr>
      </w:pPr>
    </w:p>
    <w:p>
      <w:pPr>
        <w:spacing w:after="0"/>
        <w:rPr>
          <w:sz w:val="20"/>
          <w:szCs w:val="20"/>
          <w:color w:val="auto"/>
        </w:rPr>
      </w:pPr>
      <w:r>
        <w:rPr>
          <w:rFonts w:ascii="Arial" w:cs="Arial" w:eastAsia="Arial" w:hAnsi="Arial"/>
          <w:sz w:val="23"/>
          <w:szCs w:val="23"/>
          <w:b w:val="1"/>
          <w:bCs w:val="1"/>
          <w:color w:val="191769"/>
        </w:rPr>
        <w:t>Dear Shareholder:</w:t>
      </w:r>
    </w:p>
    <w:p>
      <w:pPr>
        <w:spacing w:after="0" w:line="61"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You are cordially invited to participate in the Annual Meeting of Shareholders (the “Annual Meeting”) of Middlesex Water Company (“Middlesex” or the “Company”) which will be held on May 19, 2026 at 11:00 a.m. Eastern Daylight Time for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3431540" cy="797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31540" cy="797560"/>
                    </a:xfrm>
                    <a:prstGeom prst="rect">
                      <a:avLst/>
                    </a:prstGeom>
                    <a:noFill/>
                  </pic:spPr>
                </pic:pic>
              </a:graphicData>
            </a:graphic>
          </wp:anchor>
        </w:drawing>
      </w:r>
    </w:p>
    <w:p>
      <w:pPr>
        <w:spacing w:after="0" w:line="270" w:lineRule="exact"/>
        <w:rPr>
          <w:sz w:val="20"/>
          <w:szCs w:val="20"/>
          <w:color w:val="auto"/>
        </w:rPr>
      </w:pPr>
    </w:p>
    <w:p>
      <w:pPr>
        <w:ind w:left="300"/>
        <w:spacing w:after="0"/>
        <w:tabs>
          <w:tab w:leader="none" w:pos="1460" w:val="left"/>
        </w:tabs>
        <w:rPr>
          <w:sz w:val="20"/>
          <w:szCs w:val="20"/>
          <w:color w:val="auto"/>
        </w:rPr>
      </w:pPr>
      <w:r>
        <w:rPr>
          <w:rFonts w:ascii="Arial" w:cs="Arial" w:eastAsia="Arial" w:hAnsi="Arial"/>
          <w:sz w:val="15"/>
          <w:szCs w:val="15"/>
          <w:b w:val="1"/>
          <w:bCs w:val="1"/>
          <w:color w:val="191769"/>
        </w:rPr>
        <w:t>PROPOSAL</w:t>
      </w:r>
      <w:r>
        <w:rPr>
          <w:sz w:val="20"/>
          <w:szCs w:val="20"/>
          <w:color w:val="auto"/>
        </w:rPr>
        <w:tab/>
      </w:r>
      <w:r>
        <w:rPr>
          <w:rFonts w:ascii="Arial" w:cs="Arial" w:eastAsia="Arial" w:hAnsi="Arial"/>
          <w:sz w:val="16"/>
          <w:szCs w:val="16"/>
          <w:color w:val="auto"/>
        </w:rPr>
        <w:t>To elect one Class II director to serve for a period of two years and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-113665</wp:posOffset>
            </wp:positionV>
            <wp:extent cx="821055" cy="687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1055" cy="687705"/>
                    </a:xfrm>
                    <a:prstGeom prst="rect">
                      <a:avLst/>
                    </a:prstGeom>
                    <a:noFill/>
                  </pic:spPr>
                </pic:pic>
              </a:graphicData>
            </a:graphic>
          </wp:anchor>
        </w:drawing>
      </w:r>
    </w:p>
    <w:p>
      <w:pPr>
        <w:ind w:left="1480" w:right="260" w:hanging="888"/>
        <w:spacing w:after="0" w:line="183" w:lineRule="auto"/>
        <w:tabs>
          <w:tab w:leader="none" w:pos="1480" w:val="left"/>
        </w:tabs>
        <w:numPr>
          <w:ilvl w:val="0"/>
          <w:numId w:val="5"/>
        </w:numPr>
        <w:rPr>
          <w:rFonts w:ascii="Arial" w:cs="Arial" w:eastAsia="Arial" w:hAnsi="Arial"/>
          <w:sz w:val="31"/>
          <w:szCs w:val="31"/>
          <w:b w:val="1"/>
          <w:bCs w:val="1"/>
          <w:color w:val="191769"/>
          <w:vertAlign w:val="subscript"/>
        </w:rPr>
      </w:pPr>
      <w:r>
        <w:rPr>
          <w:rFonts w:ascii="Arial" w:cs="Arial" w:eastAsia="Arial" w:hAnsi="Arial"/>
          <w:sz w:val="13"/>
          <w:szCs w:val="13"/>
          <w:color w:val="auto"/>
        </w:rPr>
        <w:t>Class III directors to our Board of Directors (the “Board”) to serve for a period of three years and until their successors are elected and qualified.</w:t>
      </w:r>
    </w:p>
    <w:p>
      <w:pPr>
        <w:spacing w:after="0" w:line="42" w:lineRule="exact"/>
        <w:rPr>
          <w:rFonts w:ascii="Arial" w:cs="Arial" w:eastAsia="Arial" w:hAnsi="Arial"/>
          <w:sz w:val="31"/>
          <w:szCs w:val="31"/>
          <w:b w:val="1"/>
          <w:bCs w:val="1"/>
          <w:color w:val="191769"/>
          <w:vertAlign w:val="subscript"/>
        </w:rPr>
      </w:pPr>
    </w:p>
    <w:p>
      <w:pPr>
        <w:ind w:left="1480"/>
        <w:spacing w:after="0"/>
        <w:rPr>
          <w:rFonts w:ascii="Arial" w:cs="Arial" w:eastAsia="Arial" w:hAnsi="Arial"/>
          <w:sz w:val="31"/>
          <w:szCs w:val="31"/>
          <w:b w:val="1"/>
          <w:bCs w:val="1"/>
          <w:color w:val="191769"/>
          <w:vertAlign w:val="subscript"/>
        </w:rPr>
      </w:pPr>
      <w:r>
        <w:rPr>
          <w:rFonts w:ascii="Arial" w:cs="Arial" w:eastAsia="Arial" w:hAnsi="Arial"/>
          <w:sz w:val="16"/>
          <w:szCs w:val="16"/>
          <w:b w:val="1"/>
          <w:bCs w:val="1"/>
          <w:color w:val="0076A8"/>
        </w:rPr>
        <w:t xml:space="preserve">Class III: </w:t>
      </w:r>
      <w:r>
        <w:rPr>
          <w:rFonts w:ascii="Arial" w:cs="Arial" w:eastAsia="Arial" w:hAnsi="Arial"/>
          <w:sz w:val="16"/>
          <w:szCs w:val="16"/>
          <w:color w:val="000000"/>
        </w:rPr>
        <w:t>Joshua Bershad, M.D., James F. Cosgrove, Jr., Vaughn L. McKoy</w:t>
      </w:r>
    </w:p>
    <w:p>
      <w:pPr>
        <w:spacing w:after="0" w:line="16" w:lineRule="exact"/>
        <w:rPr>
          <w:rFonts w:ascii="Arial" w:cs="Arial" w:eastAsia="Arial" w:hAnsi="Arial"/>
          <w:sz w:val="31"/>
          <w:szCs w:val="31"/>
          <w:b w:val="1"/>
          <w:bCs w:val="1"/>
          <w:color w:val="191769"/>
          <w:vertAlign w:val="subscript"/>
        </w:rPr>
      </w:pPr>
    </w:p>
    <w:p>
      <w:pPr>
        <w:ind w:left="1480"/>
        <w:spacing w:after="0"/>
        <w:rPr>
          <w:rFonts w:ascii="Arial" w:cs="Arial" w:eastAsia="Arial" w:hAnsi="Arial"/>
          <w:sz w:val="31"/>
          <w:szCs w:val="31"/>
          <w:b w:val="1"/>
          <w:bCs w:val="1"/>
          <w:color w:val="191769"/>
          <w:vertAlign w:val="subscript"/>
        </w:rPr>
      </w:pPr>
      <w:r>
        <w:rPr>
          <w:rFonts w:ascii="Arial" w:cs="Arial" w:eastAsia="Arial" w:hAnsi="Arial"/>
          <w:sz w:val="16"/>
          <w:szCs w:val="16"/>
          <w:b w:val="1"/>
          <w:bCs w:val="1"/>
          <w:color w:val="0076A8"/>
        </w:rPr>
        <w:t xml:space="preserve">Class II: </w:t>
      </w:r>
      <w:r>
        <w:rPr>
          <w:rFonts w:ascii="Arial" w:cs="Arial" w:eastAsia="Arial" w:hAnsi="Arial"/>
          <w:sz w:val="16"/>
          <w:szCs w:val="16"/>
          <w:color w:val="000000"/>
        </w:rPr>
        <w:t>Robert Hoglund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55880</wp:posOffset>
            </wp:positionV>
            <wp:extent cx="465074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5074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235585</wp:posOffset>
            </wp:positionV>
            <wp:extent cx="906780" cy="476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06780" cy="4768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157480</wp:posOffset>
            </wp:positionV>
            <wp:extent cx="3423920"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3920" cy="23495"/>
                    </a:xfrm>
                    <a:prstGeom prst="rect">
                      <a:avLst/>
                    </a:prstGeom>
                    <a:noFill/>
                  </pic:spPr>
                </pic:pic>
              </a:graphicData>
            </a:graphic>
          </wp:anchor>
        </w:drawing>
      </w:r>
    </w:p>
    <w:p>
      <w:pPr>
        <w:spacing w:after="0" w:line="395" w:lineRule="exact"/>
        <w:rPr>
          <w:sz w:val="20"/>
          <w:szCs w:val="20"/>
          <w:color w:val="auto"/>
        </w:rPr>
      </w:pPr>
    </w:p>
    <w:p>
      <w:pPr>
        <w:ind w:left="300"/>
        <w:spacing w:after="0"/>
        <w:tabs>
          <w:tab w:leader="none" w:pos="1460" w:val="left"/>
        </w:tabs>
        <w:rPr>
          <w:sz w:val="20"/>
          <w:szCs w:val="20"/>
          <w:color w:val="auto"/>
        </w:rPr>
      </w:pPr>
      <w:r>
        <w:rPr>
          <w:rFonts w:ascii="Arial" w:cs="Arial" w:eastAsia="Arial" w:hAnsi="Arial"/>
          <w:sz w:val="15"/>
          <w:szCs w:val="15"/>
          <w:b w:val="1"/>
          <w:bCs w:val="1"/>
          <w:color w:val="191769"/>
        </w:rPr>
        <w:t>PROPOSAL</w:t>
      </w:r>
      <w:r>
        <w:rPr>
          <w:sz w:val="20"/>
          <w:szCs w:val="20"/>
          <w:color w:val="auto"/>
        </w:rPr>
        <w:tab/>
      </w:r>
      <w:r>
        <w:rPr>
          <w:rFonts w:ascii="Arial" w:cs="Arial" w:eastAsia="Arial" w:hAnsi="Arial"/>
          <w:sz w:val="16"/>
          <w:szCs w:val="16"/>
          <w:color w:val="auto"/>
        </w:rPr>
        <w:t>To approve, by non-binding advisory vote,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-113665</wp:posOffset>
            </wp:positionV>
            <wp:extent cx="821055"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1055" cy="445770"/>
                    </a:xfrm>
                    <a:prstGeom prst="rect">
                      <a:avLst/>
                    </a:prstGeom>
                    <a:noFill/>
                  </pic:spPr>
                </pic:pic>
              </a:graphicData>
            </a:graphic>
          </wp:anchor>
        </w:drawing>
      </w:r>
    </w:p>
    <w:p>
      <w:pPr>
        <w:ind w:left="1480" w:right="520" w:hanging="888"/>
        <w:spacing w:after="0" w:line="183" w:lineRule="auto"/>
        <w:tabs>
          <w:tab w:leader="none" w:pos="1480" w:val="left"/>
        </w:tabs>
        <w:numPr>
          <w:ilvl w:val="0"/>
          <w:numId w:val="6"/>
        </w:numPr>
        <w:rPr>
          <w:rFonts w:ascii="Arial" w:cs="Arial" w:eastAsia="Arial" w:hAnsi="Arial"/>
          <w:sz w:val="31"/>
          <w:szCs w:val="31"/>
          <w:b w:val="1"/>
          <w:bCs w:val="1"/>
          <w:color w:val="191769"/>
          <w:vertAlign w:val="subscript"/>
        </w:rPr>
      </w:pPr>
      <w:r>
        <w:rPr>
          <w:rFonts w:ascii="Arial" w:cs="Arial" w:eastAsia="Arial" w:hAnsi="Arial"/>
          <w:sz w:val="13"/>
          <w:szCs w:val="13"/>
          <w:color w:val="auto"/>
        </w:rPr>
        <w:t>compensation, as described in the accompanying Proxy Statement under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76835</wp:posOffset>
            </wp:positionV>
            <wp:extent cx="465074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5074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264160</wp:posOffset>
            </wp:positionV>
            <wp:extent cx="906780" cy="476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06780" cy="4768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186055</wp:posOffset>
            </wp:positionV>
            <wp:extent cx="3423920"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3920" cy="2349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300"/>
        <w:spacing w:after="0"/>
        <w:tabs>
          <w:tab w:leader="none" w:pos="1460" w:val="left"/>
        </w:tabs>
        <w:rPr>
          <w:sz w:val="20"/>
          <w:szCs w:val="20"/>
          <w:color w:val="auto"/>
        </w:rPr>
      </w:pPr>
      <w:r>
        <w:rPr>
          <w:rFonts w:ascii="Arial" w:cs="Arial" w:eastAsia="Arial" w:hAnsi="Arial"/>
          <w:sz w:val="15"/>
          <w:szCs w:val="15"/>
          <w:b w:val="1"/>
          <w:bCs w:val="1"/>
          <w:color w:val="191769"/>
        </w:rPr>
        <w:t>PROPOSAL</w:t>
      </w:r>
      <w:r>
        <w:rPr>
          <w:sz w:val="20"/>
          <w:szCs w:val="20"/>
          <w:color w:val="auto"/>
        </w:rPr>
        <w:tab/>
      </w:r>
      <w:r>
        <w:rPr>
          <w:rFonts w:ascii="Arial" w:cs="Arial" w:eastAsia="Arial" w:hAnsi="Arial"/>
          <w:sz w:val="16"/>
          <w:szCs w:val="16"/>
          <w:color w:val="auto"/>
        </w:rPr>
        <w:t>To ratify the appointment of PricewaterhouseCoopers LLP as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-113665</wp:posOffset>
            </wp:positionV>
            <wp:extent cx="821055" cy="445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1055" cy="445770"/>
                    </a:xfrm>
                    <a:prstGeom prst="rect">
                      <a:avLst/>
                    </a:prstGeom>
                    <a:noFill/>
                  </pic:spPr>
                </pic:pic>
              </a:graphicData>
            </a:graphic>
          </wp:anchor>
        </w:drawing>
      </w:r>
    </w:p>
    <w:p>
      <w:pPr>
        <w:ind w:left="1480" w:right="700" w:hanging="888"/>
        <w:spacing w:after="0" w:line="183" w:lineRule="auto"/>
        <w:tabs>
          <w:tab w:leader="none" w:pos="1480" w:val="left"/>
        </w:tabs>
        <w:numPr>
          <w:ilvl w:val="0"/>
          <w:numId w:val="7"/>
        </w:numPr>
        <w:rPr>
          <w:rFonts w:ascii="Arial" w:cs="Arial" w:eastAsia="Arial" w:hAnsi="Arial"/>
          <w:sz w:val="31"/>
          <w:szCs w:val="31"/>
          <w:b w:val="1"/>
          <w:bCs w:val="1"/>
          <w:color w:val="191769"/>
          <w:vertAlign w:val="subscript"/>
        </w:rPr>
      </w:pPr>
      <w:r>
        <w:rPr>
          <w:rFonts w:ascii="Arial" w:cs="Arial" w:eastAsia="Arial" w:hAnsi="Arial"/>
          <w:sz w:val="13"/>
          <w:szCs w:val="13"/>
          <w:color w:val="auto"/>
        </w:rPr>
        <w:t>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84455</wp:posOffset>
            </wp:positionV>
            <wp:extent cx="465074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50740" cy="7620"/>
                    </a:xfrm>
                    <a:prstGeom prst="rect">
                      <a:avLst/>
                    </a:prstGeom>
                    <a:noFill/>
                  </pic:spPr>
                </pic:pic>
              </a:graphicData>
            </a:graphic>
          </wp:anchor>
        </w:drawing>
      </w:r>
    </w:p>
    <w:p>
      <w:pPr>
        <w:spacing w:after="0" w:line="306" w:lineRule="exact"/>
        <w:rPr>
          <w:sz w:val="20"/>
          <w:szCs w:val="20"/>
          <w:color w:val="auto"/>
        </w:rPr>
      </w:pPr>
    </w:p>
    <w:p>
      <w:pPr>
        <w:ind w:right="400"/>
        <w:spacing w:after="0" w:line="283" w:lineRule="auto"/>
        <w:rPr>
          <w:sz w:val="20"/>
          <w:szCs w:val="20"/>
          <w:color w:val="auto"/>
        </w:rPr>
      </w:pPr>
      <w:r>
        <w:rPr>
          <w:rFonts w:ascii="Arial" w:cs="Arial" w:eastAsia="Arial" w:hAnsi="Arial"/>
          <w:sz w:val="16"/>
          <w:szCs w:val="16"/>
          <w:color w:val="auto"/>
        </w:rPr>
        <w:t>In addition, we will transact any other business properly presented at the meeting, including any adjournment or postponement by, or at, the direction of the Board.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This Proxy Statement contains important information for you to consider when deciding how to vote</w:t>
      </w:r>
    </w:p>
    <w:p>
      <w:pPr>
        <w:spacing w:after="0" w:line="17"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on the matters brought before the Annual Meeting. Please read it carefully. You do not need to attend the Annual Meeting in order to vote. The Board recommends that you vote for Proposal 1, for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Proposal 2 and for Proposal 3.</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This year’s Annual Meeting will be held exclusively via audiocast at</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76A8"/>
        </w:rPr>
        <w:t>www.virtualshareholdermeeting.com/MSEX2026</w:t>
      </w:r>
      <w:r>
        <w:rPr>
          <w:rFonts w:ascii="Arial" w:cs="Arial" w:eastAsia="Arial" w:hAnsi="Arial"/>
          <w:sz w:val="16"/>
          <w:szCs w:val="16"/>
          <w:color w:val="000000"/>
          <w:highlight w:val="white"/>
        </w:rPr>
        <w:t>.</w:t>
      </w:r>
    </w:p>
    <w:p>
      <w:pPr>
        <w:spacing w:after="0" w:line="95"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We strongly encourage shareholders to vote, and to do so as promptly as possible. The deadline for voting by Internet or phone is before the Annual Meeting at 11:59 p.m. Eastern Daylight Time on</w:t>
      </w:r>
    </w:p>
    <w:p>
      <w:pPr>
        <w:spacing w:after="0"/>
        <w:rPr>
          <w:sz w:val="20"/>
          <w:szCs w:val="20"/>
          <w:color w:val="auto"/>
        </w:rPr>
      </w:pPr>
      <w:r>
        <w:rPr>
          <w:rFonts w:ascii="Arial" w:cs="Arial" w:eastAsia="Arial" w:hAnsi="Arial"/>
          <w:sz w:val="16"/>
          <w:szCs w:val="16"/>
          <w:color w:val="auto"/>
        </w:rPr>
        <w:t>Monday, May 18, 2026.</w:t>
      </w:r>
    </w:p>
    <w:p>
      <w:pPr>
        <w:spacing w:after="0" w:line="95" w:lineRule="exact"/>
        <w:rPr>
          <w:sz w:val="20"/>
          <w:szCs w:val="20"/>
          <w:color w:val="auto"/>
        </w:rPr>
      </w:pPr>
    </w:p>
    <w:p>
      <w:pPr>
        <w:ind w:right="700"/>
        <w:spacing w:after="0" w:line="243" w:lineRule="auto"/>
        <w:rPr>
          <w:sz w:val="20"/>
          <w:szCs w:val="20"/>
          <w:color w:val="auto"/>
        </w:rPr>
      </w:pPr>
      <w:r>
        <w:rPr>
          <w:rFonts w:ascii="Arial" w:cs="Arial" w:eastAsia="Arial" w:hAnsi="Arial"/>
          <w:sz w:val="16"/>
          <w:szCs w:val="16"/>
          <w:color w:val="auto"/>
        </w:rPr>
        <w:t>The Board has fixed the close of business on March 24, 2026 as the record date for the determination of shareholders entitled to notice of, and to vote at, the Annual Meeting. Only</w:t>
      </w:r>
    </w:p>
    <w:p>
      <w:pPr>
        <w:spacing w:after="0"/>
        <w:rPr>
          <w:sz w:val="20"/>
          <w:szCs w:val="20"/>
          <w:color w:val="auto"/>
        </w:rPr>
      </w:pPr>
      <w:r>
        <w:rPr>
          <w:rFonts w:ascii="Arial" w:cs="Arial" w:eastAsia="Arial" w:hAnsi="Arial"/>
          <w:sz w:val="16"/>
          <w:szCs w:val="16"/>
          <w:color w:val="auto"/>
        </w:rPr>
        <w:t>shareholders of record as of the close of business on March 24, 2026, or their proxy holders, may</w:t>
      </w:r>
    </w:p>
    <w:p>
      <w:pPr>
        <w:spacing w:after="0" w:line="1" w:lineRule="exact"/>
        <w:rPr>
          <w:sz w:val="20"/>
          <w:szCs w:val="20"/>
          <w:color w:val="auto"/>
        </w:rPr>
      </w:pPr>
    </w:p>
    <w:p>
      <w:pPr>
        <w:ind w:right="100"/>
        <w:spacing w:after="0" w:line="232" w:lineRule="auto"/>
        <w:rPr>
          <w:sz w:val="20"/>
          <w:szCs w:val="20"/>
          <w:color w:val="auto"/>
        </w:rPr>
      </w:pPr>
      <w:r>
        <w:rPr>
          <w:rFonts w:ascii="Arial" w:cs="Arial" w:eastAsia="Arial" w:hAnsi="Arial"/>
          <w:sz w:val="16"/>
          <w:szCs w:val="16"/>
          <w:color w:val="auto"/>
        </w:rPr>
        <w:t>vote at the Annual Meeting. Please note in the absence of specific instructions as to how to vote, brokers may not vote your shares on the election of Directors or the non-binding proposal regarding</w:t>
      </w:r>
    </w:p>
    <w:p>
      <w:pPr>
        <w:spacing w:after="0" w:line="1"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auto"/>
        </w:rPr>
        <w:t>the compensation of our Named Executive Officers. This proxy statement is first being provided to our shareholders on or about April 6, 2026.</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On behalf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89535</wp:posOffset>
            </wp:positionV>
            <wp:extent cx="656590" cy="2425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6590" cy="2425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MEETING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-215265</wp:posOffset>
            </wp:positionV>
            <wp:extent cx="2355850" cy="39941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55850" cy="3994150"/>
                    </a:xfrm>
                    <a:prstGeom prst="rect">
                      <a:avLst/>
                    </a:prstGeom>
                    <a:noFill/>
                  </pic:spPr>
                </pic:pic>
              </a:graphicData>
            </a:graphic>
          </wp:anchor>
        </w:drawing>
      </w:r>
    </w:p>
    <w:p>
      <w:pPr>
        <w:spacing w:after="0" w:line="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May 19, 2026</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11:00 a.m. EDT</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RECORD DATE</w:t>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March 24, 2026</w:t>
      </w:r>
    </w:p>
    <w:p>
      <w:pPr>
        <w:spacing w:after="0" w:line="30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LOCATION</w:t>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Via Webcast</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6"/>
          <w:szCs w:val="16"/>
          <w:u w:val="single" w:color="auto"/>
          <w:color w:val="0076A8"/>
        </w:rPr>
        <w:t>www.VirtualShareholderMeeting.com/MSE</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You may vote by</w:t>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internet in advance.</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You are invited to participate in the Annual Meetin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live audiocast. Whether or not you expect to virtua</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attend the Annual Meeting, please vote on the ma</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to be considered as promptly as possible in order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ensure your representation at the meeting. You m</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vote at</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76A8"/>
        </w:rPr>
        <w:t>www.virtualshareholdermeeting.com/MSEX2026</w:t>
      </w:r>
      <w:r>
        <w:rPr>
          <w:rFonts w:ascii="Arial" w:cs="Arial" w:eastAsia="Arial" w:hAnsi="Arial"/>
          <w:sz w:val="16"/>
          <w:szCs w:val="16"/>
          <w:color w:val="0076A8"/>
        </w:rPr>
        <w:t xml:space="preserve"> </w:t>
      </w:r>
      <w:r>
        <w:rPr>
          <w:rFonts w:ascii="Arial" w:cs="Arial" w:eastAsia="Arial" w:hAnsi="Arial"/>
          <w:sz w:val="16"/>
          <w:szCs w:val="16"/>
          <w:color w:val="000000"/>
        </w:rPr>
        <w:t>w</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you enter your 16-digit control number included wi</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the Notice of Internet Availability or proxy card.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Instructions on how to attend, participate in, and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ask questions at, the Annual Meeting are posted a</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76A8"/>
        </w:rPr>
        <w:t>www.virtualshareholdermeeting.com/MSEX2026</w:t>
      </w:r>
      <w:r>
        <w:rPr>
          <w:rFonts w:ascii="Arial" w:cs="Arial" w:eastAsia="Arial" w:hAnsi="Arial"/>
          <w:sz w:val="16"/>
          <w:szCs w:val="16"/>
          <w:color w:val="000000"/>
        </w:rPr>
        <w:t>.</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will be also able to vote your shares while attendin</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by following the instructions o</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180975</wp:posOffset>
            </wp:positionV>
            <wp:extent cx="2355850" cy="554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55850" cy="554990"/>
                    </a:xfrm>
                    <a:prstGeom prst="rect">
                      <a:avLst/>
                    </a:prstGeom>
                    <a:noFill/>
                  </pic:spPr>
                </pic:pic>
              </a:graphicData>
            </a:graphic>
          </wp:anchor>
        </w:drawing>
      </w:r>
    </w:p>
    <w:p>
      <w:pPr>
        <w:spacing w:after="0" w:line="35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Important Notice Regarding the Availabilit Proxy Materials For the Annual Meeting of Shareholders to Be Held on May 19, 2026</w:t>
      </w:r>
    </w:p>
    <w:p>
      <w:pPr>
        <w:spacing w:after="0" w:line="1565" w:lineRule="exact"/>
        <w:rPr>
          <w:sz w:val="20"/>
          <w:szCs w:val="20"/>
          <w:color w:val="auto"/>
        </w:rPr>
      </w:pPr>
    </w:p>
    <w:p>
      <w:pPr>
        <w:sectPr>
          <w:pgSz w:w="11900" w:h="16838" w:orient="portrait"/>
          <w:cols w:equalWidth="0" w:num="2">
            <w:col w:w="7320" w:space="400"/>
            <w:col w:w="3620"/>
          </w:cols>
          <w:pgMar w:left="320" w:top="1096" w:right="239" w:bottom="1440" w:gutter="0" w:footer="0" w:header="0"/>
          <w:type w:val="continuous"/>
        </w:sect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Jay L. Kooper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General Counsel and Secretary</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Iselin, New Jersey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April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213995</wp:posOffset>
            </wp:positionV>
            <wp:extent cx="7620" cy="132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334" w:lineRule="exact"/>
        <w:rPr>
          <w:sz w:val="20"/>
          <w:szCs w:val="20"/>
          <w:color w:val="auto"/>
        </w:rPr>
      </w:pPr>
    </w:p>
    <w:p>
      <w:pPr>
        <w:ind w:left="460" w:hanging="445"/>
        <w:spacing w:after="0"/>
        <w:tabs>
          <w:tab w:leader="none" w:pos="460" w:val="left"/>
        </w:tabs>
        <w:numPr>
          <w:ilvl w:val="0"/>
          <w:numId w:val="8"/>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217805</wp:posOffset>
            </wp:positionV>
            <wp:extent cx="716978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340"/>
          </w:cols>
          <w:pgMar w:left="320" w:top="1096"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46"/>
          <w:szCs w:val="46"/>
          <w:color w:val="191769"/>
        </w:rPr>
        <w:t>Proxy Statement Summary</w:t>
      </w:r>
    </w:p>
    <w:p>
      <w:pPr>
        <w:spacing w:after="0" w:line="285" w:lineRule="exact"/>
        <w:rPr>
          <w:sz w:val="20"/>
          <w:szCs w:val="20"/>
          <w:color w:val="auto"/>
        </w:rPr>
      </w:pPr>
    </w:p>
    <w:p>
      <w:pPr>
        <w:ind w:right="400"/>
        <w:spacing w:after="0" w:line="278" w:lineRule="auto"/>
        <w:rPr>
          <w:sz w:val="20"/>
          <w:szCs w:val="20"/>
          <w:color w:val="auto"/>
        </w:rPr>
      </w:pPr>
      <w:r>
        <w:rPr>
          <w:rFonts w:ascii="Arial" w:cs="Arial" w:eastAsia="Arial" w:hAnsi="Arial"/>
          <w:sz w:val="16"/>
          <w:szCs w:val="16"/>
          <w:color w:val="auto"/>
        </w:rPr>
        <w:t>This summary highlights information contained in further detail elsewhere in this Proxy Statement. It does not contain all of the information you should consider and you should read the entire Proxy Statement carefully before voting. For more complete information regarding the Company’s 2025 performance, please also review the Company’s Annual Report on Form 10-K for the year ended December 31, 2025.</w:t>
      </w:r>
    </w:p>
    <w:p>
      <w:pPr>
        <w:spacing w:after="0" w:line="205" w:lineRule="exact"/>
        <w:rPr>
          <w:sz w:val="20"/>
          <w:szCs w:val="20"/>
          <w:color w:val="auto"/>
        </w:rPr>
      </w:pPr>
    </w:p>
    <w:p>
      <w:pPr>
        <w:spacing w:after="0"/>
        <w:rPr>
          <w:sz w:val="20"/>
          <w:szCs w:val="20"/>
          <w:color w:val="auto"/>
        </w:rPr>
      </w:pPr>
      <w:r>
        <w:rPr>
          <w:rFonts w:ascii="Arial" w:cs="Arial" w:eastAsia="Arial" w:hAnsi="Arial"/>
          <w:sz w:val="28"/>
          <w:szCs w:val="28"/>
          <w:b w:val="1"/>
          <w:bCs w:val="1"/>
          <w:color w:val="191769"/>
        </w:rPr>
        <w:t>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90805</wp:posOffset>
            </wp:positionV>
            <wp:extent cx="7144385" cy="13601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4385" cy="136017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p>
      <w:pPr>
        <w:spacing w:after="0" w:line="348"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191769"/>
        </w:rPr>
        <w:t>Date and Time:</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Tuesday, May 19, 2026 at 11:00 a.m. EDT</w:t>
      </w:r>
    </w:p>
    <w:p>
      <w:pPr>
        <w:spacing w:after="0" w:line="71" w:lineRule="exact"/>
        <w:rPr>
          <w:sz w:val="20"/>
          <w:szCs w:val="20"/>
          <w:color w:val="auto"/>
        </w:rPr>
      </w:pPr>
    </w:p>
    <w:p>
      <w:pPr>
        <w:ind w:left="260" w:right="1300"/>
        <w:spacing w:after="0" w:line="297" w:lineRule="auto"/>
        <w:rPr>
          <w:sz w:val="20"/>
          <w:szCs w:val="20"/>
          <w:color w:val="auto"/>
        </w:rPr>
      </w:pPr>
      <w:r>
        <w:rPr>
          <w:rFonts w:ascii="Arial" w:cs="Arial" w:eastAsia="Arial" w:hAnsi="Arial"/>
          <w:sz w:val="16"/>
          <w:szCs w:val="16"/>
          <w:b w:val="1"/>
          <w:bCs w:val="1"/>
          <w:color w:val="191769"/>
        </w:rPr>
        <w:t xml:space="preserve">Location: </w:t>
      </w:r>
      <w:r>
        <w:rPr>
          <w:rFonts w:ascii="Arial" w:cs="Arial" w:eastAsia="Arial" w:hAnsi="Arial"/>
          <w:sz w:val="16"/>
          <w:szCs w:val="16"/>
          <w:color w:val="000000"/>
        </w:rPr>
        <w:t>Via virtual webcast at</w:t>
      </w:r>
      <w:r>
        <w:rPr>
          <w:rFonts w:ascii="Arial" w:cs="Arial" w:eastAsia="Arial" w:hAnsi="Arial"/>
          <w:sz w:val="16"/>
          <w:szCs w:val="16"/>
          <w:b w:val="1"/>
          <w:bCs w:val="1"/>
          <w:color w:val="191769"/>
        </w:rPr>
        <w:t xml:space="preserve"> </w:t>
      </w:r>
      <w:r>
        <w:rPr>
          <w:rFonts w:ascii="Arial" w:cs="Arial" w:eastAsia="Arial" w:hAnsi="Arial"/>
          <w:sz w:val="16"/>
          <w:szCs w:val="16"/>
          <w:u w:val="single" w:color="auto"/>
          <w:color w:val="0076A8"/>
        </w:rPr>
        <w:t>www.virtualshareholdermeeting.com/MSEX2026</w:t>
      </w:r>
    </w:p>
    <w:p>
      <w:pPr>
        <w:ind w:left="260"/>
        <w:spacing w:after="0"/>
        <w:rPr>
          <w:sz w:val="20"/>
          <w:szCs w:val="20"/>
          <w:color w:val="auto"/>
        </w:rPr>
      </w:pPr>
      <w:r>
        <w:rPr>
          <w:rFonts w:ascii="Arial" w:cs="Arial" w:eastAsia="Arial" w:hAnsi="Arial"/>
          <w:sz w:val="16"/>
          <w:szCs w:val="16"/>
          <w:b w:val="1"/>
          <w:bCs w:val="1"/>
          <w:color w:val="191769"/>
        </w:rPr>
        <w:t xml:space="preserve">Record Date: </w:t>
      </w:r>
      <w:r>
        <w:rPr>
          <w:rFonts w:ascii="Arial" w:cs="Arial" w:eastAsia="Arial" w:hAnsi="Arial"/>
          <w:sz w:val="16"/>
          <w:szCs w:val="16"/>
          <w:color w:val="000000"/>
        </w:rPr>
        <w:t>March 24, 2026</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191769"/>
        </w:rPr>
        <w:t xml:space="preserve">Mail Date: </w:t>
      </w:r>
      <w:r>
        <w:rPr>
          <w:rFonts w:ascii="Arial" w:cs="Arial" w:eastAsia="Arial" w:hAnsi="Arial"/>
          <w:sz w:val="16"/>
          <w:szCs w:val="16"/>
          <w:color w:val="000000"/>
        </w:rPr>
        <w:t>April 6, 2026</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191769"/>
        </w:rPr>
        <w:t xml:space="preserve">Transfer Agent: </w:t>
      </w:r>
      <w:r>
        <w:rPr>
          <w:rFonts w:ascii="Arial" w:cs="Arial" w:eastAsia="Arial" w:hAnsi="Arial"/>
          <w:sz w:val="16"/>
          <w:szCs w:val="16"/>
          <w:color w:val="000000"/>
        </w:rPr>
        <w:t>Broadridge Financial Services, Inc.</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 xml:space="preserve">Stock Symbol: </w:t>
      </w:r>
      <w:r>
        <w:rPr>
          <w:rFonts w:ascii="Arial" w:cs="Arial" w:eastAsia="Arial" w:hAnsi="Arial"/>
          <w:sz w:val="16"/>
          <w:szCs w:val="16"/>
          <w:color w:val="000000"/>
        </w:rPr>
        <w:t>MSEX</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 xml:space="preserve">Exchange: </w:t>
      </w:r>
      <w:r>
        <w:rPr>
          <w:rFonts w:ascii="Arial" w:cs="Arial" w:eastAsia="Arial" w:hAnsi="Arial"/>
          <w:sz w:val="16"/>
          <w:szCs w:val="16"/>
          <w:color w:val="000000"/>
        </w:rPr>
        <w:t>Nasdaq</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 xml:space="preserve">State of Incorporation: </w:t>
      </w:r>
      <w:r>
        <w:rPr>
          <w:rFonts w:ascii="Arial" w:cs="Arial" w:eastAsia="Arial" w:hAnsi="Arial"/>
          <w:sz w:val="16"/>
          <w:szCs w:val="16"/>
          <w:color w:val="000000"/>
        </w:rPr>
        <w:t>New Jersey</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 xml:space="preserve">Year of Incorporation: </w:t>
      </w:r>
      <w:r>
        <w:rPr>
          <w:rFonts w:ascii="Arial" w:cs="Arial" w:eastAsia="Arial" w:hAnsi="Arial"/>
          <w:sz w:val="16"/>
          <w:szCs w:val="16"/>
          <w:color w:val="000000"/>
        </w:rPr>
        <w:t>1897</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 xml:space="preserve">Corporate Website: </w:t>
      </w:r>
      <w:r>
        <w:rPr>
          <w:rFonts w:ascii="Arial" w:cs="Arial" w:eastAsia="Arial" w:hAnsi="Arial"/>
          <w:sz w:val="16"/>
          <w:szCs w:val="16"/>
          <w:u w:val="single" w:color="auto"/>
          <w:color w:val="0076A8"/>
        </w:rPr>
        <w:t>www.middlesexwater.com</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Shareholder Service Website: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76A8"/>
        </w:rPr>
        <w:t>www.shareholder.broadridge.com/middlesexwater</w:t>
      </w:r>
    </w:p>
    <w:p>
      <w:pPr>
        <w:spacing w:after="0" w:line="200" w:lineRule="exact"/>
        <w:rPr>
          <w:sz w:val="20"/>
          <w:szCs w:val="20"/>
          <w:color w:val="auto"/>
        </w:rPr>
      </w:pPr>
    </w:p>
    <w:p>
      <w:pPr>
        <w:sectPr>
          <w:pgSz w:w="11900" w:h="16838" w:orient="portrait"/>
          <w:cols w:equalWidth="0" w:num="2">
            <w:col w:w="5060" w:space="720"/>
            <w:col w:w="5460"/>
          </w:cols>
          <w:pgMar w:left="320" w:top="1093" w:right="339" w:bottom="1440" w:gutter="0" w:footer="0" w:header="0"/>
          <w:type w:val="continuous"/>
        </w:sectPr>
      </w:pPr>
    </w:p>
    <w:p>
      <w:pPr>
        <w:spacing w:after="0" w:line="284" w:lineRule="exact"/>
        <w:rPr>
          <w:sz w:val="20"/>
          <w:szCs w:val="20"/>
          <w:color w:val="auto"/>
        </w:rPr>
      </w:pPr>
    </w:p>
    <w:p>
      <w:pPr>
        <w:spacing w:after="0"/>
        <w:rPr>
          <w:sz w:val="20"/>
          <w:szCs w:val="20"/>
          <w:color w:val="auto"/>
        </w:rPr>
      </w:pPr>
      <w:r>
        <w:rPr>
          <w:rFonts w:ascii="Arial" w:cs="Arial" w:eastAsia="Arial" w:hAnsi="Arial"/>
          <w:sz w:val="28"/>
          <w:szCs w:val="28"/>
          <w:b w:val="1"/>
          <w:bCs w:val="1"/>
          <w:color w:val="191769"/>
        </w:rPr>
        <w:t>Matters to be Voted Upon</w:t>
      </w:r>
    </w:p>
    <w:p>
      <w:pPr>
        <w:spacing w:after="0" w:line="102" w:lineRule="exact"/>
        <w:rPr>
          <w:sz w:val="20"/>
          <w:szCs w:val="20"/>
          <w:color w:val="auto"/>
        </w:rPr>
      </w:pPr>
    </w:p>
    <w:p>
      <w:pPr>
        <w:ind w:right="480"/>
        <w:spacing w:after="0" w:line="299" w:lineRule="auto"/>
        <w:rPr>
          <w:sz w:val="20"/>
          <w:szCs w:val="20"/>
          <w:color w:val="auto"/>
        </w:rPr>
      </w:pPr>
      <w:r>
        <w:rPr>
          <w:rFonts w:ascii="Arial" w:cs="Arial" w:eastAsia="Arial" w:hAnsi="Arial"/>
          <w:sz w:val="16"/>
          <w:szCs w:val="16"/>
          <w:color w:val="auto"/>
        </w:rPr>
        <w:t>The following table summarizes the proposals to be voted upon at the Annual Meeting and the Board’s voting recommendations with respect to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5283835" cy="2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83835" cy="23495"/>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1120" w:type="dxa"/>
            <w:vAlign w:val="bottom"/>
            <w:shd w:val="clear" w:color="auto" w:fill="CCEFFC"/>
          </w:tcPr>
          <w:p>
            <w:pPr>
              <w:jc w:val="center"/>
              <w:ind w:left="182"/>
              <w:spacing w:after="0"/>
              <w:rPr>
                <w:sz w:val="20"/>
                <w:szCs w:val="20"/>
                <w:color w:val="auto"/>
              </w:rPr>
            </w:pPr>
            <w:r>
              <w:rPr>
                <w:rFonts w:ascii="Arial" w:cs="Arial" w:eastAsia="Arial" w:hAnsi="Arial"/>
                <w:sz w:val="13"/>
                <w:szCs w:val="13"/>
                <w:b w:val="1"/>
                <w:bCs w:val="1"/>
                <w:color w:val="191769"/>
              </w:rPr>
              <w:t>PROPOSAL</w:t>
            </w:r>
          </w:p>
        </w:tc>
        <w:tc>
          <w:tcPr>
            <w:tcW w:w="300" w:type="dxa"/>
            <w:vAlign w:val="bottom"/>
            <w:shd w:val="clear" w:color="auto" w:fill="CCEFFC"/>
          </w:tcPr>
          <w:p>
            <w:pPr>
              <w:spacing w:after="0"/>
              <w:rPr>
                <w:sz w:val="24"/>
                <w:szCs w:val="24"/>
                <w:color w:val="auto"/>
              </w:rPr>
            </w:pPr>
          </w:p>
        </w:tc>
        <w:tc>
          <w:tcPr>
            <w:tcW w:w="2480" w:type="dxa"/>
            <w:vAlign w:val="bottom"/>
            <w:vMerge w:val="restart"/>
          </w:tcPr>
          <w:p>
            <w:pPr>
              <w:ind w:left="180"/>
              <w:spacing w:after="0"/>
              <w:rPr>
                <w:sz w:val="20"/>
                <w:szCs w:val="20"/>
                <w:color w:val="auto"/>
              </w:rPr>
            </w:pPr>
            <w:r>
              <w:rPr>
                <w:rFonts w:ascii="Arial" w:cs="Arial" w:eastAsia="Arial" w:hAnsi="Arial"/>
                <w:sz w:val="23"/>
                <w:szCs w:val="23"/>
                <w:b w:val="1"/>
                <w:bCs w:val="1"/>
                <w:color w:val="191769"/>
              </w:rPr>
              <w:t>Election of Directors</w:t>
            </w:r>
          </w:p>
        </w:tc>
        <w:tc>
          <w:tcPr>
            <w:tcW w:w="2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00" w:type="dxa"/>
            <w:vAlign w:val="bottom"/>
          </w:tcPr>
          <w:p>
            <w:pPr>
              <w:ind w:left="240"/>
              <w:spacing w:after="0"/>
              <w:rPr>
                <w:sz w:val="20"/>
                <w:szCs w:val="20"/>
                <w:color w:val="auto"/>
              </w:rPr>
            </w:pPr>
            <w:r>
              <w:rPr>
                <w:rFonts w:ascii="Arial" w:cs="Arial" w:eastAsia="Arial" w:hAnsi="Arial"/>
                <w:sz w:val="15"/>
                <w:szCs w:val="15"/>
                <w:color w:val="auto"/>
              </w:rPr>
              <w:t>Board vote recommendation</w:t>
            </w:r>
          </w:p>
        </w:tc>
        <w:tc>
          <w:tcPr>
            <w:tcW w:w="0" w:type="dxa"/>
            <w:vAlign w:val="bottom"/>
          </w:tcPr>
          <w:p>
            <w:pPr>
              <w:spacing w:after="0"/>
              <w:rPr>
                <w:sz w:val="1"/>
                <w:szCs w:val="1"/>
                <w:color w:val="auto"/>
              </w:rPr>
            </w:pPr>
          </w:p>
        </w:tc>
      </w:tr>
      <w:tr>
        <w:trPr>
          <w:trHeight w:val="209"/>
        </w:trPr>
        <w:tc>
          <w:tcPr>
            <w:tcW w:w="1120" w:type="dxa"/>
            <w:vAlign w:val="bottom"/>
            <w:vMerge w:val="restart"/>
            <w:shd w:val="clear" w:color="auto" w:fill="CCEFFC"/>
          </w:tcPr>
          <w:p>
            <w:pPr>
              <w:jc w:val="right"/>
              <w:ind w:right="182"/>
              <w:spacing w:after="0"/>
              <w:rPr>
                <w:sz w:val="20"/>
                <w:szCs w:val="20"/>
                <w:color w:val="auto"/>
              </w:rPr>
            </w:pPr>
            <w:r>
              <w:rPr>
                <w:rFonts w:ascii="Arial" w:cs="Arial" w:eastAsia="Arial" w:hAnsi="Arial"/>
                <w:sz w:val="41"/>
                <w:szCs w:val="41"/>
                <w:b w:val="1"/>
                <w:bCs w:val="1"/>
                <w:color w:val="191769"/>
              </w:rPr>
              <w:t>1</w:t>
            </w:r>
          </w:p>
        </w:tc>
        <w:tc>
          <w:tcPr>
            <w:tcW w:w="300" w:type="dxa"/>
            <w:vAlign w:val="bottom"/>
            <w:shd w:val="clear" w:color="auto" w:fill="CCEFFC"/>
          </w:tcPr>
          <w:p>
            <w:pPr>
              <w:spacing w:after="0"/>
              <w:rPr>
                <w:sz w:val="18"/>
                <w:szCs w:val="18"/>
                <w:color w:val="auto"/>
              </w:rPr>
            </w:pPr>
          </w:p>
        </w:tc>
        <w:tc>
          <w:tcPr>
            <w:tcW w:w="248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00" w:type="dxa"/>
            <w:vAlign w:val="bottom"/>
          </w:tcPr>
          <w:p>
            <w:pPr>
              <w:ind w:left="240"/>
              <w:spacing w:after="0"/>
              <w:rPr>
                <w:sz w:val="20"/>
                <w:szCs w:val="20"/>
                <w:color w:val="auto"/>
              </w:rPr>
            </w:pPr>
            <w:r>
              <w:rPr>
                <w:rFonts w:ascii="Arial" w:cs="Arial" w:eastAsia="Arial" w:hAnsi="Arial"/>
                <w:sz w:val="15"/>
                <w:szCs w:val="15"/>
                <w:b w:val="1"/>
                <w:bCs w:val="1"/>
                <w:color w:val="0076A8"/>
              </w:rPr>
              <w:t xml:space="preserve">FOR </w:t>
            </w:r>
            <w:r>
              <w:rPr>
                <w:rFonts w:ascii="Arial" w:cs="Arial" w:eastAsia="Arial" w:hAnsi="Arial"/>
                <w:sz w:val="15"/>
                <w:szCs w:val="15"/>
                <w:color w:val="000000"/>
              </w:rPr>
              <w:t>each director nominee</w:t>
            </w:r>
          </w:p>
        </w:tc>
        <w:tc>
          <w:tcPr>
            <w:tcW w:w="0" w:type="dxa"/>
            <w:vAlign w:val="bottom"/>
          </w:tcPr>
          <w:p>
            <w:pPr>
              <w:spacing w:after="0"/>
              <w:rPr>
                <w:sz w:val="1"/>
                <w:szCs w:val="1"/>
                <w:color w:val="auto"/>
              </w:rPr>
            </w:pPr>
          </w:p>
        </w:tc>
      </w:tr>
      <w:tr>
        <w:trPr>
          <w:trHeight w:val="185"/>
        </w:trPr>
        <w:tc>
          <w:tcPr>
            <w:tcW w:w="1120" w:type="dxa"/>
            <w:vAlign w:val="bottom"/>
            <w:vMerge w:val="continue"/>
            <w:shd w:val="clear" w:color="auto" w:fill="CCEFFC"/>
          </w:tcPr>
          <w:p>
            <w:pPr>
              <w:spacing w:after="0"/>
              <w:rPr>
                <w:sz w:val="16"/>
                <w:szCs w:val="16"/>
                <w:color w:val="auto"/>
              </w:rPr>
            </w:pPr>
          </w:p>
        </w:tc>
        <w:tc>
          <w:tcPr>
            <w:tcW w:w="300" w:type="dxa"/>
            <w:vAlign w:val="bottom"/>
            <w:shd w:val="clear" w:color="auto" w:fill="CCEFFC"/>
          </w:tcPr>
          <w:p>
            <w:pPr>
              <w:spacing w:after="0"/>
              <w:rPr>
                <w:sz w:val="16"/>
                <w:szCs w:val="16"/>
                <w:color w:val="auto"/>
              </w:rPr>
            </w:pPr>
          </w:p>
        </w:tc>
        <w:tc>
          <w:tcPr>
            <w:tcW w:w="2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600" w:type="dxa"/>
            <w:vAlign w:val="bottom"/>
          </w:tcPr>
          <w:p>
            <w:pPr>
              <w:ind w:left="240"/>
              <w:spacing w:after="0"/>
              <w:rPr>
                <w:sz w:val="20"/>
                <w:szCs w:val="20"/>
                <w:color w:val="auto"/>
              </w:rPr>
            </w:pPr>
            <w:r>
              <w:rPr>
                <w:rFonts w:ascii="Arial" w:cs="Arial" w:eastAsia="Arial" w:hAnsi="Arial"/>
                <w:sz w:val="15"/>
                <w:szCs w:val="15"/>
                <w:b w:val="1"/>
                <w:bCs w:val="1"/>
                <w:color w:val="191769"/>
              </w:rPr>
              <w:t>See Page 9</w:t>
            </w:r>
          </w:p>
        </w:tc>
        <w:tc>
          <w:tcPr>
            <w:tcW w:w="0" w:type="dxa"/>
            <w:vAlign w:val="bottom"/>
          </w:tcPr>
          <w:p>
            <w:pPr>
              <w:spacing w:after="0"/>
              <w:rPr>
                <w:sz w:val="1"/>
                <w:szCs w:val="1"/>
                <w:color w:val="auto"/>
              </w:rPr>
            </w:pPr>
          </w:p>
        </w:tc>
      </w:tr>
      <w:tr>
        <w:trPr>
          <w:trHeight w:val="185"/>
        </w:trPr>
        <w:tc>
          <w:tcPr>
            <w:tcW w:w="1120" w:type="dxa"/>
            <w:vAlign w:val="bottom"/>
            <w:vMerge w:val="continue"/>
            <w:shd w:val="clear" w:color="auto" w:fill="CCEFFC"/>
          </w:tcPr>
          <w:p>
            <w:pPr>
              <w:spacing w:after="0"/>
              <w:rPr>
                <w:sz w:val="16"/>
                <w:szCs w:val="16"/>
                <w:color w:val="auto"/>
              </w:rPr>
            </w:pPr>
          </w:p>
        </w:tc>
        <w:tc>
          <w:tcPr>
            <w:tcW w:w="300" w:type="dxa"/>
            <w:vAlign w:val="bottom"/>
            <w:shd w:val="clear" w:color="auto" w:fill="CCEFFC"/>
          </w:tcPr>
          <w:p>
            <w:pPr>
              <w:spacing w:after="0"/>
              <w:rPr>
                <w:sz w:val="16"/>
                <w:szCs w:val="16"/>
                <w:color w:val="auto"/>
              </w:rPr>
            </w:pPr>
          </w:p>
        </w:tc>
        <w:tc>
          <w:tcPr>
            <w:tcW w:w="2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3900" w:type="dxa"/>
            <w:vAlign w:val="bottom"/>
            <w:gridSpan w:val="3"/>
          </w:tcPr>
          <w:p>
            <w:pPr>
              <w:spacing w:after="0"/>
              <w:rPr>
                <w:sz w:val="20"/>
                <w:szCs w:val="20"/>
                <w:color w:val="auto"/>
              </w:rPr>
            </w:pPr>
            <w:r>
              <w:rPr>
                <w:rFonts w:ascii="Arial" w:cs="Arial" w:eastAsia="Arial" w:hAnsi="Arial"/>
                <w:sz w:val="16"/>
                <w:szCs w:val="16"/>
                <w:b w:val="1"/>
                <w:bCs w:val="1"/>
                <w:color w:val="0076A8"/>
              </w:rPr>
              <w:t>DIRECTOR NOMINEES</w:t>
            </w:r>
          </w:p>
        </w:tc>
        <w:tc>
          <w:tcPr>
            <w:tcW w:w="2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120" w:type="dxa"/>
            <w:vAlign w:val="bottom"/>
          </w:tcPr>
          <w:p>
            <w:pPr>
              <w:spacing w:after="0"/>
              <w:rPr>
                <w:sz w:val="24"/>
                <w:szCs w:val="24"/>
                <w:color w:val="auto"/>
              </w:rPr>
            </w:pPr>
          </w:p>
        </w:tc>
        <w:tc>
          <w:tcPr>
            <w:tcW w:w="2780" w:type="dxa"/>
            <w:vAlign w:val="bottom"/>
            <w:gridSpan w:val="2"/>
          </w:tcPr>
          <w:p>
            <w:pPr>
              <w:ind w:left="40"/>
              <w:spacing w:after="0"/>
              <w:rPr>
                <w:sz w:val="20"/>
                <w:szCs w:val="20"/>
                <w:color w:val="auto"/>
              </w:rPr>
            </w:pPr>
            <w:r>
              <w:rPr>
                <w:rFonts w:ascii="Arial" w:cs="Arial" w:eastAsia="Arial" w:hAnsi="Arial"/>
                <w:sz w:val="16"/>
                <w:szCs w:val="16"/>
                <w:b w:val="1"/>
                <w:bCs w:val="1"/>
                <w:color w:val="191769"/>
              </w:rPr>
              <w:t>Joshua Bershad,</w:t>
            </w:r>
          </w:p>
        </w:tc>
        <w:tc>
          <w:tcPr>
            <w:tcW w:w="2220" w:type="dxa"/>
            <w:vAlign w:val="bottom"/>
          </w:tcPr>
          <w:p>
            <w:pPr>
              <w:ind w:left="60"/>
              <w:spacing w:after="0"/>
              <w:rPr>
                <w:sz w:val="20"/>
                <w:szCs w:val="20"/>
                <w:color w:val="auto"/>
              </w:rPr>
            </w:pPr>
            <w:r>
              <w:rPr>
                <w:rFonts w:ascii="Arial" w:cs="Arial" w:eastAsia="Arial" w:hAnsi="Arial"/>
                <w:sz w:val="16"/>
                <w:szCs w:val="16"/>
                <w:b w:val="1"/>
                <w:bCs w:val="1"/>
                <w:color w:val="191769"/>
              </w:rPr>
              <w:t>James F. Cosgrove</w:t>
            </w:r>
          </w:p>
        </w:tc>
        <w:tc>
          <w:tcPr>
            <w:tcW w:w="2520" w:type="dxa"/>
            <w:vAlign w:val="bottom"/>
          </w:tcPr>
          <w:p>
            <w:pPr>
              <w:ind w:left="660"/>
              <w:spacing w:after="0"/>
              <w:rPr>
                <w:sz w:val="20"/>
                <w:szCs w:val="20"/>
                <w:color w:val="auto"/>
              </w:rPr>
            </w:pPr>
            <w:r>
              <w:rPr>
                <w:rFonts w:ascii="Arial" w:cs="Arial" w:eastAsia="Arial" w:hAnsi="Arial"/>
                <w:sz w:val="16"/>
                <w:szCs w:val="16"/>
                <w:b w:val="1"/>
                <w:bCs w:val="1"/>
                <w:color w:val="191769"/>
              </w:rPr>
              <w:t>Vaughn L. McKoy, 57</w:t>
            </w:r>
          </w:p>
        </w:tc>
        <w:tc>
          <w:tcPr>
            <w:tcW w:w="2600" w:type="dxa"/>
            <w:vAlign w:val="bottom"/>
          </w:tcPr>
          <w:p>
            <w:pPr>
              <w:ind w:left="960"/>
              <w:spacing w:after="0"/>
              <w:rPr>
                <w:sz w:val="20"/>
                <w:szCs w:val="20"/>
                <w:color w:val="auto"/>
              </w:rPr>
            </w:pPr>
            <w:r>
              <w:rPr>
                <w:rFonts w:ascii="Arial" w:cs="Arial" w:eastAsia="Arial" w:hAnsi="Arial"/>
                <w:sz w:val="16"/>
                <w:szCs w:val="16"/>
                <w:b w:val="1"/>
                <w:bCs w:val="1"/>
                <w:color w:val="191769"/>
              </w:rPr>
              <w:t>Robert Hoglund, 64</w:t>
            </w:r>
          </w:p>
        </w:tc>
        <w:tc>
          <w:tcPr>
            <w:tcW w:w="0" w:type="dxa"/>
            <w:vAlign w:val="bottom"/>
          </w:tcPr>
          <w:p>
            <w:pPr>
              <w:spacing w:after="0"/>
              <w:rPr>
                <w:sz w:val="1"/>
                <w:szCs w:val="1"/>
                <w:color w:val="auto"/>
              </w:rPr>
            </w:pPr>
          </w:p>
        </w:tc>
      </w:tr>
      <w:tr>
        <w:trPr>
          <w:trHeight w:val="177"/>
        </w:trPr>
        <w:tc>
          <w:tcPr>
            <w:tcW w:w="1120" w:type="dxa"/>
            <w:vAlign w:val="bottom"/>
          </w:tcPr>
          <w:p>
            <w:pPr>
              <w:spacing w:after="0"/>
              <w:rPr>
                <w:sz w:val="15"/>
                <w:szCs w:val="15"/>
                <w:color w:val="auto"/>
              </w:rPr>
            </w:pPr>
          </w:p>
        </w:tc>
        <w:tc>
          <w:tcPr>
            <w:tcW w:w="2780" w:type="dxa"/>
            <w:vAlign w:val="bottom"/>
            <w:gridSpan w:val="2"/>
          </w:tcPr>
          <w:p>
            <w:pPr>
              <w:ind w:left="40"/>
              <w:spacing w:after="0" w:line="177" w:lineRule="exact"/>
              <w:rPr>
                <w:sz w:val="20"/>
                <w:szCs w:val="20"/>
                <w:color w:val="auto"/>
              </w:rPr>
            </w:pPr>
            <w:r>
              <w:rPr>
                <w:rFonts w:ascii="Arial" w:cs="Arial" w:eastAsia="Arial" w:hAnsi="Arial"/>
                <w:sz w:val="16"/>
                <w:szCs w:val="16"/>
                <w:b w:val="1"/>
                <w:bCs w:val="1"/>
                <w:color w:val="191769"/>
              </w:rPr>
              <w:t>M.D., 52</w:t>
            </w:r>
          </w:p>
        </w:tc>
        <w:tc>
          <w:tcPr>
            <w:tcW w:w="2220" w:type="dxa"/>
            <w:vAlign w:val="bottom"/>
          </w:tcPr>
          <w:p>
            <w:pPr>
              <w:ind w:left="60"/>
              <w:spacing w:after="0" w:line="177" w:lineRule="exact"/>
              <w:rPr>
                <w:sz w:val="20"/>
                <w:szCs w:val="20"/>
                <w:color w:val="auto"/>
              </w:rPr>
            </w:pPr>
            <w:r>
              <w:rPr>
                <w:rFonts w:ascii="Arial" w:cs="Arial" w:eastAsia="Arial" w:hAnsi="Arial"/>
                <w:sz w:val="16"/>
                <w:szCs w:val="16"/>
                <w:b w:val="1"/>
                <w:bCs w:val="1"/>
                <w:color w:val="191769"/>
              </w:rPr>
              <w:t>Jr., 62</w:t>
            </w:r>
          </w:p>
        </w:tc>
        <w:tc>
          <w:tcPr>
            <w:tcW w:w="2520" w:type="dxa"/>
            <w:vAlign w:val="bottom"/>
          </w:tcPr>
          <w:p>
            <w:pPr>
              <w:ind w:left="660"/>
              <w:spacing w:after="0"/>
              <w:rPr>
                <w:sz w:val="20"/>
                <w:szCs w:val="20"/>
                <w:color w:val="auto"/>
              </w:rPr>
            </w:pPr>
            <w:r>
              <w:rPr>
                <w:rFonts w:ascii="Arial" w:cs="Arial" w:eastAsia="Arial" w:hAnsi="Arial"/>
                <w:sz w:val="15"/>
                <w:szCs w:val="15"/>
                <w:color w:val="auto"/>
              </w:rPr>
              <w:t>Director Since: 2021</w:t>
            </w:r>
          </w:p>
        </w:tc>
        <w:tc>
          <w:tcPr>
            <w:tcW w:w="2600" w:type="dxa"/>
            <w:vAlign w:val="bottom"/>
          </w:tcPr>
          <w:p>
            <w:pPr>
              <w:ind w:left="960"/>
              <w:spacing w:after="0"/>
              <w:rPr>
                <w:sz w:val="20"/>
                <w:szCs w:val="20"/>
                <w:color w:val="auto"/>
              </w:rPr>
            </w:pPr>
            <w:r>
              <w:rPr>
                <w:rFonts w:ascii="Arial" w:cs="Arial" w:eastAsia="Arial" w:hAnsi="Arial"/>
                <w:sz w:val="15"/>
                <w:szCs w:val="15"/>
                <w:color w:val="auto"/>
              </w:rPr>
              <w:t>Director Since: 2026</w:t>
            </w:r>
          </w:p>
        </w:tc>
        <w:tc>
          <w:tcPr>
            <w:tcW w:w="0" w:type="dxa"/>
            <w:vAlign w:val="bottom"/>
          </w:tcPr>
          <w:p>
            <w:pPr>
              <w:spacing w:after="0"/>
              <w:rPr>
                <w:sz w:val="1"/>
                <w:szCs w:val="1"/>
                <w:color w:val="auto"/>
              </w:rPr>
            </w:pPr>
          </w:p>
        </w:tc>
      </w:tr>
      <w:tr>
        <w:trPr>
          <w:trHeight w:val="185"/>
        </w:trPr>
        <w:tc>
          <w:tcPr>
            <w:tcW w:w="1120" w:type="dxa"/>
            <w:vAlign w:val="bottom"/>
          </w:tcPr>
          <w:p>
            <w:pPr>
              <w:spacing w:after="0"/>
              <w:rPr>
                <w:sz w:val="16"/>
                <w:szCs w:val="16"/>
                <w:color w:val="auto"/>
              </w:rPr>
            </w:pPr>
          </w:p>
        </w:tc>
        <w:tc>
          <w:tcPr>
            <w:tcW w:w="2780" w:type="dxa"/>
            <w:vAlign w:val="bottom"/>
            <w:gridSpan w:val="2"/>
          </w:tcPr>
          <w:p>
            <w:pPr>
              <w:ind w:left="40"/>
              <w:spacing w:after="0"/>
              <w:rPr>
                <w:sz w:val="20"/>
                <w:szCs w:val="20"/>
                <w:color w:val="auto"/>
              </w:rPr>
            </w:pPr>
            <w:r>
              <w:rPr>
                <w:rFonts w:ascii="Arial" w:cs="Arial" w:eastAsia="Arial" w:hAnsi="Arial"/>
                <w:sz w:val="15"/>
                <w:szCs w:val="15"/>
                <w:color w:val="auto"/>
              </w:rPr>
              <w:t>Director Since: 2020</w:t>
            </w:r>
          </w:p>
        </w:tc>
        <w:tc>
          <w:tcPr>
            <w:tcW w:w="2220" w:type="dxa"/>
            <w:vAlign w:val="bottom"/>
          </w:tcPr>
          <w:p>
            <w:pPr>
              <w:ind w:left="60"/>
              <w:spacing w:after="0"/>
              <w:rPr>
                <w:sz w:val="20"/>
                <w:szCs w:val="20"/>
                <w:color w:val="auto"/>
              </w:rPr>
            </w:pPr>
            <w:r>
              <w:rPr>
                <w:rFonts w:ascii="Arial" w:cs="Arial" w:eastAsia="Arial" w:hAnsi="Arial"/>
                <w:sz w:val="15"/>
                <w:szCs w:val="15"/>
                <w:color w:val="auto"/>
              </w:rPr>
              <w:t>Director Since: 2010</w:t>
            </w:r>
          </w:p>
        </w:tc>
        <w:tc>
          <w:tcPr>
            <w:tcW w:w="2520" w:type="dxa"/>
            <w:vAlign w:val="bottom"/>
          </w:tcPr>
          <w:p>
            <w:pPr>
              <w:ind w:left="660"/>
              <w:spacing w:after="0"/>
              <w:rPr>
                <w:sz w:val="20"/>
                <w:szCs w:val="20"/>
                <w:color w:val="auto"/>
              </w:rPr>
            </w:pPr>
            <w:r>
              <w:rPr>
                <w:rFonts w:ascii="Arial" w:cs="Arial" w:eastAsia="Arial" w:hAnsi="Arial"/>
                <w:sz w:val="15"/>
                <w:szCs w:val="15"/>
                <w:color w:val="auto"/>
              </w:rPr>
              <w:t>Class III</w:t>
            </w:r>
          </w:p>
        </w:tc>
        <w:tc>
          <w:tcPr>
            <w:tcW w:w="2600" w:type="dxa"/>
            <w:vAlign w:val="bottom"/>
          </w:tcPr>
          <w:p>
            <w:pPr>
              <w:ind w:left="960"/>
              <w:spacing w:after="0"/>
              <w:rPr>
                <w:sz w:val="20"/>
                <w:szCs w:val="20"/>
                <w:color w:val="auto"/>
              </w:rPr>
            </w:pPr>
            <w:r>
              <w:rPr>
                <w:rFonts w:ascii="Arial" w:cs="Arial" w:eastAsia="Arial" w:hAnsi="Arial"/>
                <w:sz w:val="15"/>
                <w:szCs w:val="15"/>
                <w:color w:val="auto"/>
              </w:rPr>
              <w:t>Class II</w:t>
            </w:r>
          </w:p>
        </w:tc>
        <w:tc>
          <w:tcPr>
            <w:tcW w:w="0" w:type="dxa"/>
            <w:vAlign w:val="bottom"/>
          </w:tcPr>
          <w:p>
            <w:pPr>
              <w:spacing w:after="0"/>
              <w:rPr>
                <w:sz w:val="1"/>
                <w:szCs w:val="1"/>
                <w:color w:val="auto"/>
              </w:rPr>
            </w:pPr>
          </w:p>
        </w:tc>
      </w:tr>
      <w:tr>
        <w:trPr>
          <w:trHeight w:val="197"/>
        </w:trPr>
        <w:tc>
          <w:tcPr>
            <w:tcW w:w="1120" w:type="dxa"/>
            <w:vAlign w:val="bottom"/>
          </w:tcPr>
          <w:p>
            <w:pPr>
              <w:spacing w:after="0"/>
              <w:rPr>
                <w:sz w:val="17"/>
                <w:szCs w:val="17"/>
                <w:color w:val="auto"/>
              </w:rPr>
            </w:pPr>
          </w:p>
        </w:tc>
        <w:tc>
          <w:tcPr>
            <w:tcW w:w="2780" w:type="dxa"/>
            <w:vAlign w:val="bottom"/>
            <w:gridSpan w:val="2"/>
          </w:tcPr>
          <w:p>
            <w:pPr>
              <w:ind w:left="40"/>
              <w:spacing w:after="0"/>
              <w:rPr>
                <w:sz w:val="20"/>
                <w:szCs w:val="20"/>
                <w:color w:val="auto"/>
              </w:rPr>
            </w:pPr>
            <w:r>
              <w:rPr>
                <w:rFonts w:ascii="Arial" w:cs="Arial" w:eastAsia="Arial" w:hAnsi="Arial"/>
                <w:sz w:val="15"/>
                <w:szCs w:val="15"/>
                <w:color w:val="auto"/>
              </w:rPr>
              <w:t>Class III</w:t>
            </w:r>
          </w:p>
        </w:tc>
        <w:tc>
          <w:tcPr>
            <w:tcW w:w="2220" w:type="dxa"/>
            <w:vAlign w:val="bottom"/>
          </w:tcPr>
          <w:p>
            <w:pPr>
              <w:ind w:left="60"/>
              <w:spacing w:after="0"/>
              <w:rPr>
                <w:sz w:val="20"/>
                <w:szCs w:val="20"/>
                <w:color w:val="auto"/>
              </w:rPr>
            </w:pPr>
            <w:r>
              <w:rPr>
                <w:rFonts w:ascii="Arial" w:cs="Arial" w:eastAsia="Arial" w:hAnsi="Arial"/>
                <w:sz w:val="15"/>
                <w:szCs w:val="15"/>
                <w:color w:val="auto"/>
              </w:rPr>
              <w:t>Class III</w:t>
            </w:r>
          </w:p>
        </w:tc>
        <w:tc>
          <w:tcPr>
            <w:tcW w:w="2520" w:type="dxa"/>
            <w:vAlign w:val="bottom"/>
          </w:tcPr>
          <w:p>
            <w:pPr>
              <w:ind w:left="660"/>
              <w:spacing w:after="0"/>
              <w:rPr>
                <w:sz w:val="20"/>
                <w:szCs w:val="20"/>
                <w:color w:val="auto"/>
              </w:rPr>
            </w:pPr>
            <w:r>
              <w:rPr>
                <w:rFonts w:ascii="Arial" w:cs="Arial" w:eastAsia="Arial" w:hAnsi="Arial"/>
                <w:sz w:val="15"/>
                <w:szCs w:val="15"/>
                <w:color w:val="auto"/>
              </w:rPr>
              <w:t>Independent</w:t>
            </w:r>
          </w:p>
        </w:tc>
        <w:tc>
          <w:tcPr>
            <w:tcW w:w="2600" w:type="dxa"/>
            <w:vAlign w:val="bottom"/>
          </w:tcPr>
          <w:p>
            <w:pPr>
              <w:ind w:left="960"/>
              <w:spacing w:after="0"/>
              <w:rPr>
                <w:sz w:val="20"/>
                <w:szCs w:val="20"/>
                <w:color w:val="auto"/>
              </w:rPr>
            </w:pPr>
            <w:r>
              <w:rPr>
                <w:rFonts w:ascii="Arial" w:cs="Arial" w:eastAsia="Arial" w:hAnsi="Arial"/>
                <w:sz w:val="15"/>
                <w:szCs w:val="15"/>
                <w:color w:val="auto"/>
              </w:rPr>
              <w:t>Independent</w:t>
            </w:r>
          </w:p>
        </w:tc>
        <w:tc>
          <w:tcPr>
            <w:tcW w:w="0" w:type="dxa"/>
            <w:vAlign w:val="bottom"/>
          </w:tcPr>
          <w:p>
            <w:pPr>
              <w:spacing w:after="0"/>
              <w:rPr>
                <w:sz w:val="1"/>
                <w:szCs w:val="1"/>
                <w:color w:val="auto"/>
              </w:rPr>
            </w:pPr>
          </w:p>
        </w:tc>
      </w:tr>
      <w:tr>
        <w:trPr>
          <w:trHeight w:val="194"/>
        </w:trPr>
        <w:tc>
          <w:tcPr>
            <w:tcW w:w="1120" w:type="dxa"/>
            <w:vAlign w:val="bottom"/>
          </w:tcPr>
          <w:p>
            <w:pPr>
              <w:spacing w:after="0"/>
              <w:rPr>
                <w:sz w:val="16"/>
                <w:szCs w:val="16"/>
                <w:color w:val="auto"/>
              </w:rPr>
            </w:pPr>
          </w:p>
        </w:tc>
        <w:tc>
          <w:tcPr>
            <w:tcW w:w="2780" w:type="dxa"/>
            <w:vAlign w:val="bottom"/>
            <w:gridSpan w:val="2"/>
          </w:tcPr>
          <w:p>
            <w:pPr>
              <w:ind w:left="40"/>
              <w:spacing w:after="0"/>
              <w:rPr>
                <w:sz w:val="20"/>
                <w:szCs w:val="20"/>
                <w:color w:val="auto"/>
              </w:rPr>
            </w:pPr>
            <w:r>
              <w:rPr>
                <w:rFonts w:ascii="Arial" w:cs="Arial" w:eastAsia="Arial" w:hAnsi="Arial"/>
                <w:sz w:val="15"/>
                <w:szCs w:val="15"/>
                <w:color w:val="auto"/>
              </w:rPr>
              <w:t>Independent</w:t>
            </w:r>
          </w:p>
        </w:tc>
        <w:tc>
          <w:tcPr>
            <w:tcW w:w="2220" w:type="dxa"/>
            <w:vAlign w:val="bottom"/>
          </w:tcPr>
          <w:p>
            <w:pPr>
              <w:ind w:left="60"/>
              <w:spacing w:after="0"/>
              <w:rPr>
                <w:sz w:val="20"/>
                <w:szCs w:val="20"/>
                <w:color w:val="auto"/>
              </w:rPr>
            </w:pPr>
            <w:r>
              <w:rPr>
                <w:rFonts w:ascii="Arial" w:cs="Arial" w:eastAsia="Arial" w:hAnsi="Arial"/>
                <w:sz w:val="15"/>
                <w:szCs w:val="15"/>
                <w:color w:val="auto"/>
              </w:rPr>
              <w:t>Independent</w:t>
            </w:r>
          </w:p>
        </w:tc>
        <w:tc>
          <w:tcPr>
            <w:tcW w:w="25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Borders>
              <w:bottom w:val="single" w:sz="8" w:color="00AEEF"/>
            </w:tcBorders>
          </w:tcPr>
          <w:p>
            <w:pPr>
              <w:spacing w:after="0"/>
              <w:rPr>
                <w:sz w:val="13"/>
                <w:szCs w:val="13"/>
                <w:color w:val="auto"/>
              </w:rPr>
            </w:pPr>
          </w:p>
        </w:tc>
        <w:tc>
          <w:tcPr>
            <w:tcW w:w="300" w:type="dxa"/>
            <w:vAlign w:val="bottom"/>
            <w:tcBorders>
              <w:bottom w:val="single" w:sz="8" w:color="00AEEF"/>
            </w:tcBorders>
          </w:tcPr>
          <w:p>
            <w:pPr>
              <w:spacing w:after="0"/>
              <w:rPr>
                <w:sz w:val="13"/>
                <w:szCs w:val="13"/>
                <w:color w:val="auto"/>
              </w:rPr>
            </w:pPr>
          </w:p>
        </w:tc>
        <w:tc>
          <w:tcPr>
            <w:tcW w:w="2480" w:type="dxa"/>
            <w:vAlign w:val="bottom"/>
            <w:tcBorders>
              <w:bottom w:val="single" w:sz="8" w:color="00AEEF"/>
            </w:tcBorders>
          </w:tcPr>
          <w:p>
            <w:pPr>
              <w:spacing w:after="0"/>
              <w:rPr>
                <w:sz w:val="13"/>
                <w:szCs w:val="13"/>
                <w:color w:val="auto"/>
              </w:rPr>
            </w:pPr>
          </w:p>
        </w:tc>
        <w:tc>
          <w:tcPr>
            <w:tcW w:w="2220" w:type="dxa"/>
            <w:vAlign w:val="bottom"/>
            <w:tcBorders>
              <w:bottom w:val="single" w:sz="8" w:color="00AEEF"/>
            </w:tcBorders>
          </w:tcPr>
          <w:p>
            <w:pPr>
              <w:spacing w:after="0"/>
              <w:rPr>
                <w:sz w:val="13"/>
                <w:szCs w:val="13"/>
                <w:color w:val="auto"/>
              </w:rPr>
            </w:pPr>
          </w:p>
        </w:tc>
        <w:tc>
          <w:tcPr>
            <w:tcW w:w="2520" w:type="dxa"/>
            <w:vAlign w:val="bottom"/>
            <w:tcBorders>
              <w:bottom w:val="single" w:sz="8" w:color="00AEEF"/>
            </w:tcBorders>
          </w:tcPr>
          <w:p>
            <w:pPr>
              <w:spacing w:after="0"/>
              <w:rPr>
                <w:sz w:val="13"/>
                <w:szCs w:val="13"/>
                <w:color w:val="auto"/>
              </w:rPr>
            </w:pPr>
          </w:p>
        </w:tc>
        <w:tc>
          <w:tcPr>
            <w:tcW w:w="2600" w:type="dxa"/>
            <w:vAlign w:val="bottom"/>
            <w:tcBorders>
              <w:bottom w:val="single" w:sz="8" w:color="00AEEF"/>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5400040</wp:posOffset>
            </wp:positionH>
            <wp:positionV relativeFrom="paragraph">
              <wp:posOffset>-1508125</wp:posOffset>
            </wp:positionV>
            <wp:extent cx="172085" cy="1720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2085" cy="172085"/>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-710565</wp:posOffset>
            </wp:positionV>
            <wp:extent cx="429895" cy="429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9895" cy="429895"/>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-710565</wp:posOffset>
            </wp:positionV>
            <wp:extent cx="429895" cy="429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9895" cy="42989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-710565</wp:posOffset>
            </wp:positionV>
            <wp:extent cx="429895" cy="429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9895" cy="42989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-710565</wp:posOffset>
            </wp:positionV>
            <wp:extent cx="429895" cy="429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9895" cy="42989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234315</wp:posOffset>
            </wp:positionV>
            <wp:extent cx="5283835" cy="23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83835" cy="2349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1420" w:type="dxa"/>
            <w:vAlign w:val="bottom"/>
            <w:shd w:val="clear" w:color="auto" w:fill="CCEFFC"/>
          </w:tcPr>
          <w:p>
            <w:pPr>
              <w:jc w:val="center"/>
              <w:spacing w:after="0"/>
              <w:rPr>
                <w:sz w:val="20"/>
                <w:szCs w:val="20"/>
                <w:color w:val="auto"/>
              </w:rPr>
            </w:pPr>
            <w:r>
              <w:rPr>
                <w:rFonts w:ascii="Arial" w:cs="Arial" w:eastAsia="Arial" w:hAnsi="Arial"/>
                <w:sz w:val="13"/>
                <w:szCs w:val="13"/>
                <w:b w:val="1"/>
                <w:bCs w:val="1"/>
                <w:color w:val="191769"/>
              </w:rPr>
              <w:t>PROPOSAL</w:t>
            </w:r>
          </w:p>
        </w:tc>
        <w:tc>
          <w:tcPr>
            <w:tcW w:w="5520" w:type="dxa"/>
            <w:vAlign w:val="bottom"/>
            <w:vMerge w:val="restart"/>
          </w:tcPr>
          <w:p>
            <w:pPr>
              <w:ind w:left="180"/>
              <w:spacing w:after="0"/>
              <w:rPr>
                <w:sz w:val="20"/>
                <w:szCs w:val="20"/>
                <w:color w:val="auto"/>
              </w:rPr>
            </w:pPr>
            <w:r>
              <w:rPr>
                <w:rFonts w:ascii="Arial" w:cs="Arial" w:eastAsia="Arial" w:hAnsi="Arial"/>
                <w:sz w:val="23"/>
                <w:szCs w:val="23"/>
                <w:b w:val="1"/>
                <w:bCs w:val="1"/>
                <w:color w:val="191769"/>
                <w:w w:val="99"/>
              </w:rPr>
              <w:t>Advisory Vote to Approve the Company’s Named</w:t>
            </w:r>
          </w:p>
        </w:tc>
        <w:tc>
          <w:tcPr>
            <w:tcW w:w="0" w:type="dxa"/>
            <w:vAlign w:val="bottom"/>
          </w:tcPr>
          <w:p>
            <w:pPr>
              <w:spacing w:after="0"/>
              <w:rPr>
                <w:sz w:val="1"/>
                <w:szCs w:val="1"/>
                <w:color w:val="auto"/>
              </w:rPr>
            </w:pPr>
          </w:p>
        </w:tc>
      </w:tr>
      <w:tr>
        <w:trPr>
          <w:trHeight w:val="132"/>
        </w:trPr>
        <w:tc>
          <w:tcPr>
            <w:tcW w:w="1420" w:type="dxa"/>
            <w:vAlign w:val="bottom"/>
            <w:vMerge w:val="restart"/>
            <w:shd w:val="clear" w:color="auto" w:fill="CCEFFC"/>
          </w:tcPr>
          <w:p>
            <w:pPr>
              <w:jc w:val="right"/>
              <w:ind w:right="465"/>
              <w:spacing w:after="0"/>
              <w:rPr>
                <w:sz w:val="20"/>
                <w:szCs w:val="20"/>
                <w:color w:val="auto"/>
              </w:rPr>
            </w:pPr>
            <w:r>
              <w:rPr>
                <w:rFonts w:ascii="Arial" w:cs="Arial" w:eastAsia="Arial" w:hAnsi="Arial"/>
                <w:sz w:val="41"/>
                <w:szCs w:val="41"/>
                <w:b w:val="1"/>
                <w:bCs w:val="1"/>
                <w:color w:val="191769"/>
              </w:rPr>
              <w:t>2</w:t>
            </w:r>
          </w:p>
        </w:tc>
        <w:tc>
          <w:tcPr>
            <w:tcW w:w="5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33"/>
        </w:trPr>
        <w:tc>
          <w:tcPr>
            <w:tcW w:w="1420" w:type="dxa"/>
            <w:vAlign w:val="bottom"/>
            <w:vMerge w:val="continue"/>
            <w:shd w:val="clear" w:color="auto" w:fill="CCEFFC"/>
          </w:tcPr>
          <w:p>
            <w:pPr>
              <w:spacing w:after="0"/>
              <w:rPr>
                <w:sz w:val="24"/>
                <w:szCs w:val="24"/>
                <w:color w:val="auto"/>
              </w:rPr>
            </w:pPr>
          </w:p>
        </w:tc>
        <w:tc>
          <w:tcPr>
            <w:tcW w:w="5520" w:type="dxa"/>
            <w:vAlign w:val="bottom"/>
          </w:tcPr>
          <w:p>
            <w:pPr>
              <w:ind w:left="180"/>
              <w:spacing w:after="0"/>
              <w:rPr>
                <w:sz w:val="20"/>
                <w:szCs w:val="20"/>
                <w:color w:val="auto"/>
              </w:rPr>
            </w:pPr>
            <w:r>
              <w:rPr>
                <w:rFonts w:ascii="Arial" w:cs="Arial" w:eastAsia="Arial" w:hAnsi="Arial"/>
                <w:sz w:val="23"/>
                <w:szCs w:val="23"/>
                <w:b w:val="1"/>
                <w:bCs w:val="1"/>
                <w:color w:val="191769"/>
              </w:rPr>
              <w:t>Executive Officers Compensation</w:t>
            </w:r>
          </w:p>
        </w:tc>
        <w:tc>
          <w:tcPr>
            <w:tcW w:w="0" w:type="dxa"/>
            <w:vAlign w:val="bottom"/>
          </w:tcPr>
          <w:p>
            <w:pPr>
              <w:spacing w:after="0"/>
              <w:rPr>
                <w:sz w:val="1"/>
                <w:szCs w:val="1"/>
                <w:color w:val="auto"/>
              </w:rPr>
            </w:pPr>
          </w:p>
        </w:tc>
      </w:tr>
      <w:tr>
        <w:trPr>
          <w:trHeight w:val="45"/>
        </w:trPr>
        <w:tc>
          <w:tcPr>
            <w:tcW w:w="1420" w:type="dxa"/>
            <w:vAlign w:val="bottom"/>
            <w:shd w:val="clear" w:color="auto" w:fill="CCEFFC"/>
          </w:tcPr>
          <w:p>
            <w:pPr>
              <w:spacing w:after="0"/>
              <w:rPr>
                <w:sz w:val="3"/>
                <w:szCs w:val="3"/>
                <w:color w:val="auto"/>
              </w:rPr>
            </w:pPr>
          </w:p>
        </w:tc>
        <w:tc>
          <w:tcPr>
            <w:tcW w:w="55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714438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203200</wp:posOffset>
            </wp:positionV>
            <wp:extent cx="5283835" cy="2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83835" cy="23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Board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-116840</wp:posOffset>
            </wp:positionV>
            <wp:extent cx="172085" cy="1720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2085" cy="1720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xml:space="preserve">recommendation </w:t>
      </w:r>
      <w:r>
        <w:rPr>
          <w:rFonts w:ascii="Arial" w:cs="Arial" w:eastAsia="Arial" w:hAnsi="Arial"/>
          <w:sz w:val="14"/>
          <w:szCs w:val="14"/>
          <w:b w:val="1"/>
          <w:bCs w:val="1"/>
          <w:color w:val="0076A8"/>
        </w:rPr>
        <w:t>FOR</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191769"/>
        </w:rPr>
        <w:t>See Page 60</w:t>
      </w:r>
    </w:p>
    <w:p>
      <w:pPr>
        <w:spacing w:after="0" w:line="407" w:lineRule="exact"/>
        <w:rPr>
          <w:sz w:val="20"/>
          <w:szCs w:val="20"/>
          <w:color w:val="auto"/>
        </w:rPr>
      </w:pPr>
    </w:p>
    <w:p>
      <w:pPr>
        <w:sectPr>
          <w:pgSz w:w="11900" w:h="16838" w:orient="portrait"/>
          <w:cols w:equalWidth="0" w:num="2">
            <w:col w:w="8160" w:space="720"/>
            <w:col w:w="2360"/>
          </w:cols>
          <w:pgMar w:left="320" w:top="1093" w:right="339" w:bottom="1440" w:gutter="0" w:footer="0" w:header="0"/>
          <w:type w:val="continuous"/>
        </w:sect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473"/>
        </w:trPr>
        <w:tc>
          <w:tcPr>
            <w:tcW w:w="1420" w:type="dxa"/>
            <w:vAlign w:val="bottom"/>
            <w:shd w:val="clear" w:color="auto" w:fill="CCEFFC"/>
          </w:tcPr>
          <w:p>
            <w:pPr>
              <w:jc w:val="center"/>
              <w:spacing w:after="0"/>
              <w:rPr>
                <w:sz w:val="20"/>
                <w:szCs w:val="20"/>
                <w:color w:val="auto"/>
              </w:rPr>
            </w:pPr>
            <w:r>
              <w:rPr>
                <w:rFonts w:ascii="Arial" w:cs="Arial" w:eastAsia="Arial" w:hAnsi="Arial"/>
                <w:sz w:val="13"/>
                <w:szCs w:val="13"/>
                <w:b w:val="1"/>
                <w:bCs w:val="1"/>
                <w:color w:val="191769"/>
              </w:rPr>
              <w:t>PROPOSAL</w:t>
            </w:r>
          </w:p>
        </w:tc>
        <w:tc>
          <w:tcPr>
            <w:tcW w:w="6120" w:type="dxa"/>
            <w:vAlign w:val="bottom"/>
            <w:vMerge w:val="restart"/>
          </w:tcPr>
          <w:p>
            <w:pPr>
              <w:ind w:left="180"/>
              <w:spacing w:after="0"/>
              <w:rPr>
                <w:sz w:val="20"/>
                <w:szCs w:val="20"/>
                <w:color w:val="auto"/>
              </w:rPr>
            </w:pPr>
            <w:r>
              <w:rPr>
                <w:rFonts w:ascii="Arial" w:cs="Arial" w:eastAsia="Arial" w:hAnsi="Arial"/>
                <w:sz w:val="23"/>
                <w:szCs w:val="23"/>
                <w:b w:val="1"/>
                <w:bCs w:val="1"/>
                <w:color w:val="191769"/>
                <w:w w:val="99"/>
              </w:rPr>
              <w:t>Ratification of Appointment by the Audit Committee of</w:t>
            </w:r>
          </w:p>
        </w:tc>
        <w:tc>
          <w:tcPr>
            <w:tcW w:w="0" w:type="dxa"/>
            <w:vAlign w:val="bottom"/>
          </w:tcPr>
          <w:p>
            <w:pPr>
              <w:spacing w:after="0"/>
              <w:rPr>
                <w:sz w:val="1"/>
                <w:szCs w:val="1"/>
                <w:color w:val="auto"/>
              </w:rPr>
            </w:pPr>
          </w:p>
        </w:tc>
      </w:tr>
      <w:tr>
        <w:trPr>
          <w:trHeight w:val="132"/>
        </w:trPr>
        <w:tc>
          <w:tcPr>
            <w:tcW w:w="1420" w:type="dxa"/>
            <w:vAlign w:val="bottom"/>
            <w:vMerge w:val="restart"/>
            <w:shd w:val="clear" w:color="auto" w:fill="CCEFFC"/>
          </w:tcPr>
          <w:p>
            <w:pPr>
              <w:jc w:val="right"/>
              <w:ind w:right="465"/>
              <w:spacing w:after="0"/>
              <w:rPr>
                <w:sz w:val="20"/>
                <w:szCs w:val="20"/>
                <w:color w:val="auto"/>
              </w:rPr>
            </w:pPr>
            <w:r>
              <w:rPr>
                <w:rFonts w:ascii="Arial" w:cs="Arial" w:eastAsia="Arial" w:hAnsi="Arial"/>
                <w:sz w:val="41"/>
                <w:szCs w:val="41"/>
                <w:b w:val="1"/>
                <w:bCs w:val="1"/>
                <w:color w:val="191769"/>
              </w:rPr>
              <w:t>3</w:t>
            </w:r>
          </w:p>
        </w:tc>
        <w:tc>
          <w:tcPr>
            <w:tcW w:w="6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33"/>
        </w:trPr>
        <w:tc>
          <w:tcPr>
            <w:tcW w:w="1420" w:type="dxa"/>
            <w:vAlign w:val="bottom"/>
            <w:vMerge w:val="continue"/>
            <w:shd w:val="clear" w:color="auto" w:fill="CCEFFC"/>
          </w:tcPr>
          <w:p>
            <w:pPr>
              <w:spacing w:after="0"/>
              <w:rPr>
                <w:sz w:val="24"/>
                <w:szCs w:val="24"/>
                <w:color w:val="auto"/>
              </w:rPr>
            </w:pPr>
          </w:p>
        </w:tc>
        <w:tc>
          <w:tcPr>
            <w:tcW w:w="6120" w:type="dxa"/>
            <w:vAlign w:val="bottom"/>
          </w:tcPr>
          <w:p>
            <w:pPr>
              <w:ind w:left="180"/>
              <w:spacing w:after="0"/>
              <w:rPr>
                <w:sz w:val="20"/>
                <w:szCs w:val="20"/>
                <w:color w:val="auto"/>
              </w:rPr>
            </w:pPr>
            <w:r>
              <w:rPr>
                <w:rFonts w:ascii="Arial" w:cs="Arial" w:eastAsia="Arial" w:hAnsi="Arial"/>
                <w:sz w:val="23"/>
                <w:szCs w:val="23"/>
                <w:b w:val="1"/>
                <w:bCs w:val="1"/>
                <w:color w:val="191769"/>
              </w:rPr>
              <w:t>the Independent Registered Public Accounting Firm</w:t>
            </w:r>
          </w:p>
        </w:tc>
        <w:tc>
          <w:tcPr>
            <w:tcW w:w="0" w:type="dxa"/>
            <w:vAlign w:val="bottom"/>
          </w:tcPr>
          <w:p>
            <w:pPr>
              <w:spacing w:after="0"/>
              <w:rPr>
                <w:sz w:val="1"/>
                <w:szCs w:val="1"/>
                <w:color w:val="auto"/>
              </w:rPr>
            </w:pPr>
          </w:p>
        </w:tc>
      </w:tr>
      <w:tr>
        <w:trPr>
          <w:trHeight w:val="242"/>
        </w:trPr>
        <w:tc>
          <w:tcPr>
            <w:tcW w:w="1420" w:type="dxa"/>
            <w:vAlign w:val="bottom"/>
            <w:shd w:val="clear" w:color="auto" w:fill="CCEFFC"/>
          </w:tcPr>
          <w:p>
            <w:pPr>
              <w:spacing w:after="0"/>
              <w:rPr>
                <w:sz w:val="21"/>
                <w:szCs w:val="21"/>
                <w:color w:val="auto"/>
              </w:rPr>
            </w:pPr>
          </w:p>
        </w:tc>
        <w:tc>
          <w:tcPr>
            <w:tcW w:w="6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714438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auto"/>
        </w:rPr>
        <w:t>Board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-116840</wp:posOffset>
            </wp:positionV>
            <wp:extent cx="172085" cy="1720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2085" cy="1720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xml:space="preserve">recommendation </w:t>
      </w:r>
      <w:r>
        <w:rPr>
          <w:rFonts w:ascii="Arial" w:cs="Arial" w:eastAsia="Arial" w:hAnsi="Arial"/>
          <w:sz w:val="14"/>
          <w:szCs w:val="14"/>
          <w:b w:val="1"/>
          <w:bCs w:val="1"/>
          <w:color w:val="0076A8"/>
        </w:rPr>
        <w:t>FOR</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191769"/>
        </w:rPr>
        <w:t>See Page 62</w:t>
      </w:r>
    </w:p>
    <w:p>
      <w:pPr>
        <w:spacing w:after="0" w:line="481" w:lineRule="exact"/>
        <w:rPr>
          <w:sz w:val="20"/>
          <w:szCs w:val="20"/>
          <w:color w:val="auto"/>
        </w:rPr>
      </w:pPr>
    </w:p>
    <w:p>
      <w:pPr>
        <w:sectPr>
          <w:pgSz w:w="11900" w:h="16838" w:orient="portrait"/>
          <w:cols w:equalWidth="0" w:num="2">
            <w:col w:w="8160" w:space="720"/>
            <w:col w:w="2360"/>
          </w:cols>
          <w:pgMar w:left="320" w:top="1093"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860" w:type="dxa"/>
            <w:vAlign w:val="bottom"/>
            <w:tcBorders>
              <w:right w:val="single" w:sz="8" w:color="00AEEF"/>
            </w:tcBorders>
          </w:tcPr>
          <w:p>
            <w:pPr>
              <w:ind w:left="94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5</w:t>
            </w:r>
          </w:p>
        </w:tc>
      </w:tr>
      <w:tr>
        <w:trPr>
          <w:trHeight w:val="312"/>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7" w:name="page8"/>
    <w:bookmarkEnd w:id="7"/>
    <w:p>
      <w:pPr>
        <w:ind w:left="2"/>
        <w:spacing w:after="0"/>
        <w:rPr>
          <w:sz w:val="20"/>
          <w:szCs w:val="20"/>
          <w:color w:val="auto"/>
        </w:rPr>
      </w:pPr>
      <w:r>
        <w:rPr>
          <w:rFonts w:ascii="Arial" w:cs="Arial" w:eastAsia="Arial" w:hAnsi="Arial"/>
          <w:sz w:val="46"/>
          <w:szCs w:val="46"/>
          <w:color w:val="191769"/>
        </w:rPr>
        <w:t>General Information</w:t>
      </w:r>
    </w:p>
    <w:p>
      <w:pPr>
        <w:spacing w:after="0" w:line="28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1. What is the purpose of the Annual Meeting?</w:t>
      </w:r>
    </w:p>
    <w:p>
      <w:pPr>
        <w:spacing w:after="0" w:line="75" w:lineRule="exact"/>
        <w:rPr>
          <w:sz w:val="20"/>
          <w:szCs w:val="20"/>
          <w:color w:val="auto"/>
        </w:rPr>
      </w:pPr>
    </w:p>
    <w:p>
      <w:pPr>
        <w:ind w:left="2"/>
        <w:spacing w:after="0"/>
        <w:rPr>
          <w:sz w:val="20"/>
          <w:szCs w:val="20"/>
          <w:color w:val="auto"/>
        </w:rPr>
      </w:pPr>
      <w:r>
        <w:rPr>
          <w:rFonts w:ascii="Arial" w:cs="Arial" w:eastAsia="Arial" w:hAnsi="Arial"/>
          <w:sz w:val="16"/>
          <w:szCs w:val="16"/>
          <w:color w:val="auto"/>
        </w:rPr>
        <w:t>At the Annual Meeting, shareholders will consider and vote upon three proposals:</w:t>
      </w:r>
    </w:p>
    <w:p>
      <w:pPr>
        <w:spacing w:after="0" w:line="148" w:lineRule="exact"/>
        <w:rPr>
          <w:sz w:val="20"/>
          <w:szCs w:val="20"/>
          <w:color w:val="auto"/>
        </w:rPr>
      </w:pPr>
    </w:p>
    <w:p>
      <w:pPr>
        <w:ind w:left="162" w:hanging="162"/>
        <w:spacing w:after="0"/>
        <w:tabs>
          <w:tab w:leader="none" w:pos="162"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Election of four (4) Directors.</w:t>
      </w:r>
    </w:p>
    <w:p>
      <w:pPr>
        <w:spacing w:after="0" w:line="74" w:lineRule="exact"/>
        <w:rPr>
          <w:rFonts w:ascii="Arial" w:cs="Arial" w:eastAsia="Arial" w:hAnsi="Arial"/>
          <w:sz w:val="16"/>
          <w:szCs w:val="16"/>
          <w:b w:val="1"/>
          <w:bCs w:val="1"/>
          <w:color w:val="auto"/>
        </w:rPr>
      </w:pPr>
    </w:p>
    <w:p>
      <w:pPr>
        <w:ind w:left="162" w:hanging="162"/>
        <w:spacing w:after="0"/>
        <w:tabs>
          <w:tab w:leader="none" w:pos="162"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A non-binding advisory vote to approve Named Executive Officers compensation.</w:t>
      </w:r>
    </w:p>
    <w:p>
      <w:pPr>
        <w:spacing w:after="0" w:line="86" w:lineRule="exact"/>
        <w:rPr>
          <w:rFonts w:ascii="Arial" w:cs="Arial" w:eastAsia="Arial" w:hAnsi="Arial"/>
          <w:sz w:val="16"/>
          <w:szCs w:val="16"/>
          <w:b w:val="1"/>
          <w:bCs w:val="1"/>
          <w:color w:val="auto"/>
        </w:rPr>
      </w:pPr>
    </w:p>
    <w:p>
      <w:pPr>
        <w:ind w:left="182" w:right="420" w:hanging="182"/>
        <w:spacing w:after="0" w:line="299" w:lineRule="auto"/>
        <w:tabs>
          <w:tab w:leader="none" w:pos="173"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Ratification of the appointment of PricewaterhouseCoopers LLP as the Company’s independent registered public accounting firm for the fiscal year ending December 31, 2026.</w:t>
      </w:r>
    </w:p>
    <w:p>
      <w:pPr>
        <w:spacing w:after="0" w:line="59" w:lineRule="exact"/>
        <w:rPr>
          <w:sz w:val="20"/>
          <w:szCs w:val="20"/>
          <w:color w:val="auto"/>
        </w:rPr>
      </w:pPr>
    </w:p>
    <w:p>
      <w:pPr>
        <w:ind w:left="2"/>
        <w:spacing w:after="0"/>
        <w:rPr>
          <w:sz w:val="20"/>
          <w:szCs w:val="20"/>
          <w:color w:val="auto"/>
        </w:rPr>
      </w:pPr>
      <w:r>
        <w:rPr>
          <w:rFonts w:ascii="Arial" w:cs="Arial" w:eastAsia="Arial" w:hAnsi="Arial"/>
          <w:sz w:val="16"/>
          <w:szCs w:val="16"/>
          <w:color w:val="auto"/>
        </w:rPr>
        <w:t>Shareholders may also vote upon such other matters as may properly come before the Annual Meeting or any adjournment thereof.</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2. Why am I receiving these proxy materials?</w:t>
      </w:r>
    </w:p>
    <w:p>
      <w:pPr>
        <w:spacing w:after="0" w:line="75" w:lineRule="exact"/>
        <w:rPr>
          <w:sz w:val="20"/>
          <w:szCs w:val="20"/>
          <w:color w:val="auto"/>
        </w:rPr>
      </w:pPr>
    </w:p>
    <w:p>
      <w:pPr>
        <w:jc w:val="both"/>
        <w:ind w:left="2" w:right="180"/>
        <w:spacing w:after="0" w:line="278" w:lineRule="auto"/>
        <w:rPr>
          <w:sz w:val="20"/>
          <w:szCs w:val="20"/>
          <w:color w:val="auto"/>
        </w:rPr>
      </w:pPr>
      <w:r>
        <w:rPr>
          <w:rFonts w:ascii="Arial" w:cs="Arial" w:eastAsia="Arial" w:hAnsi="Arial"/>
          <w:sz w:val="16"/>
          <w:szCs w:val="16"/>
          <w:color w:val="auto"/>
        </w:rPr>
        <w:t>The Company is furnishing you these proxy materials in connection with the solicitation of proxies on behalf of our Board for use at the Annual Meeting. This Proxy Statement includes information we are required to provide under U.S. Securities and Exchange Commission (“SEC”) rules and is designed to assist you in voting your shares.</w:t>
      </w:r>
    </w:p>
    <w:p>
      <w:pPr>
        <w:spacing w:after="0" w:line="8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3. How can I get electronic access to the proxy materials?</w:t>
      </w:r>
    </w:p>
    <w:p>
      <w:pPr>
        <w:spacing w:after="0" w:line="75" w:lineRule="exact"/>
        <w:rPr>
          <w:sz w:val="20"/>
          <w:szCs w:val="20"/>
          <w:color w:val="auto"/>
        </w:rPr>
      </w:pPr>
    </w:p>
    <w:p>
      <w:pPr>
        <w:ind w:left="2" w:right="460"/>
        <w:spacing w:after="0" w:line="299" w:lineRule="auto"/>
        <w:rPr>
          <w:sz w:val="20"/>
          <w:szCs w:val="20"/>
          <w:color w:val="auto"/>
        </w:rPr>
      </w:pPr>
      <w:r>
        <w:rPr>
          <w:rFonts w:ascii="Arial" w:cs="Arial" w:eastAsia="Arial" w:hAnsi="Arial"/>
          <w:sz w:val="16"/>
          <w:szCs w:val="16"/>
          <w:color w:val="auto"/>
        </w:rPr>
        <w:t xml:space="preserve">The Notice of Internet Availability (“NOIA”) of Proxy Materials provides you with instructions how to 1) view on the Internet our proxy materials for the Annual Meeting; and 2) instruct us to send proxy materials to you by U.S. mail. The proxy materials are available at </w:t>
      </w:r>
      <w:r>
        <w:rPr>
          <w:rFonts w:ascii="Arial" w:cs="Arial" w:eastAsia="Arial" w:hAnsi="Arial"/>
          <w:sz w:val="16"/>
          <w:szCs w:val="16"/>
          <w:u w:val="single" w:color="auto"/>
          <w:color w:val="0076A8"/>
        </w:rPr>
        <w:t>www.proxyvote.com</w:t>
      </w:r>
      <w:r>
        <w:rPr>
          <w:rFonts w:ascii="Arial" w:cs="Arial" w:eastAsia="Arial" w:hAnsi="Arial"/>
          <w:sz w:val="16"/>
          <w:szCs w:val="16"/>
          <w:color w:val="auto"/>
        </w:rPr>
        <w:t>.</w:t>
      </w:r>
    </w:p>
    <w:p>
      <w:pPr>
        <w:spacing w:after="0" w:line="7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4. What is a proxy?</w:t>
      </w:r>
    </w:p>
    <w:p>
      <w:pPr>
        <w:spacing w:after="0" w:line="75" w:lineRule="exact"/>
        <w:rPr>
          <w:sz w:val="20"/>
          <w:szCs w:val="20"/>
          <w:color w:val="auto"/>
        </w:rPr>
      </w:pPr>
    </w:p>
    <w:p>
      <w:pPr>
        <w:ind w:left="2" w:right="160"/>
        <w:spacing w:after="0" w:line="271" w:lineRule="auto"/>
        <w:rPr>
          <w:sz w:val="20"/>
          <w:szCs w:val="20"/>
          <w:color w:val="auto"/>
        </w:rPr>
      </w:pPr>
      <w:r>
        <w:rPr>
          <w:rFonts w:ascii="Arial" w:cs="Arial" w:eastAsia="Arial" w:hAnsi="Arial"/>
          <w:sz w:val="16"/>
          <w:szCs w:val="16"/>
          <w:color w:val="auto"/>
        </w:rPr>
        <w:t>A proxy is your legal designation of another person to vote the shares you own. If you designate someone as your proxy or proxy holder in a written document, that document is called a proxy or a proxy card. Directors Kim C. Hanemann and Ann L. Noble have been designated as proxies or proxy holders for the Annual Meeting. Proxies properly executed and received by our Corporate Secretary prior to the Annual Meeting, and not revoked, will be voted in accordance with the terms thereof.</w:t>
      </w:r>
    </w:p>
    <w:p>
      <w:pPr>
        <w:spacing w:after="0" w:line="9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5. How are other proxy materials being furnished?</w:t>
      </w:r>
    </w:p>
    <w:p>
      <w:pPr>
        <w:spacing w:after="0" w:line="75" w:lineRule="exact"/>
        <w:rPr>
          <w:sz w:val="20"/>
          <w:szCs w:val="20"/>
          <w:color w:val="auto"/>
        </w:rPr>
      </w:pPr>
    </w:p>
    <w:p>
      <w:pPr>
        <w:ind w:left="2"/>
        <w:spacing w:after="0" w:line="263" w:lineRule="auto"/>
        <w:rPr>
          <w:sz w:val="20"/>
          <w:szCs w:val="20"/>
          <w:color w:val="auto"/>
        </w:rPr>
      </w:pPr>
      <w:r>
        <w:rPr>
          <w:rFonts w:ascii="Arial" w:cs="Arial" w:eastAsia="Arial" w:hAnsi="Arial"/>
          <w:sz w:val="16"/>
          <w:szCs w:val="16"/>
          <w:color w:val="auto"/>
        </w:rPr>
        <w:t>Under rules adopted by the SEC, we have chosen to furnish our proxy materials to our shareholders over the Internet and to provide a NOIA of Proxy Materials by U.S. mail, rather than mailing the printed proxy materials to all shareholders. As a result, the Company is able to reduce printing and postage costs, as well as minimize adverse impact on the environment. If you receive a NOIA, you will not receive a printed copy of the proxy materials in the mail unless you request them by following the instructions provided in the NOIA. Instead, the NOIA instructs you how to access and review all of the information contained in the Proxy Statement and Annual Report to Shareholders online. The NOIA also explains how you may submit your proxy over the Internet. If you would like to receive a printed copy of our proxy materials, you should follow the instructions in the NOIA. The Company shall pay the costs of solicitation of proxies.</w:t>
      </w:r>
    </w:p>
    <w:p>
      <w:pPr>
        <w:spacing w:after="0" w:line="10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6. Who is entitled to vote at the Annual Meeting?</w:t>
      </w:r>
    </w:p>
    <w:p>
      <w:pPr>
        <w:spacing w:after="0" w:line="75" w:lineRule="exact"/>
        <w:rPr>
          <w:sz w:val="20"/>
          <w:szCs w:val="20"/>
          <w:color w:val="auto"/>
        </w:rPr>
      </w:pPr>
    </w:p>
    <w:p>
      <w:pPr>
        <w:ind w:left="2" w:right="20"/>
        <w:spacing w:after="0" w:line="267" w:lineRule="auto"/>
        <w:rPr>
          <w:sz w:val="20"/>
          <w:szCs w:val="20"/>
          <w:color w:val="auto"/>
        </w:rPr>
      </w:pPr>
      <w:r>
        <w:rPr>
          <w:rFonts w:ascii="Arial" w:cs="Arial" w:eastAsia="Arial" w:hAnsi="Arial"/>
          <w:sz w:val="16"/>
          <w:szCs w:val="16"/>
          <w:color w:val="auto"/>
        </w:rPr>
        <w:t>Shareholders of record at the close of business on March 24, 2026, which we refer to as the Record Date, (the “Record Date”) are entitled to notice of, and to vote at, the Annual Meeting. On the Record Date, there were 18,581,513 shares of Company common stock issued and outstanding, each entitled to one vote. A complete list of shareholders entitled to vote at the Annual Meeting will be available for examination by any shareholder of record at our Principle Executive offices at 485C Route 1 South, Suite 400, Iselin, NJ 08830 for a period of 10 days prior to the Annual Meeting. The list will also be available for examination by any shareholder of record at the Annual Meeting.</w:t>
      </w:r>
    </w:p>
    <w:p>
      <w:pPr>
        <w:spacing w:after="0" w:line="9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7. What is the difference between holding shares as a shareholder of record and as a beneficial owner holding shares in “street name”?</w:t>
      </w:r>
    </w:p>
    <w:p>
      <w:pPr>
        <w:spacing w:after="0" w:line="75" w:lineRule="exact"/>
        <w:rPr>
          <w:sz w:val="20"/>
          <w:szCs w:val="20"/>
          <w:color w:val="auto"/>
        </w:rPr>
      </w:pPr>
    </w:p>
    <w:p>
      <w:pPr>
        <w:ind w:left="2" w:right="100"/>
        <w:spacing w:after="0" w:line="267" w:lineRule="auto"/>
        <w:rPr>
          <w:sz w:val="20"/>
          <w:szCs w:val="20"/>
          <w:color w:val="auto"/>
        </w:rPr>
      </w:pPr>
      <w:r>
        <w:rPr>
          <w:rFonts w:ascii="Arial" w:cs="Arial" w:eastAsia="Arial" w:hAnsi="Arial"/>
          <w:sz w:val="16"/>
          <w:szCs w:val="16"/>
          <w:color w:val="auto"/>
        </w:rPr>
        <w:t>You are a “shareholder of record” if, at the close of business on the Record Date, your shares were registered directly in your name with Broadridge Corporate Issuer Solutions, Inc. (“Broadridge”), our transfer agent. You are a beneficial owner if, at the close of business on the Record Date, your shares were held by a brokerage firm or other nominee and not directly in your name. Being a beneficial owner means that, like most of our shareholders, your shares are held in “street name.” As the beneficial owner, you have the right to direct your broker or nominee how to vote your shares by following the voting instructions your broker or nominee provides.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275590</wp:posOffset>
            </wp:positionV>
            <wp:extent cx="7620" cy="132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462" w:hanging="445"/>
        <w:spacing w:after="0"/>
        <w:tabs>
          <w:tab w:leader="none" w:pos="462" w:val="left"/>
        </w:tabs>
        <w:numPr>
          <w:ilvl w:val="0"/>
          <w:numId w:val="10"/>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210185</wp:posOffset>
            </wp:positionV>
            <wp:extent cx="716978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22"/>
          </w:cols>
          <w:pgMar w:left="318" w:top="1093" w:right="359" w:bottom="1440" w:gutter="0" w:footer="0" w:header="0"/>
        </w:sectPr>
      </w:pPr>
    </w:p>
    <w:bookmarkStart w:id="8" w:name="page9"/>
    <w:bookmarkEnd w:id="8"/>
    <w:p>
      <w:pPr>
        <w:jc w:val="right"/>
        <w:spacing w:after="0"/>
        <w:rPr>
          <w:sz w:val="20"/>
          <w:szCs w:val="20"/>
          <w:color w:val="auto"/>
        </w:rPr>
      </w:pPr>
      <w:r>
        <w:rPr>
          <w:rFonts w:ascii="Arial" w:cs="Arial" w:eastAsia="Arial" w:hAnsi="Arial"/>
          <w:sz w:val="14"/>
          <w:szCs w:val="14"/>
          <w:b w:val="1"/>
          <w:bCs w:val="1"/>
          <w:color w:val="191769"/>
        </w:rPr>
        <w:t>General Information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8. How will my shares be voted if I do not vote or if I have not provided instructions to my broker?</w:t>
      </w:r>
    </w:p>
    <w:p>
      <w:pPr>
        <w:spacing w:after="0" w:line="75" w:lineRule="exact"/>
        <w:rPr>
          <w:sz w:val="20"/>
          <w:szCs w:val="20"/>
          <w:color w:val="auto"/>
        </w:rPr>
      </w:pPr>
    </w:p>
    <w:p>
      <w:pPr>
        <w:ind w:left="2" w:right="160"/>
        <w:spacing w:after="0" w:line="271" w:lineRule="auto"/>
        <w:rPr>
          <w:sz w:val="20"/>
          <w:szCs w:val="20"/>
          <w:color w:val="auto"/>
        </w:rPr>
      </w:pPr>
      <w:r>
        <w:rPr>
          <w:rFonts w:ascii="Arial" w:cs="Arial" w:eastAsia="Arial" w:hAnsi="Arial"/>
          <w:sz w:val="16"/>
          <w:szCs w:val="16"/>
          <w:color w:val="auto"/>
        </w:rPr>
        <w:t>All shares that have been properly voted, by completing and submitting a proxy card whether by Internet, telephone or U.S. mail, and not revoked, will be voted at the Annual Meeting in accordance with your instructions. If you are a shareholder of record and you do not vote by proxy card, by telephone, via the Internet or in person at the Annual Meeting, your shares will not be voted at the Annual Meeting. If you sign your proxy card but do not give voting instructions, the shares represented by that proxy will be voted as recommended by the Board.</w:t>
      </w:r>
    </w:p>
    <w:p>
      <w:pPr>
        <w:spacing w:after="0" w:line="92" w:lineRule="exact"/>
        <w:rPr>
          <w:sz w:val="20"/>
          <w:szCs w:val="20"/>
          <w:color w:val="auto"/>
        </w:rPr>
      </w:pPr>
    </w:p>
    <w:p>
      <w:pPr>
        <w:ind w:left="2" w:right="140"/>
        <w:spacing w:after="0" w:line="299" w:lineRule="auto"/>
        <w:rPr>
          <w:sz w:val="20"/>
          <w:szCs w:val="20"/>
          <w:color w:val="auto"/>
        </w:rPr>
      </w:pPr>
      <w:r>
        <w:rPr>
          <w:rFonts w:ascii="Arial" w:cs="Arial" w:eastAsia="Arial" w:hAnsi="Arial"/>
          <w:sz w:val="16"/>
          <w:szCs w:val="16"/>
          <w:color w:val="auto"/>
        </w:rPr>
        <w:t>If any other matters are properly presented at the Annual Meeting for consideration and if you have voted your shares by Internet, telephone or U.S. mail, the persons named as proxies in the proxy card will have the discretion to vote on those registered matters for you.</w:t>
      </w:r>
    </w:p>
    <w:p>
      <w:pPr>
        <w:spacing w:after="0" w:line="71" w:lineRule="exact"/>
        <w:rPr>
          <w:sz w:val="20"/>
          <w:szCs w:val="20"/>
          <w:color w:val="auto"/>
        </w:rPr>
      </w:pPr>
    </w:p>
    <w:p>
      <w:pPr>
        <w:ind w:left="2" w:right="320"/>
        <w:spacing w:after="0" w:line="299" w:lineRule="auto"/>
        <w:rPr>
          <w:sz w:val="20"/>
          <w:szCs w:val="20"/>
          <w:color w:val="auto"/>
        </w:rPr>
      </w:pPr>
      <w:r>
        <w:rPr>
          <w:rFonts w:ascii="Arial" w:cs="Arial" w:eastAsia="Arial" w:hAnsi="Arial"/>
          <w:sz w:val="16"/>
          <w:szCs w:val="16"/>
          <w:color w:val="auto"/>
        </w:rPr>
        <w:t>If you are the beneficial owner and you do not direct your broker or nominee how to vote your shares, your broker or nominee may vote your shares on only those proposals for which it has discretion to vote.</w:t>
      </w:r>
    </w:p>
    <w:p>
      <w:pPr>
        <w:spacing w:after="0" w:line="59" w:lineRule="exact"/>
        <w:rPr>
          <w:sz w:val="20"/>
          <w:szCs w:val="20"/>
          <w:color w:val="auto"/>
        </w:rPr>
      </w:pPr>
    </w:p>
    <w:p>
      <w:pPr>
        <w:ind w:left="2" w:right="160"/>
        <w:spacing w:after="0" w:line="278" w:lineRule="auto"/>
        <w:rPr>
          <w:sz w:val="20"/>
          <w:szCs w:val="20"/>
          <w:color w:val="auto"/>
        </w:rPr>
      </w:pPr>
      <w:r>
        <w:rPr>
          <w:rFonts w:ascii="Arial" w:cs="Arial" w:eastAsia="Arial" w:hAnsi="Arial"/>
          <w:sz w:val="16"/>
          <w:szCs w:val="16"/>
          <w:color w:val="auto"/>
        </w:rPr>
        <w:t>Please note that under the rules of the Nasdaq Global Select Stock Market (“Nasdaq”) your bank, broker or other nominee may not vote your shares with respect to matters considered non-routine (Proposals 1 and 2). Proposal 3, the ratification of our auditor, is a routine matter on which brokers and nominees can vote on behalf of their clients if clients do not furnish voting instructions.</w:t>
      </w:r>
    </w:p>
    <w:p>
      <w:pPr>
        <w:spacing w:after="0" w:line="8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9. How many votes must be present to hold the Meeting?</w:t>
      </w:r>
    </w:p>
    <w:p>
      <w:pPr>
        <w:spacing w:after="0" w:line="75" w:lineRule="exact"/>
        <w:rPr>
          <w:sz w:val="20"/>
          <w:szCs w:val="20"/>
          <w:color w:val="auto"/>
        </w:rPr>
      </w:pPr>
    </w:p>
    <w:p>
      <w:pPr>
        <w:ind w:left="2" w:right="820"/>
        <w:spacing w:after="0" w:line="299" w:lineRule="auto"/>
        <w:rPr>
          <w:sz w:val="20"/>
          <w:szCs w:val="20"/>
          <w:color w:val="auto"/>
        </w:rPr>
      </w:pPr>
      <w:r>
        <w:rPr>
          <w:rFonts w:ascii="Arial" w:cs="Arial" w:eastAsia="Arial" w:hAnsi="Arial"/>
          <w:sz w:val="16"/>
          <w:szCs w:val="16"/>
          <w:color w:val="auto"/>
        </w:rPr>
        <w:t>In order for the Annual Meeting to be conducted, a majority of the outstanding shares of common stock as of the record date must be present or represented by proxy at the Annual Meeting. This is referred to as a quorum.</w:t>
      </w:r>
    </w:p>
    <w:p>
      <w:pPr>
        <w:spacing w:after="0" w:line="7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10. What is the vote required for each proposal and what are my voting choices?</w:t>
      </w:r>
    </w:p>
    <w:p>
      <w:pPr>
        <w:spacing w:after="0" w:line="133" w:lineRule="exact"/>
        <w:rPr>
          <w:sz w:val="20"/>
          <w:szCs w:val="20"/>
          <w:color w:val="auto"/>
        </w:rPr>
      </w:pPr>
    </w:p>
    <w:tbl>
      <w:tblPr>
        <w:tblLayout w:type="fixed"/>
        <w:tblInd w:w="2" w:type="dxa"/>
        <w:tblCellMar>
          <w:top w:w="0" w:type="dxa"/>
          <w:left w:w="0" w:type="dxa"/>
          <w:bottom w:w="0" w:type="dxa"/>
          <w:right w:w="0" w:type="dxa"/>
        </w:tblCellMar>
      </w:tblPr>
      <w:tr>
        <w:trPr>
          <w:trHeight w:val="160"/>
        </w:trPr>
        <w:tc>
          <w:tcPr>
            <w:tcW w:w="20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Arial" w:cs="Arial" w:eastAsia="Arial" w:hAnsi="Arial"/>
                <w:sz w:val="13"/>
                <w:szCs w:val="13"/>
                <w:b w:val="1"/>
                <w:bCs w:val="1"/>
                <w:color w:val="191769"/>
              </w:rPr>
              <w:t>Broker Discretionary</w:t>
            </w:r>
          </w:p>
        </w:tc>
      </w:tr>
      <w:tr>
        <w:trPr>
          <w:trHeight w:val="186"/>
        </w:trPr>
        <w:tc>
          <w:tcPr>
            <w:tcW w:w="6920" w:type="dxa"/>
            <w:vAlign w:val="bottom"/>
            <w:tcBorders>
              <w:bottom w:val="single" w:sz="8" w:color="00AEEF"/>
            </w:tcBorders>
            <w:gridSpan w:val="2"/>
          </w:tcPr>
          <w:p>
            <w:pPr>
              <w:ind w:left="20"/>
              <w:spacing w:after="0"/>
              <w:rPr>
                <w:sz w:val="20"/>
                <w:szCs w:val="20"/>
                <w:color w:val="auto"/>
              </w:rPr>
            </w:pPr>
            <w:r>
              <w:rPr>
                <w:rFonts w:ascii="Arial" w:cs="Arial" w:eastAsia="Arial" w:hAnsi="Arial"/>
                <w:sz w:val="13"/>
                <w:szCs w:val="13"/>
                <w:b w:val="1"/>
                <w:bCs w:val="1"/>
                <w:color w:val="191769"/>
              </w:rPr>
              <w:t>Proposal</w:t>
            </w:r>
          </w:p>
        </w:tc>
        <w:tc>
          <w:tcPr>
            <w:tcW w:w="2420" w:type="dxa"/>
            <w:vAlign w:val="bottom"/>
            <w:tcBorders>
              <w:bottom w:val="single" w:sz="8" w:color="00AEEF"/>
            </w:tcBorders>
          </w:tcPr>
          <w:p>
            <w:pPr>
              <w:ind w:left="180"/>
              <w:spacing w:after="0"/>
              <w:rPr>
                <w:sz w:val="20"/>
                <w:szCs w:val="20"/>
                <w:color w:val="auto"/>
              </w:rPr>
            </w:pPr>
            <w:r>
              <w:rPr>
                <w:rFonts w:ascii="Arial" w:cs="Arial" w:eastAsia="Arial" w:hAnsi="Arial"/>
                <w:sz w:val="13"/>
                <w:szCs w:val="13"/>
                <w:b w:val="1"/>
                <w:bCs w:val="1"/>
                <w:color w:val="191769"/>
              </w:rPr>
              <w:t>Vote Required</w:t>
            </w:r>
          </w:p>
        </w:tc>
        <w:tc>
          <w:tcPr>
            <w:tcW w:w="1900" w:type="dxa"/>
            <w:vAlign w:val="bottom"/>
            <w:tcBorders>
              <w:bottom w:val="single" w:sz="8" w:color="00AEEF"/>
            </w:tcBorders>
          </w:tcPr>
          <w:p>
            <w:pPr>
              <w:jc w:val="center"/>
              <w:spacing w:after="0"/>
              <w:rPr>
                <w:sz w:val="20"/>
                <w:szCs w:val="20"/>
                <w:color w:val="auto"/>
              </w:rPr>
            </w:pPr>
            <w:r>
              <w:rPr>
                <w:rFonts w:ascii="Arial" w:cs="Arial" w:eastAsia="Arial" w:hAnsi="Arial"/>
                <w:sz w:val="13"/>
                <w:szCs w:val="13"/>
                <w:b w:val="1"/>
                <w:bCs w:val="1"/>
                <w:color w:val="191769"/>
                <w:w w:val="97"/>
              </w:rPr>
              <w:t>Vote Allowed</w:t>
            </w:r>
          </w:p>
        </w:tc>
      </w:tr>
      <w:tr>
        <w:trPr>
          <w:trHeight w:val="281"/>
        </w:trPr>
        <w:tc>
          <w:tcPr>
            <w:tcW w:w="200" w:type="dxa"/>
            <w:vAlign w:val="bottom"/>
            <w:tcBorders>
              <w:bottom w:val="single" w:sz="8" w:color="D9D9D9"/>
            </w:tcBorders>
          </w:tcPr>
          <w:p>
            <w:pPr>
              <w:ind w:left="20"/>
              <w:spacing w:after="0"/>
              <w:rPr>
                <w:sz w:val="20"/>
                <w:szCs w:val="20"/>
                <w:color w:val="auto"/>
              </w:rPr>
            </w:pPr>
            <w:r>
              <w:rPr>
                <w:rFonts w:ascii="Arial" w:cs="Arial" w:eastAsia="Arial" w:hAnsi="Arial"/>
                <w:sz w:val="20"/>
                <w:szCs w:val="20"/>
                <w:b w:val="1"/>
                <w:bCs w:val="1"/>
                <w:color w:val="191769"/>
              </w:rPr>
              <w:t>1</w:t>
            </w:r>
          </w:p>
        </w:tc>
        <w:tc>
          <w:tcPr>
            <w:tcW w:w="6720" w:type="dxa"/>
            <w:vAlign w:val="bottom"/>
            <w:tcBorders>
              <w:bottom w:val="single" w:sz="8" w:color="D9D9D9"/>
            </w:tcBorders>
          </w:tcPr>
          <w:p>
            <w:pPr>
              <w:ind w:left="80"/>
              <w:spacing w:after="0"/>
              <w:rPr>
                <w:sz w:val="20"/>
                <w:szCs w:val="20"/>
                <w:color w:val="auto"/>
              </w:rPr>
            </w:pPr>
            <w:r>
              <w:rPr>
                <w:rFonts w:ascii="Arial" w:cs="Arial" w:eastAsia="Arial" w:hAnsi="Arial"/>
                <w:sz w:val="16"/>
                <w:szCs w:val="16"/>
                <w:color w:val="auto"/>
              </w:rPr>
              <w:t>Election of four Directors</w:t>
            </w:r>
          </w:p>
        </w:tc>
        <w:tc>
          <w:tcPr>
            <w:tcW w:w="2420" w:type="dxa"/>
            <w:vAlign w:val="bottom"/>
            <w:tcBorders>
              <w:bottom w:val="single" w:sz="8" w:color="D9D9D9"/>
            </w:tcBorders>
          </w:tcPr>
          <w:p>
            <w:pPr>
              <w:ind w:left="180"/>
              <w:spacing w:after="0"/>
              <w:rPr>
                <w:sz w:val="20"/>
                <w:szCs w:val="20"/>
                <w:color w:val="auto"/>
              </w:rPr>
            </w:pPr>
            <w:r>
              <w:rPr>
                <w:rFonts w:ascii="Arial" w:cs="Arial" w:eastAsia="Arial" w:hAnsi="Arial"/>
                <w:sz w:val="16"/>
                <w:szCs w:val="16"/>
                <w:color w:val="auto"/>
              </w:rPr>
              <w:t>Plurality of votes cast</w:t>
            </w:r>
          </w:p>
        </w:tc>
        <w:tc>
          <w:tcPr>
            <w:tcW w:w="1900" w:type="dxa"/>
            <w:vAlign w:val="bottom"/>
            <w:tcBorders>
              <w:bottom w:val="single" w:sz="8" w:color="D9D9D9"/>
            </w:tcBorders>
          </w:tcPr>
          <w:p>
            <w:pPr>
              <w:jc w:val="center"/>
              <w:spacing w:after="0"/>
              <w:rPr>
                <w:sz w:val="20"/>
                <w:szCs w:val="20"/>
                <w:color w:val="auto"/>
              </w:rPr>
            </w:pPr>
            <w:r>
              <w:rPr>
                <w:rFonts w:ascii="Arial" w:cs="Arial" w:eastAsia="Arial" w:hAnsi="Arial"/>
                <w:sz w:val="16"/>
                <w:szCs w:val="16"/>
                <w:color w:val="auto"/>
                <w:w w:val="97"/>
              </w:rPr>
              <w:t>No</w:t>
            </w:r>
          </w:p>
        </w:tc>
      </w:tr>
      <w:tr>
        <w:trPr>
          <w:trHeight w:val="275"/>
        </w:trPr>
        <w:tc>
          <w:tcPr>
            <w:tcW w:w="200" w:type="dxa"/>
            <w:vAlign w:val="bottom"/>
            <w:tcBorders>
              <w:bottom w:val="single" w:sz="8" w:color="D9D9D9"/>
            </w:tcBorders>
          </w:tcPr>
          <w:p>
            <w:pPr>
              <w:ind w:left="20"/>
              <w:spacing w:after="0"/>
              <w:rPr>
                <w:sz w:val="20"/>
                <w:szCs w:val="20"/>
                <w:color w:val="auto"/>
              </w:rPr>
            </w:pPr>
            <w:r>
              <w:rPr>
                <w:rFonts w:ascii="Arial" w:cs="Arial" w:eastAsia="Arial" w:hAnsi="Arial"/>
                <w:sz w:val="20"/>
                <w:szCs w:val="20"/>
                <w:b w:val="1"/>
                <w:bCs w:val="1"/>
                <w:color w:val="191769"/>
              </w:rPr>
              <w:t>2</w:t>
            </w:r>
          </w:p>
        </w:tc>
        <w:tc>
          <w:tcPr>
            <w:tcW w:w="6720" w:type="dxa"/>
            <w:vAlign w:val="bottom"/>
            <w:tcBorders>
              <w:bottom w:val="single" w:sz="8" w:color="D9D9D9"/>
            </w:tcBorders>
          </w:tcPr>
          <w:p>
            <w:pPr>
              <w:ind w:left="80"/>
              <w:spacing w:after="0"/>
              <w:rPr>
                <w:sz w:val="20"/>
                <w:szCs w:val="20"/>
                <w:color w:val="auto"/>
              </w:rPr>
            </w:pPr>
            <w:r>
              <w:rPr>
                <w:rFonts w:ascii="Arial" w:cs="Arial" w:eastAsia="Arial" w:hAnsi="Arial"/>
                <w:sz w:val="16"/>
                <w:szCs w:val="16"/>
                <w:color w:val="auto"/>
              </w:rPr>
              <w:t>Non-Binding Proposal to Approve the Compensation of Our Named Executive Officers</w:t>
            </w:r>
          </w:p>
        </w:tc>
        <w:tc>
          <w:tcPr>
            <w:tcW w:w="2420" w:type="dxa"/>
            <w:vAlign w:val="bottom"/>
            <w:tcBorders>
              <w:bottom w:val="single" w:sz="8" w:color="D9D9D9"/>
            </w:tcBorders>
          </w:tcPr>
          <w:p>
            <w:pPr>
              <w:ind w:left="180"/>
              <w:spacing w:after="0"/>
              <w:rPr>
                <w:sz w:val="20"/>
                <w:szCs w:val="20"/>
                <w:color w:val="auto"/>
              </w:rPr>
            </w:pPr>
            <w:r>
              <w:rPr>
                <w:rFonts w:ascii="Arial" w:cs="Arial" w:eastAsia="Arial" w:hAnsi="Arial"/>
                <w:sz w:val="16"/>
                <w:szCs w:val="16"/>
                <w:color w:val="auto"/>
              </w:rPr>
              <w:t>Majority of the shares cast</w:t>
            </w:r>
          </w:p>
        </w:tc>
        <w:tc>
          <w:tcPr>
            <w:tcW w:w="1900" w:type="dxa"/>
            <w:vAlign w:val="bottom"/>
            <w:tcBorders>
              <w:bottom w:val="single" w:sz="8" w:color="D9D9D9"/>
            </w:tcBorders>
          </w:tcPr>
          <w:p>
            <w:pPr>
              <w:jc w:val="center"/>
              <w:spacing w:after="0"/>
              <w:rPr>
                <w:sz w:val="20"/>
                <w:szCs w:val="20"/>
                <w:color w:val="auto"/>
              </w:rPr>
            </w:pPr>
            <w:r>
              <w:rPr>
                <w:rFonts w:ascii="Arial" w:cs="Arial" w:eastAsia="Arial" w:hAnsi="Arial"/>
                <w:sz w:val="16"/>
                <w:szCs w:val="16"/>
                <w:color w:val="auto"/>
                <w:w w:val="97"/>
              </w:rPr>
              <w:t>No</w:t>
            </w:r>
          </w:p>
        </w:tc>
      </w:tr>
      <w:tr>
        <w:trPr>
          <w:trHeight w:val="203"/>
        </w:trPr>
        <w:tc>
          <w:tcPr>
            <w:tcW w:w="200" w:type="dxa"/>
            <w:vAlign w:val="bottom"/>
          </w:tcPr>
          <w:p>
            <w:pPr>
              <w:ind w:left="20"/>
              <w:spacing w:after="0" w:line="203" w:lineRule="exact"/>
              <w:rPr>
                <w:sz w:val="20"/>
                <w:szCs w:val="20"/>
                <w:color w:val="auto"/>
              </w:rPr>
            </w:pPr>
            <w:r>
              <w:rPr>
                <w:rFonts w:ascii="Arial" w:cs="Arial" w:eastAsia="Arial" w:hAnsi="Arial"/>
                <w:sz w:val="20"/>
                <w:szCs w:val="20"/>
                <w:b w:val="1"/>
                <w:bCs w:val="1"/>
                <w:color w:val="191769"/>
              </w:rPr>
              <w:t>3</w:t>
            </w:r>
          </w:p>
        </w:tc>
        <w:tc>
          <w:tcPr>
            <w:tcW w:w="6720" w:type="dxa"/>
            <w:vAlign w:val="bottom"/>
          </w:tcPr>
          <w:p>
            <w:pPr>
              <w:ind w:left="80"/>
              <w:spacing w:after="0"/>
              <w:rPr>
                <w:sz w:val="20"/>
                <w:szCs w:val="20"/>
                <w:color w:val="auto"/>
              </w:rPr>
            </w:pPr>
            <w:r>
              <w:rPr>
                <w:rFonts w:ascii="Arial" w:cs="Arial" w:eastAsia="Arial" w:hAnsi="Arial"/>
                <w:sz w:val="16"/>
                <w:szCs w:val="16"/>
                <w:color w:val="auto"/>
              </w:rPr>
              <w:t>Ratification of Appointment by the Audit Committee of the Independent Registered Public</w:t>
            </w:r>
          </w:p>
        </w:tc>
        <w:tc>
          <w:tcPr>
            <w:tcW w:w="2420" w:type="dxa"/>
            <w:vAlign w:val="bottom"/>
          </w:tcPr>
          <w:p>
            <w:pPr>
              <w:ind w:left="180"/>
              <w:spacing w:after="0"/>
              <w:rPr>
                <w:sz w:val="20"/>
                <w:szCs w:val="20"/>
                <w:color w:val="auto"/>
              </w:rPr>
            </w:pPr>
            <w:r>
              <w:rPr>
                <w:rFonts w:ascii="Arial" w:cs="Arial" w:eastAsia="Arial" w:hAnsi="Arial"/>
                <w:sz w:val="16"/>
                <w:szCs w:val="16"/>
                <w:color w:val="auto"/>
              </w:rPr>
              <w:t>Majority of the shares cast</w:t>
            </w:r>
          </w:p>
        </w:tc>
        <w:tc>
          <w:tcPr>
            <w:tcW w:w="1900" w:type="dxa"/>
            <w:vAlign w:val="bottom"/>
          </w:tcPr>
          <w:p>
            <w:pPr>
              <w:jc w:val="center"/>
              <w:spacing w:after="0"/>
              <w:rPr>
                <w:sz w:val="20"/>
                <w:szCs w:val="20"/>
                <w:color w:val="auto"/>
              </w:rPr>
            </w:pPr>
            <w:r>
              <w:rPr>
                <w:rFonts w:ascii="Arial" w:cs="Arial" w:eastAsia="Arial" w:hAnsi="Arial"/>
                <w:sz w:val="16"/>
                <w:szCs w:val="16"/>
                <w:color w:val="auto"/>
              </w:rPr>
              <w:t>Yes</w:t>
            </w:r>
          </w:p>
        </w:tc>
      </w:tr>
      <w:tr>
        <w:trPr>
          <w:trHeight w:val="226"/>
        </w:trPr>
        <w:tc>
          <w:tcPr>
            <w:tcW w:w="200" w:type="dxa"/>
            <w:vAlign w:val="bottom"/>
            <w:tcBorders>
              <w:bottom w:val="single" w:sz="8" w:color="00AEEF"/>
            </w:tcBorders>
          </w:tcPr>
          <w:p>
            <w:pPr>
              <w:spacing w:after="0"/>
              <w:rPr>
                <w:sz w:val="19"/>
                <w:szCs w:val="19"/>
                <w:color w:val="auto"/>
              </w:rPr>
            </w:pPr>
          </w:p>
        </w:tc>
        <w:tc>
          <w:tcPr>
            <w:tcW w:w="6720" w:type="dxa"/>
            <w:vAlign w:val="bottom"/>
            <w:tcBorders>
              <w:bottom w:val="single" w:sz="8" w:color="00AEEF"/>
            </w:tcBorders>
          </w:tcPr>
          <w:p>
            <w:pPr>
              <w:ind w:left="80"/>
              <w:spacing w:after="0"/>
              <w:rPr>
                <w:sz w:val="20"/>
                <w:szCs w:val="20"/>
                <w:color w:val="auto"/>
              </w:rPr>
            </w:pPr>
            <w:r>
              <w:rPr>
                <w:rFonts w:ascii="Arial" w:cs="Arial" w:eastAsia="Arial" w:hAnsi="Arial"/>
                <w:sz w:val="16"/>
                <w:szCs w:val="16"/>
                <w:color w:val="auto"/>
              </w:rPr>
              <w:t>Accounting Firm</w:t>
            </w:r>
          </w:p>
        </w:tc>
        <w:tc>
          <w:tcPr>
            <w:tcW w:w="2420" w:type="dxa"/>
            <w:vAlign w:val="bottom"/>
            <w:tcBorders>
              <w:bottom w:val="single" w:sz="8" w:color="00AEEF"/>
            </w:tcBorders>
          </w:tcPr>
          <w:p>
            <w:pPr>
              <w:spacing w:after="0"/>
              <w:rPr>
                <w:sz w:val="19"/>
                <w:szCs w:val="19"/>
                <w:color w:val="auto"/>
              </w:rPr>
            </w:pPr>
          </w:p>
        </w:tc>
        <w:tc>
          <w:tcPr>
            <w:tcW w:w="1900" w:type="dxa"/>
            <w:vAlign w:val="bottom"/>
            <w:tcBorders>
              <w:bottom w:val="single" w:sz="8" w:color="00AEEF"/>
            </w:tcBorders>
          </w:tcPr>
          <w:p>
            <w:pPr>
              <w:spacing w:after="0"/>
              <w:rPr>
                <w:sz w:val="19"/>
                <w:szCs w:val="19"/>
                <w:color w:val="auto"/>
              </w:rPr>
            </w:pPr>
          </w:p>
        </w:tc>
      </w:tr>
    </w:tbl>
    <w:p>
      <w:pPr>
        <w:spacing w:after="0" w:line="205" w:lineRule="exact"/>
        <w:rPr>
          <w:sz w:val="20"/>
          <w:szCs w:val="20"/>
          <w:color w:val="auto"/>
        </w:rPr>
      </w:pPr>
    </w:p>
    <w:p>
      <w:pPr>
        <w:ind w:left="2" w:right="120"/>
        <w:spacing w:after="0" w:line="263" w:lineRule="auto"/>
        <w:rPr>
          <w:sz w:val="20"/>
          <w:szCs w:val="20"/>
          <w:color w:val="auto"/>
        </w:rPr>
      </w:pPr>
      <w:r>
        <w:rPr>
          <w:rFonts w:ascii="Arial" w:cs="Arial" w:eastAsia="Arial" w:hAnsi="Arial"/>
          <w:sz w:val="16"/>
          <w:szCs w:val="16"/>
          <w:color w:val="auto"/>
        </w:rPr>
        <w:t>With respect to Proposal 1, the election of four Directors, you may vote FOR ALL, WITHHOLD ALL or FOR ALL EXCEPT and indicate any nominee for which you withhold authority to vote. Directors are elected by a plurality of votes cast by shareholders present in person or represented by proxy at the Annual Meeting, and entitled to vote on the election of Directors. With respect to Proposals 2 and 3, (or any other matter to be voted at the Annual Meeting), you may vote FOR, AGAINST or ABSTAIN. The approval of the non-binding advisory vote regarding the compensation of our Named Executive Officers (Proposal 2) requires that the votes cast in favor of the proposal exceed the number of votes cast against the proposal. The ratification of the appointment by the Audit Committee of PricewaterhouseCoopers LLP (Proposal 3) requires that the votes cast in favor of the ratification exceed the number of votes opposing the ratification.</w:t>
      </w:r>
    </w:p>
    <w:p>
      <w:pPr>
        <w:spacing w:after="0" w:line="90" w:lineRule="exact"/>
        <w:rPr>
          <w:sz w:val="20"/>
          <w:szCs w:val="20"/>
          <w:color w:val="auto"/>
        </w:rPr>
      </w:pPr>
    </w:p>
    <w:p>
      <w:pPr>
        <w:jc w:val="center"/>
        <w:ind w:left="2" w:right="7560" w:hanging="2"/>
        <w:spacing w:after="0" w:line="385" w:lineRule="auto"/>
        <w:tabs>
          <w:tab w:leader="none" w:pos="282"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How does the Board recommend I vote? </w:t>
      </w:r>
      <w:r>
        <w:rPr>
          <w:rFonts w:ascii="Arial" w:cs="Arial" w:eastAsia="Arial" w:hAnsi="Arial"/>
          <w:sz w:val="16"/>
          <w:szCs w:val="16"/>
          <w:color w:val="auto"/>
        </w:rPr>
        <w:t>The Board of Directors recommends that you vote:</w:t>
      </w:r>
    </w:p>
    <w:p>
      <w:pPr>
        <w:spacing w:after="0" w:line="1" w:lineRule="exact"/>
        <w:rPr>
          <w:sz w:val="20"/>
          <w:szCs w:val="20"/>
          <w:color w:val="auto"/>
        </w:rPr>
      </w:pPr>
    </w:p>
    <w:p>
      <w:pPr>
        <w:ind w:left="162" w:hanging="162"/>
        <w:spacing w:after="0"/>
        <w:tabs>
          <w:tab w:leader="none" w:pos="162"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the four Directors nominated by the Board and named in this Proxy Statement;</w:t>
      </w:r>
    </w:p>
    <w:p>
      <w:pPr>
        <w:spacing w:after="0" w:line="86" w:lineRule="exact"/>
        <w:rPr>
          <w:rFonts w:ascii="Arial" w:cs="Arial" w:eastAsia="Arial" w:hAnsi="Arial"/>
          <w:sz w:val="16"/>
          <w:szCs w:val="16"/>
          <w:b w:val="1"/>
          <w:bCs w:val="1"/>
          <w:color w:val="auto"/>
        </w:rPr>
      </w:pPr>
    </w:p>
    <w:p>
      <w:pPr>
        <w:ind w:left="162" w:hanging="162"/>
        <w:spacing w:after="0"/>
        <w:tabs>
          <w:tab w:leader="none" w:pos="162"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 non-binding advisory basis, of the compensation of our Named Executive Officers; and</w:t>
      </w:r>
    </w:p>
    <w:p>
      <w:pPr>
        <w:spacing w:after="0" w:line="74" w:lineRule="exact"/>
        <w:rPr>
          <w:rFonts w:ascii="Arial" w:cs="Arial" w:eastAsia="Arial" w:hAnsi="Arial"/>
          <w:sz w:val="16"/>
          <w:szCs w:val="16"/>
          <w:b w:val="1"/>
          <w:bCs w:val="1"/>
          <w:color w:val="auto"/>
        </w:rPr>
      </w:pPr>
    </w:p>
    <w:p>
      <w:pPr>
        <w:ind w:left="182" w:right="300" w:hanging="182"/>
        <w:spacing w:after="0" w:line="299" w:lineRule="auto"/>
        <w:tabs>
          <w:tab w:leader="none" w:pos="173"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PricewaterhouseCoopers LLP, our independent registered public accounting firm, for the fiscal year ending</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2026.</w:t>
      </w:r>
    </w:p>
    <w:p>
      <w:pPr>
        <w:spacing w:after="0" w:line="7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12. How are abstentions and broker non-votes counted?</w:t>
      </w:r>
    </w:p>
    <w:p>
      <w:pPr>
        <w:spacing w:after="0" w:line="75" w:lineRule="exact"/>
        <w:rPr>
          <w:sz w:val="20"/>
          <w:szCs w:val="20"/>
          <w:color w:val="auto"/>
        </w:rPr>
      </w:pPr>
    </w:p>
    <w:p>
      <w:pPr>
        <w:ind w:left="2" w:right="20"/>
        <w:spacing w:after="0" w:line="262" w:lineRule="auto"/>
        <w:rPr>
          <w:sz w:val="20"/>
          <w:szCs w:val="20"/>
          <w:color w:val="auto"/>
        </w:rPr>
      </w:pPr>
      <w:r>
        <w:rPr>
          <w:rFonts w:ascii="Arial" w:cs="Arial" w:eastAsia="Arial" w:hAnsi="Arial"/>
          <w:sz w:val="16"/>
          <w:szCs w:val="16"/>
          <w:color w:val="auto"/>
        </w:rPr>
        <w:t>For purposes of determining the votes cast with respect to any matter presented for consideration at the Annual Meeting, only those votes cast “for” or “against” are considered as shares voted with respect to such matter. As described above, where brokers do not have discretion to vote or did not exercise such discretion, the inability or failure to vote is referred to as a “broker non-vote.” Proxies marked as abstaining, and any proxies returned by brokers as “non-votes” on behalf of shares held in street name because beneficial owners’ discretion has been withheld as to one or more matters to be acted upon at the Annual Meeting, will be treated as present for purposes of determining whether a quorum is present at the Annual Meeting. Broker non-votes and withheld votes will not be included in the vote total for the proposal to elect the nominees for Director and will not affect the outcome of the vote for these proposals. In addition, under New Jersey corporation law, abstentions are not counted as votes cast on a proposal. Therefore, abstentions and broker non-votes will not count either in favor of or against the nonbinding advisory proposal regarding the approval of the compensation of our named Executives and the ratification of the appointment of PricewaterhouseCoopers LLP.</w:t>
      </w:r>
    </w:p>
    <w:p>
      <w:pPr>
        <w:spacing w:after="0" w:line="200" w:lineRule="exact"/>
        <w:rPr>
          <w:sz w:val="20"/>
          <w:szCs w:val="20"/>
          <w:color w:val="auto"/>
        </w:rPr>
      </w:pPr>
    </w:p>
    <w:p>
      <w:pPr>
        <w:spacing w:after="0" w:line="225" w:lineRule="exact"/>
        <w:rPr>
          <w:sz w:val="20"/>
          <w:szCs w:val="20"/>
          <w:color w:val="auto"/>
        </w:rPr>
      </w:pPr>
    </w:p>
    <w:tbl>
      <w:tblPr>
        <w:tblLayout w:type="fixed"/>
        <w:tblInd w:w="2" w:type="dxa"/>
        <w:tblCellMar>
          <w:top w:w="0" w:type="dxa"/>
          <w:left w:w="0" w:type="dxa"/>
          <w:bottom w:w="0" w:type="dxa"/>
          <w:right w:w="0" w:type="dxa"/>
        </w:tblCellMar>
      </w:tblPr>
      <w:tr>
        <w:trPr>
          <w:trHeight w:val="209"/>
        </w:trPr>
        <w:tc>
          <w:tcPr>
            <w:tcW w:w="10860" w:type="dxa"/>
            <w:vAlign w:val="bottom"/>
            <w:tcBorders>
              <w:right w:val="single" w:sz="8" w:color="00AEEF"/>
            </w:tcBorders>
          </w:tcPr>
          <w:p>
            <w:pPr>
              <w:ind w:left="94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7</w:t>
            </w:r>
          </w:p>
        </w:tc>
      </w:tr>
      <w:tr>
        <w:trPr>
          <w:trHeight w:val="325"/>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-27940</wp:posOffset>
            </wp:positionV>
            <wp:extent cx="3302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2"/>
          </w:cols>
          <w:pgMar w:left="318" w:top="124"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191769"/>
        </w:rPr>
        <w:t>General Information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May I revoke my proxy or change my vote?</w:t>
      </w:r>
    </w:p>
    <w:p>
      <w:pPr>
        <w:spacing w:after="0" w:line="148"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Yes. You may revoke a proxy you have given at any time before it is voted at the Annual Meeting by: (1) submitting to our Corporate Secretary a letter revoking the proxy, which the Secretary must receive prior to the Annual Meeting, or (2) voting at the virtual Annual Meeting. Attendance at the Annual Meeting will not by itself revoke a previously granted proxy, unless you specifically request it. You may change your proxy instructions for shares in “street name” by submitting new voting instructions to your broker or nominee.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Who will count the vote?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Votes will be counted by representatives of Broadridge who will tally the votes and certify the results.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Who can participate in the Annual Meeting?</w:t>
      </w:r>
    </w:p>
    <w:p>
      <w:pPr>
        <w:spacing w:after="0" w:line="87" w:lineRule="exact"/>
        <w:rPr>
          <w:sz w:val="20"/>
          <w:szCs w:val="20"/>
          <w:color w:val="auto"/>
        </w:rPr>
      </w:pPr>
    </w:p>
    <w:p>
      <w:pPr>
        <w:ind w:right="2800"/>
        <w:spacing w:after="0" w:line="299" w:lineRule="auto"/>
        <w:rPr>
          <w:sz w:val="20"/>
          <w:szCs w:val="20"/>
          <w:color w:val="auto"/>
        </w:rPr>
      </w:pPr>
      <w:r>
        <w:rPr>
          <w:rFonts w:ascii="Arial" w:cs="Arial" w:eastAsia="Arial" w:hAnsi="Arial"/>
          <w:sz w:val="16"/>
          <w:szCs w:val="16"/>
          <w:color w:val="auto"/>
        </w:rPr>
        <w:t xml:space="preserve">All shareholders of record as of the close of business on March 24, 2026 can attend the Annual Meeting via webcast at </w:t>
      </w:r>
      <w:r>
        <w:rPr>
          <w:rFonts w:ascii="Arial" w:cs="Arial" w:eastAsia="Arial" w:hAnsi="Arial"/>
          <w:sz w:val="16"/>
          <w:szCs w:val="16"/>
          <w:u w:val="single" w:color="auto"/>
          <w:color w:val="0076A8"/>
        </w:rPr>
        <w:t>www.virtualshareholdermeeting.com/MSEX2026</w:t>
      </w:r>
      <w:r>
        <w:rPr>
          <w:rFonts w:ascii="Arial" w:cs="Arial" w:eastAsia="Arial" w:hAnsi="Arial"/>
          <w:sz w:val="16"/>
          <w:szCs w:val="16"/>
          <w:color w:val="auto"/>
        </w:rPr>
        <w: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Will there be a management presentation at the Annual Meeting?</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Management will give a brief presentation during the meeting and shareholders will be invited to submit questions online.</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When are shareholder proposals due for the 2027 Annual Meeting?</w:t>
      </w:r>
    </w:p>
    <w:p>
      <w:pPr>
        <w:spacing w:after="0" w:line="87"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To be considered for inclusion on our Proxy Statement to be issued in 2027, shareholder proposals must be received at our Executive offices on or before December 11, 2026. In addition, shareholders who intend to solicit proxies in support of Director nominees other than the Company’s nominees must comply with the requirements of SEC Rule 14a-19(b) and deliver any such proxy to our Executive offices on or before March 18, 2027. Shareholder proposals and proxies in support of director nominees should be directed to the Corporate Secretary of Middlesex Water Company, 485C Route 1 South, Suite 400, Iselin, New Jersey 08830-0452.</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Where can I find the voting results of the Annual Meeting?</w:t>
      </w:r>
    </w:p>
    <w:p>
      <w:pPr>
        <w:spacing w:after="0" w:line="87" w:lineRule="exact"/>
        <w:rPr>
          <w:sz w:val="20"/>
          <w:szCs w:val="20"/>
          <w:color w:val="auto"/>
        </w:rPr>
      </w:pPr>
    </w:p>
    <w:p>
      <w:pPr>
        <w:ind w:right="80"/>
        <w:spacing w:after="0" w:line="299" w:lineRule="auto"/>
        <w:rPr>
          <w:sz w:val="20"/>
          <w:szCs w:val="20"/>
          <w:color w:val="auto"/>
        </w:rPr>
      </w:pPr>
      <w:r>
        <w:rPr>
          <w:rFonts w:ascii="Arial" w:cs="Arial" w:eastAsia="Arial" w:hAnsi="Arial"/>
          <w:sz w:val="16"/>
          <w:szCs w:val="16"/>
          <w:color w:val="auto"/>
        </w:rPr>
        <w:t>We will announce preliminary results at the Annual Meeting. We will issue final results in a press release and in a current report on Form 8-K which we will file with the SEC on or about May 24, 2026.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How can I participate in Householding of Annual Meeting Materials?</w:t>
      </w:r>
    </w:p>
    <w:p>
      <w:pPr>
        <w:spacing w:after="0" w:line="87"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SEC rules permit us, with your permission, to deliver a single paper Proxy Statement and Annual Report to any household at which two or more shareholders of record reside at the same address. Each shareholder will continue to receive a separate proxy card. This procedure, known as “householding” reduces the volume of duplicate information and reduces our expenses and environmental impact. Once given, a shareholder’s consent will remain in effect unless and until it is revoked by notifying our Corporate Secretary as described above. If you revoke your consent, we will begin sending you individual copies of future mailings of these documents within 30 days after we receive your revocation notice. Shareholders of record who elect to participate in householding may also request a separate copy of future Proxy Statements and Annual Reports by contacting our Corporate Secretary in writing at Office of the Corporate Secretary, Middlesex Water Company, 485C Route 1 South, Suite 400, Iselin, New Jersey 08830-0452.</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Separate Copies for Beneficial Owners</w:t>
      </w:r>
    </w:p>
    <w:p>
      <w:pPr>
        <w:spacing w:after="0" w:line="148" w:lineRule="exact"/>
        <w:rPr>
          <w:sz w:val="20"/>
          <w:szCs w:val="20"/>
          <w:color w:val="auto"/>
        </w:rPr>
      </w:pPr>
    </w:p>
    <w:p>
      <w:pPr>
        <w:ind w:right="200"/>
        <w:spacing w:after="0" w:line="267" w:lineRule="auto"/>
        <w:rPr>
          <w:sz w:val="20"/>
          <w:szCs w:val="20"/>
          <w:color w:val="auto"/>
        </w:rPr>
      </w:pPr>
      <w:r>
        <w:rPr>
          <w:rFonts w:ascii="Arial" w:cs="Arial" w:eastAsia="Arial" w:hAnsi="Arial"/>
          <w:sz w:val="16"/>
          <w:szCs w:val="16"/>
          <w:color w:val="auto"/>
        </w:rPr>
        <w:t>Institutions that hold shares in “Street Name” for two or more beneficial owners with the same address are permitted to deliver a single Proxy Statement and Annual Report to that address. Any such beneficial owner can request a separate paper copy of this Proxy Statement or the Annual Report on Form 10-K by contacting our Corporate Secretary as described above. Beneficial owners with the same address who receive more than one paper Proxy Statement and Annual Report on Form 10-K may request delivery of a single Proxy Statement and Annual Report on Form 10-K by contacting our Corporate Secretary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267335</wp:posOffset>
            </wp:positionV>
            <wp:extent cx="7620" cy="132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460" w:hanging="445"/>
        <w:spacing w:after="0"/>
        <w:tabs>
          <w:tab w:leader="none" w:pos="460" w:val="left"/>
        </w:tabs>
        <w:numPr>
          <w:ilvl w:val="0"/>
          <w:numId w:val="13"/>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217805</wp:posOffset>
            </wp:positionV>
            <wp:extent cx="716978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line="1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753110</wp:posOffset>
            </wp:positionV>
            <wp:extent cx="7144385" cy="13290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4385" cy="1329055"/>
                    </a:xfrm>
                    <a:prstGeom prst="rect">
                      <a:avLst/>
                    </a:prstGeom>
                    <a:noFill/>
                  </pic:spPr>
                </pic:pic>
              </a:graphicData>
            </a:graphic>
          </wp:anchor>
        </w:drawing>
      </w:r>
    </w:p>
    <w:p>
      <w:pPr>
        <w:ind w:left="160"/>
        <w:spacing w:after="0"/>
        <w:rPr>
          <w:sz w:val="20"/>
          <w:szCs w:val="20"/>
          <w:color w:val="auto"/>
        </w:rPr>
      </w:pPr>
      <w:r>
        <w:rPr>
          <w:rFonts w:ascii="Arial" w:cs="Arial" w:eastAsia="Arial" w:hAnsi="Arial"/>
          <w:sz w:val="23"/>
          <w:szCs w:val="23"/>
          <w:b w:val="1"/>
          <w:bCs w:val="1"/>
          <w:color w:val="0076A8"/>
        </w:rPr>
        <w:t>PROPOSAL 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60"/>
        <w:spacing w:after="0"/>
        <w:rPr>
          <w:sz w:val="20"/>
          <w:szCs w:val="20"/>
          <w:color w:val="auto"/>
        </w:rPr>
      </w:pPr>
      <w:r>
        <w:rPr>
          <w:rFonts w:ascii="Arial" w:cs="Arial" w:eastAsia="Arial" w:hAnsi="Arial"/>
          <w:sz w:val="46"/>
          <w:szCs w:val="46"/>
          <w:color w:val="191769"/>
        </w:rPr>
        <w:t>Election of Directors</w:t>
      </w:r>
    </w:p>
    <w:p>
      <w:pPr>
        <w:spacing w:after="0" w:line="200" w:lineRule="exact"/>
        <w:rPr>
          <w:sz w:val="20"/>
          <w:szCs w:val="20"/>
          <w:color w:val="auto"/>
        </w:rPr>
      </w:pPr>
    </w:p>
    <w:p>
      <w:pPr>
        <w:spacing w:after="0" w:line="369" w:lineRule="exact"/>
        <w:rPr>
          <w:sz w:val="20"/>
          <w:szCs w:val="20"/>
          <w:color w:val="auto"/>
        </w:rPr>
      </w:pPr>
    </w:p>
    <w:p>
      <w:pPr>
        <w:ind w:right="180"/>
        <w:spacing w:after="0" w:line="267" w:lineRule="auto"/>
        <w:rPr>
          <w:sz w:val="20"/>
          <w:szCs w:val="20"/>
          <w:color w:val="auto"/>
        </w:rPr>
      </w:pPr>
      <w:r>
        <w:rPr>
          <w:rFonts w:ascii="Arial" w:cs="Arial" w:eastAsia="Arial" w:hAnsi="Arial"/>
          <w:sz w:val="16"/>
          <w:szCs w:val="16"/>
          <w:color w:val="auto"/>
        </w:rPr>
        <w:t>The Board is elected by shareholders to oversee their interest in the overall success of our business. Board members are divided into three classes with staggered three-year terms. The Corporate Governance &amp; Nominating Committee periodically reviews the efficacy of declassifying the Board. The Board continues to maintain that its present classification structure with three classes of Directors with as nearly equal number of members as practicable, provides for the most effective continuance of the knowledge and experience gained by members of the Board, and that maintaining the current Board classification structure serves the best interests of shareholders.</w:t>
      </w:r>
    </w:p>
    <w:p>
      <w:pPr>
        <w:spacing w:after="0" w:line="97"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 xml:space="preserve">The present terms of Class III Directors expire at the 2026 Annual Meeting of Shareholders. Upon the recommendation of the Corporate Governance and Nominating Committee, the Board recommends </w:t>
      </w:r>
      <w:r>
        <w:rPr>
          <w:rFonts w:ascii="Arial" w:cs="Arial" w:eastAsia="Arial" w:hAnsi="Arial"/>
          <w:sz w:val="16"/>
          <w:szCs w:val="16"/>
          <w:b w:val="1"/>
          <w:bCs w:val="1"/>
          <w:color w:val="auto"/>
        </w:rPr>
        <w:t>Joshua Bershad, M.D</w:t>
      </w:r>
      <w:r>
        <w:rPr>
          <w:rFonts w:ascii="Arial" w:cs="Arial" w:eastAsia="Arial" w:hAnsi="Arial"/>
          <w:sz w:val="16"/>
          <w:szCs w:val="16"/>
          <w:color w:val="auto"/>
        </w:rPr>
        <w:t>., J</w:t>
      </w:r>
      <w:r>
        <w:rPr>
          <w:rFonts w:ascii="Arial" w:cs="Arial" w:eastAsia="Arial" w:hAnsi="Arial"/>
          <w:sz w:val="16"/>
          <w:szCs w:val="16"/>
          <w:b w:val="1"/>
          <w:bCs w:val="1"/>
          <w:color w:val="auto"/>
        </w:rPr>
        <w:t>ames F. Cosgrove, Jr</w:t>
      </w:r>
      <w:r>
        <w:rPr>
          <w:rFonts w:ascii="Arial" w:cs="Arial" w:eastAsia="Arial" w:hAnsi="Arial"/>
          <w:sz w:val="16"/>
          <w:szCs w:val="16"/>
          <w:color w:val="auto"/>
        </w:rPr>
        <w:t xml:space="preserve">., and </w:t>
      </w:r>
      <w:r>
        <w:rPr>
          <w:rFonts w:ascii="Arial" w:cs="Arial" w:eastAsia="Arial" w:hAnsi="Arial"/>
          <w:sz w:val="16"/>
          <w:szCs w:val="16"/>
          <w:b w:val="1"/>
          <w:bCs w:val="1"/>
          <w:color w:val="auto"/>
        </w:rPr>
        <w:t>Vaughn L. McKoy</w:t>
      </w:r>
      <w:r>
        <w:rPr>
          <w:rFonts w:ascii="Arial" w:cs="Arial" w:eastAsia="Arial" w:hAnsi="Arial"/>
          <w:sz w:val="16"/>
          <w:szCs w:val="16"/>
          <w:color w:val="auto"/>
        </w:rPr>
        <w:t xml:space="preserve"> stand for re-election as Class III Directors and that </w:t>
      </w:r>
      <w:r>
        <w:rPr>
          <w:rFonts w:ascii="Arial" w:cs="Arial" w:eastAsia="Arial" w:hAnsi="Arial"/>
          <w:sz w:val="16"/>
          <w:szCs w:val="16"/>
          <w:b w:val="1"/>
          <w:bCs w:val="1"/>
          <w:color w:val="auto"/>
        </w:rPr>
        <w:t>Robert Hoglund</w:t>
      </w:r>
      <w:r>
        <w:rPr>
          <w:rFonts w:ascii="Arial" w:cs="Arial" w:eastAsia="Arial" w:hAnsi="Arial"/>
          <w:sz w:val="16"/>
          <w:szCs w:val="16"/>
          <w:color w:val="auto"/>
        </w:rPr>
        <w:t xml:space="preserve"> stand for election as a Class II Director as he was appointed to the Board after the 2025 Annual Meeting of Shareholders. The Director nominees for election named above are willing to be duly elected and to serve. Directors shall be elected by a plurality of the votes cast at the Annual Meeting. If at the time of the election the nominees listed should be unable to serve, it is the intention of the persons designated as proxies to vote, in their discretion, for other nominees, unless the number of Directors is reduced. There were no nominee recommendations from shareholders or from any group of shareholders submitted in accordance with regulations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144385" cy="531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4385" cy="531495"/>
                    </a:xfrm>
                    <a:prstGeom prst="rect">
                      <a:avLst/>
                    </a:prstGeom>
                    <a:noFill/>
                  </pic:spPr>
                </pic:pic>
              </a:graphicData>
            </a:graphic>
          </wp:anchor>
        </w:drawing>
      </w:r>
    </w:p>
    <w:p>
      <w:pPr>
        <w:spacing w:after="0" w:line="286" w:lineRule="exact"/>
        <w:rPr>
          <w:sz w:val="20"/>
          <w:szCs w:val="20"/>
          <w:color w:val="auto"/>
        </w:rPr>
      </w:pPr>
    </w:p>
    <w:p>
      <w:pPr>
        <w:ind w:left="1480" w:right="460"/>
        <w:spacing w:after="0" w:line="283" w:lineRule="auto"/>
        <w:rPr>
          <w:sz w:val="20"/>
          <w:szCs w:val="20"/>
          <w:color w:val="auto"/>
        </w:rPr>
      </w:pPr>
      <w:r>
        <w:rPr>
          <w:rFonts w:ascii="Arial" w:cs="Arial" w:eastAsia="Arial" w:hAnsi="Arial"/>
          <w:sz w:val="23"/>
          <w:szCs w:val="23"/>
          <w:color w:val="auto"/>
        </w:rPr>
        <w:t xml:space="preserve">The board of directors unanimously recommends shareholders vote </w:t>
      </w:r>
      <w:r>
        <w:rPr>
          <w:rFonts w:ascii="Arial" w:cs="Arial" w:eastAsia="Arial" w:hAnsi="Arial"/>
          <w:sz w:val="23"/>
          <w:szCs w:val="23"/>
          <w:b w:val="1"/>
          <w:bCs w:val="1"/>
          <w:color w:val="191769"/>
        </w:rPr>
        <w:t>FOR</w:t>
      </w:r>
      <w:r>
        <w:rPr>
          <w:rFonts w:ascii="Arial" w:cs="Arial" w:eastAsia="Arial" w:hAnsi="Arial"/>
          <w:sz w:val="23"/>
          <w:szCs w:val="23"/>
          <w:color w:val="auto"/>
        </w:rPr>
        <w:t xml:space="preserve"> the election of the four director nominees named above.</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860" w:type="dxa"/>
            <w:vAlign w:val="bottom"/>
            <w:tcBorders>
              <w:right w:val="single" w:sz="8" w:color="00AEEF"/>
            </w:tcBorders>
          </w:tcPr>
          <w:p>
            <w:pPr>
              <w:ind w:left="94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9</w:t>
            </w:r>
          </w:p>
        </w:tc>
      </w:tr>
      <w:tr>
        <w:trPr>
          <w:trHeight w:val="325"/>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191769"/>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80"/>
        <w:spacing w:after="0" w:line="327" w:lineRule="auto"/>
        <w:rPr>
          <w:sz w:val="20"/>
          <w:szCs w:val="20"/>
          <w:color w:val="auto"/>
        </w:rPr>
      </w:pPr>
      <w:r>
        <w:rPr>
          <w:rFonts w:ascii="Arial" w:cs="Arial" w:eastAsia="Arial" w:hAnsi="Arial"/>
          <w:sz w:val="16"/>
          <w:szCs w:val="16"/>
          <w:color w:val="auto"/>
        </w:rPr>
        <w:t>The Company has ten Directors on its Board. The following Table provides summary information about each Director nominee standing for initial election or re-election to the Board. Additional information for all of our Directors, including the nominees, may be found beginning on page 7.</w:t>
      </w: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80" w:type="dxa"/>
            <w:vAlign w:val="bottom"/>
          </w:tcPr>
          <w:p>
            <w:pPr>
              <w:jc w:val="center"/>
              <w:ind w:right="262"/>
              <w:spacing w:after="0"/>
              <w:rPr>
                <w:sz w:val="20"/>
                <w:szCs w:val="20"/>
                <w:color w:val="auto"/>
              </w:rPr>
            </w:pPr>
            <w:r>
              <w:rPr>
                <w:rFonts w:ascii="Arial" w:cs="Arial" w:eastAsia="Arial" w:hAnsi="Arial"/>
                <w:sz w:val="13"/>
                <w:szCs w:val="13"/>
                <w:b w:val="1"/>
                <w:bCs w:val="1"/>
                <w:color w:val="191769"/>
              </w:rPr>
              <w:t>Director</w:t>
            </w:r>
          </w:p>
        </w:tc>
        <w:tc>
          <w:tcPr>
            <w:tcW w:w="1200" w:type="dxa"/>
            <w:vAlign w:val="bottom"/>
          </w:tcPr>
          <w:p>
            <w:pPr>
              <w:spacing w:after="0"/>
              <w:rPr>
                <w:sz w:val="16"/>
                <w:szCs w:val="16"/>
                <w:color w:val="auto"/>
              </w:rPr>
            </w:pPr>
          </w:p>
        </w:tc>
        <w:tc>
          <w:tcPr>
            <w:tcW w:w="760" w:type="dxa"/>
            <w:vAlign w:val="bottom"/>
            <w:tcBorders>
              <w:bottom w:val="single" w:sz="8" w:color="00AEEF"/>
            </w:tcBorders>
          </w:tcPr>
          <w:p>
            <w:pPr>
              <w:spacing w:after="0"/>
              <w:rPr>
                <w:sz w:val="16"/>
                <w:szCs w:val="16"/>
                <w:color w:val="auto"/>
              </w:rPr>
            </w:pPr>
          </w:p>
        </w:tc>
        <w:tc>
          <w:tcPr>
            <w:tcW w:w="2160" w:type="dxa"/>
            <w:vAlign w:val="bottom"/>
            <w:tcBorders>
              <w:bottom w:val="single" w:sz="8" w:color="00AEEF"/>
            </w:tcBorders>
            <w:gridSpan w:val="3"/>
          </w:tcPr>
          <w:p>
            <w:pPr>
              <w:ind w:left="260"/>
              <w:spacing w:after="0"/>
              <w:rPr>
                <w:sz w:val="20"/>
                <w:szCs w:val="20"/>
                <w:color w:val="auto"/>
              </w:rPr>
            </w:pPr>
            <w:r>
              <w:rPr>
                <w:rFonts w:ascii="Arial" w:cs="Arial" w:eastAsia="Arial" w:hAnsi="Arial"/>
                <w:sz w:val="13"/>
                <w:szCs w:val="13"/>
                <w:b w:val="1"/>
                <w:bCs w:val="1"/>
                <w:color w:val="191769"/>
              </w:rPr>
              <w:t>Committee Memberships</w:t>
            </w:r>
          </w:p>
        </w:tc>
        <w:tc>
          <w:tcPr>
            <w:tcW w:w="660" w:type="dxa"/>
            <w:vAlign w:val="bottom"/>
            <w:tcBorders>
              <w:bottom w:val="single" w:sz="8" w:color="00AEEF"/>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300" w:type="dxa"/>
            <w:vAlign w:val="bottom"/>
            <w:tcBorders>
              <w:bottom w:val="single" w:sz="8" w:color="00AEEF"/>
            </w:tcBorders>
          </w:tcPr>
          <w:p>
            <w:pPr>
              <w:ind w:left="20"/>
              <w:spacing w:after="0"/>
              <w:rPr>
                <w:sz w:val="20"/>
                <w:szCs w:val="20"/>
                <w:color w:val="auto"/>
              </w:rPr>
            </w:pPr>
            <w:r>
              <w:rPr>
                <w:rFonts w:ascii="Arial" w:cs="Arial" w:eastAsia="Arial" w:hAnsi="Arial"/>
                <w:sz w:val="13"/>
                <w:szCs w:val="13"/>
                <w:b w:val="1"/>
                <w:bCs w:val="1"/>
                <w:color w:val="191769"/>
              </w:rPr>
              <w:t>Name</w:t>
            </w:r>
          </w:p>
        </w:tc>
        <w:tc>
          <w:tcPr>
            <w:tcW w:w="680" w:type="dxa"/>
            <w:vAlign w:val="bottom"/>
            <w:tcBorders>
              <w:bottom w:val="single" w:sz="8" w:color="00AEEF"/>
            </w:tcBorders>
          </w:tcPr>
          <w:p>
            <w:pPr>
              <w:jc w:val="center"/>
              <w:ind w:right="121"/>
              <w:spacing w:after="0"/>
              <w:rPr>
                <w:sz w:val="20"/>
                <w:szCs w:val="20"/>
                <w:color w:val="auto"/>
              </w:rPr>
            </w:pPr>
            <w:r>
              <w:rPr>
                <w:rFonts w:ascii="Arial" w:cs="Arial" w:eastAsia="Arial" w:hAnsi="Arial"/>
                <w:sz w:val="13"/>
                <w:szCs w:val="13"/>
                <w:b w:val="1"/>
                <w:bCs w:val="1"/>
                <w:color w:val="191769"/>
                <w:w w:val="97"/>
              </w:rPr>
              <w:t>Age</w:t>
            </w:r>
          </w:p>
        </w:tc>
        <w:tc>
          <w:tcPr>
            <w:tcW w:w="1480" w:type="dxa"/>
            <w:vAlign w:val="bottom"/>
            <w:tcBorders>
              <w:bottom w:val="single" w:sz="8" w:color="00AEEF"/>
            </w:tcBorders>
          </w:tcPr>
          <w:p>
            <w:pPr>
              <w:jc w:val="center"/>
              <w:ind w:right="242"/>
              <w:spacing w:after="0"/>
              <w:rPr>
                <w:sz w:val="20"/>
                <w:szCs w:val="20"/>
                <w:color w:val="auto"/>
              </w:rPr>
            </w:pPr>
            <w:r>
              <w:rPr>
                <w:rFonts w:ascii="Arial" w:cs="Arial" w:eastAsia="Arial" w:hAnsi="Arial"/>
                <w:sz w:val="13"/>
                <w:szCs w:val="13"/>
                <w:b w:val="1"/>
                <w:bCs w:val="1"/>
                <w:color w:val="191769"/>
              </w:rPr>
              <w:t>Since</w:t>
            </w:r>
          </w:p>
        </w:tc>
        <w:tc>
          <w:tcPr>
            <w:tcW w:w="1200" w:type="dxa"/>
            <w:vAlign w:val="bottom"/>
            <w:tcBorders>
              <w:bottom w:val="single" w:sz="8" w:color="00AEEF"/>
            </w:tcBorders>
          </w:tcPr>
          <w:p>
            <w:pPr>
              <w:ind w:left="40"/>
              <w:spacing w:after="0"/>
              <w:rPr>
                <w:sz w:val="20"/>
                <w:szCs w:val="20"/>
                <w:color w:val="auto"/>
              </w:rPr>
            </w:pPr>
            <w:r>
              <w:rPr>
                <w:rFonts w:ascii="Arial" w:cs="Arial" w:eastAsia="Arial" w:hAnsi="Arial"/>
                <w:sz w:val="13"/>
                <w:szCs w:val="13"/>
                <w:b w:val="1"/>
                <w:bCs w:val="1"/>
                <w:color w:val="191769"/>
              </w:rPr>
              <w:t>Independent</w:t>
            </w:r>
          </w:p>
        </w:tc>
        <w:tc>
          <w:tcPr>
            <w:tcW w:w="760" w:type="dxa"/>
            <w:vAlign w:val="bottom"/>
            <w:tcBorders>
              <w:bottom w:val="single" w:sz="8" w:color="00AEEF"/>
            </w:tcBorders>
          </w:tcPr>
          <w:p>
            <w:pPr>
              <w:ind w:left="220"/>
              <w:spacing w:after="0"/>
              <w:rPr>
                <w:sz w:val="20"/>
                <w:szCs w:val="20"/>
                <w:color w:val="auto"/>
              </w:rPr>
            </w:pPr>
            <w:r>
              <w:rPr>
                <w:rFonts w:ascii="Arial" w:cs="Arial" w:eastAsia="Arial" w:hAnsi="Arial"/>
                <w:sz w:val="13"/>
                <w:szCs w:val="13"/>
                <w:b w:val="1"/>
                <w:bCs w:val="1"/>
                <w:color w:val="191769"/>
              </w:rPr>
              <w:t>AC</w:t>
            </w:r>
          </w:p>
        </w:tc>
        <w:tc>
          <w:tcPr>
            <w:tcW w:w="600" w:type="dxa"/>
            <w:vAlign w:val="bottom"/>
            <w:tcBorders>
              <w:bottom w:val="single" w:sz="8" w:color="00AEEF"/>
            </w:tcBorders>
          </w:tcPr>
          <w:p>
            <w:pPr>
              <w:jc w:val="center"/>
              <w:ind w:right="26"/>
              <w:spacing w:after="0"/>
              <w:rPr>
                <w:sz w:val="20"/>
                <w:szCs w:val="20"/>
                <w:color w:val="auto"/>
              </w:rPr>
            </w:pPr>
            <w:r>
              <w:rPr>
                <w:rFonts w:ascii="Arial" w:cs="Arial" w:eastAsia="Arial" w:hAnsi="Arial"/>
                <w:sz w:val="13"/>
                <w:szCs w:val="13"/>
                <w:b w:val="1"/>
                <w:bCs w:val="1"/>
                <w:color w:val="191769"/>
                <w:w w:val="95"/>
              </w:rPr>
              <w:t>CC</w:t>
            </w:r>
          </w:p>
        </w:tc>
        <w:tc>
          <w:tcPr>
            <w:tcW w:w="900" w:type="dxa"/>
            <w:vAlign w:val="bottom"/>
            <w:tcBorders>
              <w:bottom w:val="single" w:sz="8" w:color="00AEEF"/>
            </w:tcBorders>
          </w:tcPr>
          <w:p>
            <w:pPr>
              <w:jc w:val="center"/>
              <w:spacing w:after="0"/>
              <w:rPr>
                <w:sz w:val="20"/>
                <w:szCs w:val="20"/>
                <w:color w:val="auto"/>
              </w:rPr>
            </w:pPr>
            <w:r>
              <w:rPr>
                <w:rFonts w:ascii="Arial" w:cs="Arial" w:eastAsia="Arial" w:hAnsi="Arial"/>
                <w:sz w:val="13"/>
                <w:szCs w:val="13"/>
                <w:b w:val="1"/>
                <w:bCs w:val="1"/>
                <w:color w:val="191769"/>
                <w:w w:val="99"/>
              </w:rPr>
              <w:t>CGNC</w:t>
            </w:r>
          </w:p>
        </w:tc>
        <w:tc>
          <w:tcPr>
            <w:tcW w:w="660" w:type="dxa"/>
            <w:vAlign w:val="bottom"/>
            <w:tcBorders>
              <w:bottom w:val="single" w:sz="8" w:color="00AEEF"/>
            </w:tcBorders>
          </w:tcPr>
          <w:p>
            <w:pPr>
              <w:jc w:val="center"/>
              <w:spacing w:after="0"/>
              <w:rPr>
                <w:sz w:val="20"/>
                <w:szCs w:val="20"/>
                <w:color w:val="auto"/>
              </w:rPr>
            </w:pPr>
            <w:r>
              <w:rPr>
                <w:rFonts w:ascii="Arial" w:cs="Arial" w:eastAsia="Arial" w:hAnsi="Arial"/>
                <w:sz w:val="13"/>
                <w:szCs w:val="13"/>
                <w:b w:val="1"/>
                <w:bCs w:val="1"/>
                <w:color w:val="191769"/>
                <w:w w:val="99"/>
              </w:rPr>
              <w:t>PC</w:t>
            </w:r>
          </w:p>
        </w:tc>
        <w:tc>
          <w:tcPr>
            <w:tcW w:w="660" w:type="dxa"/>
            <w:vAlign w:val="bottom"/>
            <w:tcBorders>
              <w:bottom w:val="single" w:sz="8" w:color="00AEEF"/>
            </w:tcBorders>
          </w:tcPr>
          <w:p>
            <w:pPr>
              <w:ind w:left="240"/>
              <w:spacing w:after="0"/>
              <w:rPr>
                <w:sz w:val="20"/>
                <w:szCs w:val="20"/>
                <w:color w:val="auto"/>
              </w:rPr>
            </w:pPr>
            <w:r>
              <w:rPr>
                <w:rFonts w:ascii="Arial" w:cs="Arial" w:eastAsia="Arial" w:hAnsi="Arial"/>
                <w:sz w:val="13"/>
                <w:szCs w:val="13"/>
                <w:b w:val="1"/>
                <w:bCs w:val="1"/>
                <w:color w:val="191769"/>
              </w:rPr>
              <w:t>ER</w:t>
            </w:r>
          </w:p>
        </w:tc>
        <w:tc>
          <w:tcPr>
            <w:tcW w:w="0" w:type="dxa"/>
            <w:vAlign w:val="bottom"/>
          </w:tcPr>
          <w:p>
            <w:pPr>
              <w:spacing w:after="0"/>
              <w:rPr>
                <w:sz w:val="1"/>
                <w:szCs w:val="1"/>
                <w:color w:val="auto"/>
              </w:rPr>
            </w:pPr>
          </w:p>
        </w:tc>
      </w:tr>
      <w:tr>
        <w:trPr>
          <w:trHeight w:val="204"/>
        </w:trPr>
        <w:tc>
          <w:tcPr>
            <w:tcW w:w="4300" w:type="dxa"/>
            <w:vAlign w:val="bottom"/>
          </w:tcPr>
          <w:p>
            <w:pPr>
              <w:ind w:left="20"/>
              <w:spacing w:after="0"/>
              <w:rPr>
                <w:sz w:val="20"/>
                <w:szCs w:val="20"/>
                <w:color w:val="auto"/>
              </w:rPr>
            </w:pPr>
            <w:r>
              <w:rPr>
                <w:rFonts w:ascii="Arial" w:cs="Arial" w:eastAsia="Arial" w:hAnsi="Arial"/>
                <w:sz w:val="16"/>
                <w:szCs w:val="16"/>
                <w:b w:val="1"/>
                <w:bCs w:val="1"/>
                <w:color w:val="191769"/>
              </w:rPr>
              <w:t>Joshua Bershad, M.D.</w:t>
            </w:r>
          </w:p>
        </w:tc>
        <w:tc>
          <w:tcPr>
            <w:tcW w:w="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00" w:type="dxa"/>
            <w:vAlign w:val="bottom"/>
          </w:tcPr>
          <w:p>
            <w:pPr>
              <w:ind w:left="20"/>
              <w:spacing w:after="0"/>
              <w:rPr>
                <w:sz w:val="20"/>
                <w:szCs w:val="20"/>
                <w:color w:val="auto"/>
              </w:rPr>
            </w:pPr>
            <w:r>
              <w:rPr>
                <w:rFonts w:ascii="Arial" w:cs="Arial" w:eastAsia="Arial" w:hAnsi="Arial"/>
                <w:sz w:val="16"/>
                <w:szCs w:val="16"/>
                <w:color w:val="auto"/>
              </w:rPr>
              <w:t>Executive Vice President, Physician Services of</w:t>
            </w:r>
          </w:p>
        </w:tc>
        <w:tc>
          <w:tcPr>
            <w:tcW w:w="680" w:type="dxa"/>
            <w:vAlign w:val="bottom"/>
            <w:vMerge w:val="restart"/>
          </w:tcPr>
          <w:p>
            <w:pPr>
              <w:jc w:val="center"/>
              <w:ind w:right="141"/>
              <w:spacing w:after="0"/>
              <w:rPr>
                <w:sz w:val="20"/>
                <w:szCs w:val="20"/>
                <w:color w:val="auto"/>
              </w:rPr>
            </w:pPr>
            <w:r>
              <w:rPr>
                <w:rFonts w:ascii="Arial" w:cs="Arial" w:eastAsia="Arial" w:hAnsi="Arial"/>
                <w:sz w:val="16"/>
                <w:szCs w:val="16"/>
                <w:color w:val="auto"/>
              </w:rPr>
              <w:t>52</w:t>
            </w:r>
          </w:p>
        </w:tc>
        <w:tc>
          <w:tcPr>
            <w:tcW w:w="1480" w:type="dxa"/>
            <w:vAlign w:val="bottom"/>
            <w:vMerge w:val="restart"/>
          </w:tcPr>
          <w:p>
            <w:pPr>
              <w:jc w:val="center"/>
              <w:ind w:right="242"/>
              <w:spacing w:after="0"/>
              <w:rPr>
                <w:sz w:val="20"/>
                <w:szCs w:val="20"/>
                <w:color w:val="auto"/>
              </w:rPr>
            </w:pPr>
            <w:r>
              <w:rPr>
                <w:rFonts w:ascii="Arial" w:cs="Arial" w:eastAsia="Arial" w:hAnsi="Arial"/>
                <w:sz w:val="16"/>
                <w:szCs w:val="16"/>
                <w:color w:val="auto"/>
              </w:rPr>
              <w:t>2020</w:t>
            </w:r>
          </w:p>
        </w:tc>
        <w:tc>
          <w:tcPr>
            <w:tcW w:w="1200" w:type="dxa"/>
            <w:vAlign w:val="bottom"/>
          </w:tcPr>
          <w:p>
            <w:pPr>
              <w:spacing w:after="0"/>
              <w:rPr>
                <w:sz w:val="17"/>
                <w:szCs w:val="17"/>
                <w:color w:val="auto"/>
              </w:rPr>
            </w:pPr>
          </w:p>
        </w:tc>
        <w:tc>
          <w:tcPr>
            <w:tcW w:w="760" w:type="dxa"/>
            <w:vAlign w:val="bottom"/>
            <w:vMerge w:val="restart"/>
          </w:tcPr>
          <w:p>
            <w:pPr>
              <w:ind w:left="240"/>
              <w:spacing w:after="0"/>
              <w:rPr>
                <w:sz w:val="20"/>
                <w:szCs w:val="20"/>
                <w:color w:val="auto"/>
              </w:rPr>
            </w:pPr>
            <w:r>
              <w:rPr>
                <w:rFonts w:ascii="Wingdings" w:cs="Wingdings" w:eastAsia="Wingdings" w:hAnsi="Wingdings"/>
                <w:sz w:val="16"/>
                <w:szCs w:val="16"/>
                <w:b w:val="1"/>
                <w:bCs w:val="1"/>
                <w:color w:val="auto"/>
              </w:rPr>
              <w:t>¡</w:t>
            </w:r>
          </w:p>
        </w:tc>
        <w:tc>
          <w:tcPr>
            <w:tcW w:w="600" w:type="dxa"/>
            <w:vAlign w:val="bottom"/>
            <w:vMerge w:val="restart"/>
          </w:tcPr>
          <w:p>
            <w:pPr>
              <w:jc w:val="center"/>
              <w:ind w:right="26"/>
              <w:spacing w:after="0"/>
              <w:rPr>
                <w:sz w:val="20"/>
                <w:szCs w:val="20"/>
                <w:color w:val="auto"/>
              </w:rPr>
            </w:pPr>
            <w:r>
              <w:rPr>
                <w:rFonts w:ascii="Wingdings" w:cs="Wingdings" w:eastAsia="Wingdings" w:hAnsi="Wingdings"/>
                <w:sz w:val="16"/>
                <w:szCs w:val="16"/>
                <w:b w:val="1"/>
                <w:bCs w:val="1"/>
                <w:color w:val="00AEEF"/>
              </w:rPr>
              <w:t>l</w:t>
            </w: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4300" w:type="dxa"/>
            <w:vAlign w:val="bottom"/>
            <w:vMerge w:val="restart"/>
          </w:tcPr>
          <w:p>
            <w:pPr>
              <w:ind w:left="20"/>
              <w:spacing w:after="0"/>
              <w:rPr>
                <w:sz w:val="20"/>
                <w:szCs w:val="20"/>
                <w:color w:val="auto"/>
              </w:rPr>
            </w:pPr>
            <w:r>
              <w:rPr>
                <w:rFonts w:ascii="Arial" w:cs="Arial" w:eastAsia="Arial" w:hAnsi="Arial"/>
                <w:sz w:val="16"/>
                <w:szCs w:val="16"/>
                <w:color w:val="auto"/>
              </w:rPr>
              <w:t>RWJBarnabas Health and Chief Medical</w:t>
            </w:r>
          </w:p>
        </w:tc>
        <w:tc>
          <w:tcPr>
            <w:tcW w:w="68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43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6"/>
                <w:szCs w:val="16"/>
                <w:color w:val="auto"/>
              </w:rPr>
              <w:t>Officer of Rutgers Athletics</w:t>
            </w:r>
          </w:p>
        </w:tc>
        <w:tc>
          <w:tcPr>
            <w:tcW w:w="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300" w:type="dxa"/>
            <w:vAlign w:val="bottom"/>
            <w:tcBorders>
              <w:bottom w:val="single" w:sz="8" w:color="D9D9D9"/>
            </w:tcBorders>
          </w:tcPr>
          <w:p>
            <w:pPr>
              <w:spacing w:after="0" w:line="20" w:lineRule="exact"/>
              <w:rPr>
                <w:sz w:val="1"/>
                <w:szCs w:val="1"/>
                <w:color w:val="auto"/>
              </w:rPr>
            </w:pPr>
          </w:p>
        </w:tc>
        <w:tc>
          <w:tcPr>
            <w:tcW w:w="680" w:type="dxa"/>
            <w:vAlign w:val="bottom"/>
            <w:tcBorders>
              <w:bottom w:val="single" w:sz="8" w:color="D9D9D9"/>
            </w:tcBorders>
          </w:tcPr>
          <w:p>
            <w:pPr>
              <w:spacing w:after="0" w:line="20" w:lineRule="exact"/>
              <w:rPr>
                <w:sz w:val="1"/>
                <w:szCs w:val="1"/>
                <w:color w:val="auto"/>
              </w:rPr>
            </w:pPr>
          </w:p>
        </w:tc>
        <w:tc>
          <w:tcPr>
            <w:tcW w:w="1480" w:type="dxa"/>
            <w:vAlign w:val="bottom"/>
            <w:tcBorders>
              <w:bottom w:val="single" w:sz="8" w:color="D9D9D9"/>
            </w:tcBorders>
          </w:tcPr>
          <w:p>
            <w:pPr>
              <w:spacing w:after="0" w:line="20" w:lineRule="exact"/>
              <w:rPr>
                <w:sz w:val="1"/>
                <w:szCs w:val="1"/>
                <w:color w:val="auto"/>
              </w:rPr>
            </w:pPr>
          </w:p>
        </w:tc>
        <w:tc>
          <w:tcPr>
            <w:tcW w:w="1200" w:type="dxa"/>
            <w:vAlign w:val="bottom"/>
            <w:tcBorders>
              <w:bottom w:val="single" w:sz="8" w:color="D9D9D9"/>
            </w:tcBorders>
          </w:tcPr>
          <w:p>
            <w:pPr>
              <w:spacing w:after="0" w:line="20" w:lineRule="exact"/>
              <w:rPr>
                <w:sz w:val="1"/>
                <w:szCs w:val="1"/>
                <w:color w:val="auto"/>
              </w:rPr>
            </w:pPr>
          </w:p>
        </w:tc>
        <w:tc>
          <w:tcPr>
            <w:tcW w:w="760" w:type="dxa"/>
            <w:vAlign w:val="bottom"/>
            <w:tcBorders>
              <w:bottom w:val="single" w:sz="8" w:color="D9D9D9"/>
            </w:tcBorders>
          </w:tcPr>
          <w:p>
            <w:pPr>
              <w:spacing w:after="0" w:line="20" w:lineRule="exact"/>
              <w:rPr>
                <w:sz w:val="1"/>
                <w:szCs w:val="1"/>
                <w:color w:val="auto"/>
              </w:rPr>
            </w:pPr>
          </w:p>
        </w:tc>
        <w:tc>
          <w:tcPr>
            <w:tcW w:w="600" w:type="dxa"/>
            <w:vAlign w:val="bottom"/>
            <w:tcBorders>
              <w:bottom w:val="single" w:sz="8" w:color="D9D9D9"/>
            </w:tcBorders>
          </w:tcPr>
          <w:p>
            <w:pPr>
              <w:spacing w:after="0" w:line="20" w:lineRule="exact"/>
              <w:rPr>
                <w:sz w:val="1"/>
                <w:szCs w:val="1"/>
                <w:color w:val="auto"/>
              </w:rPr>
            </w:pPr>
          </w:p>
        </w:tc>
        <w:tc>
          <w:tcPr>
            <w:tcW w:w="900" w:type="dxa"/>
            <w:vAlign w:val="bottom"/>
            <w:tcBorders>
              <w:bottom w:val="single" w:sz="8" w:color="D9D9D9"/>
            </w:tcBorders>
          </w:tcPr>
          <w:p>
            <w:pPr>
              <w:spacing w:after="0" w:line="20" w:lineRule="exact"/>
              <w:rPr>
                <w:sz w:val="1"/>
                <w:szCs w:val="1"/>
                <w:color w:val="auto"/>
              </w:rPr>
            </w:pPr>
          </w:p>
        </w:tc>
        <w:tc>
          <w:tcPr>
            <w:tcW w:w="660" w:type="dxa"/>
            <w:vAlign w:val="bottom"/>
            <w:tcBorders>
              <w:bottom w:val="single" w:sz="8" w:color="D9D9D9"/>
            </w:tcBorders>
          </w:tcPr>
          <w:p>
            <w:pPr>
              <w:spacing w:after="0" w:line="20" w:lineRule="exact"/>
              <w:rPr>
                <w:sz w:val="1"/>
                <w:szCs w:val="1"/>
                <w:color w:val="auto"/>
              </w:rPr>
            </w:pPr>
          </w:p>
        </w:tc>
        <w:tc>
          <w:tcPr>
            <w:tcW w:w="660" w:type="dxa"/>
            <w:vAlign w:val="bottom"/>
            <w:tcBorders>
              <w:bottom w:val="single" w:sz="8" w:color="D9D9D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4300" w:type="dxa"/>
            <w:vAlign w:val="bottom"/>
          </w:tcPr>
          <w:p>
            <w:pPr>
              <w:ind w:left="20"/>
              <w:spacing w:after="0"/>
              <w:rPr>
                <w:sz w:val="20"/>
                <w:szCs w:val="20"/>
                <w:color w:val="auto"/>
              </w:rPr>
            </w:pPr>
            <w:r>
              <w:rPr>
                <w:rFonts w:ascii="Arial" w:cs="Arial" w:eastAsia="Arial" w:hAnsi="Arial"/>
                <w:sz w:val="16"/>
                <w:szCs w:val="16"/>
                <w:b w:val="1"/>
                <w:bCs w:val="1"/>
                <w:color w:val="191769"/>
              </w:rPr>
              <w:t>James F. Cosgrove, Jr.</w:t>
            </w:r>
          </w:p>
        </w:tc>
        <w:tc>
          <w:tcPr>
            <w:tcW w:w="680" w:type="dxa"/>
            <w:vAlign w:val="bottom"/>
            <w:vMerge w:val="restart"/>
          </w:tcPr>
          <w:p>
            <w:pPr>
              <w:jc w:val="center"/>
              <w:ind w:right="141"/>
              <w:spacing w:after="0"/>
              <w:rPr>
                <w:sz w:val="20"/>
                <w:szCs w:val="20"/>
                <w:color w:val="auto"/>
              </w:rPr>
            </w:pPr>
            <w:r>
              <w:rPr>
                <w:rFonts w:ascii="Arial" w:cs="Arial" w:eastAsia="Arial" w:hAnsi="Arial"/>
                <w:sz w:val="16"/>
                <w:szCs w:val="16"/>
                <w:color w:val="auto"/>
              </w:rPr>
              <w:t>62</w:t>
            </w:r>
          </w:p>
        </w:tc>
        <w:tc>
          <w:tcPr>
            <w:tcW w:w="1480" w:type="dxa"/>
            <w:vAlign w:val="bottom"/>
            <w:vMerge w:val="restart"/>
          </w:tcPr>
          <w:p>
            <w:pPr>
              <w:jc w:val="center"/>
              <w:ind w:right="242"/>
              <w:spacing w:after="0"/>
              <w:rPr>
                <w:sz w:val="20"/>
                <w:szCs w:val="20"/>
                <w:color w:val="auto"/>
              </w:rPr>
            </w:pPr>
            <w:r>
              <w:rPr>
                <w:rFonts w:ascii="Arial" w:cs="Arial" w:eastAsia="Arial" w:hAnsi="Arial"/>
                <w:sz w:val="16"/>
                <w:szCs w:val="16"/>
                <w:color w:val="auto"/>
              </w:rPr>
              <w:t>2010</w:t>
            </w: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vMerge w:val="restart"/>
          </w:tcPr>
          <w:p>
            <w:pPr>
              <w:jc w:val="center"/>
              <w:ind w:right="26"/>
              <w:spacing w:after="0"/>
              <w:rPr>
                <w:sz w:val="20"/>
                <w:szCs w:val="20"/>
                <w:color w:val="auto"/>
              </w:rPr>
            </w:pPr>
            <w:r>
              <w:rPr>
                <w:rFonts w:ascii="Wingdings" w:cs="Wingdings" w:eastAsia="Wingdings" w:hAnsi="Wingdings"/>
                <w:sz w:val="16"/>
                <w:szCs w:val="16"/>
                <w:b w:val="1"/>
                <w:bCs w:val="1"/>
                <w:color w:val="191769"/>
                <w:w w:val="97"/>
              </w:rPr>
              <w:t>¡</w:t>
            </w:r>
          </w:p>
        </w:tc>
        <w:tc>
          <w:tcPr>
            <w:tcW w:w="900" w:type="dxa"/>
            <w:vAlign w:val="bottom"/>
          </w:tcPr>
          <w:p>
            <w:pPr>
              <w:spacing w:after="0"/>
              <w:rPr>
                <w:sz w:val="17"/>
                <w:szCs w:val="17"/>
                <w:color w:val="auto"/>
              </w:rPr>
            </w:pPr>
          </w:p>
        </w:tc>
        <w:tc>
          <w:tcPr>
            <w:tcW w:w="66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00AEEF"/>
                <w:w w:val="99"/>
              </w:rPr>
              <w:t>l</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4300" w:type="dxa"/>
            <w:vAlign w:val="bottom"/>
            <w:vMerge w:val="restart"/>
          </w:tcPr>
          <w:p>
            <w:pPr>
              <w:ind w:left="20"/>
              <w:spacing w:after="0"/>
              <w:rPr>
                <w:sz w:val="20"/>
                <w:szCs w:val="20"/>
                <w:color w:val="auto"/>
              </w:rPr>
            </w:pPr>
            <w:r>
              <w:rPr>
                <w:rFonts w:ascii="Arial" w:cs="Arial" w:eastAsia="Arial" w:hAnsi="Arial"/>
                <w:sz w:val="16"/>
                <w:szCs w:val="16"/>
                <w:color w:val="auto"/>
              </w:rPr>
              <w:t>President of One Water Consulting, LLC</w:t>
            </w:r>
          </w:p>
        </w:tc>
        <w:tc>
          <w:tcPr>
            <w:tcW w:w="68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30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300" w:type="dxa"/>
            <w:vAlign w:val="bottom"/>
            <w:tcBorders>
              <w:bottom w:val="single" w:sz="8" w:color="D9D9D9"/>
            </w:tcBorders>
          </w:tcPr>
          <w:p>
            <w:pPr>
              <w:spacing w:after="0" w:line="20" w:lineRule="exact"/>
              <w:rPr>
                <w:sz w:val="1"/>
                <w:szCs w:val="1"/>
                <w:color w:val="auto"/>
              </w:rPr>
            </w:pPr>
          </w:p>
        </w:tc>
        <w:tc>
          <w:tcPr>
            <w:tcW w:w="680" w:type="dxa"/>
            <w:vAlign w:val="bottom"/>
            <w:tcBorders>
              <w:bottom w:val="single" w:sz="8" w:color="D9D9D9"/>
            </w:tcBorders>
          </w:tcPr>
          <w:p>
            <w:pPr>
              <w:spacing w:after="0" w:line="20" w:lineRule="exact"/>
              <w:rPr>
                <w:sz w:val="1"/>
                <w:szCs w:val="1"/>
                <w:color w:val="auto"/>
              </w:rPr>
            </w:pPr>
          </w:p>
        </w:tc>
        <w:tc>
          <w:tcPr>
            <w:tcW w:w="1480" w:type="dxa"/>
            <w:vAlign w:val="bottom"/>
            <w:tcBorders>
              <w:bottom w:val="single" w:sz="8" w:color="D9D9D9"/>
            </w:tcBorders>
          </w:tcPr>
          <w:p>
            <w:pPr>
              <w:spacing w:after="0" w:line="20" w:lineRule="exact"/>
              <w:rPr>
                <w:sz w:val="1"/>
                <w:szCs w:val="1"/>
                <w:color w:val="auto"/>
              </w:rPr>
            </w:pPr>
          </w:p>
        </w:tc>
        <w:tc>
          <w:tcPr>
            <w:tcW w:w="1200" w:type="dxa"/>
            <w:vAlign w:val="bottom"/>
            <w:tcBorders>
              <w:bottom w:val="single" w:sz="8" w:color="D9D9D9"/>
            </w:tcBorders>
          </w:tcPr>
          <w:p>
            <w:pPr>
              <w:spacing w:after="0" w:line="20" w:lineRule="exact"/>
              <w:rPr>
                <w:sz w:val="1"/>
                <w:szCs w:val="1"/>
                <w:color w:val="auto"/>
              </w:rPr>
            </w:pPr>
          </w:p>
        </w:tc>
        <w:tc>
          <w:tcPr>
            <w:tcW w:w="760" w:type="dxa"/>
            <w:vAlign w:val="bottom"/>
            <w:tcBorders>
              <w:bottom w:val="single" w:sz="8" w:color="D9D9D9"/>
            </w:tcBorders>
          </w:tcPr>
          <w:p>
            <w:pPr>
              <w:spacing w:after="0" w:line="20" w:lineRule="exact"/>
              <w:rPr>
                <w:sz w:val="1"/>
                <w:szCs w:val="1"/>
                <w:color w:val="auto"/>
              </w:rPr>
            </w:pPr>
          </w:p>
        </w:tc>
        <w:tc>
          <w:tcPr>
            <w:tcW w:w="600" w:type="dxa"/>
            <w:vAlign w:val="bottom"/>
            <w:tcBorders>
              <w:bottom w:val="single" w:sz="8" w:color="D9D9D9"/>
            </w:tcBorders>
          </w:tcPr>
          <w:p>
            <w:pPr>
              <w:spacing w:after="0" w:line="20" w:lineRule="exact"/>
              <w:rPr>
                <w:sz w:val="1"/>
                <w:szCs w:val="1"/>
                <w:color w:val="auto"/>
              </w:rPr>
            </w:pPr>
          </w:p>
        </w:tc>
        <w:tc>
          <w:tcPr>
            <w:tcW w:w="900" w:type="dxa"/>
            <w:vAlign w:val="bottom"/>
            <w:tcBorders>
              <w:bottom w:val="single" w:sz="8" w:color="D9D9D9"/>
            </w:tcBorders>
          </w:tcPr>
          <w:p>
            <w:pPr>
              <w:spacing w:after="0" w:line="20" w:lineRule="exact"/>
              <w:rPr>
                <w:sz w:val="1"/>
                <w:szCs w:val="1"/>
                <w:color w:val="auto"/>
              </w:rPr>
            </w:pPr>
          </w:p>
        </w:tc>
        <w:tc>
          <w:tcPr>
            <w:tcW w:w="660" w:type="dxa"/>
            <w:vAlign w:val="bottom"/>
            <w:tcBorders>
              <w:bottom w:val="single" w:sz="8" w:color="D9D9D9"/>
            </w:tcBorders>
          </w:tcPr>
          <w:p>
            <w:pPr>
              <w:spacing w:after="0" w:line="20" w:lineRule="exact"/>
              <w:rPr>
                <w:sz w:val="1"/>
                <w:szCs w:val="1"/>
                <w:color w:val="auto"/>
              </w:rPr>
            </w:pPr>
          </w:p>
        </w:tc>
        <w:tc>
          <w:tcPr>
            <w:tcW w:w="660" w:type="dxa"/>
            <w:vAlign w:val="bottom"/>
            <w:tcBorders>
              <w:bottom w:val="single" w:sz="8" w:color="D9D9D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4300" w:type="dxa"/>
            <w:vAlign w:val="bottom"/>
          </w:tcPr>
          <w:p>
            <w:pPr>
              <w:ind w:left="20"/>
              <w:spacing w:after="0"/>
              <w:rPr>
                <w:sz w:val="20"/>
                <w:szCs w:val="20"/>
                <w:color w:val="auto"/>
              </w:rPr>
            </w:pPr>
            <w:r>
              <w:rPr>
                <w:rFonts w:ascii="Arial" w:cs="Arial" w:eastAsia="Arial" w:hAnsi="Arial"/>
                <w:sz w:val="16"/>
                <w:szCs w:val="16"/>
                <w:b w:val="1"/>
                <w:bCs w:val="1"/>
                <w:color w:val="191769"/>
              </w:rPr>
              <w:t>Robert Hoglund</w:t>
            </w:r>
          </w:p>
        </w:tc>
        <w:tc>
          <w:tcPr>
            <w:tcW w:w="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00" w:type="dxa"/>
            <w:vAlign w:val="bottom"/>
          </w:tcPr>
          <w:p>
            <w:pPr>
              <w:ind w:left="20"/>
              <w:spacing w:after="0"/>
              <w:rPr>
                <w:sz w:val="20"/>
                <w:szCs w:val="20"/>
                <w:color w:val="auto"/>
              </w:rPr>
            </w:pPr>
            <w:r>
              <w:rPr>
                <w:rFonts w:ascii="Arial" w:cs="Arial" w:eastAsia="Arial" w:hAnsi="Arial"/>
                <w:sz w:val="16"/>
                <w:szCs w:val="16"/>
                <w:color w:val="auto"/>
              </w:rPr>
              <w:t>Retired Senior Vice President &amp; Chief</w:t>
            </w:r>
          </w:p>
        </w:tc>
        <w:tc>
          <w:tcPr>
            <w:tcW w:w="680" w:type="dxa"/>
            <w:vAlign w:val="bottom"/>
            <w:vMerge w:val="restart"/>
          </w:tcPr>
          <w:p>
            <w:pPr>
              <w:jc w:val="center"/>
              <w:ind w:right="141"/>
              <w:spacing w:after="0"/>
              <w:rPr>
                <w:sz w:val="20"/>
                <w:szCs w:val="20"/>
                <w:color w:val="auto"/>
              </w:rPr>
            </w:pPr>
            <w:r>
              <w:rPr>
                <w:rFonts w:ascii="Arial" w:cs="Arial" w:eastAsia="Arial" w:hAnsi="Arial"/>
                <w:sz w:val="16"/>
                <w:szCs w:val="16"/>
                <w:color w:val="auto"/>
              </w:rPr>
              <w:t>64</w:t>
            </w:r>
          </w:p>
        </w:tc>
        <w:tc>
          <w:tcPr>
            <w:tcW w:w="1480" w:type="dxa"/>
            <w:vAlign w:val="bottom"/>
            <w:vMerge w:val="restart"/>
          </w:tcPr>
          <w:p>
            <w:pPr>
              <w:jc w:val="center"/>
              <w:ind w:right="242"/>
              <w:spacing w:after="0"/>
              <w:rPr>
                <w:sz w:val="20"/>
                <w:szCs w:val="20"/>
                <w:color w:val="auto"/>
              </w:rPr>
            </w:pPr>
            <w:r>
              <w:rPr>
                <w:rFonts w:ascii="Arial" w:cs="Arial" w:eastAsia="Arial" w:hAnsi="Arial"/>
                <w:sz w:val="16"/>
                <w:szCs w:val="16"/>
                <w:color w:val="auto"/>
              </w:rPr>
              <w:t>2026</w:t>
            </w:r>
          </w:p>
        </w:tc>
        <w:tc>
          <w:tcPr>
            <w:tcW w:w="1200" w:type="dxa"/>
            <w:vAlign w:val="bottom"/>
          </w:tcPr>
          <w:p>
            <w:pPr>
              <w:spacing w:after="0"/>
              <w:rPr>
                <w:sz w:val="17"/>
                <w:szCs w:val="17"/>
                <w:color w:val="auto"/>
              </w:rPr>
            </w:pPr>
          </w:p>
        </w:tc>
        <w:tc>
          <w:tcPr>
            <w:tcW w:w="760" w:type="dxa"/>
            <w:vAlign w:val="bottom"/>
            <w:vMerge w:val="restart"/>
          </w:tcPr>
          <w:p>
            <w:pPr>
              <w:ind w:left="240"/>
              <w:spacing w:after="0"/>
              <w:rPr>
                <w:sz w:val="20"/>
                <w:szCs w:val="20"/>
                <w:color w:val="auto"/>
              </w:rPr>
            </w:pPr>
            <w:r>
              <w:rPr>
                <w:rFonts w:ascii="Wingdings" w:cs="Wingdings" w:eastAsia="Wingdings" w:hAnsi="Wingdings"/>
                <w:sz w:val="16"/>
                <w:szCs w:val="16"/>
                <w:b w:val="1"/>
                <w:bCs w:val="1"/>
                <w:color w:val="191769"/>
              </w:rPr>
              <w:t>¡</w:t>
            </w: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vMerge w:val="restart"/>
          </w:tcPr>
          <w:p>
            <w:pPr>
              <w:ind w:left="260"/>
              <w:spacing w:after="0"/>
              <w:rPr>
                <w:sz w:val="20"/>
                <w:szCs w:val="20"/>
                <w:color w:val="auto"/>
              </w:rPr>
            </w:pPr>
            <w:r>
              <w:rPr>
                <w:rFonts w:ascii="Wingdings" w:cs="Wingdings" w:eastAsia="Wingdings" w:hAnsi="Wingdings"/>
                <w:sz w:val="16"/>
                <w:szCs w:val="16"/>
                <w:b w:val="1"/>
                <w:bCs w:val="1"/>
                <w:color w:val="191769"/>
              </w:rPr>
              <w:t>¡</w:t>
            </w:r>
          </w:p>
        </w:tc>
        <w:tc>
          <w:tcPr>
            <w:tcW w:w="0" w:type="dxa"/>
            <w:vAlign w:val="bottom"/>
          </w:tcPr>
          <w:p>
            <w:pPr>
              <w:spacing w:after="0"/>
              <w:rPr>
                <w:sz w:val="1"/>
                <w:szCs w:val="1"/>
                <w:color w:val="auto"/>
              </w:rPr>
            </w:pPr>
          </w:p>
        </w:tc>
      </w:tr>
      <w:tr>
        <w:trPr>
          <w:trHeight w:val="118"/>
        </w:trPr>
        <w:tc>
          <w:tcPr>
            <w:tcW w:w="4300" w:type="dxa"/>
            <w:vAlign w:val="bottom"/>
            <w:vMerge w:val="restart"/>
          </w:tcPr>
          <w:p>
            <w:pPr>
              <w:ind w:left="20"/>
              <w:spacing w:after="0"/>
              <w:rPr>
                <w:sz w:val="20"/>
                <w:szCs w:val="20"/>
                <w:color w:val="auto"/>
              </w:rPr>
            </w:pPr>
            <w:r>
              <w:rPr>
                <w:rFonts w:ascii="Arial" w:cs="Arial" w:eastAsia="Arial" w:hAnsi="Arial"/>
                <w:sz w:val="16"/>
                <w:szCs w:val="16"/>
                <w:color w:val="auto"/>
              </w:rPr>
              <w:t>Financial Officer of Consolidated</w:t>
            </w:r>
          </w:p>
        </w:tc>
        <w:tc>
          <w:tcPr>
            <w:tcW w:w="68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43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6"/>
                <w:szCs w:val="16"/>
                <w:color w:val="auto"/>
              </w:rPr>
              <w:t>Edison, Inc.</w:t>
            </w:r>
          </w:p>
        </w:tc>
        <w:tc>
          <w:tcPr>
            <w:tcW w:w="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300" w:type="dxa"/>
            <w:vAlign w:val="bottom"/>
            <w:tcBorders>
              <w:bottom w:val="single" w:sz="8" w:color="D9D9D9"/>
            </w:tcBorders>
          </w:tcPr>
          <w:p>
            <w:pPr>
              <w:spacing w:after="0" w:line="20" w:lineRule="exact"/>
              <w:rPr>
                <w:sz w:val="1"/>
                <w:szCs w:val="1"/>
                <w:color w:val="auto"/>
              </w:rPr>
            </w:pPr>
          </w:p>
        </w:tc>
        <w:tc>
          <w:tcPr>
            <w:tcW w:w="680" w:type="dxa"/>
            <w:vAlign w:val="bottom"/>
            <w:tcBorders>
              <w:bottom w:val="single" w:sz="8" w:color="D9D9D9"/>
            </w:tcBorders>
          </w:tcPr>
          <w:p>
            <w:pPr>
              <w:spacing w:after="0" w:line="20" w:lineRule="exact"/>
              <w:rPr>
                <w:sz w:val="1"/>
                <w:szCs w:val="1"/>
                <w:color w:val="auto"/>
              </w:rPr>
            </w:pPr>
          </w:p>
        </w:tc>
        <w:tc>
          <w:tcPr>
            <w:tcW w:w="1480" w:type="dxa"/>
            <w:vAlign w:val="bottom"/>
            <w:tcBorders>
              <w:bottom w:val="single" w:sz="8" w:color="D9D9D9"/>
            </w:tcBorders>
          </w:tcPr>
          <w:p>
            <w:pPr>
              <w:spacing w:after="0" w:line="20" w:lineRule="exact"/>
              <w:rPr>
                <w:sz w:val="1"/>
                <w:szCs w:val="1"/>
                <w:color w:val="auto"/>
              </w:rPr>
            </w:pPr>
          </w:p>
        </w:tc>
        <w:tc>
          <w:tcPr>
            <w:tcW w:w="1200" w:type="dxa"/>
            <w:vAlign w:val="bottom"/>
            <w:tcBorders>
              <w:bottom w:val="single" w:sz="8" w:color="D9D9D9"/>
            </w:tcBorders>
          </w:tcPr>
          <w:p>
            <w:pPr>
              <w:spacing w:after="0" w:line="20" w:lineRule="exact"/>
              <w:rPr>
                <w:sz w:val="1"/>
                <w:szCs w:val="1"/>
                <w:color w:val="auto"/>
              </w:rPr>
            </w:pPr>
          </w:p>
        </w:tc>
        <w:tc>
          <w:tcPr>
            <w:tcW w:w="760" w:type="dxa"/>
            <w:vAlign w:val="bottom"/>
            <w:tcBorders>
              <w:bottom w:val="single" w:sz="8" w:color="D9D9D9"/>
            </w:tcBorders>
          </w:tcPr>
          <w:p>
            <w:pPr>
              <w:spacing w:after="0" w:line="20" w:lineRule="exact"/>
              <w:rPr>
                <w:sz w:val="1"/>
                <w:szCs w:val="1"/>
                <w:color w:val="auto"/>
              </w:rPr>
            </w:pPr>
          </w:p>
        </w:tc>
        <w:tc>
          <w:tcPr>
            <w:tcW w:w="600" w:type="dxa"/>
            <w:vAlign w:val="bottom"/>
            <w:tcBorders>
              <w:bottom w:val="single" w:sz="8" w:color="D9D9D9"/>
            </w:tcBorders>
          </w:tcPr>
          <w:p>
            <w:pPr>
              <w:spacing w:after="0" w:line="20" w:lineRule="exact"/>
              <w:rPr>
                <w:sz w:val="1"/>
                <w:szCs w:val="1"/>
                <w:color w:val="auto"/>
              </w:rPr>
            </w:pPr>
          </w:p>
        </w:tc>
        <w:tc>
          <w:tcPr>
            <w:tcW w:w="900" w:type="dxa"/>
            <w:vAlign w:val="bottom"/>
            <w:tcBorders>
              <w:bottom w:val="single" w:sz="8" w:color="D9D9D9"/>
            </w:tcBorders>
          </w:tcPr>
          <w:p>
            <w:pPr>
              <w:spacing w:after="0" w:line="20" w:lineRule="exact"/>
              <w:rPr>
                <w:sz w:val="1"/>
                <w:szCs w:val="1"/>
                <w:color w:val="auto"/>
              </w:rPr>
            </w:pPr>
          </w:p>
        </w:tc>
        <w:tc>
          <w:tcPr>
            <w:tcW w:w="660" w:type="dxa"/>
            <w:vAlign w:val="bottom"/>
            <w:tcBorders>
              <w:bottom w:val="single" w:sz="8" w:color="D9D9D9"/>
            </w:tcBorders>
          </w:tcPr>
          <w:p>
            <w:pPr>
              <w:spacing w:after="0" w:line="20" w:lineRule="exact"/>
              <w:rPr>
                <w:sz w:val="1"/>
                <w:szCs w:val="1"/>
                <w:color w:val="auto"/>
              </w:rPr>
            </w:pPr>
          </w:p>
        </w:tc>
        <w:tc>
          <w:tcPr>
            <w:tcW w:w="660" w:type="dxa"/>
            <w:vAlign w:val="bottom"/>
            <w:tcBorders>
              <w:bottom w:val="single" w:sz="8" w:color="D9D9D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4300" w:type="dxa"/>
            <w:vAlign w:val="bottom"/>
          </w:tcPr>
          <w:p>
            <w:pPr>
              <w:ind w:left="20"/>
              <w:spacing w:after="0"/>
              <w:rPr>
                <w:sz w:val="20"/>
                <w:szCs w:val="20"/>
                <w:color w:val="auto"/>
              </w:rPr>
            </w:pPr>
            <w:r>
              <w:rPr>
                <w:rFonts w:ascii="Arial" w:cs="Arial" w:eastAsia="Arial" w:hAnsi="Arial"/>
                <w:sz w:val="16"/>
                <w:szCs w:val="16"/>
                <w:b w:val="1"/>
                <w:bCs w:val="1"/>
                <w:color w:val="191769"/>
              </w:rPr>
              <w:t>Vaughn L. McKoy</w:t>
            </w:r>
          </w:p>
        </w:tc>
        <w:tc>
          <w:tcPr>
            <w:tcW w:w="680" w:type="dxa"/>
            <w:vAlign w:val="bottom"/>
            <w:vMerge w:val="restart"/>
          </w:tcPr>
          <w:p>
            <w:pPr>
              <w:jc w:val="center"/>
              <w:ind w:right="141"/>
              <w:spacing w:after="0"/>
              <w:rPr>
                <w:sz w:val="20"/>
                <w:szCs w:val="20"/>
                <w:color w:val="auto"/>
              </w:rPr>
            </w:pPr>
            <w:r>
              <w:rPr>
                <w:rFonts w:ascii="Arial" w:cs="Arial" w:eastAsia="Arial" w:hAnsi="Arial"/>
                <w:sz w:val="16"/>
                <w:szCs w:val="16"/>
                <w:color w:val="auto"/>
              </w:rPr>
              <w:t>57</w:t>
            </w:r>
          </w:p>
        </w:tc>
        <w:tc>
          <w:tcPr>
            <w:tcW w:w="1480" w:type="dxa"/>
            <w:vAlign w:val="bottom"/>
            <w:vMerge w:val="restart"/>
          </w:tcPr>
          <w:p>
            <w:pPr>
              <w:jc w:val="center"/>
              <w:ind w:right="242"/>
              <w:spacing w:after="0"/>
              <w:rPr>
                <w:sz w:val="20"/>
                <w:szCs w:val="20"/>
                <w:color w:val="auto"/>
              </w:rPr>
            </w:pPr>
            <w:r>
              <w:rPr>
                <w:rFonts w:ascii="Arial" w:cs="Arial" w:eastAsia="Arial" w:hAnsi="Arial"/>
                <w:sz w:val="16"/>
                <w:szCs w:val="16"/>
                <w:color w:val="auto"/>
              </w:rPr>
              <w:t>2021</w:t>
            </w: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vMerge w:val="restart"/>
          </w:tcPr>
          <w:p>
            <w:pPr>
              <w:jc w:val="right"/>
              <w:ind w:right="286"/>
              <w:spacing w:after="0"/>
              <w:rPr>
                <w:sz w:val="20"/>
                <w:szCs w:val="20"/>
                <w:color w:val="auto"/>
              </w:rPr>
            </w:pPr>
            <w:r>
              <w:rPr>
                <w:rFonts w:ascii="Wingdings" w:cs="Wingdings" w:eastAsia="Wingdings" w:hAnsi="Wingdings"/>
                <w:sz w:val="16"/>
                <w:szCs w:val="16"/>
                <w:b w:val="1"/>
                <w:bCs w:val="1"/>
                <w:color w:val="191769"/>
              </w:rPr>
              <w:t>¡</w:t>
            </w:r>
          </w:p>
        </w:tc>
        <w:tc>
          <w:tcPr>
            <w:tcW w:w="66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191769"/>
              </w:rPr>
              <w:t>¡</w:t>
            </w:r>
          </w:p>
        </w:tc>
        <w:tc>
          <w:tcPr>
            <w:tcW w:w="660" w:type="dxa"/>
            <w:vAlign w:val="bottom"/>
            <w:vMerge w:val="restart"/>
          </w:tcPr>
          <w:p>
            <w:pPr>
              <w:ind w:left="260"/>
              <w:spacing w:after="0"/>
              <w:rPr>
                <w:sz w:val="20"/>
                <w:szCs w:val="20"/>
                <w:color w:val="auto"/>
              </w:rPr>
            </w:pPr>
            <w:r>
              <w:rPr>
                <w:rFonts w:ascii="Wingdings" w:cs="Wingdings" w:eastAsia="Wingdings" w:hAnsi="Wingdings"/>
                <w:sz w:val="16"/>
                <w:szCs w:val="16"/>
                <w:b w:val="1"/>
                <w:bCs w:val="1"/>
                <w:color w:val="191769"/>
              </w:rPr>
              <w:t>¡</w:t>
            </w:r>
          </w:p>
        </w:tc>
        <w:tc>
          <w:tcPr>
            <w:tcW w:w="0" w:type="dxa"/>
            <w:vAlign w:val="bottom"/>
          </w:tcPr>
          <w:p>
            <w:pPr>
              <w:spacing w:after="0"/>
              <w:rPr>
                <w:sz w:val="1"/>
                <w:szCs w:val="1"/>
                <w:color w:val="auto"/>
              </w:rPr>
            </w:pPr>
          </w:p>
        </w:tc>
      </w:tr>
      <w:tr>
        <w:trPr>
          <w:trHeight w:val="118"/>
        </w:trPr>
        <w:tc>
          <w:tcPr>
            <w:tcW w:w="4300" w:type="dxa"/>
            <w:vAlign w:val="bottom"/>
            <w:vMerge w:val="restart"/>
          </w:tcPr>
          <w:p>
            <w:pPr>
              <w:ind w:left="20"/>
              <w:spacing w:after="0"/>
              <w:rPr>
                <w:sz w:val="20"/>
                <w:szCs w:val="20"/>
                <w:color w:val="auto"/>
              </w:rPr>
            </w:pPr>
            <w:r>
              <w:rPr>
                <w:rFonts w:ascii="Arial" w:cs="Arial" w:eastAsia="Arial" w:hAnsi="Arial"/>
                <w:sz w:val="16"/>
                <w:szCs w:val="16"/>
                <w:color w:val="auto"/>
              </w:rPr>
              <w:t>Partner of the firm of Connell Foley, LLP</w:t>
            </w:r>
          </w:p>
        </w:tc>
        <w:tc>
          <w:tcPr>
            <w:tcW w:w="68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30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300" w:type="dxa"/>
            <w:vAlign w:val="bottom"/>
            <w:tcBorders>
              <w:bottom w:val="single" w:sz="8" w:color="00AEEF"/>
            </w:tcBorders>
          </w:tcPr>
          <w:p>
            <w:pPr>
              <w:spacing w:after="0" w:line="20" w:lineRule="exact"/>
              <w:rPr>
                <w:sz w:val="1"/>
                <w:szCs w:val="1"/>
                <w:color w:val="auto"/>
              </w:rPr>
            </w:pPr>
          </w:p>
        </w:tc>
        <w:tc>
          <w:tcPr>
            <w:tcW w:w="680" w:type="dxa"/>
            <w:vAlign w:val="bottom"/>
            <w:tcBorders>
              <w:bottom w:val="single" w:sz="8" w:color="00AEEF"/>
            </w:tcBorders>
          </w:tcPr>
          <w:p>
            <w:pPr>
              <w:spacing w:after="0" w:line="20" w:lineRule="exact"/>
              <w:rPr>
                <w:sz w:val="1"/>
                <w:szCs w:val="1"/>
                <w:color w:val="auto"/>
              </w:rPr>
            </w:pPr>
          </w:p>
        </w:tc>
        <w:tc>
          <w:tcPr>
            <w:tcW w:w="3440" w:type="dxa"/>
            <w:vAlign w:val="bottom"/>
            <w:tcBorders>
              <w:bottom w:val="single" w:sz="8" w:color="00AEEF"/>
            </w:tcBorders>
            <w:gridSpan w:val="3"/>
          </w:tcPr>
          <w:p>
            <w:pPr>
              <w:spacing w:after="0" w:line="20" w:lineRule="exact"/>
              <w:rPr>
                <w:sz w:val="1"/>
                <w:szCs w:val="1"/>
                <w:color w:val="auto"/>
              </w:rPr>
            </w:pPr>
          </w:p>
        </w:tc>
        <w:tc>
          <w:tcPr>
            <w:tcW w:w="600" w:type="dxa"/>
            <w:vAlign w:val="bottom"/>
            <w:tcBorders>
              <w:bottom w:val="single" w:sz="8" w:color="00AEEF"/>
            </w:tcBorders>
          </w:tcPr>
          <w:p>
            <w:pPr>
              <w:spacing w:after="0" w:line="20" w:lineRule="exact"/>
              <w:rPr>
                <w:sz w:val="1"/>
                <w:szCs w:val="1"/>
                <w:color w:val="auto"/>
              </w:rPr>
            </w:pPr>
          </w:p>
        </w:tc>
        <w:tc>
          <w:tcPr>
            <w:tcW w:w="900" w:type="dxa"/>
            <w:vAlign w:val="bottom"/>
            <w:tcBorders>
              <w:bottom w:val="single" w:sz="8" w:color="00AEEF"/>
            </w:tcBorders>
          </w:tcPr>
          <w:p>
            <w:pPr>
              <w:spacing w:after="0" w:line="20" w:lineRule="exact"/>
              <w:rPr>
                <w:sz w:val="1"/>
                <w:szCs w:val="1"/>
                <w:color w:val="auto"/>
              </w:rPr>
            </w:pPr>
          </w:p>
        </w:tc>
        <w:tc>
          <w:tcPr>
            <w:tcW w:w="660" w:type="dxa"/>
            <w:vAlign w:val="bottom"/>
            <w:tcBorders>
              <w:bottom w:val="single" w:sz="8" w:color="00AEEF"/>
            </w:tcBorders>
          </w:tcPr>
          <w:p>
            <w:pPr>
              <w:spacing w:after="0" w:line="20" w:lineRule="exact"/>
              <w:rPr>
                <w:sz w:val="1"/>
                <w:szCs w:val="1"/>
                <w:color w:val="auto"/>
              </w:rPr>
            </w:pPr>
          </w:p>
        </w:tc>
        <w:tc>
          <w:tcPr>
            <w:tcW w:w="660" w:type="dxa"/>
            <w:vAlign w:val="bottom"/>
            <w:tcBorders>
              <w:bottom w:val="single" w:sz="8" w:color="00AEE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0"/>
        </w:trPr>
        <w:tc>
          <w:tcPr>
            <w:tcW w:w="4300" w:type="dxa"/>
            <w:vAlign w:val="bottom"/>
          </w:tcPr>
          <w:p>
            <w:pPr>
              <w:spacing w:after="0"/>
              <w:rPr>
                <w:sz w:val="20"/>
                <w:szCs w:val="20"/>
                <w:color w:val="auto"/>
              </w:rPr>
            </w:pPr>
            <w:r>
              <w:rPr>
                <w:rFonts w:ascii="Arial" w:cs="Arial" w:eastAsia="Arial" w:hAnsi="Arial"/>
                <w:sz w:val="16"/>
                <w:szCs w:val="16"/>
                <w:color w:val="auto"/>
              </w:rPr>
              <w:t>AC – Audit Committee</w:t>
            </w:r>
          </w:p>
        </w:tc>
        <w:tc>
          <w:tcPr>
            <w:tcW w:w="680" w:type="dxa"/>
            <w:vAlign w:val="bottom"/>
          </w:tcPr>
          <w:p>
            <w:pPr>
              <w:spacing w:after="0"/>
              <w:rPr>
                <w:sz w:val="24"/>
                <w:szCs w:val="24"/>
                <w:color w:val="auto"/>
              </w:rPr>
            </w:pPr>
          </w:p>
        </w:tc>
        <w:tc>
          <w:tcPr>
            <w:tcW w:w="3440" w:type="dxa"/>
            <w:vAlign w:val="bottom"/>
            <w:gridSpan w:val="3"/>
          </w:tcPr>
          <w:p>
            <w:pPr>
              <w:ind w:left="740"/>
              <w:spacing w:after="0"/>
              <w:rPr>
                <w:sz w:val="20"/>
                <w:szCs w:val="20"/>
                <w:color w:val="auto"/>
              </w:rPr>
            </w:pPr>
            <w:r>
              <w:rPr>
                <w:rFonts w:ascii="Arial" w:cs="Arial" w:eastAsia="Arial" w:hAnsi="Arial"/>
                <w:sz w:val="16"/>
                <w:szCs w:val="16"/>
                <w:color w:val="auto"/>
              </w:rPr>
              <w:t>AHPC – Ad Hoc Pricing Committee</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300" w:type="dxa"/>
            <w:vAlign w:val="bottom"/>
          </w:tcPr>
          <w:p>
            <w:pPr>
              <w:spacing w:after="0"/>
              <w:rPr>
                <w:sz w:val="20"/>
                <w:szCs w:val="20"/>
                <w:color w:val="auto"/>
              </w:rPr>
            </w:pPr>
            <w:r>
              <w:rPr>
                <w:rFonts w:ascii="Arial" w:cs="Arial" w:eastAsia="Arial" w:hAnsi="Arial"/>
                <w:sz w:val="16"/>
                <w:szCs w:val="16"/>
                <w:color w:val="auto"/>
              </w:rPr>
              <w:t>CC – Compensation Committee</w:t>
            </w:r>
          </w:p>
        </w:tc>
        <w:tc>
          <w:tcPr>
            <w:tcW w:w="680" w:type="dxa"/>
            <w:vAlign w:val="bottom"/>
          </w:tcPr>
          <w:p>
            <w:pPr>
              <w:spacing w:after="0"/>
              <w:rPr>
                <w:sz w:val="17"/>
                <w:szCs w:val="17"/>
                <w:color w:val="auto"/>
              </w:rPr>
            </w:pPr>
          </w:p>
        </w:tc>
        <w:tc>
          <w:tcPr>
            <w:tcW w:w="1480" w:type="dxa"/>
            <w:vAlign w:val="bottom"/>
          </w:tcPr>
          <w:p>
            <w:pPr>
              <w:ind w:left="740"/>
              <w:spacing w:after="0"/>
              <w:rPr>
                <w:sz w:val="20"/>
                <w:szCs w:val="20"/>
                <w:color w:val="auto"/>
              </w:rPr>
            </w:pPr>
            <w:r>
              <w:rPr>
                <w:rFonts w:ascii="Wingdings" w:cs="Wingdings" w:eastAsia="Wingdings" w:hAnsi="Wingdings"/>
                <w:sz w:val="16"/>
                <w:szCs w:val="16"/>
                <w:b w:val="1"/>
                <w:bCs w:val="1"/>
                <w:color w:val="00AEEF"/>
                <w:w w:val="90"/>
              </w:rPr>
              <w:t xml:space="preserve">l </w:t>
            </w:r>
            <w:r>
              <w:rPr>
                <w:rFonts w:ascii="Arial" w:cs="Arial" w:eastAsia="Arial" w:hAnsi="Arial"/>
                <w:sz w:val="16"/>
                <w:szCs w:val="16"/>
                <w:color w:val="000000"/>
                <w:w w:val="90"/>
              </w:rPr>
              <w:t>– Chair</w:t>
            </w: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00" w:type="dxa"/>
            <w:vAlign w:val="bottom"/>
          </w:tcPr>
          <w:p>
            <w:pPr>
              <w:spacing w:after="0"/>
              <w:rPr>
                <w:sz w:val="20"/>
                <w:szCs w:val="20"/>
                <w:color w:val="auto"/>
              </w:rPr>
            </w:pPr>
            <w:r>
              <w:rPr>
                <w:rFonts w:ascii="Arial" w:cs="Arial" w:eastAsia="Arial" w:hAnsi="Arial"/>
                <w:sz w:val="16"/>
                <w:szCs w:val="16"/>
                <w:color w:val="auto"/>
              </w:rPr>
              <w:t>CGNC – Corporate Governance &amp; Nominating Committee</w:t>
            </w:r>
          </w:p>
        </w:tc>
        <w:tc>
          <w:tcPr>
            <w:tcW w:w="680" w:type="dxa"/>
            <w:vAlign w:val="bottom"/>
          </w:tcPr>
          <w:p>
            <w:pPr>
              <w:spacing w:after="0"/>
              <w:rPr>
                <w:sz w:val="18"/>
                <w:szCs w:val="18"/>
                <w:color w:val="auto"/>
              </w:rPr>
            </w:pPr>
          </w:p>
        </w:tc>
        <w:tc>
          <w:tcPr>
            <w:tcW w:w="2680" w:type="dxa"/>
            <w:vAlign w:val="bottom"/>
            <w:gridSpan w:val="2"/>
          </w:tcPr>
          <w:p>
            <w:pPr>
              <w:ind w:left="740"/>
              <w:spacing w:after="0"/>
              <w:rPr>
                <w:sz w:val="20"/>
                <w:szCs w:val="20"/>
                <w:color w:val="auto"/>
              </w:rPr>
            </w:pPr>
            <w:r>
              <w:rPr>
                <w:rFonts w:ascii="Wingdings" w:cs="Wingdings" w:eastAsia="Wingdings" w:hAnsi="Wingdings"/>
                <w:sz w:val="16"/>
                <w:szCs w:val="16"/>
                <w:b w:val="1"/>
                <w:bCs w:val="1"/>
                <w:color w:val="191769"/>
              </w:rPr>
              <w:t xml:space="preserve">¡ </w:t>
            </w:r>
            <w:r>
              <w:rPr>
                <w:rFonts w:ascii="Arial" w:cs="Arial" w:eastAsia="Arial" w:hAnsi="Arial"/>
                <w:sz w:val="16"/>
                <w:szCs w:val="16"/>
                <w:color w:val="000000"/>
              </w:rPr>
              <w:t>– Member</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4329430</wp:posOffset>
            </wp:positionH>
            <wp:positionV relativeFrom="paragraph">
              <wp:posOffset>-1929765</wp:posOffset>
            </wp:positionV>
            <wp:extent cx="93980" cy="781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3980" cy="78105"/>
                    </a:xfrm>
                    <a:prstGeom prst="rect">
                      <a:avLst/>
                    </a:prstGeom>
                    <a:noFill/>
                  </pic:spPr>
                </pic:pic>
              </a:graphicData>
            </a:graphic>
          </wp:anchor>
        </w:drawing>
        <w:drawing>
          <wp:anchor simplePos="0" relativeHeight="251657728" behindDoc="1" locked="0" layoutInCell="0" allowOverlap="1">
            <wp:simplePos x="0" y="0"/>
            <wp:positionH relativeFrom="column">
              <wp:posOffset>4329430</wp:posOffset>
            </wp:positionH>
            <wp:positionV relativeFrom="paragraph">
              <wp:posOffset>-1515110</wp:posOffset>
            </wp:positionV>
            <wp:extent cx="93980" cy="781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3980" cy="78105"/>
                    </a:xfrm>
                    <a:prstGeom prst="rect">
                      <a:avLst/>
                    </a:prstGeom>
                    <a:noFill/>
                  </pic:spPr>
                </pic:pic>
              </a:graphicData>
            </a:graphic>
          </wp:anchor>
        </w:drawing>
        <w:drawing>
          <wp:anchor simplePos="0" relativeHeight="251657728" behindDoc="1" locked="0" layoutInCell="0" allowOverlap="1">
            <wp:simplePos x="0" y="0"/>
            <wp:positionH relativeFrom="column">
              <wp:posOffset>4329430</wp:posOffset>
            </wp:positionH>
            <wp:positionV relativeFrom="paragraph">
              <wp:posOffset>-1101090</wp:posOffset>
            </wp:positionV>
            <wp:extent cx="93980" cy="781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3980" cy="78105"/>
                    </a:xfrm>
                    <a:prstGeom prst="rect">
                      <a:avLst/>
                    </a:prstGeom>
                    <a:noFill/>
                  </pic:spPr>
                </pic:pic>
              </a:graphicData>
            </a:graphic>
          </wp:anchor>
        </w:drawing>
        <w:drawing>
          <wp:anchor simplePos="0" relativeHeight="251657728" behindDoc="1" locked="0" layoutInCell="0" allowOverlap="1">
            <wp:simplePos x="0" y="0"/>
            <wp:positionH relativeFrom="column">
              <wp:posOffset>4329430</wp:posOffset>
            </wp:positionH>
            <wp:positionV relativeFrom="paragraph">
              <wp:posOffset>-686435</wp:posOffset>
            </wp:positionV>
            <wp:extent cx="93980" cy="781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980" cy="781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ER — Enterprise Risk Committee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PC – Pension Committee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Borders>
              <w:bottom w:val="single" w:sz="8" w:color="00AEEF"/>
            </w:tcBorders>
          </w:tcPr>
          <w:p>
            <w:pPr>
              <w:ind w:left="20"/>
              <w:spacing w:after="0"/>
              <w:rPr>
                <w:sz w:val="20"/>
                <w:szCs w:val="20"/>
                <w:color w:val="auto"/>
              </w:rPr>
            </w:pPr>
            <w:r>
              <w:rPr>
                <w:rFonts w:ascii="Arial" w:cs="Arial" w:eastAsia="Arial" w:hAnsi="Arial"/>
                <w:sz w:val="13"/>
                <w:szCs w:val="13"/>
                <w:b w:val="1"/>
                <w:bCs w:val="1"/>
                <w:color w:val="191769"/>
              </w:rPr>
              <w:t>Experience and Skills</w:t>
            </w:r>
          </w:p>
        </w:tc>
        <w:tc>
          <w:tcPr>
            <w:tcW w:w="1300" w:type="dxa"/>
            <w:vAlign w:val="bottom"/>
            <w:tcBorders>
              <w:bottom w:val="single" w:sz="8" w:color="00AEEF"/>
            </w:tcBorders>
          </w:tcPr>
          <w:p>
            <w:pPr>
              <w:jc w:val="center"/>
              <w:ind w:left="127"/>
              <w:spacing w:after="0"/>
              <w:rPr>
                <w:sz w:val="20"/>
                <w:szCs w:val="20"/>
                <w:color w:val="auto"/>
              </w:rPr>
            </w:pPr>
            <w:r>
              <w:rPr>
                <w:rFonts w:ascii="Arial" w:cs="Arial" w:eastAsia="Arial" w:hAnsi="Arial"/>
                <w:sz w:val="13"/>
                <w:szCs w:val="13"/>
                <w:b w:val="1"/>
                <w:bCs w:val="1"/>
                <w:color w:val="191769"/>
                <w:w w:val="99"/>
              </w:rPr>
              <w:t>Bershad</w:t>
            </w:r>
          </w:p>
        </w:tc>
        <w:tc>
          <w:tcPr>
            <w:tcW w:w="1240" w:type="dxa"/>
            <w:vAlign w:val="bottom"/>
            <w:tcBorders>
              <w:bottom w:val="single" w:sz="8" w:color="00AEEF"/>
            </w:tcBorders>
          </w:tcPr>
          <w:p>
            <w:pPr>
              <w:jc w:val="center"/>
              <w:spacing w:after="0"/>
              <w:rPr>
                <w:sz w:val="20"/>
                <w:szCs w:val="20"/>
                <w:color w:val="auto"/>
              </w:rPr>
            </w:pPr>
            <w:r>
              <w:rPr>
                <w:rFonts w:ascii="Arial" w:cs="Arial" w:eastAsia="Arial" w:hAnsi="Arial"/>
                <w:sz w:val="13"/>
                <w:szCs w:val="13"/>
                <w:b w:val="1"/>
                <w:bCs w:val="1"/>
                <w:color w:val="191769"/>
                <w:w w:val="99"/>
              </w:rPr>
              <w:t>Cosgrove</w:t>
            </w:r>
          </w:p>
        </w:tc>
        <w:tc>
          <w:tcPr>
            <w:tcW w:w="1340" w:type="dxa"/>
            <w:vAlign w:val="bottom"/>
            <w:tcBorders>
              <w:bottom w:val="single" w:sz="8" w:color="00AEEF"/>
            </w:tcBorders>
          </w:tcPr>
          <w:p>
            <w:pPr>
              <w:jc w:val="center"/>
              <w:spacing w:after="0"/>
              <w:rPr>
                <w:sz w:val="20"/>
                <w:szCs w:val="20"/>
                <w:color w:val="auto"/>
              </w:rPr>
            </w:pPr>
            <w:r>
              <w:rPr>
                <w:rFonts w:ascii="Arial" w:cs="Arial" w:eastAsia="Arial" w:hAnsi="Arial"/>
                <w:sz w:val="13"/>
                <w:szCs w:val="13"/>
                <w:b w:val="1"/>
                <w:bCs w:val="1"/>
                <w:color w:val="191769"/>
                <w:w w:val="98"/>
              </w:rPr>
              <w:t>Hoglund</w:t>
            </w:r>
          </w:p>
        </w:tc>
        <w:tc>
          <w:tcPr>
            <w:tcW w:w="1340" w:type="dxa"/>
            <w:vAlign w:val="bottom"/>
            <w:tcBorders>
              <w:bottom w:val="single" w:sz="8" w:color="00AEEF"/>
            </w:tcBorders>
          </w:tcPr>
          <w:p>
            <w:pPr>
              <w:jc w:val="center"/>
              <w:spacing w:after="0"/>
              <w:rPr>
                <w:sz w:val="20"/>
                <w:szCs w:val="20"/>
                <w:color w:val="auto"/>
              </w:rPr>
            </w:pPr>
            <w:r>
              <w:rPr>
                <w:rFonts w:ascii="Arial" w:cs="Arial" w:eastAsia="Arial" w:hAnsi="Arial"/>
                <w:sz w:val="13"/>
                <w:szCs w:val="13"/>
                <w:b w:val="1"/>
                <w:bCs w:val="1"/>
                <w:color w:val="191769"/>
                <w:w w:val="98"/>
              </w:rPr>
              <w:t>McKoy</w:t>
            </w:r>
          </w:p>
        </w:tc>
      </w:tr>
      <w:tr>
        <w:trPr>
          <w:trHeight w:val="248"/>
        </w:trPr>
        <w:tc>
          <w:tcPr>
            <w:tcW w:w="6020" w:type="dxa"/>
            <w:vAlign w:val="bottom"/>
          </w:tcPr>
          <w:p>
            <w:pPr>
              <w:ind w:left="20"/>
              <w:spacing w:after="0"/>
              <w:rPr>
                <w:sz w:val="20"/>
                <w:szCs w:val="20"/>
                <w:color w:val="auto"/>
              </w:rPr>
            </w:pPr>
            <w:r>
              <w:rPr>
                <w:rFonts w:ascii="Arial" w:cs="Arial" w:eastAsia="Arial" w:hAnsi="Arial"/>
                <w:sz w:val="16"/>
                <w:szCs w:val="16"/>
                <w:color w:val="auto"/>
              </w:rPr>
              <w:t>Executive Leadership, Management, and Governance</w:t>
            </w:r>
          </w:p>
        </w:tc>
        <w:tc>
          <w:tcPr>
            <w:tcW w:w="1300" w:type="dxa"/>
            <w:vAlign w:val="bottom"/>
          </w:tcPr>
          <w:p>
            <w:pPr>
              <w:jc w:val="center"/>
              <w:ind w:left="107"/>
              <w:spacing w:after="0"/>
              <w:rPr>
                <w:sz w:val="20"/>
                <w:szCs w:val="20"/>
                <w:color w:val="auto"/>
              </w:rPr>
            </w:pPr>
            <w:r>
              <w:rPr>
                <w:rFonts w:ascii="Wingdings" w:cs="Wingdings" w:eastAsia="Wingdings" w:hAnsi="Wingdings"/>
                <w:sz w:val="20"/>
                <w:szCs w:val="20"/>
                <w:b w:val="1"/>
                <w:bCs w:val="1"/>
                <w:color w:val="1A3B78"/>
                <w:w w:val="93"/>
              </w:rPr>
              <w:t>l</w:t>
            </w:r>
          </w:p>
        </w:tc>
        <w:tc>
          <w:tcPr>
            <w:tcW w:w="1240" w:type="dxa"/>
            <w:vAlign w:val="bottom"/>
          </w:tcPr>
          <w:p>
            <w:pPr>
              <w:jc w:val="center"/>
              <w:spacing w:after="0"/>
              <w:rPr>
                <w:sz w:val="20"/>
                <w:szCs w:val="20"/>
                <w:color w:val="auto"/>
              </w:rPr>
            </w:pPr>
            <w:r>
              <w:rPr>
                <w:rFonts w:ascii="Wingdings" w:cs="Wingdings" w:eastAsia="Wingdings" w:hAnsi="Wingdings"/>
                <w:sz w:val="20"/>
                <w:szCs w:val="20"/>
                <w:b w:val="1"/>
                <w:bCs w:val="1"/>
                <w:color w:val="1A3B78"/>
              </w:rPr>
              <w:t>l</w:t>
            </w:r>
          </w:p>
        </w:tc>
        <w:tc>
          <w:tcPr>
            <w:tcW w:w="1340" w:type="dxa"/>
            <w:vAlign w:val="bottom"/>
          </w:tcPr>
          <w:p>
            <w:pPr>
              <w:jc w:val="center"/>
              <w:spacing w:after="0"/>
              <w:rPr>
                <w:sz w:val="20"/>
                <w:szCs w:val="20"/>
                <w:color w:val="auto"/>
              </w:rPr>
            </w:pPr>
            <w:r>
              <w:rPr>
                <w:rFonts w:ascii="Wingdings" w:cs="Wingdings" w:eastAsia="Wingdings" w:hAnsi="Wingdings"/>
                <w:sz w:val="20"/>
                <w:szCs w:val="20"/>
                <w:b w:val="1"/>
                <w:bCs w:val="1"/>
                <w:color w:val="1A3B78"/>
              </w:rPr>
              <w:t>l</w:t>
            </w:r>
          </w:p>
        </w:tc>
        <w:tc>
          <w:tcPr>
            <w:tcW w:w="1340" w:type="dxa"/>
            <w:vAlign w:val="bottom"/>
          </w:tcPr>
          <w:p>
            <w:pPr>
              <w:jc w:val="center"/>
              <w:spacing w:after="0"/>
              <w:rPr>
                <w:sz w:val="20"/>
                <w:szCs w:val="20"/>
                <w:color w:val="auto"/>
              </w:rPr>
            </w:pPr>
            <w:r>
              <w:rPr>
                <w:rFonts w:ascii="Wingdings" w:cs="Wingdings" w:eastAsia="Wingdings" w:hAnsi="Wingdings"/>
                <w:sz w:val="20"/>
                <w:szCs w:val="20"/>
                <w:b w:val="1"/>
                <w:bCs w:val="1"/>
                <w:color w:val="1A3B78"/>
                <w:w w:val="93"/>
              </w:rPr>
              <w:t>l</w:t>
            </w:r>
          </w:p>
        </w:tc>
      </w:tr>
      <w:tr>
        <w:trPr>
          <w:trHeight w:val="34"/>
        </w:trPr>
        <w:tc>
          <w:tcPr>
            <w:tcW w:w="6020" w:type="dxa"/>
            <w:vAlign w:val="bottom"/>
            <w:tcBorders>
              <w:bottom w:val="single" w:sz="8" w:color="D9D9D9"/>
            </w:tcBorders>
          </w:tcPr>
          <w:p>
            <w:pPr>
              <w:spacing w:after="0"/>
              <w:rPr>
                <w:sz w:val="2"/>
                <w:szCs w:val="2"/>
                <w:color w:val="auto"/>
              </w:rPr>
            </w:pPr>
          </w:p>
        </w:tc>
        <w:tc>
          <w:tcPr>
            <w:tcW w:w="1300" w:type="dxa"/>
            <w:vAlign w:val="bottom"/>
            <w:tcBorders>
              <w:bottom w:val="single" w:sz="8" w:color="D9D9D9"/>
            </w:tcBorders>
          </w:tcPr>
          <w:p>
            <w:pPr>
              <w:spacing w:after="0"/>
              <w:rPr>
                <w:sz w:val="2"/>
                <w:szCs w:val="2"/>
                <w:color w:val="auto"/>
              </w:rPr>
            </w:pPr>
          </w:p>
        </w:tc>
        <w:tc>
          <w:tcPr>
            <w:tcW w:w="1240" w:type="dxa"/>
            <w:vAlign w:val="bottom"/>
            <w:tcBorders>
              <w:bottom w:val="single" w:sz="8" w:color="D9D9D9"/>
            </w:tcBorders>
          </w:tcPr>
          <w:p>
            <w:pPr>
              <w:spacing w:after="0"/>
              <w:rPr>
                <w:sz w:val="2"/>
                <w:szCs w:val="2"/>
                <w:color w:val="auto"/>
              </w:rPr>
            </w:pPr>
          </w:p>
        </w:tc>
        <w:tc>
          <w:tcPr>
            <w:tcW w:w="1340" w:type="dxa"/>
            <w:vAlign w:val="bottom"/>
            <w:tcBorders>
              <w:bottom w:val="single" w:sz="8" w:color="D9D9D9"/>
            </w:tcBorders>
          </w:tcPr>
          <w:p>
            <w:pPr>
              <w:spacing w:after="0"/>
              <w:rPr>
                <w:sz w:val="2"/>
                <w:szCs w:val="2"/>
                <w:color w:val="auto"/>
              </w:rPr>
            </w:pPr>
          </w:p>
        </w:tc>
        <w:tc>
          <w:tcPr>
            <w:tcW w:w="1340" w:type="dxa"/>
            <w:vAlign w:val="bottom"/>
            <w:tcBorders>
              <w:bottom w:val="single" w:sz="8" w:color="D9D9D9"/>
            </w:tcBorders>
          </w:tcPr>
          <w:p>
            <w:pPr>
              <w:spacing w:after="0"/>
              <w:rPr>
                <w:sz w:val="2"/>
                <w:szCs w:val="2"/>
                <w:color w:val="auto"/>
              </w:rPr>
            </w:pPr>
          </w:p>
        </w:tc>
      </w:tr>
      <w:tr>
        <w:trPr>
          <w:trHeight w:val="242"/>
        </w:trPr>
        <w:tc>
          <w:tcPr>
            <w:tcW w:w="6020" w:type="dxa"/>
            <w:vAlign w:val="bottom"/>
          </w:tcPr>
          <w:p>
            <w:pPr>
              <w:ind w:left="20"/>
              <w:spacing w:after="0"/>
              <w:rPr>
                <w:sz w:val="20"/>
                <w:szCs w:val="20"/>
                <w:color w:val="auto"/>
              </w:rPr>
            </w:pPr>
            <w:r>
              <w:rPr>
                <w:rFonts w:ascii="Arial" w:cs="Arial" w:eastAsia="Arial" w:hAnsi="Arial"/>
                <w:sz w:val="16"/>
                <w:szCs w:val="16"/>
                <w:color w:val="auto"/>
              </w:rPr>
              <w:t>Leader of Significant Operations</w:t>
            </w:r>
          </w:p>
        </w:tc>
        <w:tc>
          <w:tcPr>
            <w:tcW w:w="1300" w:type="dxa"/>
            <w:vAlign w:val="bottom"/>
          </w:tcPr>
          <w:p>
            <w:pPr>
              <w:jc w:val="center"/>
              <w:ind w:left="107"/>
              <w:spacing w:after="0"/>
              <w:rPr>
                <w:sz w:val="20"/>
                <w:szCs w:val="20"/>
                <w:color w:val="auto"/>
              </w:rPr>
            </w:pPr>
            <w:r>
              <w:rPr>
                <w:rFonts w:ascii="Wingdings" w:cs="Wingdings" w:eastAsia="Wingdings" w:hAnsi="Wingdings"/>
                <w:sz w:val="20"/>
                <w:szCs w:val="20"/>
                <w:b w:val="1"/>
                <w:bCs w:val="1"/>
                <w:color w:val="1A3B78"/>
                <w:w w:val="93"/>
              </w:rPr>
              <w:t>l</w:t>
            </w:r>
          </w:p>
        </w:tc>
        <w:tc>
          <w:tcPr>
            <w:tcW w:w="1240" w:type="dxa"/>
            <w:vAlign w:val="bottom"/>
          </w:tcPr>
          <w:p>
            <w:pPr>
              <w:jc w:val="center"/>
              <w:spacing w:after="0"/>
              <w:rPr>
                <w:sz w:val="20"/>
                <w:szCs w:val="20"/>
                <w:color w:val="auto"/>
              </w:rPr>
            </w:pPr>
            <w:r>
              <w:rPr>
                <w:rFonts w:ascii="Wingdings" w:cs="Wingdings" w:eastAsia="Wingdings" w:hAnsi="Wingdings"/>
                <w:sz w:val="20"/>
                <w:szCs w:val="20"/>
                <w:b w:val="1"/>
                <w:bCs w:val="1"/>
                <w:color w:val="1A3B78"/>
              </w:rPr>
              <w:t>l</w:t>
            </w:r>
          </w:p>
        </w:tc>
        <w:tc>
          <w:tcPr>
            <w:tcW w:w="1340" w:type="dxa"/>
            <w:vAlign w:val="bottom"/>
          </w:tcPr>
          <w:p>
            <w:pPr>
              <w:jc w:val="center"/>
              <w:spacing w:after="0"/>
              <w:rPr>
                <w:sz w:val="20"/>
                <w:szCs w:val="20"/>
                <w:color w:val="auto"/>
              </w:rPr>
            </w:pPr>
            <w:r>
              <w:rPr>
                <w:rFonts w:ascii="Wingdings" w:cs="Wingdings" w:eastAsia="Wingdings" w:hAnsi="Wingdings"/>
                <w:sz w:val="20"/>
                <w:szCs w:val="20"/>
                <w:b w:val="1"/>
                <w:bCs w:val="1"/>
                <w:color w:val="1A3B78"/>
              </w:rPr>
              <w:t>l</w:t>
            </w:r>
          </w:p>
        </w:tc>
        <w:tc>
          <w:tcPr>
            <w:tcW w:w="1340" w:type="dxa"/>
            <w:vAlign w:val="bottom"/>
          </w:tcPr>
          <w:p>
            <w:pPr>
              <w:jc w:val="center"/>
              <w:spacing w:after="0"/>
              <w:rPr>
                <w:sz w:val="20"/>
                <w:szCs w:val="20"/>
                <w:color w:val="auto"/>
              </w:rPr>
            </w:pPr>
            <w:r>
              <w:rPr>
                <w:rFonts w:ascii="Wingdings" w:cs="Wingdings" w:eastAsia="Wingdings" w:hAnsi="Wingdings"/>
                <w:sz w:val="20"/>
                <w:szCs w:val="20"/>
                <w:b w:val="1"/>
                <w:bCs w:val="1"/>
                <w:color w:val="1A3B78"/>
                <w:w w:val="93"/>
              </w:rPr>
              <w:t>l</w:t>
            </w:r>
          </w:p>
        </w:tc>
      </w:tr>
      <w:tr>
        <w:trPr>
          <w:trHeight w:val="34"/>
        </w:trPr>
        <w:tc>
          <w:tcPr>
            <w:tcW w:w="6020" w:type="dxa"/>
            <w:vAlign w:val="bottom"/>
            <w:tcBorders>
              <w:bottom w:val="single" w:sz="8" w:color="D9D9D9"/>
            </w:tcBorders>
          </w:tcPr>
          <w:p>
            <w:pPr>
              <w:spacing w:after="0"/>
              <w:rPr>
                <w:sz w:val="2"/>
                <w:szCs w:val="2"/>
                <w:color w:val="auto"/>
              </w:rPr>
            </w:pPr>
          </w:p>
        </w:tc>
        <w:tc>
          <w:tcPr>
            <w:tcW w:w="1300" w:type="dxa"/>
            <w:vAlign w:val="bottom"/>
            <w:tcBorders>
              <w:bottom w:val="single" w:sz="8" w:color="D9D9D9"/>
            </w:tcBorders>
          </w:tcPr>
          <w:p>
            <w:pPr>
              <w:spacing w:after="0"/>
              <w:rPr>
                <w:sz w:val="2"/>
                <w:szCs w:val="2"/>
                <w:color w:val="auto"/>
              </w:rPr>
            </w:pPr>
          </w:p>
        </w:tc>
        <w:tc>
          <w:tcPr>
            <w:tcW w:w="1240" w:type="dxa"/>
            <w:vAlign w:val="bottom"/>
            <w:tcBorders>
              <w:bottom w:val="single" w:sz="8" w:color="D9D9D9"/>
            </w:tcBorders>
          </w:tcPr>
          <w:p>
            <w:pPr>
              <w:spacing w:after="0"/>
              <w:rPr>
                <w:sz w:val="2"/>
                <w:szCs w:val="2"/>
                <w:color w:val="auto"/>
              </w:rPr>
            </w:pPr>
          </w:p>
        </w:tc>
        <w:tc>
          <w:tcPr>
            <w:tcW w:w="1340" w:type="dxa"/>
            <w:vAlign w:val="bottom"/>
            <w:tcBorders>
              <w:bottom w:val="single" w:sz="8" w:color="D9D9D9"/>
            </w:tcBorders>
          </w:tcPr>
          <w:p>
            <w:pPr>
              <w:spacing w:after="0"/>
              <w:rPr>
                <w:sz w:val="2"/>
                <w:szCs w:val="2"/>
                <w:color w:val="auto"/>
              </w:rPr>
            </w:pPr>
          </w:p>
        </w:tc>
        <w:tc>
          <w:tcPr>
            <w:tcW w:w="1340" w:type="dxa"/>
            <w:vAlign w:val="bottom"/>
            <w:tcBorders>
              <w:bottom w:val="single" w:sz="8" w:color="D9D9D9"/>
            </w:tcBorders>
          </w:tcPr>
          <w:p>
            <w:pPr>
              <w:spacing w:after="0"/>
              <w:rPr>
                <w:sz w:val="2"/>
                <w:szCs w:val="2"/>
                <w:color w:val="auto"/>
              </w:rPr>
            </w:pPr>
          </w:p>
        </w:tc>
      </w:tr>
      <w:tr>
        <w:trPr>
          <w:trHeight w:val="242"/>
        </w:trPr>
        <w:tc>
          <w:tcPr>
            <w:tcW w:w="6020" w:type="dxa"/>
            <w:vAlign w:val="bottom"/>
          </w:tcPr>
          <w:p>
            <w:pPr>
              <w:ind w:left="20"/>
              <w:spacing w:after="0"/>
              <w:rPr>
                <w:sz w:val="20"/>
                <w:szCs w:val="20"/>
                <w:color w:val="auto"/>
              </w:rPr>
            </w:pPr>
            <w:r>
              <w:rPr>
                <w:rFonts w:ascii="Arial" w:cs="Arial" w:eastAsia="Arial" w:hAnsi="Arial"/>
                <w:sz w:val="16"/>
                <w:szCs w:val="16"/>
                <w:color w:val="auto"/>
              </w:rPr>
              <w:t>Public Company Board and Corporate Governance Experience</w:t>
            </w:r>
          </w:p>
        </w:tc>
        <w:tc>
          <w:tcPr>
            <w:tcW w:w="1300" w:type="dxa"/>
            <w:vAlign w:val="bottom"/>
          </w:tcPr>
          <w:p>
            <w:pPr>
              <w:jc w:val="center"/>
              <w:ind w:left="107"/>
              <w:spacing w:after="0"/>
              <w:rPr>
                <w:sz w:val="20"/>
                <w:szCs w:val="20"/>
                <w:color w:val="auto"/>
              </w:rPr>
            </w:pPr>
            <w:r>
              <w:rPr>
                <w:rFonts w:ascii="Wingdings" w:cs="Wingdings" w:eastAsia="Wingdings" w:hAnsi="Wingdings"/>
                <w:sz w:val="20"/>
                <w:szCs w:val="20"/>
                <w:b w:val="1"/>
                <w:bCs w:val="1"/>
                <w:color w:val="1A3B78"/>
                <w:w w:val="93"/>
              </w:rPr>
              <w:t>l</w:t>
            </w:r>
          </w:p>
        </w:tc>
        <w:tc>
          <w:tcPr>
            <w:tcW w:w="1240" w:type="dxa"/>
            <w:vAlign w:val="bottom"/>
          </w:tcPr>
          <w:p>
            <w:pPr>
              <w:jc w:val="center"/>
              <w:spacing w:after="0"/>
              <w:rPr>
                <w:sz w:val="20"/>
                <w:szCs w:val="20"/>
                <w:color w:val="auto"/>
              </w:rPr>
            </w:pPr>
            <w:r>
              <w:rPr>
                <w:rFonts w:ascii="Wingdings" w:cs="Wingdings" w:eastAsia="Wingdings" w:hAnsi="Wingdings"/>
                <w:sz w:val="20"/>
                <w:szCs w:val="20"/>
                <w:b w:val="1"/>
                <w:bCs w:val="1"/>
                <w:color w:val="1A3B78"/>
              </w:rPr>
              <w:t>l</w:t>
            </w:r>
          </w:p>
        </w:tc>
        <w:tc>
          <w:tcPr>
            <w:tcW w:w="1340" w:type="dxa"/>
            <w:vAlign w:val="bottom"/>
          </w:tcPr>
          <w:p>
            <w:pPr>
              <w:jc w:val="center"/>
              <w:spacing w:after="0"/>
              <w:rPr>
                <w:sz w:val="20"/>
                <w:szCs w:val="20"/>
                <w:color w:val="auto"/>
              </w:rPr>
            </w:pPr>
            <w:r>
              <w:rPr>
                <w:rFonts w:ascii="Wingdings" w:cs="Wingdings" w:eastAsia="Wingdings" w:hAnsi="Wingdings"/>
                <w:sz w:val="20"/>
                <w:szCs w:val="20"/>
                <w:b w:val="1"/>
                <w:bCs w:val="1"/>
                <w:color w:val="1A3B78"/>
              </w:rPr>
              <w:t>l</w:t>
            </w:r>
          </w:p>
        </w:tc>
        <w:tc>
          <w:tcPr>
            <w:tcW w:w="1340" w:type="dxa"/>
            <w:vAlign w:val="bottom"/>
          </w:tcPr>
          <w:p>
            <w:pPr>
              <w:jc w:val="center"/>
              <w:spacing w:after="0"/>
              <w:rPr>
                <w:sz w:val="20"/>
                <w:szCs w:val="20"/>
                <w:color w:val="auto"/>
              </w:rPr>
            </w:pPr>
            <w:r>
              <w:rPr>
                <w:rFonts w:ascii="Wingdings" w:cs="Wingdings" w:eastAsia="Wingdings" w:hAnsi="Wingdings"/>
                <w:sz w:val="20"/>
                <w:szCs w:val="20"/>
                <w:b w:val="1"/>
                <w:bCs w:val="1"/>
                <w:color w:val="1A3B78"/>
                <w:w w:val="93"/>
              </w:rPr>
              <w:t>l</w:t>
            </w:r>
          </w:p>
        </w:tc>
      </w:tr>
      <w:tr>
        <w:trPr>
          <w:trHeight w:val="34"/>
        </w:trPr>
        <w:tc>
          <w:tcPr>
            <w:tcW w:w="6020" w:type="dxa"/>
            <w:vAlign w:val="bottom"/>
            <w:tcBorders>
              <w:bottom w:val="single" w:sz="8" w:color="D9D9D9"/>
            </w:tcBorders>
          </w:tcPr>
          <w:p>
            <w:pPr>
              <w:spacing w:after="0"/>
              <w:rPr>
                <w:sz w:val="2"/>
                <w:szCs w:val="2"/>
                <w:color w:val="auto"/>
              </w:rPr>
            </w:pPr>
          </w:p>
        </w:tc>
        <w:tc>
          <w:tcPr>
            <w:tcW w:w="1300" w:type="dxa"/>
            <w:vAlign w:val="bottom"/>
            <w:tcBorders>
              <w:bottom w:val="single" w:sz="8" w:color="D9D9D9"/>
            </w:tcBorders>
          </w:tcPr>
          <w:p>
            <w:pPr>
              <w:spacing w:after="0"/>
              <w:rPr>
                <w:sz w:val="2"/>
                <w:szCs w:val="2"/>
                <w:color w:val="auto"/>
              </w:rPr>
            </w:pPr>
          </w:p>
        </w:tc>
        <w:tc>
          <w:tcPr>
            <w:tcW w:w="1240" w:type="dxa"/>
            <w:vAlign w:val="bottom"/>
            <w:tcBorders>
              <w:bottom w:val="single" w:sz="8" w:color="D9D9D9"/>
            </w:tcBorders>
          </w:tcPr>
          <w:p>
            <w:pPr>
              <w:spacing w:after="0"/>
              <w:rPr>
                <w:sz w:val="2"/>
                <w:szCs w:val="2"/>
                <w:color w:val="auto"/>
              </w:rPr>
            </w:pPr>
          </w:p>
        </w:tc>
        <w:tc>
          <w:tcPr>
            <w:tcW w:w="1340" w:type="dxa"/>
            <w:vAlign w:val="bottom"/>
            <w:tcBorders>
              <w:bottom w:val="single" w:sz="8" w:color="D9D9D9"/>
            </w:tcBorders>
          </w:tcPr>
          <w:p>
            <w:pPr>
              <w:spacing w:after="0"/>
              <w:rPr>
                <w:sz w:val="2"/>
                <w:szCs w:val="2"/>
                <w:color w:val="auto"/>
              </w:rPr>
            </w:pPr>
          </w:p>
        </w:tc>
        <w:tc>
          <w:tcPr>
            <w:tcW w:w="1340" w:type="dxa"/>
            <w:vAlign w:val="bottom"/>
            <w:tcBorders>
              <w:bottom w:val="single" w:sz="8" w:color="D9D9D9"/>
            </w:tcBorders>
          </w:tcPr>
          <w:p>
            <w:pPr>
              <w:spacing w:after="0"/>
              <w:rPr>
                <w:sz w:val="2"/>
                <w:szCs w:val="2"/>
                <w:color w:val="auto"/>
              </w:rPr>
            </w:pPr>
          </w:p>
        </w:tc>
      </w:tr>
      <w:tr>
        <w:trPr>
          <w:trHeight w:val="242"/>
        </w:trPr>
        <w:tc>
          <w:tcPr>
            <w:tcW w:w="6020" w:type="dxa"/>
            <w:vAlign w:val="bottom"/>
          </w:tcPr>
          <w:p>
            <w:pPr>
              <w:ind w:left="20"/>
              <w:spacing w:after="0"/>
              <w:rPr>
                <w:sz w:val="20"/>
                <w:szCs w:val="20"/>
                <w:color w:val="auto"/>
              </w:rPr>
            </w:pPr>
            <w:r>
              <w:rPr>
                <w:rFonts w:ascii="Arial" w:cs="Arial" w:eastAsia="Arial" w:hAnsi="Arial"/>
                <w:sz w:val="16"/>
                <w:szCs w:val="16"/>
                <w:color w:val="auto"/>
              </w:rPr>
              <w:t>Accounting and Auditing Expertise</w:t>
            </w:r>
          </w:p>
        </w:tc>
        <w:tc>
          <w:tcPr>
            <w:tcW w:w="1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Wingdings" w:cs="Wingdings" w:eastAsia="Wingdings" w:hAnsi="Wingdings"/>
                <w:sz w:val="20"/>
                <w:szCs w:val="20"/>
                <w:b w:val="1"/>
                <w:bCs w:val="1"/>
                <w:color w:val="1A3B78"/>
              </w:rPr>
              <w:t>l</w:t>
            </w:r>
          </w:p>
        </w:tc>
        <w:tc>
          <w:tcPr>
            <w:tcW w:w="1340" w:type="dxa"/>
            <w:vAlign w:val="bottom"/>
          </w:tcPr>
          <w:p>
            <w:pPr>
              <w:spacing w:after="0"/>
              <w:rPr>
                <w:sz w:val="21"/>
                <w:szCs w:val="21"/>
                <w:color w:val="auto"/>
              </w:rPr>
            </w:pPr>
          </w:p>
        </w:tc>
      </w:tr>
      <w:tr>
        <w:trPr>
          <w:trHeight w:val="34"/>
        </w:trPr>
        <w:tc>
          <w:tcPr>
            <w:tcW w:w="6020" w:type="dxa"/>
            <w:vAlign w:val="bottom"/>
            <w:tcBorders>
              <w:bottom w:val="single" w:sz="8" w:color="D9D9D9"/>
            </w:tcBorders>
          </w:tcPr>
          <w:p>
            <w:pPr>
              <w:spacing w:after="0"/>
              <w:rPr>
                <w:sz w:val="2"/>
                <w:szCs w:val="2"/>
                <w:color w:val="auto"/>
              </w:rPr>
            </w:pPr>
          </w:p>
        </w:tc>
        <w:tc>
          <w:tcPr>
            <w:tcW w:w="1300" w:type="dxa"/>
            <w:vAlign w:val="bottom"/>
            <w:tcBorders>
              <w:bottom w:val="single" w:sz="8" w:color="D9D9D9"/>
            </w:tcBorders>
          </w:tcPr>
          <w:p>
            <w:pPr>
              <w:spacing w:after="0"/>
              <w:rPr>
                <w:sz w:val="2"/>
                <w:szCs w:val="2"/>
                <w:color w:val="auto"/>
              </w:rPr>
            </w:pPr>
          </w:p>
        </w:tc>
        <w:tc>
          <w:tcPr>
            <w:tcW w:w="1240" w:type="dxa"/>
            <w:vAlign w:val="bottom"/>
            <w:tcBorders>
              <w:bottom w:val="single" w:sz="8" w:color="D9D9D9"/>
            </w:tcBorders>
          </w:tcPr>
          <w:p>
            <w:pPr>
              <w:spacing w:after="0"/>
              <w:rPr>
                <w:sz w:val="2"/>
                <w:szCs w:val="2"/>
                <w:color w:val="auto"/>
              </w:rPr>
            </w:pPr>
          </w:p>
        </w:tc>
        <w:tc>
          <w:tcPr>
            <w:tcW w:w="1340" w:type="dxa"/>
            <w:vAlign w:val="bottom"/>
            <w:tcBorders>
              <w:bottom w:val="single" w:sz="8" w:color="D9D9D9"/>
            </w:tcBorders>
          </w:tcPr>
          <w:p>
            <w:pPr>
              <w:spacing w:after="0"/>
              <w:rPr>
                <w:sz w:val="2"/>
                <w:szCs w:val="2"/>
                <w:color w:val="auto"/>
              </w:rPr>
            </w:pPr>
          </w:p>
        </w:tc>
        <w:tc>
          <w:tcPr>
            <w:tcW w:w="1340" w:type="dxa"/>
            <w:vAlign w:val="bottom"/>
            <w:tcBorders>
              <w:bottom w:val="single" w:sz="8" w:color="D9D9D9"/>
            </w:tcBorders>
          </w:tcPr>
          <w:p>
            <w:pPr>
              <w:spacing w:after="0"/>
              <w:rPr>
                <w:sz w:val="2"/>
                <w:szCs w:val="2"/>
                <w:color w:val="auto"/>
              </w:rPr>
            </w:pPr>
          </w:p>
        </w:tc>
      </w:tr>
      <w:tr>
        <w:trPr>
          <w:trHeight w:val="242"/>
        </w:trPr>
        <w:tc>
          <w:tcPr>
            <w:tcW w:w="6020" w:type="dxa"/>
            <w:vAlign w:val="bottom"/>
          </w:tcPr>
          <w:p>
            <w:pPr>
              <w:ind w:left="20"/>
              <w:spacing w:after="0"/>
              <w:rPr>
                <w:sz w:val="20"/>
                <w:szCs w:val="20"/>
                <w:color w:val="auto"/>
              </w:rPr>
            </w:pPr>
            <w:r>
              <w:rPr>
                <w:rFonts w:ascii="Arial" w:cs="Arial" w:eastAsia="Arial" w:hAnsi="Arial"/>
                <w:sz w:val="16"/>
                <w:szCs w:val="16"/>
                <w:color w:val="auto"/>
              </w:rPr>
              <w:t>Industry Expertise, Regulatory and Specialized Knowledge in Public Utilities</w:t>
            </w:r>
          </w:p>
        </w:tc>
        <w:tc>
          <w:tcPr>
            <w:tcW w:w="1300" w:type="dxa"/>
            <w:vAlign w:val="bottom"/>
          </w:tcPr>
          <w:p>
            <w:pPr>
              <w:jc w:val="center"/>
              <w:ind w:left="107"/>
              <w:spacing w:after="0"/>
              <w:rPr>
                <w:sz w:val="20"/>
                <w:szCs w:val="20"/>
                <w:color w:val="auto"/>
              </w:rPr>
            </w:pPr>
            <w:r>
              <w:rPr>
                <w:rFonts w:ascii="Wingdings" w:cs="Wingdings" w:eastAsia="Wingdings" w:hAnsi="Wingdings"/>
                <w:sz w:val="20"/>
                <w:szCs w:val="20"/>
                <w:b w:val="1"/>
                <w:bCs w:val="1"/>
                <w:color w:val="1A3B78"/>
                <w:w w:val="93"/>
              </w:rPr>
              <w:t>l</w:t>
            </w:r>
          </w:p>
        </w:tc>
        <w:tc>
          <w:tcPr>
            <w:tcW w:w="1240" w:type="dxa"/>
            <w:vAlign w:val="bottom"/>
          </w:tcPr>
          <w:p>
            <w:pPr>
              <w:jc w:val="center"/>
              <w:spacing w:after="0"/>
              <w:rPr>
                <w:sz w:val="20"/>
                <w:szCs w:val="20"/>
                <w:color w:val="auto"/>
              </w:rPr>
            </w:pPr>
            <w:r>
              <w:rPr>
                <w:rFonts w:ascii="Wingdings" w:cs="Wingdings" w:eastAsia="Wingdings" w:hAnsi="Wingdings"/>
                <w:sz w:val="20"/>
                <w:szCs w:val="20"/>
                <w:b w:val="1"/>
                <w:bCs w:val="1"/>
                <w:color w:val="1A3B78"/>
              </w:rPr>
              <w:t>l</w:t>
            </w:r>
          </w:p>
        </w:tc>
        <w:tc>
          <w:tcPr>
            <w:tcW w:w="1340" w:type="dxa"/>
            <w:vAlign w:val="bottom"/>
          </w:tcPr>
          <w:p>
            <w:pPr>
              <w:jc w:val="center"/>
              <w:spacing w:after="0"/>
              <w:rPr>
                <w:sz w:val="20"/>
                <w:szCs w:val="20"/>
                <w:color w:val="auto"/>
              </w:rPr>
            </w:pPr>
            <w:r>
              <w:rPr>
                <w:rFonts w:ascii="Wingdings" w:cs="Wingdings" w:eastAsia="Wingdings" w:hAnsi="Wingdings"/>
                <w:sz w:val="20"/>
                <w:szCs w:val="20"/>
                <w:b w:val="1"/>
                <w:bCs w:val="1"/>
                <w:color w:val="1A3B78"/>
              </w:rPr>
              <w:t>l</w:t>
            </w:r>
          </w:p>
        </w:tc>
        <w:tc>
          <w:tcPr>
            <w:tcW w:w="1340" w:type="dxa"/>
            <w:vAlign w:val="bottom"/>
          </w:tcPr>
          <w:p>
            <w:pPr>
              <w:jc w:val="center"/>
              <w:spacing w:after="0"/>
              <w:rPr>
                <w:sz w:val="20"/>
                <w:szCs w:val="20"/>
                <w:color w:val="auto"/>
              </w:rPr>
            </w:pPr>
            <w:r>
              <w:rPr>
                <w:rFonts w:ascii="Wingdings" w:cs="Wingdings" w:eastAsia="Wingdings" w:hAnsi="Wingdings"/>
                <w:sz w:val="20"/>
                <w:szCs w:val="20"/>
                <w:b w:val="1"/>
                <w:bCs w:val="1"/>
                <w:color w:val="1A3B78"/>
                <w:w w:val="93"/>
              </w:rPr>
              <w:t>l</w:t>
            </w:r>
          </w:p>
        </w:tc>
      </w:tr>
      <w:tr>
        <w:trPr>
          <w:trHeight w:val="34"/>
        </w:trPr>
        <w:tc>
          <w:tcPr>
            <w:tcW w:w="6020" w:type="dxa"/>
            <w:vAlign w:val="bottom"/>
            <w:tcBorders>
              <w:bottom w:val="single" w:sz="8" w:color="D9D9D9"/>
            </w:tcBorders>
          </w:tcPr>
          <w:p>
            <w:pPr>
              <w:spacing w:after="0"/>
              <w:rPr>
                <w:sz w:val="2"/>
                <w:szCs w:val="2"/>
                <w:color w:val="auto"/>
              </w:rPr>
            </w:pPr>
          </w:p>
        </w:tc>
        <w:tc>
          <w:tcPr>
            <w:tcW w:w="1300" w:type="dxa"/>
            <w:vAlign w:val="bottom"/>
            <w:tcBorders>
              <w:bottom w:val="single" w:sz="8" w:color="D9D9D9"/>
            </w:tcBorders>
          </w:tcPr>
          <w:p>
            <w:pPr>
              <w:spacing w:after="0"/>
              <w:rPr>
                <w:sz w:val="2"/>
                <w:szCs w:val="2"/>
                <w:color w:val="auto"/>
              </w:rPr>
            </w:pPr>
          </w:p>
        </w:tc>
        <w:tc>
          <w:tcPr>
            <w:tcW w:w="1240" w:type="dxa"/>
            <w:vAlign w:val="bottom"/>
            <w:tcBorders>
              <w:bottom w:val="single" w:sz="8" w:color="D9D9D9"/>
            </w:tcBorders>
          </w:tcPr>
          <w:p>
            <w:pPr>
              <w:spacing w:after="0"/>
              <w:rPr>
                <w:sz w:val="2"/>
                <w:szCs w:val="2"/>
                <w:color w:val="auto"/>
              </w:rPr>
            </w:pPr>
          </w:p>
        </w:tc>
        <w:tc>
          <w:tcPr>
            <w:tcW w:w="1340" w:type="dxa"/>
            <w:vAlign w:val="bottom"/>
            <w:tcBorders>
              <w:bottom w:val="single" w:sz="8" w:color="D9D9D9"/>
            </w:tcBorders>
          </w:tcPr>
          <w:p>
            <w:pPr>
              <w:spacing w:after="0"/>
              <w:rPr>
                <w:sz w:val="2"/>
                <w:szCs w:val="2"/>
                <w:color w:val="auto"/>
              </w:rPr>
            </w:pPr>
          </w:p>
        </w:tc>
        <w:tc>
          <w:tcPr>
            <w:tcW w:w="1340" w:type="dxa"/>
            <w:vAlign w:val="bottom"/>
            <w:tcBorders>
              <w:bottom w:val="single" w:sz="8" w:color="D9D9D9"/>
            </w:tcBorders>
          </w:tcPr>
          <w:p>
            <w:pPr>
              <w:spacing w:after="0"/>
              <w:rPr>
                <w:sz w:val="2"/>
                <w:szCs w:val="2"/>
                <w:color w:val="auto"/>
              </w:rPr>
            </w:pPr>
          </w:p>
        </w:tc>
      </w:tr>
      <w:tr>
        <w:trPr>
          <w:trHeight w:val="242"/>
        </w:trPr>
        <w:tc>
          <w:tcPr>
            <w:tcW w:w="6020" w:type="dxa"/>
            <w:vAlign w:val="bottom"/>
          </w:tcPr>
          <w:p>
            <w:pPr>
              <w:ind w:left="20"/>
              <w:spacing w:after="0"/>
              <w:rPr>
                <w:sz w:val="20"/>
                <w:szCs w:val="20"/>
                <w:color w:val="auto"/>
              </w:rPr>
            </w:pPr>
            <w:r>
              <w:rPr>
                <w:rFonts w:ascii="Arial" w:cs="Arial" w:eastAsia="Arial" w:hAnsi="Arial"/>
                <w:sz w:val="16"/>
                <w:szCs w:val="16"/>
                <w:color w:val="auto"/>
              </w:rPr>
              <w:t>Strategy and Policy Expertise</w:t>
            </w:r>
          </w:p>
        </w:tc>
        <w:tc>
          <w:tcPr>
            <w:tcW w:w="1300" w:type="dxa"/>
            <w:vAlign w:val="bottom"/>
          </w:tcPr>
          <w:p>
            <w:pPr>
              <w:jc w:val="center"/>
              <w:ind w:left="107"/>
              <w:spacing w:after="0"/>
              <w:rPr>
                <w:sz w:val="20"/>
                <w:szCs w:val="20"/>
                <w:color w:val="auto"/>
              </w:rPr>
            </w:pPr>
            <w:r>
              <w:rPr>
                <w:rFonts w:ascii="Wingdings" w:cs="Wingdings" w:eastAsia="Wingdings" w:hAnsi="Wingdings"/>
                <w:sz w:val="20"/>
                <w:szCs w:val="20"/>
                <w:b w:val="1"/>
                <w:bCs w:val="1"/>
                <w:color w:val="1A3B78"/>
                <w:w w:val="93"/>
              </w:rPr>
              <w:t>l</w:t>
            </w:r>
          </w:p>
        </w:tc>
        <w:tc>
          <w:tcPr>
            <w:tcW w:w="1240" w:type="dxa"/>
            <w:vAlign w:val="bottom"/>
          </w:tcPr>
          <w:p>
            <w:pPr>
              <w:jc w:val="center"/>
              <w:spacing w:after="0"/>
              <w:rPr>
                <w:sz w:val="20"/>
                <w:szCs w:val="20"/>
                <w:color w:val="auto"/>
              </w:rPr>
            </w:pPr>
            <w:r>
              <w:rPr>
                <w:rFonts w:ascii="Wingdings" w:cs="Wingdings" w:eastAsia="Wingdings" w:hAnsi="Wingdings"/>
                <w:sz w:val="20"/>
                <w:szCs w:val="20"/>
                <w:b w:val="1"/>
                <w:bCs w:val="1"/>
                <w:color w:val="1A3B78"/>
              </w:rPr>
              <w:t>l</w:t>
            </w:r>
          </w:p>
        </w:tc>
        <w:tc>
          <w:tcPr>
            <w:tcW w:w="1340" w:type="dxa"/>
            <w:vAlign w:val="bottom"/>
          </w:tcPr>
          <w:p>
            <w:pPr>
              <w:jc w:val="center"/>
              <w:spacing w:after="0"/>
              <w:rPr>
                <w:sz w:val="20"/>
                <w:szCs w:val="20"/>
                <w:color w:val="auto"/>
              </w:rPr>
            </w:pPr>
            <w:r>
              <w:rPr>
                <w:rFonts w:ascii="Wingdings" w:cs="Wingdings" w:eastAsia="Wingdings" w:hAnsi="Wingdings"/>
                <w:sz w:val="20"/>
                <w:szCs w:val="20"/>
                <w:b w:val="1"/>
                <w:bCs w:val="1"/>
                <w:color w:val="1A3B78"/>
              </w:rPr>
              <w:t>l</w:t>
            </w:r>
          </w:p>
        </w:tc>
        <w:tc>
          <w:tcPr>
            <w:tcW w:w="1340" w:type="dxa"/>
            <w:vAlign w:val="bottom"/>
          </w:tcPr>
          <w:p>
            <w:pPr>
              <w:jc w:val="center"/>
              <w:spacing w:after="0"/>
              <w:rPr>
                <w:sz w:val="20"/>
                <w:szCs w:val="20"/>
                <w:color w:val="auto"/>
              </w:rPr>
            </w:pPr>
            <w:r>
              <w:rPr>
                <w:rFonts w:ascii="Wingdings" w:cs="Wingdings" w:eastAsia="Wingdings" w:hAnsi="Wingdings"/>
                <w:sz w:val="20"/>
                <w:szCs w:val="20"/>
                <w:b w:val="1"/>
                <w:bCs w:val="1"/>
                <w:color w:val="1A3B78"/>
                <w:w w:val="93"/>
              </w:rPr>
              <w:t>l</w:t>
            </w:r>
          </w:p>
        </w:tc>
      </w:tr>
      <w:tr>
        <w:trPr>
          <w:trHeight w:val="34"/>
        </w:trPr>
        <w:tc>
          <w:tcPr>
            <w:tcW w:w="6020" w:type="dxa"/>
            <w:vAlign w:val="bottom"/>
            <w:tcBorders>
              <w:bottom w:val="single" w:sz="8" w:color="D9D9D9"/>
            </w:tcBorders>
          </w:tcPr>
          <w:p>
            <w:pPr>
              <w:spacing w:after="0"/>
              <w:rPr>
                <w:sz w:val="2"/>
                <w:szCs w:val="2"/>
                <w:color w:val="auto"/>
              </w:rPr>
            </w:pPr>
          </w:p>
        </w:tc>
        <w:tc>
          <w:tcPr>
            <w:tcW w:w="1300" w:type="dxa"/>
            <w:vAlign w:val="bottom"/>
            <w:tcBorders>
              <w:bottom w:val="single" w:sz="8" w:color="D9D9D9"/>
            </w:tcBorders>
          </w:tcPr>
          <w:p>
            <w:pPr>
              <w:spacing w:after="0"/>
              <w:rPr>
                <w:sz w:val="2"/>
                <w:szCs w:val="2"/>
                <w:color w:val="auto"/>
              </w:rPr>
            </w:pPr>
          </w:p>
        </w:tc>
        <w:tc>
          <w:tcPr>
            <w:tcW w:w="1240" w:type="dxa"/>
            <w:vAlign w:val="bottom"/>
            <w:tcBorders>
              <w:bottom w:val="single" w:sz="8" w:color="D9D9D9"/>
            </w:tcBorders>
          </w:tcPr>
          <w:p>
            <w:pPr>
              <w:spacing w:after="0"/>
              <w:rPr>
                <w:sz w:val="2"/>
                <w:szCs w:val="2"/>
                <w:color w:val="auto"/>
              </w:rPr>
            </w:pPr>
          </w:p>
        </w:tc>
        <w:tc>
          <w:tcPr>
            <w:tcW w:w="1340" w:type="dxa"/>
            <w:vAlign w:val="bottom"/>
            <w:tcBorders>
              <w:bottom w:val="single" w:sz="8" w:color="D9D9D9"/>
            </w:tcBorders>
          </w:tcPr>
          <w:p>
            <w:pPr>
              <w:spacing w:after="0"/>
              <w:rPr>
                <w:sz w:val="2"/>
                <w:szCs w:val="2"/>
                <w:color w:val="auto"/>
              </w:rPr>
            </w:pPr>
          </w:p>
        </w:tc>
        <w:tc>
          <w:tcPr>
            <w:tcW w:w="1340" w:type="dxa"/>
            <w:vAlign w:val="bottom"/>
            <w:tcBorders>
              <w:bottom w:val="single" w:sz="8" w:color="D9D9D9"/>
            </w:tcBorders>
          </w:tcPr>
          <w:p>
            <w:pPr>
              <w:spacing w:after="0"/>
              <w:rPr>
                <w:sz w:val="2"/>
                <w:szCs w:val="2"/>
                <w:color w:val="auto"/>
              </w:rPr>
            </w:pPr>
          </w:p>
        </w:tc>
      </w:tr>
      <w:tr>
        <w:trPr>
          <w:trHeight w:val="242"/>
        </w:trPr>
        <w:tc>
          <w:tcPr>
            <w:tcW w:w="6020" w:type="dxa"/>
            <w:vAlign w:val="bottom"/>
          </w:tcPr>
          <w:p>
            <w:pPr>
              <w:ind w:left="20"/>
              <w:spacing w:after="0"/>
              <w:rPr>
                <w:sz w:val="20"/>
                <w:szCs w:val="20"/>
                <w:color w:val="auto"/>
              </w:rPr>
            </w:pPr>
            <w:r>
              <w:rPr>
                <w:rFonts w:ascii="Arial" w:cs="Arial" w:eastAsia="Arial" w:hAnsi="Arial"/>
                <w:sz w:val="16"/>
                <w:szCs w:val="16"/>
                <w:color w:val="auto"/>
              </w:rPr>
              <w:t>Public Service and Government Experience</w:t>
            </w:r>
          </w:p>
        </w:tc>
        <w:tc>
          <w:tcPr>
            <w:tcW w:w="13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Wingdings" w:cs="Wingdings" w:eastAsia="Wingdings" w:hAnsi="Wingdings"/>
                <w:sz w:val="20"/>
                <w:szCs w:val="20"/>
                <w:b w:val="1"/>
                <w:bCs w:val="1"/>
                <w:color w:val="1A3B78"/>
              </w:rPr>
              <w:t>l</w:t>
            </w:r>
          </w:p>
        </w:tc>
        <w:tc>
          <w:tcPr>
            <w:tcW w:w="13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34"/>
        </w:trPr>
        <w:tc>
          <w:tcPr>
            <w:tcW w:w="6020" w:type="dxa"/>
            <w:vAlign w:val="bottom"/>
            <w:tcBorders>
              <w:bottom w:val="single" w:sz="8" w:color="D9D9D9"/>
            </w:tcBorders>
          </w:tcPr>
          <w:p>
            <w:pPr>
              <w:spacing w:after="0"/>
              <w:rPr>
                <w:sz w:val="2"/>
                <w:szCs w:val="2"/>
                <w:color w:val="auto"/>
              </w:rPr>
            </w:pPr>
          </w:p>
        </w:tc>
        <w:tc>
          <w:tcPr>
            <w:tcW w:w="1300" w:type="dxa"/>
            <w:vAlign w:val="bottom"/>
            <w:tcBorders>
              <w:bottom w:val="single" w:sz="8" w:color="D9D9D9"/>
            </w:tcBorders>
          </w:tcPr>
          <w:p>
            <w:pPr>
              <w:spacing w:after="0"/>
              <w:rPr>
                <w:sz w:val="2"/>
                <w:szCs w:val="2"/>
                <w:color w:val="auto"/>
              </w:rPr>
            </w:pPr>
          </w:p>
        </w:tc>
        <w:tc>
          <w:tcPr>
            <w:tcW w:w="1240" w:type="dxa"/>
            <w:vAlign w:val="bottom"/>
            <w:tcBorders>
              <w:bottom w:val="single" w:sz="8" w:color="D9D9D9"/>
            </w:tcBorders>
          </w:tcPr>
          <w:p>
            <w:pPr>
              <w:spacing w:after="0"/>
              <w:rPr>
                <w:sz w:val="2"/>
                <w:szCs w:val="2"/>
                <w:color w:val="auto"/>
              </w:rPr>
            </w:pPr>
          </w:p>
        </w:tc>
        <w:tc>
          <w:tcPr>
            <w:tcW w:w="1340" w:type="dxa"/>
            <w:vAlign w:val="bottom"/>
            <w:tcBorders>
              <w:bottom w:val="single" w:sz="8" w:color="D9D9D9"/>
            </w:tcBorders>
          </w:tcPr>
          <w:p>
            <w:pPr>
              <w:spacing w:after="0"/>
              <w:rPr>
                <w:sz w:val="2"/>
                <w:szCs w:val="2"/>
                <w:color w:val="auto"/>
              </w:rPr>
            </w:pPr>
          </w:p>
        </w:tc>
        <w:tc>
          <w:tcPr>
            <w:tcW w:w="1340" w:type="dxa"/>
            <w:vAlign w:val="bottom"/>
            <w:tcBorders>
              <w:bottom w:val="single" w:sz="8" w:color="D9D9D9"/>
            </w:tcBorders>
          </w:tcPr>
          <w:p>
            <w:pPr>
              <w:spacing w:after="0"/>
              <w:rPr>
                <w:sz w:val="2"/>
                <w:szCs w:val="2"/>
                <w:color w:val="auto"/>
              </w:rPr>
            </w:pPr>
          </w:p>
        </w:tc>
      </w:tr>
      <w:tr>
        <w:trPr>
          <w:trHeight w:val="242"/>
        </w:trPr>
        <w:tc>
          <w:tcPr>
            <w:tcW w:w="6020" w:type="dxa"/>
            <w:vAlign w:val="bottom"/>
          </w:tcPr>
          <w:p>
            <w:pPr>
              <w:ind w:left="20"/>
              <w:spacing w:after="0"/>
              <w:rPr>
                <w:sz w:val="20"/>
                <w:szCs w:val="20"/>
                <w:color w:val="auto"/>
              </w:rPr>
            </w:pPr>
            <w:r>
              <w:rPr>
                <w:rFonts w:ascii="Arial" w:cs="Arial" w:eastAsia="Arial" w:hAnsi="Arial"/>
                <w:sz w:val="16"/>
                <w:szCs w:val="16"/>
                <w:color w:val="auto"/>
              </w:rPr>
              <w:t>Legal Expertise and Law Practice Leadership</w:t>
            </w:r>
          </w:p>
        </w:tc>
        <w:tc>
          <w:tcPr>
            <w:tcW w:w="1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Wingdings" w:cs="Wingdings" w:eastAsia="Wingdings" w:hAnsi="Wingdings"/>
                <w:sz w:val="20"/>
                <w:szCs w:val="20"/>
                <w:b w:val="1"/>
                <w:bCs w:val="1"/>
                <w:color w:val="1A3B78"/>
                <w:w w:val="93"/>
              </w:rPr>
              <w:t>l</w:t>
            </w:r>
          </w:p>
        </w:tc>
      </w:tr>
      <w:tr>
        <w:trPr>
          <w:trHeight w:val="34"/>
        </w:trPr>
        <w:tc>
          <w:tcPr>
            <w:tcW w:w="6020" w:type="dxa"/>
            <w:vAlign w:val="bottom"/>
            <w:tcBorders>
              <w:bottom w:val="single" w:sz="8" w:color="00AEEF"/>
            </w:tcBorders>
          </w:tcPr>
          <w:p>
            <w:pPr>
              <w:spacing w:after="0"/>
              <w:rPr>
                <w:sz w:val="2"/>
                <w:szCs w:val="2"/>
                <w:color w:val="auto"/>
              </w:rPr>
            </w:pPr>
          </w:p>
        </w:tc>
        <w:tc>
          <w:tcPr>
            <w:tcW w:w="1300" w:type="dxa"/>
            <w:vAlign w:val="bottom"/>
            <w:tcBorders>
              <w:bottom w:val="single" w:sz="8" w:color="00AEEF"/>
            </w:tcBorders>
          </w:tcPr>
          <w:p>
            <w:pPr>
              <w:spacing w:after="0"/>
              <w:rPr>
                <w:sz w:val="2"/>
                <w:szCs w:val="2"/>
                <w:color w:val="auto"/>
              </w:rPr>
            </w:pPr>
          </w:p>
        </w:tc>
        <w:tc>
          <w:tcPr>
            <w:tcW w:w="1240" w:type="dxa"/>
            <w:vAlign w:val="bottom"/>
            <w:tcBorders>
              <w:bottom w:val="single" w:sz="8" w:color="00AEEF"/>
            </w:tcBorders>
          </w:tcPr>
          <w:p>
            <w:pPr>
              <w:spacing w:after="0"/>
              <w:rPr>
                <w:sz w:val="2"/>
                <w:szCs w:val="2"/>
                <w:color w:val="auto"/>
              </w:rPr>
            </w:pPr>
          </w:p>
        </w:tc>
        <w:tc>
          <w:tcPr>
            <w:tcW w:w="1340" w:type="dxa"/>
            <w:vAlign w:val="bottom"/>
            <w:tcBorders>
              <w:bottom w:val="single" w:sz="8" w:color="00AEEF"/>
            </w:tcBorders>
          </w:tcPr>
          <w:p>
            <w:pPr>
              <w:spacing w:after="0"/>
              <w:rPr>
                <w:sz w:val="2"/>
                <w:szCs w:val="2"/>
                <w:color w:val="auto"/>
              </w:rPr>
            </w:pPr>
          </w:p>
        </w:tc>
        <w:tc>
          <w:tcPr>
            <w:tcW w:w="1340" w:type="dxa"/>
            <w:vAlign w:val="bottom"/>
            <w:tcBorders>
              <w:bottom w:val="single" w:sz="8" w:color="00AEEF"/>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515620</wp:posOffset>
            </wp:positionV>
            <wp:extent cx="7620" cy="132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60" w:hanging="445"/>
        <w:spacing w:after="0"/>
        <w:tabs>
          <w:tab w:leader="none" w:pos="460" w:val="left"/>
        </w:tabs>
        <w:numPr>
          <w:ilvl w:val="0"/>
          <w:numId w:val="14"/>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217805</wp:posOffset>
            </wp:positionV>
            <wp:extent cx="716978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4"/>
          <w:szCs w:val="14"/>
          <w:b w:val="1"/>
          <w:bCs w:val="1"/>
          <w:color w:val="191769"/>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6"/>
          <w:szCs w:val="36"/>
          <w:b w:val="1"/>
          <w:bCs w:val="1"/>
          <w:color w:val="0076A8"/>
        </w:rPr>
        <w:t>Nominees for the Board of Directors</w:t>
      </w:r>
    </w:p>
    <w:p>
      <w:pPr>
        <w:spacing w:after="0" w:line="141" w:lineRule="exact"/>
        <w:rPr>
          <w:sz w:val="20"/>
          <w:szCs w:val="20"/>
          <w:color w:val="auto"/>
        </w:rPr>
      </w:pPr>
    </w:p>
    <w:p>
      <w:pPr>
        <w:ind w:right="240"/>
        <w:spacing w:after="0" w:line="243" w:lineRule="auto"/>
        <w:rPr>
          <w:sz w:val="20"/>
          <w:szCs w:val="20"/>
          <w:color w:val="auto"/>
        </w:rPr>
      </w:pPr>
      <w:r>
        <w:rPr>
          <w:rFonts w:ascii="Arial" w:cs="Arial" w:eastAsia="Arial" w:hAnsi="Arial"/>
          <w:sz w:val="16"/>
          <w:szCs w:val="16"/>
          <w:color w:val="auto"/>
        </w:rPr>
        <w:t>We set forth information with respect to the business experience, qualifications and affiliations of our Director nominees below. No such director has any transactions, relationships or arrangements not disclosed under Item 404(a) (as required under Item 7(b) of Schedule 14A) that the Board considered</w:t>
      </w:r>
    </w:p>
    <w:p>
      <w:pPr>
        <w:ind w:right="220"/>
        <w:spacing w:after="0" w:line="246" w:lineRule="auto"/>
        <w:rPr>
          <w:sz w:val="20"/>
          <w:szCs w:val="20"/>
          <w:color w:val="auto"/>
        </w:rPr>
      </w:pPr>
      <w:r>
        <w:rPr>
          <w:rFonts w:ascii="Arial" w:cs="Arial" w:eastAsia="Arial" w:hAnsi="Arial"/>
          <w:sz w:val="16"/>
          <w:szCs w:val="16"/>
          <w:color w:val="auto"/>
        </w:rPr>
        <w:t>under the applicable independence standard in determining that the director is independent. Nor are there any family relationships within the meaning of Item 401(d) between any director, executive officer, or person nominated or chosen by the registrant to become a director or executive officer,</w:t>
      </w:r>
    </w:p>
    <w:p>
      <w:pPr>
        <w:spacing w:after="0" w:line="131" w:lineRule="exact"/>
        <w:rPr>
          <w:sz w:val="20"/>
          <w:szCs w:val="20"/>
          <w:color w:val="auto"/>
        </w:rPr>
      </w:pPr>
    </w:p>
    <w:p>
      <w:pPr>
        <w:spacing w:after="0"/>
        <w:rPr>
          <w:sz w:val="20"/>
          <w:szCs w:val="20"/>
          <w:color w:val="auto"/>
        </w:rPr>
      </w:pPr>
      <w:r>
        <w:rPr>
          <w:rFonts w:ascii="Arial" w:cs="Arial" w:eastAsia="Arial" w:hAnsi="Arial"/>
          <w:sz w:val="28"/>
          <w:szCs w:val="28"/>
          <w:b w:val="1"/>
          <w:bCs w:val="1"/>
          <w:color w:val="191769"/>
        </w:rPr>
        <w:t>Class III – (Term Expires in 2026)</w:t>
      </w:r>
    </w:p>
    <w:p>
      <w:pPr>
        <w:spacing w:after="0" w:line="89" w:lineRule="exact"/>
        <w:rPr>
          <w:sz w:val="20"/>
          <w:szCs w:val="20"/>
          <w:color w:val="auto"/>
        </w:rPr>
      </w:pPr>
    </w:p>
    <w:p>
      <w:pPr>
        <w:spacing w:after="0"/>
        <w:rPr>
          <w:sz w:val="20"/>
          <w:szCs w:val="20"/>
          <w:color w:val="auto"/>
        </w:rPr>
      </w:pPr>
      <w:r>
        <w:rPr>
          <w:rFonts w:ascii="Arial" w:cs="Arial" w:eastAsia="Arial" w:hAnsi="Arial"/>
          <w:sz w:val="26"/>
          <w:szCs w:val="26"/>
          <w:color w:val="191769"/>
        </w:rPr>
        <w:t>Joshua Bershad,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47625</wp:posOffset>
            </wp:positionV>
            <wp:extent cx="5292090" cy="22040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92090" cy="220408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60" w:right="580"/>
        <w:spacing w:after="0" w:line="309" w:lineRule="auto"/>
        <w:rPr>
          <w:sz w:val="20"/>
          <w:szCs w:val="20"/>
          <w:color w:val="auto"/>
        </w:rPr>
      </w:pPr>
      <w:r>
        <w:rPr>
          <w:rFonts w:ascii="Arial" w:cs="Arial" w:eastAsia="Arial" w:hAnsi="Arial"/>
          <w:sz w:val="16"/>
          <w:szCs w:val="16"/>
          <w:b w:val="1"/>
          <w:bCs w:val="1"/>
          <w:color w:val="0076A8"/>
        </w:rPr>
        <w:t>Independent Director since 2020</w:t>
      </w:r>
    </w:p>
    <w:p>
      <w:pPr>
        <w:spacing w:after="0" w:line="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191769"/>
        </w:rPr>
        <w:t xml:space="preserve">Age: </w:t>
      </w:r>
      <w:r>
        <w:rPr>
          <w:rFonts w:ascii="Arial" w:cs="Arial" w:eastAsia="Arial" w:hAnsi="Arial"/>
          <w:sz w:val="16"/>
          <w:szCs w:val="16"/>
          <w:color w:val="000000"/>
        </w:rPr>
        <w:t>52</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191769"/>
        </w:rPr>
        <w:t>Board Committees:</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Audit, Compensation (Chair)</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Experience and Qualifications: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Dr. Joshua Bershad is Executive Vice President, Physician Services of RWJBarnabas Health and Chief Medical</w:t>
      </w:r>
    </w:p>
    <w:p>
      <w:pPr>
        <w:spacing w:after="0" w:line="1" w:lineRule="exact"/>
        <w:rPr>
          <w:sz w:val="20"/>
          <w:szCs w:val="20"/>
          <w:color w:val="auto"/>
        </w:rPr>
      </w:pPr>
    </w:p>
    <w:p>
      <w:pPr>
        <w:ind w:right="380"/>
        <w:spacing w:after="0" w:line="232" w:lineRule="auto"/>
        <w:rPr>
          <w:sz w:val="20"/>
          <w:szCs w:val="20"/>
          <w:color w:val="auto"/>
        </w:rPr>
      </w:pPr>
      <w:r>
        <w:rPr>
          <w:rFonts w:ascii="Arial" w:cs="Arial" w:eastAsia="Arial" w:hAnsi="Arial"/>
          <w:sz w:val="16"/>
          <w:szCs w:val="16"/>
          <w:color w:val="auto"/>
        </w:rPr>
        <w:t>Officer of Rutgers Athletics. In addition to his roles with RWJBarnabas Health and Rutgers Athletics, Dr. Bershad teaches in multiple capacities at Rutgers University, including as Clinical Assistant Professor of Medicine at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Rutgers-Robert Wood Johnson Medical School, as Adjunct Clinical Professor at Rutgers-Ernest Mario School of</w:t>
      </w:r>
    </w:p>
    <w:p>
      <w:pPr>
        <w:spacing w:after="0" w:line="1" w:lineRule="exact"/>
        <w:rPr>
          <w:sz w:val="20"/>
          <w:szCs w:val="20"/>
          <w:color w:val="auto"/>
        </w:rPr>
      </w:pPr>
    </w:p>
    <w:p>
      <w:pPr>
        <w:ind w:right="340"/>
        <w:spacing w:after="0" w:line="232" w:lineRule="auto"/>
        <w:rPr>
          <w:sz w:val="20"/>
          <w:szCs w:val="20"/>
          <w:color w:val="auto"/>
        </w:rPr>
      </w:pPr>
      <w:r>
        <w:rPr>
          <w:rFonts w:ascii="Arial" w:cs="Arial" w:eastAsia="Arial" w:hAnsi="Arial"/>
          <w:sz w:val="16"/>
          <w:szCs w:val="16"/>
          <w:color w:val="auto"/>
        </w:rPr>
        <w:t>Pharmacy, and as Visiting Lecturer at Rutgers Business School EMBA Program. Previously, he served in multiple senior executive roles within Robert Wood Johnson University Hospital &amp; Health System, including Senior Vice</w:t>
      </w:r>
    </w:p>
    <w:p>
      <w:pPr>
        <w:spacing w:after="0" w:line="1" w:lineRule="exact"/>
        <w:rPr>
          <w:sz w:val="20"/>
          <w:szCs w:val="20"/>
          <w:color w:val="auto"/>
        </w:rPr>
      </w:pPr>
    </w:p>
    <w:p>
      <w:pPr>
        <w:ind w:right="320"/>
        <w:spacing w:after="0" w:line="232" w:lineRule="auto"/>
        <w:rPr>
          <w:sz w:val="20"/>
          <w:szCs w:val="20"/>
          <w:color w:val="auto"/>
        </w:rPr>
      </w:pPr>
      <w:r>
        <w:rPr>
          <w:rFonts w:ascii="Arial" w:cs="Arial" w:eastAsia="Arial" w:hAnsi="Arial"/>
          <w:sz w:val="16"/>
          <w:szCs w:val="16"/>
          <w:color w:val="auto"/>
        </w:rPr>
        <w:t>President/Chief Medical Officer and Chair of the Medical Executive Committee. He was the organizer and initial President of RWJ Physician Enterprise, a multispecialty physician group. Dr. Bershad is Chairman of the Board of</w:t>
      </w:r>
    </w:p>
    <w:p>
      <w:pPr>
        <w:spacing w:after="0" w:line="1" w:lineRule="exact"/>
        <w:rPr>
          <w:sz w:val="20"/>
          <w:szCs w:val="20"/>
          <w:color w:val="auto"/>
        </w:rPr>
      </w:pPr>
    </w:p>
    <w:p>
      <w:pPr>
        <w:ind w:right="660"/>
        <w:spacing w:after="0" w:line="246" w:lineRule="auto"/>
        <w:rPr>
          <w:sz w:val="20"/>
          <w:szCs w:val="20"/>
          <w:color w:val="auto"/>
        </w:rPr>
      </w:pPr>
      <w:r>
        <w:rPr>
          <w:rFonts w:ascii="Arial" w:cs="Arial" w:eastAsia="Arial" w:hAnsi="Arial"/>
          <w:sz w:val="16"/>
          <w:szCs w:val="16"/>
          <w:color w:val="auto"/>
        </w:rPr>
        <w:t>Directors of Robert Wood Johnson Visiting Nurses. He also is a member of the Board of Trustees of the VNA Health Group.</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Education: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Dr. Bershad attended both Rutgers Medical School and Rutgers Business School where he received his MD and</w:t>
      </w:r>
    </w:p>
    <w:p>
      <w:pPr>
        <w:spacing w:after="0" w:line="1" w:lineRule="exact"/>
        <w:rPr>
          <w:sz w:val="20"/>
          <w:szCs w:val="20"/>
          <w:color w:val="auto"/>
        </w:rPr>
      </w:pPr>
    </w:p>
    <w:p>
      <w:pPr>
        <w:ind w:right="460"/>
        <w:spacing w:after="0" w:line="246" w:lineRule="auto"/>
        <w:rPr>
          <w:sz w:val="20"/>
          <w:szCs w:val="20"/>
          <w:color w:val="auto"/>
        </w:rPr>
      </w:pPr>
      <w:r>
        <w:rPr>
          <w:rFonts w:ascii="Arial" w:cs="Arial" w:eastAsia="Arial" w:hAnsi="Arial"/>
          <w:sz w:val="16"/>
          <w:szCs w:val="16"/>
          <w:color w:val="auto"/>
        </w:rPr>
        <w:t>MBA, respectively. He also holds a Bachelor’s degree in Biology/Geology from the State University of New York (SUNY) Binghamton.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-1715135</wp:posOffset>
            </wp:positionH>
            <wp:positionV relativeFrom="paragraph">
              <wp:posOffset>182880</wp:posOffset>
            </wp:positionV>
            <wp:extent cx="714438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40" w:space="360"/>
            <w:col w:w="8540"/>
          </w:cols>
          <w:pgMar w:left="320" w:top="124" w:right="339" w:bottom="1440" w:gutter="0" w:footer="0" w:header="0"/>
          <w:type w:val="continuous"/>
        </w:sectPr>
      </w:pPr>
    </w:p>
    <w:p>
      <w:pPr>
        <w:spacing w:after="0" w:line="350" w:lineRule="exact"/>
        <w:rPr>
          <w:sz w:val="20"/>
          <w:szCs w:val="20"/>
          <w:color w:val="auto"/>
        </w:rPr>
      </w:pPr>
    </w:p>
    <w:p>
      <w:pPr>
        <w:spacing w:after="0"/>
        <w:rPr>
          <w:sz w:val="20"/>
          <w:szCs w:val="20"/>
          <w:color w:val="auto"/>
        </w:rPr>
      </w:pPr>
      <w:r>
        <w:rPr>
          <w:rFonts w:ascii="Arial" w:cs="Arial" w:eastAsia="Arial" w:hAnsi="Arial"/>
          <w:sz w:val="27"/>
          <w:szCs w:val="27"/>
          <w:b w:val="1"/>
          <w:bCs w:val="1"/>
          <w:color w:val="191769"/>
        </w:rPr>
        <w:t>Class III – (Term Expires in 2026)</w:t>
      </w:r>
    </w:p>
    <w:p>
      <w:pPr>
        <w:spacing w:after="0" w:line="100" w:lineRule="exact"/>
        <w:rPr>
          <w:sz w:val="20"/>
          <w:szCs w:val="20"/>
          <w:color w:val="auto"/>
        </w:rPr>
      </w:pPr>
    </w:p>
    <w:p>
      <w:pPr>
        <w:spacing w:after="0"/>
        <w:rPr>
          <w:sz w:val="20"/>
          <w:szCs w:val="20"/>
          <w:color w:val="auto"/>
        </w:rPr>
      </w:pPr>
      <w:r>
        <w:rPr>
          <w:rFonts w:ascii="Arial" w:cs="Arial" w:eastAsia="Arial" w:hAnsi="Arial"/>
          <w:sz w:val="26"/>
          <w:szCs w:val="26"/>
          <w:color w:val="191769"/>
        </w:rPr>
        <w:t>James F. Cosgrove,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47625</wp:posOffset>
            </wp:positionV>
            <wp:extent cx="5292090" cy="2454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92090" cy="2454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60" w:right="240"/>
        <w:spacing w:after="0" w:line="309" w:lineRule="auto"/>
        <w:rPr>
          <w:sz w:val="20"/>
          <w:szCs w:val="20"/>
          <w:color w:val="auto"/>
        </w:rPr>
      </w:pPr>
      <w:r>
        <w:rPr>
          <w:rFonts w:ascii="Arial" w:cs="Arial" w:eastAsia="Arial" w:hAnsi="Arial"/>
          <w:sz w:val="16"/>
          <w:szCs w:val="16"/>
          <w:b w:val="1"/>
          <w:bCs w:val="1"/>
          <w:color w:val="0076A8"/>
        </w:rPr>
        <w:t>Independent Director since 2010</w:t>
      </w:r>
    </w:p>
    <w:p>
      <w:pPr>
        <w:spacing w:after="0" w:line="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191769"/>
        </w:rPr>
        <w:t xml:space="preserve">Age: </w:t>
      </w:r>
      <w:r>
        <w:rPr>
          <w:rFonts w:ascii="Arial" w:cs="Arial" w:eastAsia="Arial" w:hAnsi="Arial"/>
          <w:sz w:val="16"/>
          <w:szCs w:val="16"/>
          <w:color w:val="000000"/>
        </w:rPr>
        <w:t>62</w:t>
      </w:r>
    </w:p>
    <w:p>
      <w:pPr>
        <w:spacing w:after="0" w:line="99" w:lineRule="exact"/>
        <w:rPr>
          <w:sz w:val="20"/>
          <w:szCs w:val="20"/>
          <w:color w:val="auto"/>
        </w:rPr>
      </w:pPr>
    </w:p>
    <w:p>
      <w:pPr>
        <w:ind w:left="260"/>
        <w:spacing w:after="0" w:line="278" w:lineRule="auto"/>
        <w:rPr>
          <w:sz w:val="20"/>
          <w:szCs w:val="20"/>
          <w:color w:val="auto"/>
        </w:rPr>
      </w:pPr>
      <w:r>
        <w:rPr>
          <w:rFonts w:ascii="Arial" w:cs="Arial" w:eastAsia="Arial" w:hAnsi="Arial"/>
          <w:sz w:val="16"/>
          <w:szCs w:val="16"/>
          <w:b w:val="1"/>
          <w:bCs w:val="1"/>
          <w:color w:val="191769"/>
        </w:rPr>
        <w:t xml:space="preserve">Board Committees: </w:t>
      </w:r>
      <w:r>
        <w:rPr>
          <w:rFonts w:ascii="Arial" w:cs="Arial" w:eastAsia="Arial" w:hAnsi="Arial"/>
          <w:sz w:val="16"/>
          <w:szCs w:val="16"/>
          <w:color w:val="000000"/>
        </w:rPr>
        <w:t>Compensation, Pension (Chair)</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Experience and Qualifications:</w:t>
      </w:r>
    </w:p>
    <w:p>
      <w:pPr>
        <w:spacing w:after="0" w:line="41" w:lineRule="exact"/>
        <w:rPr>
          <w:sz w:val="20"/>
          <w:szCs w:val="20"/>
          <w:color w:val="auto"/>
        </w:rPr>
      </w:pPr>
    </w:p>
    <w:p>
      <w:pPr>
        <w:ind w:right="460"/>
        <w:spacing w:after="0" w:line="241" w:lineRule="auto"/>
        <w:rPr>
          <w:sz w:val="20"/>
          <w:szCs w:val="20"/>
          <w:color w:val="auto"/>
        </w:rPr>
      </w:pPr>
      <w:r>
        <w:rPr>
          <w:rFonts w:ascii="Arial" w:cs="Arial" w:eastAsia="Arial" w:hAnsi="Arial"/>
          <w:sz w:val="16"/>
          <w:szCs w:val="16"/>
          <w:color w:val="auto"/>
        </w:rPr>
        <w:t>James F. Cosgrove Jr. is the President of One Water Consulting, LLC, a company providing water resource solutions, strategic planning, and regulatory compliance support to public and private sector entities. Prior to his</w:t>
      </w:r>
    </w:p>
    <w:p>
      <w:pPr>
        <w:spacing w:after="0" w:line="1" w:lineRule="exact"/>
        <w:rPr>
          <w:sz w:val="20"/>
          <w:szCs w:val="20"/>
          <w:color w:val="auto"/>
        </w:rPr>
      </w:pPr>
    </w:p>
    <w:p>
      <w:pPr>
        <w:ind w:right="260"/>
        <w:spacing w:after="0" w:line="232" w:lineRule="auto"/>
        <w:rPr>
          <w:sz w:val="20"/>
          <w:szCs w:val="20"/>
          <w:color w:val="auto"/>
        </w:rPr>
      </w:pPr>
      <w:r>
        <w:rPr>
          <w:rFonts w:ascii="Arial" w:cs="Arial" w:eastAsia="Arial" w:hAnsi="Arial"/>
          <w:sz w:val="16"/>
          <w:szCs w:val="16"/>
          <w:color w:val="auto"/>
        </w:rPr>
        <w:t>current position, he served as Vice President and Principal of Kleinfelder, a firm offering consulting in engineering design, environmental analysis, geotechnical engineering, construction management, and remediation to its water,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transportation, energy, and other private infrastructure clients throughout the U.S., Canada and Australia. A</w:t>
      </w:r>
    </w:p>
    <w:p>
      <w:pPr>
        <w:spacing w:after="0" w:line="1" w:lineRule="exact"/>
        <w:rPr>
          <w:sz w:val="20"/>
          <w:szCs w:val="20"/>
          <w:color w:val="auto"/>
        </w:rPr>
      </w:pPr>
    </w:p>
    <w:p>
      <w:pPr>
        <w:ind w:right="200"/>
        <w:spacing w:after="0" w:line="232" w:lineRule="auto"/>
        <w:rPr>
          <w:sz w:val="20"/>
          <w:szCs w:val="20"/>
          <w:color w:val="auto"/>
        </w:rPr>
      </w:pPr>
      <w:r>
        <w:rPr>
          <w:rFonts w:ascii="Arial" w:cs="Arial" w:eastAsia="Arial" w:hAnsi="Arial"/>
          <w:sz w:val="16"/>
          <w:szCs w:val="16"/>
          <w:color w:val="auto"/>
        </w:rPr>
        <w:t>Professional Engineer licensed in the State of New Jersey, Mr. Cosgrove has nearly 40 years’ experience in the field of environmental engineering and science with extensive background in water quality monitoring/modeling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environmental impact analysis. Mr. Cosgrove formerly served as Principal and Founder of Omni Environmental</w:t>
      </w:r>
    </w:p>
    <w:p>
      <w:pPr>
        <w:spacing w:after="0" w:line="1" w:lineRule="exact"/>
        <w:rPr>
          <w:sz w:val="20"/>
          <w:szCs w:val="20"/>
          <w:color w:val="auto"/>
        </w:rPr>
      </w:pPr>
    </w:p>
    <w:p>
      <w:pPr>
        <w:ind w:right="260"/>
        <w:spacing w:after="0" w:line="232" w:lineRule="auto"/>
        <w:rPr>
          <w:sz w:val="20"/>
          <w:szCs w:val="20"/>
          <w:color w:val="auto"/>
        </w:rPr>
      </w:pPr>
      <w:r>
        <w:rPr>
          <w:rFonts w:ascii="Arial" w:cs="Arial" w:eastAsia="Arial" w:hAnsi="Arial"/>
          <w:sz w:val="16"/>
          <w:szCs w:val="16"/>
          <w:color w:val="auto"/>
        </w:rPr>
        <w:t>LLC, an environmental consulting firm based in Princeton, NJ. Mr. Cosgrove’s professional affiliations include the American Society of Civil Engineers, American Water Resources Association, American Water Works Association,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National Society of Professional Engineers, and Water Environment Federation, among others. He serves on the</w:t>
      </w:r>
    </w:p>
    <w:p>
      <w:pPr>
        <w:spacing w:after="0" w:line="1" w:lineRule="exact"/>
        <w:rPr>
          <w:sz w:val="20"/>
          <w:szCs w:val="20"/>
          <w:color w:val="auto"/>
        </w:rPr>
      </w:pPr>
    </w:p>
    <w:p>
      <w:pPr>
        <w:ind w:right="560"/>
        <w:spacing w:after="0" w:line="246" w:lineRule="auto"/>
        <w:rPr>
          <w:sz w:val="20"/>
          <w:szCs w:val="20"/>
          <w:color w:val="auto"/>
        </w:rPr>
      </w:pPr>
      <w:r>
        <w:rPr>
          <w:rFonts w:ascii="Arial" w:cs="Arial" w:eastAsia="Arial" w:hAnsi="Arial"/>
          <w:sz w:val="16"/>
          <w:szCs w:val="16"/>
          <w:color w:val="auto"/>
        </w:rPr>
        <w:t>Board of Directors of the Association of Environmental Authorities and is a member and past Chair of the New Jersey Clean Water Council.</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Education:</w:t>
      </w:r>
    </w:p>
    <w:p>
      <w:pPr>
        <w:spacing w:after="0" w:line="41" w:lineRule="exact"/>
        <w:rPr>
          <w:sz w:val="20"/>
          <w:szCs w:val="20"/>
          <w:color w:val="auto"/>
        </w:rPr>
      </w:pPr>
    </w:p>
    <w:p>
      <w:pPr>
        <w:ind w:right="560"/>
        <w:spacing w:after="0" w:line="233" w:lineRule="auto"/>
        <w:rPr>
          <w:sz w:val="20"/>
          <w:szCs w:val="20"/>
          <w:color w:val="auto"/>
        </w:rPr>
      </w:pPr>
      <w:r>
        <w:rPr>
          <w:rFonts w:ascii="Arial" w:cs="Arial" w:eastAsia="Arial" w:hAnsi="Arial"/>
          <w:sz w:val="16"/>
          <w:szCs w:val="16"/>
          <w:color w:val="auto"/>
        </w:rPr>
        <w:t>Mr. Cosgrove received a Bachelor’s degree of Science degree in Civil Engineering from Lafayette College and earned his Master of Engineering in Environmental and Water Resource Systems Engineering from Cornell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-1715135</wp:posOffset>
            </wp:positionH>
            <wp:positionV relativeFrom="paragraph">
              <wp:posOffset>86995</wp:posOffset>
            </wp:positionV>
            <wp:extent cx="714438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700"/>
            <w:col w:w="8540"/>
          </w:cols>
          <w:pgMar w:left="320" w:top="124" w:right="339"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860" w:type="dxa"/>
            <w:vAlign w:val="bottom"/>
            <w:tcBorders>
              <w:right w:val="single" w:sz="8" w:color="00AEEF"/>
            </w:tcBorders>
          </w:tcPr>
          <w:p>
            <w:pPr>
              <w:ind w:left="94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11</w:t>
            </w:r>
          </w:p>
        </w:tc>
      </w:tr>
      <w:tr>
        <w:trPr>
          <w:trHeight w:val="312"/>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b w:val="1"/>
          <w:bCs w:val="1"/>
          <w:color w:val="191769"/>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7"/>
          <w:szCs w:val="27"/>
          <w:b w:val="1"/>
          <w:bCs w:val="1"/>
          <w:color w:val="191769"/>
        </w:rPr>
        <w:t>Class III – (Term Expires in 2026)</w:t>
      </w:r>
    </w:p>
    <w:p>
      <w:pPr>
        <w:sectPr>
          <w:pgSz w:w="11900" w:h="16838" w:orient="portrait"/>
          <w:cols w:equalWidth="0" w:num="1">
            <w:col w:w="11060"/>
          </w:cols>
          <w:pgMar w:left="320" w:top="124" w:right="519" w:bottom="1440" w:gutter="0" w:footer="0" w:header="0"/>
        </w:sectPr>
      </w:pPr>
    </w:p>
    <w:p>
      <w:pPr>
        <w:spacing w:after="0" w:line="100" w:lineRule="exact"/>
        <w:rPr>
          <w:sz w:val="20"/>
          <w:szCs w:val="20"/>
          <w:color w:val="auto"/>
        </w:rPr>
      </w:pPr>
    </w:p>
    <w:p>
      <w:pPr>
        <w:spacing w:after="0"/>
        <w:rPr>
          <w:sz w:val="20"/>
          <w:szCs w:val="20"/>
          <w:color w:val="auto"/>
        </w:rPr>
      </w:pPr>
      <w:r>
        <w:rPr>
          <w:rFonts w:ascii="Arial" w:cs="Arial" w:eastAsia="Arial" w:hAnsi="Arial"/>
          <w:sz w:val="26"/>
          <w:szCs w:val="26"/>
          <w:color w:val="191769"/>
        </w:rPr>
        <w:t>Vaughn L. McKoy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118110</wp:posOffset>
            </wp:positionV>
            <wp:extent cx="1555750" cy="1915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55750" cy="1915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60" w:right="320"/>
        <w:spacing w:after="0" w:line="309" w:lineRule="auto"/>
        <w:rPr>
          <w:sz w:val="20"/>
          <w:szCs w:val="20"/>
          <w:color w:val="auto"/>
        </w:rPr>
      </w:pPr>
      <w:r>
        <w:rPr>
          <w:rFonts w:ascii="Arial" w:cs="Arial" w:eastAsia="Arial" w:hAnsi="Arial"/>
          <w:sz w:val="16"/>
          <w:szCs w:val="16"/>
          <w:b w:val="1"/>
          <w:bCs w:val="1"/>
          <w:color w:val="0076A8"/>
        </w:rPr>
        <w:t>Independent Director since 2021</w:t>
      </w:r>
    </w:p>
    <w:p>
      <w:pPr>
        <w:spacing w:after="0" w:line="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191769"/>
        </w:rPr>
        <w:t xml:space="preserve">Age: </w:t>
      </w:r>
      <w:r>
        <w:rPr>
          <w:rFonts w:ascii="Arial" w:cs="Arial" w:eastAsia="Arial" w:hAnsi="Arial"/>
          <w:sz w:val="16"/>
          <w:szCs w:val="16"/>
          <w:color w:val="000000"/>
        </w:rPr>
        <w:t>57</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191769"/>
        </w:rPr>
        <w:t>Board Committees:</w:t>
      </w:r>
    </w:p>
    <w:p>
      <w:pPr>
        <w:spacing w:after="0" w:line="29" w:lineRule="exact"/>
        <w:rPr>
          <w:sz w:val="20"/>
          <w:szCs w:val="20"/>
          <w:color w:val="auto"/>
        </w:rPr>
      </w:pPr>
    </w:p>
    <w:p>
      <w:pPr>
        <w:ind w:left="260"/>
        <w:spacing w:after="0" w:line="267" w:lineRule="auto"/>
        <w:rPr>
          <w:sz w:val="20"/>
          <w:szCs w:val="20"/>
          <w:color w:val="auto"/>
        </w:rPr>
      </w:pPr>
      <w:r>
        <w:rPr>
          <w:rFonts w:ascii="Arial" w:cs="Arial" w:eastAsia="Arial" w:hAnsi="Arial"/>
          <w:sz w:val="16"/>
          <w:szCs w:val="16"/>
          <w:color w:val="auto"/>
        </w:rPr>
        <w:t>Corporate Governance &amp; Nominating, Enterprise Risk, Pension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-1706880</wp:posOffset>
            </wp:positionH>
            <wp:positionV relativeFrom="paragraph">
              <wp:posOffset>-261620</wp:posOffset>
            </wp:positionV>
            <wp:extent cx="5283835" cy="234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83835" cy="23495"/>
                    </a:xfrm>
                    <a:prstGeom prst="rect">
                      <a:avLst/>
                    </a:prstGeom>
                    <a:noFill/>
                  </pic:spPr>
                </pic:pic>
              </a:graphicData>
            </a:graphic>
          </wp:anchor>
        </w:drawing>
      </w:r>
    </w:p>
    <w:p>
      <w:pPr>
        <w:spacing w:after="0" w:line="3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Vaughn L. McKoy Esq., is Partner with the firm of Connell Foley, LLP where he specializes in general and commercial litigation, regulatory matters, corporate governance, ethics and compliance and government affairs. His leadership experience includes over 25 years working with federal and state governments, non-profits, law firms and corporations. Mr. McKoy brings to the Middlesex Board over 12 years of experience in various legal and business positions of increasing responsibility at Public Service Enterprise Group (PSEG) New Jersey’s largest utility company, where he completed his tenure as Managing Director and Vice-President. Mr. McKoy serves on the Board of Governors of Hackensack Meridian Medical School. He serves as Vice Chair of the Dfree Global Foundation and on the Corporate Advisory Council of the Boys and Girls Clubs of New Jersey. .</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Education:</w:t>
      </w:r>
    </w:p>
    <w:p>
      <w:pPr>
        <w:spacing w:after="0" w:line="41"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Mr. McKoy holds a Bachelor’ degree of Science in administration of justice from Rutgers University. He earned a juris doctorate from Rutgers University’s School of Law and a Master of Business Administration degree from New York University’s Stern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-1715135</wp:posOffset>
            </wp:positionH>
            <wp:positionV relativeFrom="paragraph">
              <wp:posOffset>51435</wp:posOffset>
            </wp:positionV>
            <wp:extent cx="714438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620"/>
            <w:col w:w="8360"/>
          </w:cols>
          <w:pgMar w:left="320" w:top="124" w:right="519" w:bottom="1440" w:gutter="0" w:footer="0" w:header="0"/>
          <w:type w:val="continuous"/>
        </w:sectPr>
      </w:pPr>
    </w:p>
    <w:p>
      <w:pPr>
        <w:spacing w:after="0" w:line="216" w:lineRule="exact"/>
        <w:rPr>
          <w:sz w:val="20"/>
          <w:szCs w:val="20"/>
          <w:color w:val="auto"/>
        </w:rPr>
      </w:pPr>
    </w:p>
    <w:p>
      <w:pPr>
        <w:spacing w:after="0"/>
        <w:rPr>
          <w:sz w:val="20"/>
          <w:szCs w:val="20"/>
          <w:color w:val="auto"/>
        </w:rPr>
      </w:pPr>
      <w:r>
        <w:rPr>
          <w:rFonts w:ascii="Arial" w:cs="Arial" w:eastAsia="Arial" w:hAnsi="Arial"/>
          <w:sz w:val="27"/>
          <w:szCs w:val="27"/>
          <w:b w:val="1"/>
          <w:bCs w:val="1"/>
          <w:color w:val="191769"/>
        </w:rPr>
        <w:t>Class II – (Term Expires in 2028)</w:t>
      </w:r>
    </w:p>
    <w:p>
      <w:pPr>
        <w:sectPr>
          <w:pgSz w:w="11900" w:h="16838" w:orient="portrait"/>
          <w:cols w:equalWidth="0" w:num="1">
            <w:col w:w="11060"/>
          </w:cols>
          <w:pgMar w:left="320" w:top="124" w:right="519" w:bottom="1440" w:gutter="0" w:footer="0" w:header="0"/>
          <w:type w:val="continuous"/>
        </w:sectPr>
      </w:pPr>
    </w:p>
    <w:p>
      <w:pPr>
        <w:spacing w:after="0" w:line="100" w:lineRule="exact"/>
        <w:rPr>
          <w:sz w:val="20"/>
          <w:szCs w:val="20"/>
          <w:color w:val="auto"/>
        </w:rPr>
      </w:pPr>
    </w:p>
    <w:p>
      <w:pPr>
        <w:spacing w:after="0"/>
        <w:rPr>
          <w:sz w:val="20"/>
          <w:szCs w:val="20"/>
          <w:color w:val="auto"/>
        </w:rPr>
      </w:pPr>
      <w:r>
        <w:rPr>
          <w:rFonts w:ascii="Arial" w:cs="Arial" w:eastAsia="Arial" w:hAnsi="Arial"/>
          <w:sz w:val="26"/>
          <w:szCs w:val="26"/>
          <w:color w:val="191769"/>
        </w:rPr>
        <w:t>Robert Hoglund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1555750" cy="20243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55750" cy="202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60" w:right="60"/>
        <w:spacing w:after="0" w:line="305" w:lineRule="auto"/>
        <w:rPr>
          <w:sz w:val="20"/>
          <w:szCs w:val="20"/>
          <w:color w:val="auto"/>
        </w:rPr>
      </w:pPr>
      <w:r>
        <w:rPr>
          <w:rFonts w:ascii="Arial" w:cs="Arial" w:eastAsia="Arial" w:hAnsi="Arial"/>
          <w:sz w:val="16"/>
          <w:szCs w:val="16"/>
          <w:b w:val="1"/>
          <w:bCs w:val="1"/>
          <w:color w:val="0076A8"/>
        </w:rPr>
        <w:t>Independent Director since 2026</w:t>
      </w:r>
    </w:p>
    <w:p>
      <w:pPr>
        <w:ind w:left="260"/>
        <w:spacing w:after="0"/>
        <w:rPr>
          <w:sz w:val="20"/>
          <w:szCs w:val="20"/>
          <w:color w:val="auto"/>
        </w:rPr>
      </w:pPr>
      <w:r>
        <w:rPr>
          <w:rFonts w:ascii="Arial" w:cs="Arial" w:eastAsia="Arial" w:hAnsi="Arial"/>
          <w:sz w:val="16"/>
          <w:szCs w:val="16"/>
          <w:b w:val="1"/>
          <w:bCs w:val="1"/>
          <w:color w:val="191769"/>
        </w:rPr>
        <w:t xml:space="preserve">Age: </w:t>
      </w:r>
      <w:r>
        <w:rPr>
          <w:rFonts w:ascii="Arial" w:cs="Arial" w:eastAsia="Arial" w:hAnsi="Arial"/>
          <w:sz w:val="16"/>
          <w:szCs w:val="16"/>
          <w:color w:val="000000"/>
        </w:rPr>
        <w:t>64</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191769"/>
        </w:rPr>
        <w:t>Board Committees:</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Audit, Enterprise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1017270</wp:posOffset>
            </wp:positionV>
            <wp:extent cx="7620" cy="132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-1706880</wp:posOffset>
            </wp:positionH>
            <wp:positionV relativeFrom="paragraph">
              <wp:posOffset>-261620</wp:posOffset>
            </wp:positionV>
            <wp:extent cx="5283835" cy="234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83835" cy="23495"/>
                    </a:xfrm>
                    <a:prstGeom prst="rect">
                      <a:avLst/>
                    </a:prstGeom>
                    <a:noFill/>
                  </pic:spPr>
                </pic:pic>
              </a:graphicData>
            </a:graphic>
          </wp:anchor>
        </w:drawing>
      </w:r>
    </w:p>
    <w:p>
      <w:pPr>
        <w:spacing w:after="0" w:line="30"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Robert Hoglund is a seasoned executive with over 35 years of experience in financial management and utilities. Before retiring, he served as the Senior Vice President and Chief Financial Officer of Consolidated Edison, Inc.. (“Con Edison”), where he oversaw Con Edison’s accounting, tax, financial planning and analysis, strategic planning, treasury and enterprise risk management functions, and led Con Edison’s mergers and acquisitions efforts. Previously, Mr. Hoglund served as the Head of the North American Power Coverage Group and Managing Director of the Mergers &amp; Acquisitions Department at Citigroup, Inc., where he advised boards of directors on public utility company mergers, acquisitions, divestitures and restructurings. Mr. Hoglund is Chairman of the Board of Directors of the Chamber Music Society of Lincoln Center, a member of the Board of Directors of the Lincoln Center for the Performing Arts, Treasurer and Board member of the Citizens Budget Commission and the Finance Chair of the Orchestra of St. Lukes.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Education:</w:t>
      </w:r>
    </w:p>
    <w:p>
      <w:pPr>
        <w:spacing w:after="0" w:line="41" w:lineRule="exact"/>
        <w:rPr>
          <w:sz w:val="20"/>
          <w:szCs w:val="20"/>
          <w:color w:val="auto"/>
        </w:rPr>
      </w:pPr>
    </w:p>
    <w:p>
      <w:pPr>
        <w:ind w:right="700"/>
        <w:spacing w:after="0" w:line="295" w:lineRule="auto"/>
        <w:rPr>
          <w:sz w:val="20"/>
          <w:szCs w:val="20"/>
          <w:color w:val="auto"/>
        </w:rPr>
      </w:pPr>
      <w:r>
        <w:rPr>
          <w:rFonts w:ascii="Arial" w:cs="Arial" w:eastAsia="Arial" w:hAnsi="Arial"/>
          <w:sz w:val="16"/>
          <w:szCs w:val="16"/>
          <w:color w:val="auto"/>
        </w:rPr>
        <w:t>Mr. Hoglund holds a Bachelor’s degree of Arts in English, a Juris Doctor degree and a Master of Business Administration from the University of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-1715135</wp:posOffset>
            </wp:positionH>
            <wp:positionV relativeFrom="paragraph">
              <wp:posOffset>50165</wp:posOffset>
            </wp:positionV>
            <wp:extent cx="714438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8360"/>
          </w:cols>
          <w:pgMar w:left="320" w:top="124" w:right="519" w:bottom="1440" w:gutter="0" w:footer="0" w:header="0"/>
          <w:type w:val="continuous"/>
        </w:sectPr>
      </w:pPr>
    </w:p>
    <w:p>
      <w:pPr>
        <w:spacing w:after="0" w:line="200" w:lineRule="exact"/>
        <w:rPr>
          <w:sz w:val="20"/>
          <w:szCs w:val="20"/>
          <w:color w:val="auto"/>
        </w:rPr>
      </w:pPr>
    </w:p>
    <w:p>
      <w:pPr>
        <w:spacing w:after="0" w:line="373" w:lineRule="exact"/>
        <w:rPr>
          <w:sz w:val="20"/>
          <w:szCs w:val="20"/>
          <w:color w:val="auto"/>
        </w:rPr>
      </w:pPr>
    </w:p>
    <w:p>
      <w:pPr>
        <w:ind w:left="460" w:hanging="445"/>
        <w:spacing w:after="0"/>
        <w:tabs>
          <w:tab w:leader="none" w:pos="460" w:val="left"/>
        </w:tabs>
        <w:numPr>
          <w:ilvl w:val="0"/>
          <w:numId w:val="15"/>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210185</wp:posOffset>
            </wp:positionV>
            <wp:extent cx="716978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060"/>
          </w:cols>
          <w:pgMar w:left="320" w:top="124" w:right="51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4"/>
          <w:szCs w:val="14"/>
          <w:b w:val="1"/>
          <w:bCs w:val="1"/>
          <w:color w:val="191769"/>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6"/>
          <w:szCs w:val="36"/>
          <w:b w:val="1"/>
          <w:bCs w:val="1"/>
          <w:color w:val="0076A8"/>
        </w:rPr>
        <w:t>Directors Not Standing for Election in 2026</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We set forth information with respect to the business experience, qualifications and affiliations of our Directors not standing for election in 2026:</w:t>
      </w:r>
    </w:p>
    <w:p>
      <w:pPr>
        <w:spacing w:after="0" w:line="266" w:lineRule="exact"/>
        <w:rPr>
          <w:sz w:val="20"/>
          <w:szCs w:val="20"/>
          <w:color w:val="auto"/>
        </w:rPr>
      </w:pPr>
    </w:p>
    <w:p>
      <w:pPr>
        <w:spacing w:after="0"/>
        <w:rPr>
          <w:sz w:val="20"/>
          <w:szCs w:val="20"/>
          <w:color w:val="auto"/>
        </w:rPr>
      </w:pPr>
      <w:r>
        <w:rPr>
          <w:rFonts w:ascii="Arial" w:cs="Arial" w:eastAsia="Arial" w:hAnsi="Arial"/>
          <w:sz w:val="28"/>
          <w:szCs w:val="28"/>
          <w:b w:val="1"/>
          <w:bCs w:val="1"/>
          <w:color w:val="191769"/>
        </w:rPr>
        <w:t>Class III – (Term Expires in 2026)</w:t>
      </w:r>
    </w:p>
    <w:p>
      <w:pPr>
        <w:sectPr>
          <w:pgSz w:w="11900" w:h="16838" w:orient="portrait"/>
          <w:cols w:equalWidth="0" w:num="1">
            <w:col w:w="11240"/>
          </w:cols>
          <w:pgMar w:left="320" w:top="124" w:right="339" w:bottom="1440" w:gutter="0" w:footer="0" w:header="0"/>
        </w:sectPr>
      </w:pPr>
    </w:p>
    <w:p>
      <w:pPr>
        <w:spacing w:after="0" w:line="89" w:lineRule="exact"/>
        <w:rPr>
          <w:sz w:val="20"/>
          <w:szCs w:val="20"/>
          <w:color w:val="auto"/>
        </w:rPr>
      </w:pPr>
    </w:p>
    <w:p>
      <w:pPr>
        <w:spacing w:after="0"/>
        <w:rPr>
          <w:sz w:val="20"/>
          <w:szCs w:val="20"/>
          <w:color w:val="auto"/>
        </w:rPr>
      </w:pPr>
      <w:r>
        <w:rPr>
          <w:rFonts w:ascii="Arial" w:cs="Arial" w:eastAsia="Arial" w:hAnsi="Arial"/>
          <w:sz w:val="26"/>
          <w:szCs w:val="26"/>
          <w:color w:val="191769"/>
        </w:rPr>
        <w:t>Walter G. Reinhard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118110</wp:posOffset>
            </wp:positionV>
            <wp:extent cx="1555750" cy="1915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55750" cy="1915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60" w:right="480"/>
        <w:spacing w:after="0" w:line="309" w:lineRule="auto"/>
        <w:rPr>
          <w:sz w:val="20"/>
          <w:szCs w:val="20"/>
          <w:color w:val="auto"/>
        </w:rPr>
      </w:pPr>
      <w:r>
        <w:rPr>
          <w:rFonts w:ascii="Arial" w:cs="Arial" w:eastAsia="Arial" w:hAnsi="Arial"/>
          <w:sz w:val="16"/>
          <w:szCs w:val="16"/>
          <w:b w:val="1"/>
          <w:bCs w:val="1"/>
          <w:color w:val="0076A8"/>
        </w:rPr>
        <w:t>Independent Director since 2002</w:t>
      </w:r>
    </w:p>
    <w:p>
      <w:pPr>
        <w:spacing w:after="0" w:line="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191769"/>
        </w:rPr>
        <w:t xml:space="preserve">Age: </w:t>
      </w:r>
      <w:r>
        <w:rPr>
          <w:rFonts w:ascii="Arial" w:cs="Arial" w:eastAsia="Arial" w:hAnsi="Arial"/>
          <w:sz w:val="16"/>
          <w:szCs w:val="16"/>
          <w:color w:val="000000"/>
        </w:rPr>
        <w:t>80</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191769"/>
        </w:rPr>
        <w:t>Board Committees:</w:t>
      </w:r>
    </w:p>
    <w:p>
      <w:pPr>
        <w:spacing w:after="0" w:line="29" w:lineRule="exact"/>
        <w:rPr>
          <w:sz w:val="20"/>
          <w:szCs w:val="20"/>
          <w:color w:val="auto"/>
        </w:rPr>
      </w:pPr>
    </w:p>
    <w:p>
      <w:pPr>
        <w:ind w:left="260" w:right="160"/>
        <w:spacing w:after="0" w:line="278" w:lineRule="auto"/>
        <w:rPr>
          <w:sz w:val="20"/>
          <w:szCs w:val="20"/>
          <w:color w:val="auto"/>
        </w:rPr>
      </w:pPr>
      <w:r>
        <w:rPr>
          <w:rFonts w:ascii="Arial" w:cs="Arial" w:eastAsia="Arial" w:hAnsi="Arial"/>
          <w:sz w:val="16"/>
          <w:szCs w:val="16"/>
          <w:color w:val="auto"/>
        </w:rPr>
        <w:t>Corporate Governance &amp; Nominating, Pension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-1706880</wp:posOffset>
            </wp:positionH>
            <wp:positionV relativeFrom="paragraph">
              <wp:posOffset>-261620</wp:posOffset>
            </wp:positionV>
            <wp:extent cx="5283835" cy="23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83835" cy="23495"/>
                    </a:xfrm>
                    <a:prstGeom prst="rect">
                      <a:avLst/>
                    </a:prstGeom>
                    <a:noFill/>
                  </pic:spPr>
                </pic:pic>
              </a:graphicData>
            </a:graphic>
          </wp:anchor>
        </w:drawing>
      </w:r>
    </w:p>
    <w:p>
      <w:pPr>
        <w:spacing w:after="0" w:line="30"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Walter G. Reinhard served as a partner of the law firm of Norris McLaughlin, P.A. prior to his retirement from the active practice of law and partnership in the firm on December 31, 2014. Mr. Reinhard had been with the firm since 1984 and practiced administrative, environmental and regulatory law involving public utilities. He brings over 40 years of legal experience to the Board including expertise in handling regulatory matters before the New Jersey Board of Public Utilities and the New Jersey Department of Environmental Protection. During his tenure at Norris McLaughlin, Mr. Reinhard’s professional affiliations included the New Jersey State Bar Association and its Public Utility Law Section (Chair, 1988-89), the Water Utility Council of the American Water Works Association, New Jersey Chapter, and the New Jersey Chapter of the National Association of Water Companies. Mr. Reinhard serves as a Trustee of the Fanwood-Scotch Plains YMCA.</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Education:</w:t>
      </w:r>
    </w:p>
    <w:p>
      <w:pPr>
        <w:spacing w:after="0" w:line="41" w:lineRule="exact"/>
        <w:rPr>
          <w:sz w:val="20"/>
          <w:szCs w:val="20"/>
          <w:color w:val="auto"/>
        </w:rPr>
      </w:pPr>
    </w:p>
    <w:p>
      <w:pPr>
        <w:ind w:right="680"/>
        <w:spacing w:after="0" w:line="295" w:lineRule="auto"/>
        <w:rPr>
          <w:sz w:val="20"/>
          <w:szCs w:val="20"/>
          <w:color w:val="auto"/>
        </w:rPr>
      </w:pPr>
      <w:r>
        <w:rPr>
          <w:rFonts w:ascii="Arial" w:cs="Arial" w:eastAsia="Arial" w:hAnsi="Arial"/>
          <w:sz w:val="16"/>
          <w:szCs w:val="16"/>
          <w:color w:val="auto"/>
        </w:rPr>
        <w:t>Mr. Reinhard received his Bachelor’s degree of Arts from the University of Pennsylvania and his Juris Doctor Degree from Pennsylvania State University’s Dickinson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-1715135</wp:posOffset>
            </wp:positionH>
            <wp:positionV relativeFrom="paragraph">
              <wp:posOffset>41910</wp:posOffset>
            </wp:positionV>
            <wp:extent cx="714438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460"/>
            <w:col w:w="8540"/>
          </w:cols>
          <w:pgMar w:left="320" w:top="124" w:right="339"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Arial" w:cs="Arial" w:eastAsia="Arial" w:hAnsi="Arial"/>
          <w:sz w:val="27"/>
          <w:szCs w:val="27"/>
          <w:b w:val="1"/>
          <w:bCs w:val="1"/>
          <w:color w:val="191769"/>
        </w:rPr>
        <w:t>Class I – (Term Expires in 2027)</w:t>
      </w:r>
    </w:p>
    <w:p>
      <w:pPr>
        <w:sectPr>
          <w:pgSz w:w="11900" w:h="16838" w:orient="portrait"/>
          <w:cols w:equalWidth="0" w:num="1">
            <w:col w:w="11240"/>
          </w:cols>
          <w:pgMar w:left="320" w:top="124" w:right="339" w:bottom="1440" w:gutter="0" w:footer="0" w:header="0"/>
          <w:type w:val="continuous"/>
        </w:sectPr>
      </w:pPr>
    </w:p>
    <w:p>
      <w:pPr>
        <w:spacing w:after="0" w:line="100" w:lineRule="exact"/>
        <w:rPr>
          <w:sz w:val="20"/>
          <w:szCs w:val="20"/>
          <w:color w:val="auto"/>
        </w:rPr>
      </w:pPr>
    </w:p>
    <w:p>
      <w:pPr>
        <w:spacing w:after="0"/>
        <w:rPr>
          <w:sz w:val="20"/>
          <w:szCs w:val="20"/>
          <w:color w:val="auto"/>
        </w:rPr>
      </w:pPr>
      <w:r>
        <w:rPr>
          <w:rFonts w:ascii="Arial" w:cs="Arial" w:eastAsia="Arial" w:hAnsi="Arial"/>
          <w:sz w:val="26"/>
          <w:szCs w:val="26"/>
          <w:color w:val="191769"/>
        </w:rPr>
        <w:t>Kim C. Hanemann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1555750" cy="2040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5575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60" w:right="400"/>
        <w:spacing w:after="0" w:line="309" w:lineRule="auto"/>
        <w:rPr>
          <w:sz w:val="20"/>
          <w:szCs w:val="20"/>
          <w:color w:val="auto"/>
        </w:rPr>
      </w:pPr>
      <w:r>
        <w:rPr>
          <w:rFonts w:ascii="Arial" w:cs="Arial" w:eastAsia="Arial" w:hAnsi="Arial"/>
          <w:sz w:val="16"/>
          <w:szCs w:val="16"/>
          <w:b w:val="1"/>
          <w:bCs w:val="1"/>
          <w:color w:val="0076A8"/>
        </w:rPr>
        <w:t>Independent Director since 2016</w:t>
      </w:r>
    </w:p>
    <w:p>
      <w:pPr>
        <w:spacing w:after="0" w:line="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191769"/>
        </w:rPr>
        <w:t>Age: 62</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191769"/>
        </w:rPr>
        <w:t>Board Committees:</w:t>
      </w:r>
    </w:p>
    <w:p>
      <w:pPr>
        <w:spacing w:after="0" w:line="29" w:lineRule="exact"/>
        <w:rPr>
          <w:sz w:val="20"/>
          <w:szCs w:val="20"/>
          <w:color w:val="auto"/>
        </w:rPr>
      </w:pPr>
    </w:p>
    <w:p>
      <w:pPr>
        <w:ind w:left="260"/>
        <w:spacing w:after="0" w:line="278" w:lineRule="auto"/>
        <w:rPr>
          <w:sz w:val="20"/>
          <w:szCs w:val="20"/>
          <w:color w:val="auto"/>
        </w:rPr>
      </w:pPr>
      <w:r>
        <w:rPr>
          <w:rFonts w:ascii="Arial" w:cs="Arial" w:eastAsia="Arial" w:hAnsi="Arial"/>
          <w:sz w:val="16"/>
          <w:szCs w:val="16"/>
          <w:color w:val="auto"/>
        </w:rPr>
        <w:t>Compensation, Enterprise Risk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-1706880</wp:posOffset>
            </wp:positionH>
            <wp:positionV relativeFrom="paragraph">
              <wp:posOffset>-261620</wp:posOffset>
            </wp:positionV>
            <wp:extent cx="5283835" cy="234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83835" cy="23495"/>
                    </a:xfrm>
                    <a:prstGeom prst="rect">
                      <a:avLst/>
                    </a:prstGeom>
                    <a:noFill/>
                  </pic:spPr>
                </pic:pic>
              </a:graphicData>
            </a:graphic>
          </wp:anchor>
        </w:drawing>
      </w:r>
    </w:p>
    <w:p>
      <w:pPr>
        <w:spacing w:after="0" w:line="21"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Kim C. Hanemann was named President and Chief Operating Officer of Public Service Electric &amp; Gas Company (PSE&amp;G) effective June 30, 2021. PSE&amp;G is one of the largest combined electric and gas companies in the United States and is New Jersey’s oldest and largest publicly owned utility. Previously she had been Senior Vice President and Chief Operating Officer, responsible for PSE&amp;G’s electric, gas and customer operations, as well as the Company’s asset management and centralized services. She also oversaw the on-time, on-scope and on-budget execution of the company’s large construction projects. Prior to being named Chief Operating Officer, Ms. Hanemann held numerous leadership positions in both electric and gas field operations and in utility support operations. Ms. Hanemann is a member of the Board of Directors of the New Jersey Chamber of Commerce and the New Jersey Utilities Association. She was previously a member of the Board of Trustees of Children’s Specialized Hospital.</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Education:</w:t>
      </w:r>
    </w:p>
    <w:p>
      <w:pPr>
        <w:spacing w:after="0" w:line="41" w:lineRule="exact"/>
        <w:rPr>
          <w:sz w:val="20"/>
          <w:szCs w:val="20"/>
          <w:color w:val="auto"/>
        </w:rPr>
      </w:pPr>
    </w:p>
    <w:p>
      <w:pPr>
        <w:ind w:right="400"/>
        <w:spacing w:after="0" w:line="279" w:lineRule="auto"/>
        <w:rPr>
          <w:sz w:val="20"/>
          <w:szCs w:val="20"/>
          <w:color w:val="auto"/>
        </w:rPr>
      </w:pPr>
      <w:r>
        <w:rPr>
          <w:rFonts w:ascii="Arial" w:cs="Arial" w:eastAsia="Arial" w:hAnsi="Arial"/>
          <w:sz w:val="16"/>
          <w:szCs w:val="16"/>
          <w:color w:val="auto"/>
        </w:rPr>
        <w:t>Ms. Hanemann earned her Bachelor’s degree in mechanical engineering from Lehigh University and a Master of Business Administration from Rutgers Graduate School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-1715135</wp:posOffset>
            </wp:positionH>
            <wp:positionV relativeFrom="paragraph">
              <wp:posOffset>57785</wp:posOffset>
            </wp:positionV>
            <wp:extent cx="714438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540"/>
            <w:col w:w="8540"/>
          </w:cols>
          <w:pgMar w:left="320" w:top="124" w:right="33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860" w:type="dxa"/>
            <w:vAlign w:val="bottom"/>
            <w:tcBorders>
              <w:right w:val="single" w:sz="8" w:color="00AEEF"/>
            </w:tcBorders>
          </w:tcPr>
          <w:p>
            <w:pPr>
              <w:ind w:left="94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13</w:t>
            </w:r>
          </w:p>
        </w:tc>
      </w:tr>
      <w:tr>
        <w:trPr>
          <w:trHeight w:val="325"/>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b w:val="1"/>
          <w:bCs w:val="1"/>
          <w:color w:val="191769"/>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7"/>
          <w:szCs w:val="27"/>
          <w:b w:val="1"/>
          <w:bCs w:val="1"/>
          <w:color w:val="191769"/>
        </w:rPr>
        <w:t>Class I – (Term Expires in 2027)</w:t>
      </w:r>
    </w:p>
    <w:p>
      <w:pPr>
        <w:sectPr>
          <w:pgSz w:w="11900" w:h="16838" w:orient="portrait"/>
          <w:cols w:equalWidth="0" w:num="1">
            <w:col w:w="11040"/>
          </w:cols>
          <w:pgMar w:left="320" w:top="124" w:right="539" w:bottom="1440" w:gutter="0" w:footer="0" w:header="0"/>
        </w:sectPr>
      </w:pPr>
    </w:p>
    <w:p>
      <w:pPr>
        <w:spacing w:after="0" w:line="100" w:lineRule="exact"/>
        <w:rPr>
          <w:sz w:val="20"/>
          <w:szCs w:val="20"/>
          <w:color w:val="auto"/>
        </w:rPr>
      </w:pPr>
    </w:p>
    <w:p>
      <w:pPr>
        <w:spacing w:after="0"/>
        <w:rPr>
          <w:sz w:val="20"/>
          <w:szCs w:val="20"/>
          <w:color w:val="auto"/>
        </w:rPr>
      </w:pPr>
      <w:r>
        <w:rPr>
          <w:rFonts w:ascii="Arial" w:cs="Arial" w:eastAsia="Arial" w:hAnsi="Arial"/>
          <w:sz w:val="26"/>
          <w:szCs w:val="26"/>
          <w:color w:val="191769"/>
        </w:rPr>
        <w:t>Nadine Leslie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118110</wp:posOffset>
            </wp:positionV>
            <wp:extent cx="1555750" cy="2040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5575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60" w:right="440"/>
        <w:spacing w:after="0" w:line="361" w:lineRule="auto"/>
        <w:rPr>
          <w:sz w:val="20"/>
          <w:szCs w:val="20"/>
          <w:color w:val="auto"/>
        </w:rPr>
      </w:pPr>
      <w:r>
        <w:rPr>
          <w:rFonts w:ascii="Arial" w:cs="Arial" w:eastAsia="Arial" w:hAnsi="Arial"/>
          <w:sz w:val="16"/>
          <w:szCs w:val="16"/>
          <w:b w:val="1"/>
          <w:bCs w:val="1"/>
          <w:color w:val="0076A8"/>
        </w:rPr>
        <w:t xml:space="preserve">Director since 2024 </w:t>
      </w:r>
      <w:r>
        <w:rPr>
          <w:rFonts w:ascii="Arial" w:cs="Arial" w:eastAsia="Arial" w:hAnsi="Arial"/>
          <w:sz w:val="16"/>
          <w:szCs w:val="16"/>
          <w:b w:val="1"/>
          <w:bCs w:val="1"/>
          <w:color w:val="191769"/>
        </w:rPr>
        <w:t xml:space="preserve">Age: </w:t>
      </w:r>
      <w:r>
        <w:rPr>
          <w:rFonts w:ascii="Arial" w:cs="Arial" w:eastAsia="Arial" w:hAnsi="Arial"/>
          <w:sz w:val="16"/>
          <w:szCs w:val="16"/>
          <w:color w:val="000000"/>
        </w:rPr>
        <w:t>63</w:t>
      </w:r>
    </w:p>
    <w:p>
      <w:pPr>
        <w:jc w:val="right"/>
        <w:spacing w:after="0"/>
        <w:rPr>
          <w:sz w:val="20"/>
          <w:szCs w:val="20"/>
          <w:color w:val="auto"/>
        </w:rPr>
      </w:pPr>
      <w:r>
        <w:rPr>
          <w:rFonts w:ascii="Arial" w:cs="Arial" w:eastAsia="Arial" w:hAnsi="Arial"/>
          <w:sz w:val="16"/>
          <w:szCs w:val="16"/>
          <w:b w:val="1"/>
          <w:bCs w:val="1"/>
          <w:color w:val="191769"/>
        </w:rPr>
        <w:t>Chair,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-1706880</wp:posOffset>
            </wp:positionH>
            <wp:positionV relativeFrom="paragraph">
              <wp:posOffset>-261620</wp:posOffset>
            </wp:positionV>
            <wp:extent cx="5283835" cy="234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83835" cy="23495"/>
                    </a:xfrm>
                    <a:prstGeom prst="rect">
                      <a:avLst/>
                    </a:prstGeom>
                    <a:noFill/>
                  </pic:spPr>
                </pic:pic>
              </a:graphicData>
            </a:graphic>
          </wp:anchor>
        </w:drawing>
      </w:r>
    </w:p>
    <w:p>
      <w:pPr>
        <w:spacing w:after="0" w:line="30"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Ms. Leslie is an accomplished leader with more than 25 years of domestic and international experience in the Water Industry. She was appointed President and CEO of Middlesex effective March 1, 2024. She previously served as Chief Executive Officer of SUEZ North America from 2019 to 2022. In this capacity, she was responsible for overseeing one of North America’s leading environmental companies, with revenues over $1.1 billion, providing water and recycling and recovery services to 6.6 million people in the United States and Canada. The scope of her responsibilities included 15 regulated water utilities, 65 municipal contracts through innovative public-private partnerships and the long-term asset management contracts for water storage facilities, serving more than 4,000 municipal and industrial clients. Ms. Leslie has served on the Boards of Provident Financial Services, Inc. and Provident Bank since June 2021, the Board of Hackensack Meridian Health since July 2020, and the Board of Syensqo SA/NV until July 2025.</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Education:</w:t>
      </w:r>
    </w:p>
    <w:p>
      <w:pPr>
        <w:spacing w:after="0" w:line="41" w:lineRule="exact"/>
        <w:rPr>
          <w:sz w:val="20"/>
          <w:szCs w:val="20"/>
          <w:color w:val="auto"/>
        </w:rPr>
      </w:pPr>
    </w:p>
    <w:p>
      <w:pPr>
        <w:ind w:right="320"/>
        <w:spacing w:after="0" w:line="295" w:lineRule="auto"/>
        <w:rPr>
          <w:sz w:val="20"/>
          <w:szCs w:val="20"/>
          <w:color w:val="auto"/>
        </w:rPr>
      </w:pPr>
      <w:r>
        <w:rPr>
          <w:rFonts w:ascii="Arial" w:cs="Arial" w:eastAsia="Arial" w:hAnsi="Arial"/>
          <w:sz w:val="16"/>
          <w:szCs w:val="16"/>
          <w:color w:val="auto"/>
        </w:rPr>
        <w:t>Ms. Leslie holds a Bachelor’s degree of Science in civil engineering from the Faculte des Sciences in Haiti and completed an internship/scholarship program in urban planning at La Cambre University in Belgium.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-1715135</wp:posOffset>
            </wp:positionH>
            <wp:positionV relativeFrom="paragraph">
              <wp:posOffset>41910</wp:posOffset>
            </wp:positionV>
            <wp:extent cx="714438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500"/>
            <w:col w:w="8340"/>
          </w:cols>
          <w:pgMar w:left="320" w:top="124" w:right="539"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Arial" w:cs="Arial" w:eastAsia="Arial" w:hAnsi="Arial"/>
          <w:sz w:val="27"/>
          <w:szCs w:val="27"/>
          <w:b w:val="1"/>
          <w:bCs w:val="1"/>
          <w:color w:val="191769"/>
        </w:rPr>
        <w:t>Class I – (Term Expires in 2027)</w:t>
      </w:r>
    </w:p>
    <w:p>
      <w:pPr>
        <w:sectPr>
          <w:pgSz w:w="11900" w:h="16838" w:orient="portrait"/>
          <w:cols w:equalWidth="0" w:num="1">
            <w:col w:w="11040"/>
          </w:cols>
          <w:pgMar w:left="320" w:top="124" w:right="539" w:bottom="1440" w:gutter="0" w:footer="0" w:header="0"/>
          <w:type w:val="continuous"/>
        </w:sectPr>
      </w:pPr>
    </w:p>
    <w:p>
      <w:pPr>
        <w:spacing w:after="0" w:line="100" w:lineRule="exact"/>
        <w:rPr>
          <w:sz w:val="20"/>
          <w:szCs w:val="20"/>
          <w:color w:val="auto"/>
        </w:rPr>
      </w:pPr>
    </w:p>
    <w:p>
      <w:pPr>
        <w:spacing w:after="0"/>
        <w:rPr>
          <w:sz w:val="20"/>
          <w:szCs w:val="20"/>
          <w:color w:val="auto"/>
        </w:rPr>
      </w:pPr>
      <w:r>
        <w:rPr>
          <w:rFonts w:ascii="Arial" w:cs="Arial" w:eastAsia="Arial" w:hAnsi="Arial"/>
          <w:sz w:val="26"/>
          <w:szCs w:val="26"/>
          <w:color w:val="191769"/>
        </w:rPr>
        <w:t>Ann L. Noble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1555750" cy="2040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5575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60" w:right="420"/>
        <w:spacing w:after="0" w:line="305" w:lineRule="auto"/>
        <w:rPr>
          <w:sz w:val="20"/>
          <w:szCs w:val="20"/>
          <w:color w:val="auto"/>
        </w:rPr>
      </w:pPr>
      <w:r>
        <w:rPr>
          <w:rFonts w:ascii="Arial" w:cs="Arial" w:eastAsia="Arial" w:hAnsi="Arial"/>
          <w:sz w:val="16"/>
          <w:szCs w:val="16"/>
          <w:b w:val="1"/>
          <w:bCs w:val="1"/>
          <w:color w:val="0076A8"/>
        </w:rPr>
        <w:t>Independent Director since 2019</w:t>
      </w:r>
    </w:p>
    <w:p>
      <w:pPr>
        <w:ind w:left="260"/>
        <w:spacing w:after="0"/>
        <w:rPr>
          <w:sz w:val="20"/>
          <w:szCs w:val="20"/>
          <w:color w:val="auto"/>
        </w:rPr>
      </w:pPr>
      <w:r>
        <w:rPr>
          <w:rFonts w:ascii="Arial" w:cs="Arial" w:eastAsia="Arial" w:hAnsi="Arial"/>
          <w:sz w:val="16"/>
          <w:szCs w:val="16"/>
          <w:b w:val="1"/>
          <w:bCs w:val="1"/>
          <w:color w:val="191769"/>
        </w:rPr>
        <w:t>Age: 64</w:t>
      </w:r>
    </w:p>
    <w:p>
      <w:pPr>
        <w:spacing w:after="0" w:line="99" w:lineRule="exact"/>
        <w:rPr>
          <w:sz w:val="20"/>
          <w:szCs w:val="20"/>
          <w:color w:val="auto"/>
        </w:rPr>
      </w:pPr>
    </w:p>
    <w:p>
      <w:pPr>
        <w:ind w:left="260"/>
        <w:spacing w:after="0" w:line="271" w:lineRule="auto"/>
        <w:rPr>
          <w:sz w:val="20"/>
          <w:szCs w:val="20"/>
          <w:color w:val="auto"/>
        </w:rPr>
      </w:pPr>
      <w:r>
        <w:rPr>
          <w:rFonts w:ascii="Arial" w:cs="Arial" w:eastAsia="Arial" w:hAnsi="Arial"/>
          <w:sz w:val="16"/>
          <w:szCs w:val="16"/>
          <w:b w:val="1"/>
          <w:bCs w:val="1"/>
          <w:color w:val="191769"/>
        </w:rPr>
        <w:t xml:space="preserve">Board Committees: </w:t>
      </w:r>
      <w:r>
        <w:rPr>
          <w:rFonts w:ascii="Arial" w:cs="Arial" w:eastAsia="Arial" w:hAnsi="Arial"/>
          <w:sz w:val="16"/>
          <w:szCs w:val="16"/>
          <w:color w:val="000000"/>
        </w:rPr>
        <w:t>Audit, Corporate Governance &amp; Nominating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756920</wp:posOffset>
            </wp:positionV>
            <wp:extent cx="7620" cy="132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-1706880</wp:posOffset>
            </wp:positionH>
            <wp:positionV relativeFrom="paragraph">
              <wp:posOffset>-261620</wp:posOffset>
            </wp:positionV>
            <wp:extent cx="5283835" cy="234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83835" cy="23495"/>
                    </a:xfrm>
                    <a:prstGeom prst="rect">
                      <a:avLst/>
                    </a:prstGeom>
                    <a:noFill/>
                  </pic:spPr>
                </pic:pic>
              </a:graphicData>
            </a:graphic>
          </wp:anchor>
        </w:drawing>
      </w:r>
    </w:p>
    <w:p>
      <w:pPr>
        <w:spacing w:after="0" w:line="3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Ann L. Noble is a seasoned business executive with over 30 years of experience in healthcare and insurance. Before retiring, she worked as a Financial Consultant specializing in strategic planning, financial management, and contract negotiation. Previously, she was President and CEO of Qual-Lynx and Vice President of Workers’ Compensation at QualCare, subsidiaries of Cigna Health and Life Insurance Company, where she led a regional claims services and managed care organization for 14 years. Earlier, Ms. Noble served as Vice President of Finance at Robert Wood Johnson University Hospital for a decade, during which she was also on the Board of Directors of QualCare. She spent eight years at Ernst &amp; Young, progressing to Senior Manager in healthcare financial consulting after starting in audit. Since 2014, Ms. Noble has been on the Board of Directors of Manasquan Bank, currently chairing the Strategic Planning Committee. A founding member and Treasurer of the Val Skinner Foundation since 1999, she has helped raise over $10 million for breast cancer initiatives.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Education:</w:t>
      </w:r>
    </w:p>
    <w:p>
      <w:pPr>
        <w:spacing w:after="0" w:line="41"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Ms. Noble graduated from Seton Hall University with a Bachelor’s degree of Science in Accounting and obtained her license as a Certified Public Account in 1987.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-1715135</wp:posOffset>
            </wp:positionH>
            <wp:positionV relativeFrom="paragraph">
              <wp:posOffset>57785</wp:posOffset>
            </wp:positionV>
            <wp:extent cx="714438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80" w:space="520"/>
            <w:col w:w="8340"/>
          </w:cols>
          <w:pgMar w:left="320" w:top="124" w:right="539"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ind w:left="460" w:hanging="445"/>
        <w:spacing w:after="0"/>
        <w:tabs>
          <w:tab w:leader="none" w:pos="460" w:val="left"/>
        </w:tabs>
        <w:numPr>
          <w:ilvl w:val="0"/>
          <w:numId w:val="16"/>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210185</wp:posOffset>
            </wp:positionV>
            <wp:extent cx="716978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040"/>
          </w:cols>
          <w:pgMar w:left="320" w:top="124" w:right="539" w:bottom="1440"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14"/>
          <w:szCs w:val="14"/>
          <w:b w:val="1"/>
          <w:bCs w:val="1"/>
          <w:color w:val="191769"/>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8"/>
          <w:szCs w:val="28"/>
          <w:b w:val="1"/>
          <w:bCs w:val="1"/>
          <w:color w:val="191769"/>
        </w:rPr>
        <w:t>Class II – (Term Expires in 2028)</w:t>
      </w:r>
    </w:p>
    <w:p>
      <w:pPr>
        <w:sectPr>
          <w:pgSz w:w="11900" w:h="16838" w:orient="portrait"/>
          <w:cols w:equalWidth="0" w:num="1">
            <w:col w:w="11240"/>
          </w:cols>
          <w:pgMar w:left="320" w:top="124" w:right="339" w:bottom="1440" w:gutter="0" w:footer="0" w:header="0"/>
        </w:sectPr>
      </w:pPr>
    </w:p>
    <w:p>
      <w:pPr>
        <w:spacing w:after="0" w:line="89" w:lineRule="exact"/>
        <w:rPr>
          <w:sz w:val="20"/>
          <w:szCs w:val="20"/>
          <w:color w:val="auto"/>
        </w:rPr>
      </w:pPr>
    </w:p>
    <w:p>
      <w:pPr>
        <w:spacing w:after="0"/>
        <w:rPr>
          <w:sz w:val="20"/>
          <w:szCs w:val="20"/>
          <w:color w:val="auto"/>
        </w:rPr>
      </w:pPr>
      <w:r>
        <w:rPr>
          <w:rFonts w:ascii="Arial" w:cs="Arial" w:eastAsia="Arial" w:hAnsi="Arial"/>
          <w:sz w:val="26"/>
          <w:szCs w:val="26"/>
          <w:color w:val="191769"/>
        </w:rPr>
        <w:t>Steven M.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118110</wp:posOffset>
            </wp:positionV>
            <wp:extent cx="1555750" cy="18992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55750" cy="1899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60" w:right="560"/>
        <w:spacing w:after="0" w:line="309" w:lineRule="auto"/>
        <w:rPr>
          <w:sz w:val="20"/>
          <w:szCs w:val="20"/>
          <w:color w:val="auto"/>
        </w:rPr>
      </w:pPr>
      <w:r>
        <w:rPr>
          <w:rFonts w:ascii="Arial" w:cs="Arial" w:eastAsia="Arial" w:hAnsi="Arial"/>
          <w:sz w:val="16"/>
          <w:szCs w:val="16"/>
          <w:b w:val="1"/>
          <w:bCs w:val="1"/>
          <w:color w:val="0076A8"/>
        </w:rPr>
        <w:t>Independent Director since 2009</w:t>
      </w:r>
    </w:p>
    <w:p>
      <w:pPr>
        <w:spacing w:after="0" w:line="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191769"/>
        </w:rPr>
        <w:t xml:space="preserve">Age: </w:t>
      </w:r>
      <w:r>
        <w:rPr>
          <w:rFonts w:ascii="Arial" w:cs="Arial" w:eastAsia="Arial" w:hAnsi="Arial"/>
          <w:sz w:val="16"/>
          <w:szCs w:val="16"/>
          <w:color w:val="000000"/>
        </w:rPr>
        <w:t>60</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191769"/>
        </w:rPr>
        <w:t>Board Committees:</w:t>
      </w:r>
    </w:p>
    <w:p>
      <w:pPr>
        <w:spacing w:after="0" w:line="29" w:lineRule="exact"/>
        <w:rPr>
          <w:sz w:val="20"/>
          <w:szCs w:val="20"/>
          <w:color w:val="auto"/>
        </w:rPr>
      </w:pPr>
    </w:p>
    <w:p>
      <w:pPr>
        <w:ind w:left="260"/>
        <w:spacing w:after="0" w:line="264" w:lineRule="auto"/>
        <w:rPr>
          <w:sz w:val="20"/>
          <w:szCs w:val="20"/>
          <w:color w:val="auto"/>
        </w:rPr>
      </w:pPr>
      <w:r>
        <w:rPr>
          <w:rFonts w:ascii="Arial" w:cs="Arial" w:eastAsia="Arial" w:hAnsi="Arial"/>
          <w:sz w:val="16"/>
          <w:szCs w:val="16"/>
          <w:color w:val="auto"/>
        </w:rPr>
        <w:t>Audit (Chair), Audit Committee Financial Expert, Corporate Governance &amp; Nominating, Pension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-1706880</wp:posOffset>
            </wp:positionH>
            <wp:positionV relativeFrom="paragraph">
              <wp:posOffset>-261620</wp:posOffset>
            </wp:positionV>
            <wp:extent cx="5283835" cy="234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83835" cy="23495"/>
                    </a:xfrm>
                    <a:prstGeom prst="rect">
                      <a:avLst/>
                    </a:prstGeom>
                    <a:noFill/>
                  </pic:spPr>
                </pic:pic>
              </a:graphicData>
            </a:graphic>
          </wp:anchor>
        </w:drawing>
      </w:r>
    </w:p>
    <w:p>
      <w:pPr>
        <w:spacing w:after="0" w:line="30"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Steven M. Klein serves as Chairman and Chief Executive Officer of Northfield Bancorp, Inc. and its subsidiary, Northfield Bank, with overall management responsibility for these entities. Mr. Klein is also designated as a financial expert on the Audit Committee. Mr. Klein was named to the Board of Directors of Northfield Bancorp Inc. and Northfield Bank in August 2013. Mr. Klein’s background includes serving as an audit partner with the international accounting and auditing firm KPMG LLP. He is a Certified Public Accountant in the State of New Jersey and member of the American Institute of Certified Public Accountants and the New Jersey Society of Certified Public Accountants. He is a board member of the Federal Home Loan Bank of New York, past Chair of the New Jersey Bankers Association and a Board Trustee of the Richmond University Medical Center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Education:</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Mr. Klein earned a Bachelor’s degree of Arts in Business Administration from Montclair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-1715135</wp:posOffset>
            </wp:positionH>
            <wp:positionV relativeFrom="paragraph">
              <wp:posOffset>321945</wp:posOffset>
            </wp:positionV>
            <wp:extent cx="714438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2320" w:space="380"/>
            <w:col w:w="8540"/>
          </w:cols>
          <w:pgMar w:left="320" w:top="124" w:right="3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27"/>
          <w:szCs w:val="27"/>
          <w:b w:val="1"/>
          <w:bCs w:val="1"/>
          <w:color w:val="191769"/>
        </w:rPr>
        <w:t>Class II – (Term Expires in 2028)</w:t>
      </w:r>
    </w:p>
    <w:p>
      <w:pPr>
        <w:sectPr>
          <w:pgSz w:w="11900" w:h="16838" w:orient="portrait"/>
          <w:cols w:equalWidth="0" w:num="1">
            <w:col w:w="11240"/>
          </w:cols>
          <w:pgMar w:left="320" w:top="124" w:right="339" w:bottom="1440" w:gutter="0" w:footer="0" w:header="0"/>
          <w:type w:val="continuous"/>
        </w:sectPr>
      </w:pPr>
    </w:p>
    <w:p>
      <w:pPr>
        <w:spacing w:after="0" w:line="100" w:lineRule="exact"/>
        <w:rPr>
          <w:sz w:val="20"/>
          <w:szCs w:val="20"/>
          <w:color w:val="auto"/>
        </w:rPr>
      </w:pPr>
    </w:p>
    <w:p>
      <w:pPr>
        <w:spacing w:after="0"/>
        <w:rPr>
          <w:sz w:val="20"/>
          <w:szCs w:val="20"/>
          <w:color w:val="auto"/>
        </w:rPr>
      </w:pPr>
      <w:r>
        <w:rPr>
          <w:rFonts w:ascii="Arial" w:cs="Arial" w:eastAsia="Arial" w:hAnsi="Arial"/>
          <w:sz w:val="26"/>
          <w:szCs w:val="26"/>
          <w:color w:val="191769"/>
        </w:rPr>
        <w:t>Amy B. Mansue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1555750" cy="2040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5575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60" w:right="400"/>
        <w:spacing w:after="0" w:line="305" w:lineRule="auto"/>
        <w:rPr>
          <w:sz w:val="20"/>
          <w:szCs w:val="20"/>
          <w:color w:val="auto"/>
        </w:rPr>
      </w:pPr>
      <w:r>
        <w:rPr>
          <w:rFonts w:ascii="Arial" w:cs="Arial" w:eastAsia="Arial" w:hAnsi="Arial"/>
          <w:sz w:val="16"/>
          <w:szCs w:val="16"/>
          <w:b w:val="1"/>
          <w:bCs w:val="1"/>
          <w:color w:val="0076A8"/>
        </w:rPr>
        <w:t>Independent Director since 2010</w:t>
      </w:r>
    </w:p>
    <w:p>
      <w:pPr>
        <w:ind w:left="260"/>
        <w:spacing w:after="0"/>
        <w:rPr>
          <w:sz w:val="20"/>
          <w:szCs w:val="20"/>
          <w:color w:val="auto"/>
        </w:rPr>
      </w:pPr>
      <w:r>
        <w:rPr>
          <w:rFonts w:ascii="Arial" w:cs="Arial" w:eastAsia="Arial" w:hAnsi="Arial"/>
          <w:sz w:val="16"/>
          <w:szCs w:val="16"/>
          <w:b w:val="1"/>
          <w:bCs w:val="1"/>
          <w:color w:val="191769"/>
        </w:rPr>
        <w:t xml:space="preserve">Age: </w:t>
      </w:r>
      <w:r>
        <w:rPr>
          <w:rFonts w:ascii="Arial" w:cs="Arial" w:eastAsia="Arial" w:hAnsi="Arial"/>
          <w:sz w:val="16"/>
          <w:szCs w:val="16"/>
          <w:color w:val="000000"/>
        </w:rPr>
        <w:t>61</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191769"/>
        </w:rPr>
        <w:t>Board Committees:</w:t>
      </w:r>
    </w:p>
    <w:p>
      <w:pPr>
        <w:spacing w:after="0" w:line="29" w:lineRule="exact"/>
        <w:rPr>
          <w:sz w:val="20"/>
          <w:szCs w:val="20"/>
          <w:color w:val="auto"/>
        </w:rPr>
      </w:pPr>
    </w:p>
    <w:p>
      <w:pPr>
        <w:ind w:left="260"/>
        <w:spacing w:after="0" w:line="267" w:lineRule="auto"/>
        <w:rPr>
          <w:sz w:val="20"/>
          <w:szCs w:val="20"/>
          <w:color w:val="auto"/>
        </w:rPr>
      </w:pPr>
      <w:r>
        <w:rPr>
          <w:rFonts w:ascii="Arial" w:cs="Arial" w:eastAsia="Arial" w:hAnsi="Arial"/>
          <w:sz w:val="16"/>
          <w:szCs w:val="16"/>
          <w:color w:val="auto"/>
        </w:rPr>
        <w:t>Lead Director, Compensation, Enterprise 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-1706880</wp:posOffset>
            </wp:positionH>
            <wp:positionV relativeFrom="paragraph">
              <wp:posOffset>-261620</wp:posOffset>
            </wp:positionV>
            <wp:extent cx="5283835" cy="234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83835" cy="23495"/>
                    </a:xfrm>
                    <a:prstGeom prst="rect">
                      <a:avLst/>
                    </a:prstGeom>
                    <a:noFill/>
                  </pic:spPr>
                </pic:pic>
              </a:graphicData>
            </a:graphic>
          </wp:anchor>
        </w:drawing>
      </w:r>
    </w:p>
    <w:p>
      <w:pPr>
        <w:spacing w:after="0" w:line="30"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Amy B. Mansue was named Lead Director in May 2025. Ms. Mansue has served as Chief Executive Officer of Inspira Health since August 2020. Previously she worked in the RWJBarnabas Health system for 17 years having served in a variety of roles including: Executive Vice President and Chief Experience Officer of RWJBarnabas Health, RWJBarnabas Health – President of the Southern Region, and President and Chief Executive Officer of Children’s Specialized Hospital. Ms. Mansue’s background includes serving as a staff member on healthcare policy for former New Jersey Governor Jim Florio, serving as a Deputy Commissioner in the New Jersey Department of Human Services and as Deputy Chief of Staff to former New Jersey Governor James McGreevey. She was President of HIP/NJ and Senior VP of Strategy for HIP/ NY. Ms. Mansue serves on the Boards of New Jersey Resources Corporation, the New Jersey Chamber of Commerce, the NJ Hospital Association, Rutgers University Board of Governors and the New Brunswick Development Corporation.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Education:</w:t>
      </w:r>
    </w:p>
    <w:p>
      <w:pPr>
        <w:spacing w:after="0" w:line="41" w:lineRule="exact"/>
        <w:rPr>
          <w:sz w:val="20"/>
          <w:szCs w:val="20"/>
          <w:color w:val="auto"/>
        </w:rPr>
      </w:pPr>
    </w:p>
    <w:p>
      <w:pPr>
        <w:ind w:right="740"/>
        <w:spacing w:after="0" w:line="279" w:lineRule="auto"/>
        <w:rPr>
          <w:sz w:val="20"/>
          <w:szCs w:val="20"/>
          <w:color w:val="auto"/>
        </w:rPr>
      </w:pPr>
      <w:r>
        <w:rPr>
          <w:rFonts w:ascii="Arial" w:cs="Arial" w:eastAsia="Arial" w:hAnsi="Arial"/>
          <w:sz w:val="16"/>
          <w:szCs w:val="16"/>
          <w:color w:val="auto"/>
        </w:rPr>
        <w:t>Ms. Mansue holds a Bachelor’s degree in social welfare and a Master’s degree in social work, planning and management from the University of Alabama.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-1715135</wp:posOffset>
            </wp:positionH>
            <wp:positionV relativeFrom="paragraph">
              <wp:posOffset>57785</wp:posOffset>
            </wp:positionV>
            <wp:extent cx="714438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540"/>
            <w:col w:w="8540"/>
          </w:cols>
          <w:pgMar w:left="320" w:top="124" w:right="33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860" w:type="dxa"/>
            <w:vAlign w:val="bottom"/>
            <w:tcBorders>
              <w:right w:val="single" w:sz="8" w:color="00AEEF"/>
            </w:tcBorders>
          </w:tcPr>
          <w:p>
            <w:pPr>
              <w:ind w:left="94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15</w:t>
            </w:r>
          </w:p>
        </w:tc>
      </w:tr>
      <w:tr>
        <w:trPr>
          <w:trHeight w:val="312"/>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7" w:name="page18"/>
    <w:bookmarkEnd w:id="17"/>
    <w:p>
      <w:pPr>
        <w:ind w:left="2" w:right="1920"/>
        <w:spacing w:after="0" w:line="248" w:lineRule="auto"/>
        <w:rPr>
          <w:sz w:val="20"/>
          <w:szCs w:val="20"/>
          <w:color w:val="auto"/>
        </w:rPr>
      </w:pPr>
      <w:r>
        <w:rPr>
          <w:rFonts w:ascii="Arial" w:cs="Arial" w:eastAsia="Arial" w:hAnsi="Arial"/>
          <w:sz w:val="46"/>
          <w:szCs w:val="46"/>
          <w:color w:val="191769"/>
        </w:rPr>
        <w:t>Director Compensation and Equity Ownership Guidelines</w:t>
      </w:r>
    </w:p>
    <w:p>
      <w:pPr>
        <w:spacing w:after="0" w:line="200" w:lineRule="exact"/>
        <w:rPr>
          <w:sz w:val="20"/>
          <w:szCs w:val="20"/>
          <w:color w:val="auto"/>
        </w:rPr>
      </w:pPr>
    </w:p>
    <w:p>
      <w:pPr>
        <w:ind w:left="2"/>
        <w:spacing w:after="0"/>
        <w:rPr>
          <w:sz w:val="20"/>
          <w:szCs w:val="20"/>
          <w:color w:val="auto"/>
        </w:rPr>
      </w:pPr>
      <w:r>
        <w:rPr>
          <w:rFonts w:ascii="Arial" w:cs="Arial" w:eastAsia="Arial" w:hAnsi="Arial"/>
          <w:sz w:val="36"/>
          <w:szCs w:val="36"/>
          <w:b w:val="1"/>
          <w:bCs w:val="1"/>
          <w:color w:val="0076A8"/>
        </w:rPr>
        <w:t>Director Compensation</w:t>
      </w:r>
    </w:p>
    <w:p>
      <w:pPr>
        <w:spacing w:after="0" w:line="178" w:lineRule="exact"/>
        <w:rPr>
          <w:sz w:val="20"/>
          <w:szCs w:val="20"/>
          <w:color w:val="auto"/>
        </w:rPr>
      </w:pPr>
    </w:p>
    <w:p>
      <w:pPr>
        <w:ind w:left="2" w:right="200"/>
        <w:spacing w:after="0" w:line="278" w:lineRule="auto"/>
        <w:rPr>
          <w:sz w:val="20"/>
          <w:szCs w:val="20"/>
          <w:color w:val="auto"/>
        </w:rPr>
      </w:pPr>
      <w:r>
        <w:rPr>
          <w:rFonts w:ascii="Arial" w:cs="Arial" w:eastAsia="Arial" w:hAnsi="Arial"/>
          <w:sz w:val="16"/>
          <w:szCs w:val="16"/>
          <w:color w:val="auto"/>
        </w:rPr>
        <w:t>For 2025, the Company compensated each of the Board members who are not employed by the Company (“Outside Directors”) as detailed below. Ms. Leslie, Chair, President, and Chief Executive Officer received no fee or common stock award for her services as a member of the Board or the Boards of the Company’s subsidiaries.</w:t>
      </w:r>
    </w:p>
    <w:p>
      <w:pPr>
        <w:spacing w:after="0" w:line="145" w:lineRule="exact"/>
        <w:rPr>
          <w:sz w:val="20"/>
          <w:szCs w:val="20"/>
          <w:color w:val="auto"/>
        </w:rPr>
      </w:pPr>
    </w:p>
    <w:tbl>
      <w:tblPr>
        <w:tblLayout w:type="fixed"/>
        <w:tblInd w:w="2" w:type="dxa"/>
        <w:tblCellMar>
          <w:top w:w="0" w:type="dxa"/>
          <w:left w:w="0" w:type="dxa"/>
          <w:bottom w:w="0" w:type="dxa"/>
          <w:right w:w="0" w:type="dxa"/>
        </w:tblCellMar>
      </w:tblPr>
      <w:tr>
        <w:trPr>
          <w:trHeight w:val="186"/>
        </w:trPr>
        <w:tc>
          <w:tcPr>
            <w:tcW w:w="7960" w:type="dxa"/>
            <w:vAlign w:val="bottom"/>
            <w:tcBorders>
              <w:bottom w:val="single" w:sz="8" w:color="00AEEF"/>
            </w:tcBorders>
          </w:tcPr>
          <w:p>
            <w:pPr>
              <w:ind w:left="20"/>
              <w:spacing w:after="0"/>
              <w:rPr>
                <w:sz w:val="20"/>
                <w:szCs w:val="20"/>
                <w:color w:val="auto"/>
              </w:rPr>
            </w:pPr>
            <w:r>
              <w:rPr>
                <w:rFonts w:ascii="Arial" w:cs="Arial" w:eastAsia="Arial" w:hAnsi="Arial"/>
                <w:sz w:val="13"/>
                <w:szCs w:val="13"/>
                <w:b w:val="1"/>
                <w:bCs w:val="1"/>
                <w:color w:val="191769"/>
              </w:rPr>
              <w:t>Position</w:t>
            </w:r>
          </w:p>
        </w:tc>
        <w:tc>
          <w:tcPr>
            <w:tcW w:w="2120" w:type="dxa"/>
            <w:vAlign w:val="bottom"/>
            <w:tcBorders>
              <w:bottom w:val="single" w:sz="8" w:color="00AEEF"/>
            </w:tcBorders>
          </w:tcPr>
          <w:p>
            <w:pPr>
              <w:spacing w:after="0"/>
              <w:rPr>
                <w:sz w:val="16"/>
                <w:szCs w:val="16"/>
                <w:color w:val="auto"/>
              </w:rPr>
            </w:pPr>
          </w:p>
        </w:tc>
        <w:tc>
          <w:tcPr>
            <w:tcW w:w="1160" w:type="dxa"/>
            <w:vAlign w:val="bottom"/>
            <w:tcBorders>
              <w:bottom w:val="single" w:sz="8" w:color="00AEEF"/>
            </w:tcBorders>
            <w:gridSpan w:val="2"/>
          </w:tcPr>
          <w:p>
            <w:pPr>
              <w:jc w:val="right"/>
              <w:spacing w:after="0"/>
              <w:rPr>
                <w:sz w:val="20"/>
                <w:szCs w:val="20"/>
                <w:color w:val="auto"/>
              </w:rPr>
            </w:pPr>
            <w:r>
              <w:rPr>
                <w:rFonts w:ascii="Arial" w:cs="Arial" w:eastAsia="Arial" w:hAnsi="Arial"/>
                <w:sz w:val="13"/>
                <w:szCs w:val="13"/>
                <w:b w:val="1"/>
                <w:bCs w:val="1"/>
                <w:color w:val="191769"/>
              </w:rPr>
              <w:t>Annual Retainer</w:t>
            </w:r>
          </w:p>
        </w:tc>
      </w:tr>
      <w:tr>
        <w:trPr>
          <w:trHeight w:val="223"/>
        </w:trPr>
        <w:tc>
          <w:tcPr>
            <w:tcW w:w="7960" w:type="dxa"/>
            <w:vAlign w:val="bottom"/>
          </w:tcPr>
          <w:p>
            <w:pPr>
              <w:ind w:left="20"/>
              <w:spacing w:after="0"/>
              <w:rPr>
                <w:sz w:val="20"/>
                <w:szCs w:val="20"/>
                <w:color w:val="auto"/>
              </w:rPr>
            </w:pPr>
            <w:r>
              <w:rPr>
                <w:rFonts w:ascii="Arial" w:cs="Arial" w:eastAsia="Arial" w:hAnsi="Arial"/>
                <w:sz w:val="16"/>
                <w:szCs w:val="16"/>
                <w:color w:val="auto"/>
              </w:rPr>
              <w:t>Outside Director</w:t>
            </w:r>
          </w:p>
        </w:tc>
        <w:tc>
          <w:tcPr>
            <w:tcW w:w="21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105,000</w:t>
            </w:r>
          </w:p>
        </w:tc>
        <w:tc>
          <w:tcPr>
            <w:tcW w:w="300" w:type="dxa"/>
            <w:vAlign w:val="bottom"/>
          </w:tcPr>
          <w:p>
            <w:pPr>
              <w:jc w:val="right"/>
              <w:ind w:right="67"/>
              <w:spacing w:after="0"/>
              <w:rPr>
                <w:sz w:val="20"/>
                <w:szCs w:val="20"/>
                <w:color w:val="auto"/>
              </w:rPr>
            </w:pPr>
            <w:r>
              <w:rPr>
                <w:rFonts w:ascii="Arial" w:cs="Arial" w:eastAsia="Arial" w:hAnsi="Arial"/>
                <w:sz w:val="11"/>
                <w:szCs w:val="11"/>
                <w:color w:val="auto"/>
              </w:rPr>
              <w:t>(1)</w:t>
            </w:r>
          </w:p>
        </w:tc>
      </w:tr>
      <w:tr>
        <w:trPr>
          <w:trHeight w:val="22"/>
        </w:trPr>
        <w:tc>
          <w:tcPr>
            <w:tcW w:w="7960" w:type="dxa"/>
            <w:vAlign w:val="bottom"/>
            <w:tcBorders>
              <w:bottom w:val="single" w:sz="8" w:color="D9D9D9"/>
            </w:tcBorders>
          </w:tcPr>
          <w:p>
            <w:pPr>
              <w:spacing w:after="0" w:line="20" w:lineRule="exact"/>
              <w:rPr>
                <w:sz w:val="1"/>
                <w:szCs w:val="1"/>
                <w:color w:val="auto"/>
              </w:rPr>
            </w:pPr>
          </w:p>
        </w:tc>
        <w:tc>
          <w:tcPr>
            <w:tcW w:w="2120" w:type="dxa"/>
            <w:vAlign w:val="bottom"/>
            <w:tcBorders>
              <w:bottom w:val="single" w:sz="8" w:color="D9D9D9"/>
            </w:tcBorders>
          </w:tcPr>
          <w:p>
            <w:pPr>
              <w:spacing w:after="0" w:line="20" w:lineRule="exact"/>
              <w:rPr>
                <w:sz w:val="1"/>
                <w:szCs w:val="1"/>
                <w:color w:val="auto"/>
              </w:rPr>
            </w:pPr>
          </w:p>
        </w:tc>
        <w:tc>
          <w:tcPr>
            <w:tcW w:w="860" w:type="dxa"/>
            <w:vAlign w:val="bottom"/>
            <w:tcBorders>
              <w:bottom w:val="single" w:sz="8" w:color="D9D9D9"/>
            </w:tcBorders>
          </w:tcPr>
          <w:p>
            <w:pPr>
              <w:spacing w:after="0" w:line="20" w:lineRule="exact"/>
              <w:rPr>
                <w:sz w:val="1"/>
                <w:szCs w:val="1"/>
                <w:color w:val="auto"/>
              </w:rPr>
            </w:pPr>
          </w:p>
        </w:tc>
        <w:tc>
          <w:tcPr>
            <w:tcW w:w="300" w:type="dxa"/>
            <w:vAlign w:val="bottom"/>
            <w:tcBorders>
              <w:bottom w:val="single" w:sz="8" w:color="D9D9D9"/>
            </w:tcBorders>
          </w:tcPr>
          <w:p>
            <w:pPr>
              <w:spacing w:after="0" w:line="20" w:lineRule="exact"/>
              <w:rPr>
                <w:sz w:val="1"/>
                <w:szCs w:val="1"/>
                <w:color w:val="auto"/>
              </w:rPr>
            </w:pPr>
          </w:p>
        </w:tc>
      </w:tr>
      <w:tr>
        <w:trPr>
          <w:trHeight w:val="217"/>
        </w:trPr>
        <w:tc>
          <w:tcPr>
            <w:tcW w:w="7960" w:type="dxa"/>
            <w:vAlign w:val="bottom"/>
          </w:tcPr>
          <w:p>
            <w:pPr>
              <w:ind w:left="20"/>
              <w:spacing w:after="0"/>
              <w:rPr>
                <w:sz w:val="20"/>
                <w:szCs w:val="20"/>
                <w:color w:val="auto"/>
              </w:rPr>
            </w:pPr>
            <w:r>
              <w:rPr>
                <w:rFonts w:ascii="Arial" w:cs="Arial" w:eastAsia="Arial" w:hAnsi="Arial"/>
                <w:sz w:val="16"/>
                <w:szCs w:val="16"/>
                <w:color w:val="auto"/>
              </w:rPr>
              <w:t>Lead Director</w:t>
            </w:r>
          </w:p>
        </w:tc>
        <w:tc>
          <w:tcPr>
            <w:tcW w:w="21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20,000</w:t>
            </w:r>
          </w:p>
        </w:tc>
        <w:tc>
          <w:tcPr>
            <w:tcW w:w="300" w:type="dxa"/>
            <w:vAlign w:val="bottom"/>
          </w:tcPr>
          <w:p>
            <w:pPr>
              <w:spacing w:after="0"/>
              <w:rPr>
                <w:sz w:val="18"/>
                <w:szCs w:val="18"/>
                <w:color w:val="auto"/>
              </w:rPr>
            </w:pPr>
          </w:p>
        </w:tc>
      </w:tr>
      <w:tr>
        <w:trPr>
          <w:trHeight w:val="22"/>
        </w:trPr>
        <w:tc>
          <w:tcPr>
            <w:tcW w:w="7960" w:type="dxa"/>
            <w:vAlign w:val="bottom"/>
            <w:tcBorders>
              <w:bottom w:val="single" w:sz="8" w:color="D9D9D9"/>
            </w:tcBorders>
          </w:tcPr>
          <w:p>
            <w:pPr>
              <w:spacing w:after="0" w:line="20" w:lineRule="exact"/>
              <w:rPr>
                <w:sz w:val="1"/>
                <w:szCs w:val="1"/>
                <w:color w:val="auto"/>
              </w:rPr>
            </w:pPr>
          </w:p>
        </w:tc>
        <w:tc>
          <w:tcPr>
            <w:tcW w:w="2120" w:type="dxa"/>
            <w:vAlign w:val="bottom"/>
            <w:tcBorders>
              <w:bottom w:val="single" w:sz="8" w:color="D9D9D9"/>
            </w:tcBorders>
          </w:tcPr>
          <w:p>
            <w:pPr>
              <w:spacing w:after="0" w:line="20" w:lineRule="exact"/>
              <w:rPr>
                <w:sz w:val="1"/>
                <w:szCs w:val="1"/>
                <w:color w:val="auto"/>
              </w:rPr>
            </w:pPr>
          </w:p>
        </w:tc>
        <w:tc>
          <w:tcPr>
            <w:tcW w:w="860" w:type="dxa"/>
            <w:vAlign w:val="bottom"/>
            <w:tcBorders>
              <w:bottom w:val="single" w:sz="8" w:color="D9D9D9"/>
            </w:tcBorders>
          </w:tcPr>
          <w:p>
            <w:pPr>
              <w:spacing w:after="0" w:line="20" w:lineRule="exact"/>
              <w:rPr>
                <w:sz w:val="1"/>
                <w:szCs w:val="1"/>
                <w:color w:val="auto"/>
              </w:rPr>
            </w:pPr>
          </w:p>
        </w:tc>
        <w:tc>
          <w:tcPr>
            <w:tcW w:w="300" w:type="dxa"/>
            <w:vAlign w:val="bottom"/>
            <w:tcBorders>
              <w:bottom w:val="single" w:sz="8" w:color="D9D9D9"/>
            </w:tcBorders>
          </w:tcPr>
          <w:p>
            <w:pPr>
              <w:spacing w:after="0" w:line="20" w:lineRule="exact"/>
              <w:rPr>
                <w:sz w:val="1"/>
                <w:szCs w:val="1"/>
                <w:color w:val="auto"/>
              </w:rPr>
            </w:pPr>
          </w:p>
        </w:tc>
      </w:tr>
      <w:tr>
        <w:trPr>
          <w:trHeight w:val="217"/>
        </w:trPr>
        <w:tc>
          <w:tcPr>
            <w:tcW w:w="7960" w:type="dxa"/>
            <w:vAlign w:val="bottom"/>
          </w:tcPr>
          <w:p>
            <w:pPr>
              <w:ind w:left="20"/>
              <w:spacing w:after="0"/>
              <w:rPr>
                <w:sz w:val="20"/>
                <w:szCs w:val="20"/>
                <w:color w:val="auto"/>
              </w:rPr>
            </w:pPr>
            <w:r>
              <w:rPr>
                <w:rFonts w:ascii="Arial" w:cs="Arial" w:eastAsia="Arial" w:hAnsi="Arial"/>
                <w:sz w:val="16"/>
                <w:szCs w:val="16"/>
                <w:color w:val="auto"/>
              </w:rPr>
              <w:t>Chair of Audit Committee</w:t>
            </w:r>
          </w:p>
        </w:tc>
        <w:tc>
          <w:tcPr>
            <w:tcW w:w="21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18,000</w:t>
            </w:r>
          </w:p>
        </w:tc>
        <w:tc>
          <w:tcPr>
            <w:tcW w:w="300" w:type="dxa"/>
            <w:vAlign w:val="bottom"/>
          </w:tcPr>
          <w:p>
            <w:pPr>
              <w:spacing w:after="0"/>
              <w:rPr>
                <w:sz w:val="18"/>
                <w:szCs w:val="18"/>
                <w:color w:val="auto"/>
              </w:rPr>
            </w:pPr>
          </w:p>
        </w:tc>
      </w:tr>
      <w:tr>
        <w:trPr>
          <w:trHeight w:val="22"/>
        </w:trPr>
        <w:tc>
          <w:tcPr>
            <w:tcW w:w="7960" w:type="dxa"/>
            <w:vAlign w:val="bottom"/>
            <w:tcBorders>
              <w:bottom w:val="single" w:sz="8" w:color="D9D9D9"/>
            </w:tcBorders>
          </w:tcPr>
          <w:p>
            <w:pPr>
              <w:spacing w:after="0" w:line="20" w:lineRule="exact"/>
              <w:rPr>
                <w:sz w:val="1"/>
                <w:szCs w:val="1"/>
                <w:color w:val="auto"/>
              </w:rPr>
            </w:pPr>
          </w:p>
        </w:tc>
        <w:tc>
          <w:tcPr>
            <w:tcW w:w="2120" w:type="dxa"/>
            <w:vAlign w:val="bottom"/>
            <w:tcBorders>
              <w:bottom w:val="single" w:sz="8" w:color="D9D9D9"/>
            </w:tcBorders>
          </w:tcPr>
          <w:p>
            <w:pPr>
              <w:spacing w:after="0" w:line="20" w:lineRule="exact"/>
              <w:rPr>
                <w:sz w:val="1"/>
                <w:szCs w:val="1"/>
                <w:color w:val="auto"/>
              </w:rPr>
            </w:pPr>
          </w:p>
        </w:tc>
        <w:tc>
          <w:tcPr>
            <w:tcW w:w="860" w:type="dxa"/>
            <w:vAlign w:val="bottom"/>
            <w:tcBorders>
              <w:bottom w:val="single" w:sz="8" w:color="D9D9D9"/>
            </w:tcBorders>
          </w:tcPr>
          <w:p>
            <w:pPr>
              <w:spacing w:after="0" w:line="20" w:lineRule="exact"/>
              <w:rPr>
                <w:sz w:val="1"/>
                <w:szCs w:val="1"/>
                <w:color w:val="auto"/>
              </w:rPr>
            </w:pPr>
          </w:p>
        </w:tc>
        <w:tc>
          <w:tcPr>
            <w:tcW w:w="300" w:type="dxa"/>
            <w:vAlign w:val="bottom"/>
            <w:tcBorders>
              <w:bottom w:val="single" w:sz="8" w:color="D9D9D9"/>
            </w:tcBorders>
          </w:tcPr>
          <w:p>
            <w:pPr>
              <w:spacing w:after="0" w:line="20" w:lineRule="exact"/>
              <w:rPr>
                <w:sz w:val="1"/>
                <w:szCs w:val="1"/>
                <w:color w:val="auto"/>
              </w:rPr>
            </w:pPr>
          </w:p>
        </w:tc>
      </w:tr>
      <w:tr>
        <w:trPr>
          <w:trHeight w:val="217"/>
        </w:trPr>
        <w:tc>
          <w:tcPr>
            <w:tcW w:w="7960" w:type="dxa"/>
            <w:vAlign w:val="bottom"/>
          </w:tcPr>
          <w:p>
            <w:pPr>
              <w:ind w:left="20"/>
              <w:spacing w:after="0"/>
              <w:rPr>
                <w:sz w:val="20"/>
                <w:szCs w:val="20"/>
                <w:color w:val="auto"/>
              </w:rPr>
            </w:pPr>
            <w:r>
              <w:rPr>
                <w:rFonts w:ascii="Arial" w:cs="Arial" w:eastAsia="Arial" w:hAnsi="Arial"/>
                <w:sz w:val="16"/>
                <w:szCs w:val="16"/>
                <w:color w:val="auto"/>
              </w:rPr>
              <w:t>Chairs of Compensation Committee and Enterprise Risk Committee</w:t>
            </w:r>
          </w:p>
        </w:tc>
        <w:tc>
          <w:tcPr>
            <w:tcW w:w="21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15,000</w:t>
            </w:r>
          </w:p>
        </w:tc>
        <w:tc>
          <w:tcPr>
            <w:tcW w:w="300" w:type="dxa"/>
            <w:vAlign w:val="bottom"/>
          </w:tcPr>
          <w:p>
            <w:pPr>
              <w:spacing w:after="0"/>
              <w:rPr>
                <w:sz w:val="18"/>
                <w:szCs w:val="18"/>
                <w:color w:val="auto"/>
              </w:rPr>
            </w:pPr>
          </w:p>
        </w:tc>
      </w:tr>
      <w:tr>
        <w:trPr>
          <w:trHeight w:val="22"/>
        </w:trPr>
        <w:tc>
          <w:tcPr>
            <w:tcW w:w="7960" w:type="dxa"/>
            <w:vAlign w:val="bottom"/>
            <w:tcBorders>
              <w:bottom w:val="single" w:sz="8" w:color="D9D9D9"/>
            </w:tcBorders>
          </w:tcPr>
          <w:p>
            <w:pPr>
              <w:spacing w:after="0" w:line="20" w:lineRule="exact"/>
              <w:rPr>
                <w:sz w:val="1"/>
                <w:szCs w:val="1"/>
                <w:color w:val="auto"/>
              </w:rPr>
            </w:pPr>
          </w:p>
        </w:tc>
        <w:tc>
          <w:tcPr>
            <w:tcW w:w="2120" w:type="dxa"/>
            <w:vAlign w:val="bottom"/>
            <w:tcBorders>
              <w:bottom w:val="single" w:sz="8" w:color="D9D9D9"/>
            </w:tcBorders>
          </w:tcPr>
          <w:p>
            <w:pPr>
              <w:spacing w:after="0" w:line="20" w:lineRule="exact"/>
              <w:rPr>
                <w:sz w:val="1"/>
                <w:szCs w:val="1"/>
                <w:color w:val="auto"/>
              </w:rPr>
            </w:pPr>
          </w:p>
        </w:tc>
        <w:tc>
          <w:tcPr>
            <w:tcW w:w="860" w:type="dxa"/>
            <w:vAlign w:val="bottom"/>
            <w:tcBorders>
              <w:bottom w:val="single" w:sz="8" w:color="D9D9D9"/>
            </w:tcBorders>
          </w:tcPr>
          <w:p>
            <w:pPr>
              <w:spacing w:after="0" w:line="20" w:lineRule="exact"/>
              <w:rPr>
                <w:sz w:val="1"/>
                <w:szCs w:val="1"/>
                <w:color w:val="auto"/>
              </w:rPr>
            </w:pPr>
          </w:p>
        </w:tc>
        <w:tc>
          <w:tcPr>
            <w:tcW w:w="300" w:type="dxa"/>
            <w:vAlign w:val="bottom"/>
            <w:tcBorders>
              <w:bottom w:val="single" w:sz="8" w:color="D9D9D9"/>
            </w:tcBorders>
          </w:tcPr>
          <w:p>
            <w:pPr>
              <w:spacing w:after="0" w:line="20" w:lineRule="exact"/>
              <w:rPr>
                <w:sz w:val="1"/>
                <w:szCs w:val="1"/>
                <w:color w:val="auto"/>
              </w:rPr>
            </w:pPr>
          </w:p>
        </w:tc>
      </w:tr>
      <w:tr>
        <w:trPr>
          <w:trHeight w:val="217"/>
        </w:trPr>
        <w:tc>
          <w:tcPr>
            <w:tcW w:w="7960" w:type="dxa"/>
            <w:vAlign w:val="bottom"/>
          </w:tcPr>
          <w:p>
            <w:pPr>
              <w:ind w:left="20"/>
              <w:spacing w:after="0"/>
              <w:rPr>
                <w:sz w:val="20"/>
                <w:szCs w:val="20"/>
                <w:color w:val="auto"/>
              </w:rPr>
            </w:pPr>
            <w:r>
              <w:rPr>
                <w:rFonts w:ascii="Arial" w:cs="Arial" w:eastAsia="Arial" w:hAnsi="Arial"/>
                <w:sz w:val="16"/>
                <w:szCs w:val="16"/>
                <w:color w:val="auto"/>
              </w:rPr>
              <w:t>Chairs of Corporate Governance &amp; Nominating Committee and Pension Committee</w:t>
            </w:r>
          </w:p>
        </w:tc>
        <w:tc>
          <w:tcPr>
            <w:tcW w:w="21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12,000</w:t>
            </w:r>
          </w:p>
        </w:tc>
        <w:tc>
          <w:tcPr>
            <w:tcW w:w="300" w:type="dxa"/>
            <w:vAlign w:val="bottom"/>
          </w:tcPr>
          <w:p>
            <w:pPr>
              <w:spacing w:after="0"/>
              <w:rPr>
                <w:sz w:val="18"/>
                <w:szCs w:val="18"/>
                <w:color w:val="auto"/>
              </w:rPr>
            </w:pPr>
          </w:p>
        </w:tc>
      </w:tr>
      <w:tr>
        <w:trPr>
          <w:trHeight w:val="22"/>
        </w:trPr>
        <w:tc>
          <w:tcPr>
            <w:tcW w:w="7960" w:type="dxa"/>
            <w:vAlign w:val="bottom"/>
            <w:tcBorders>
              <w:bottom w:val="single" w:sz="8" w:color="D9D9D9"/>
            </w:tcBorders>
          </w:tcPr>
          <w:p>
            <w:pPr>
              <w:spacing w:after="0" w:line="20" w:lineRule="exact"/>
              <w:rPr>
                <w:sz w:val="1"/>
                <w:szCs w:val="1"/>
                <w:color w:val="auto"/>
              </w:rPr>
            </w:pPr>
          </w:p>
        </w:tc>
        <w:tc>
          <w:tcPr>
            <w:tcW w:w="2120" w:type="dxa"/>
            <w:vAlign w:val="bottom"/>
            <w:tcBorders>
              <w:bottom w:val="single" w:sz="8" w:color="D9D9D9"/>
            </w:tcBorders>
          </w:tcPr>
          <w:p>
            <w:pPr>
              <w:spacing w:after="0" w:line="20" w:lineRule="exact"/>
              <w:rPr>
                <w:sz w:val="1"/>
                <w:szCs w:val="1"/>
                <w:color w:val="auto"/>
              </w:rPr>
            </w:pPr>
          </w:p>
        </w:tc>
        <w:tc>
          <w:tcPr>
            <w:tcW w:w="860" w:type="dxa"/>
            <w:vAlign w:val="bottom"/>
            <w:tcBorders>
              <w:bottom w:val="single" w:sz="8" w:color="D9D9D9"/>
            </w:tcBorders>
          </w:tcPr>
          <w:p>
            <w:pPr>
              <w:spacing w:after="0" w:line="20" w:lineRule="exact"/>
              <w:rPr>
                <w:sz w:val="1"/>
                <w:szCs w:val="1"/>
                <w:color w:val="auto"/>
              </w:rPr>
            </w:pPr>
          </w:p>
        </w:tc>
        <w:tc>
          <w:tcPr>
            <w:tcW w:w="300" w:type="dxa"/>
            <w:vAlign w:val="bottom"/>
            <w:tcBorders>
              <w:bottom w:val="single" w:sz="8" w:color="D9D9D9"/>
            </w:tcBorders>
          </w:tcPr>
          <w:p>
            <w:pPr>
              <w:spacing w:after="0" w:line="20" w:lineRule="exact"/>
              <w:rPr>
                <w:sz w:val="1"/>
                <w:szCs w:val="1"/>
                <w:color w:val="auto"/>
              </w:rPr>
            </w:pPr>
          </w:p>
        </w:tc>
      </w:tr>
      <w:tr>
        <w:trPr>
          <w:trHeight w:val="217"/>
        </w:trPr>
        <w:tc>
          <w:tcPr>
            <w:tcW w:w="7960" w:type="dxa"/>
            <w:vAlign w:val="bottom"/>
          </w:tcPr>
          <w:p>
            <w:pPr>
              <w:ind w:left="20"/>
              <w:spacing w:after="0"/>
              <w:rPr>
                <w:sz w:val="20"/>
                <w:szCs w:val="20"/>
                <w:color w:val="auto"/>
              </w:rPr>
            </w:pPr>
            <w:r>
              <w:rPr>
                <w:rFonts w:ascii="Arial" w:cs="Arial" w:eastAsia="Arial" w:hAnsi="Arial"/>
                <w:sz w:val="16"/>
                <w:szCs w:val="16"/>
                <w:color w:val="auto"/>
              </w:rPr>
              <w:t>Audit Committee Member</w:t>
            </w:r>
          </w:p>
        </w:tc>
        <w:tc>
          <w:tcPr>
            <w:tcW w:w="21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6,000</w:t>
            </w:r>
          </w:p>
        </w:tc>
        <w:tc>
          <w:tcPr>
            <w:tcW w:w="300" w:type="dxa"/>
            <w:vAlign w:val="bottom"/>
          </w:tcPr>
          <w:p>
            <w:pPr>
              <w:spacing w:after="0"/>
              <w:rPr>
                <w:sz w:val="18"/>
                <w:szCs w:val="18"/>
                <w:color w:val="auto"/>
              </w:rPr>
            </w:pPr>
          </w:p>
        </w:tc>
      </w:tr>
      <w:tr>
        <w:trPr>
          <w:trHeight w:val="22"/>
        </w:trPr>
        <w:tc>
          <w:tcPr>
            <w:tcW w:w="7960" w:type="dxa"/>
            <w:vAlign w:val="bottom"/>
            <w:tcBorders>
              <w:bottom w:val="single" w:sz="8" w:color="D9D9D9"/>
            </w:tcBorders>
          </w:tcPr>
          <w:p>
            <w:pPr>
              <w:spacing w:after="0" w:line="20" w:lineRule="exact"/>
              <w:rPr>
                <w:sz w:val="1"/>
                <w:szCs w:val="1"/>
                <w:color w:val="auto"/>
              </w:rPr>
            </w:pPr>
          </w:p>
        </w:tc>
        <w:tc>
          <w:tcPr>
            <w:tcW w:w="2120" w:type="dxa"/>
            <w:vAlign w:val="bottom"/>
            <w:tcBorders>
              <w:bottom w:val="single" w:sz="8" w:color="D9D9D9"/>
            </w:tcBorders>
          </w:tcPr>
          <w:p>
            <w:pPr>
              <w:spacing w:after="0" w:line="20" w:lineRule="exact"/>
              <w:rPr>
                <w:sz w:val="1"/>
                <w:szCs w:val="1"/>
                <w:color w:val="auto"/>
              </w:rPr>
            </w:pPr>
          </w:p>
        </w:tc>
        <w:tc>
          <w:tcPr>
            <w:tcW w:w="860" w:type="dxa"/>
            <w:vAlign w:val="bottom"/>
            <w:tcBorders>
              <w:bottom w:val="single" w:sz="8" w:color="D9D9D9"/>
            </w:tcBorders>
          </w:tcPr>
          <w:p>
            <w:pPr>
              <w:spacing w:after="0" w:line="20" w:lineRule="exact"/>
              <w:rPr>
                <w:sz w:val="1"/>
                <w:szCs w:val="1"/>
                <w:color w:val="auto"/>
              </w:rPr>
            </w:pPr>
          </w:p>
        </w:tc>
        <w:tc>
          <w:tcPr>
            <w:tcW w:w="300" w:type="dxa"/>
            <w:vAlign w:val="bottom"/>
            <w:tcBorders>
              <w:bottom w:val="single" w:sz="8" w:color="D9D9D9"/>
            </w:tcBorders>
          </w:tcPr>
          <w:p>
            <w:pPr>
              <w:spacing w:after="0" w:line="20" w:lineRule="exact"/>
              <w:rPr>
                <w:sz w:val="1"/>
                <w:szCs w:val="1"/>
                <w:color w:val="auto"/>
              </w:rPr>
            </w:pPr>
          </w:p>
        </w:tc>
      </w:tr>
      <w:tr>
        <w:trPr>
          <w:trHeight w:val="217"/>
        </w:trPr>
        <w:tc>
          <w:tcPr>
            <w:tcW w:w="7960" w:type="dxa"/>
            <w:vAlign w:val="bottom"/>
          </w:tcPr>
          <w:p>
            <w:pPr>
              <w:ind w:left="20"/>
              <w:spacing w:after="0"/>
              <w:rPr>
                <w:sz w:val="20"/>
                <w:szCs w:val="20"/>
                <w:color w:val="auto"/>
              </w:rPr>
            </w:pPr>
            <w:r>
              <w:rPr>
                <w:rFonts w:ascii="Arial" w:cs="Arial" w:eastAsia="Arial" w:hAnsi="Arial"/>
                <w:sz w:val="16"/>
                <w:szCs w:val="16"/>
                <w:color w:val="auto"/>
              </w:rPr>
              <w:t>Committee Members (other than Audit Committee)</w:t>
            </w:r>
          </w:p>
        </w:tc>
        <w:tc>
          <w:tcPr>
            <w:tcW w:w="21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5,000</w:t>
            </w:r>
          </w:p>
        </w:tc>
        <w:tc>
          <w:tcPr>
            <w:tcW w:w="300" w:type="dxa"/>
            <w:vAlign w:val="bottom"/>
          </w:tcPr>
          <w:p>
            <w:pPr>
              <w:spacing w:after="0"/>
              <w:rPr>
                <w:sz w:val="18"/>
                <w:szCs w:val="18"/>
                <w:color w:val="auto"/>
              </w:rPr>
            </w:pPr>
          </w:p>
        </w:tc>
      </w:tr>
      <w:tr>
        <w:trPr>
          <w:trHeight w:val="22"/>
        </w:trPr>
        <w:tc>
          <w:tcPr>
            <w:tcW w:w="7960" w:type="dxa"/>
            <w:vAlign w:val="bottom"/>
            <w:tcBorders>
              <w:bottom w:val="single" w:sz="8" w:color="00AEEF"/>
            </w:tcBorders>
          </w:tcPr>
          <w:p>
            <w:pPr>
              <w:spacing w:after="0" w:line="20" w:lineRule="exact"/>
              <w:rPr>
                <w:sz w:val="1"/>
                <w:szCs w:val="1"/>
                <w:color w:val="auto"/>
              </w:rPr>
            </w:pPr>
          </w:p>
        </w:tc>
        <w:tc>
          <w:tcPr>
            <w:tcW w:w="2120" w:type="dxa"/>
            <w:vAlign w:val="bottom"/>
            <w:tcBorders>
              <w:bottom w:val="single" w:sz="8" w:color="00AEEF"/>
            </w:tcBorders>
          </w:tcPr>
          <w:p>
            <w:pPr>
              <w:spacing w:after="0" w:line="20" w:lineRule="exact"/>
              <w:rPr>
                <w:sz w:val="1"/>
                <w:szCs w:val="1"/>
                <w:color w:val="auto"/>
              </w:rPr>
            </w:pPr>
          </w:p>
        </w:tc>
        <w:tc>
          <w:tcPr>
            <w:tcW w:w="860" w:type="dxa"/>
            <w:vAlign w:val="bottom"/>
            <w:tcBorders>
              <w:bottom w:val="single" w:sz="8" w:color="00AEEF"/>
            </w:tcBorders>
          </w:tcPr>
          <w:p>
            <w:pPr>
              <w:spacing w:after="0" w:line="20" w:lineRule="exact"/>
              <w:rPr>
                <w:sz w:val="1"/>
                <w:szCs w:val="1"/>
                <w:color w:val="auto"/>
              </w:rPr>
            </w:pPr>
          </w:p>
        </w:tc>
        <w:tc>
          <w:tcPr>
            <w:tcW w:w="300" w:type="dxa"/>
            <w:vAlign w:val="bottom"/>
            <w:tcBorders>
              <w:bottom w:val="single" w:sz="8" w:color="00AEEF"/>
            </w:tcBorders>
          </w:tcPr>
          <w:p>
            <w:pPr>
              <w:spacing w:after="0" w:line="20" w:lineRule="exact"/>
              <w:rPr>
                <w:sz w:val="1"/>
                <w:szCs w:val="1"/>
                <w:color w:val="auto"/>
              </w:rPr>
            </w:pPr>
          </w:p>
        </w:tc>
      </w:tr>
    </w:tbl>
    <w:p>
      <w:pPr>
        <w:spacing w:after="0" w:line="117" w:lineRule="exact"/>
        <w:rPr>
          <w:sz w:val="20"/>
          <w:szCs w:val="20"/>
          <w:color w:val="auto"/>
        </w:rPr>
      </w:pPr>
    </w:p>
    <w:p>
      <w:pPr>
        <w:ind w:left="262" w:hanging="262"/>
        <w:spacing w:after="0"/>
        <w:tabs>
          <w:tab w:leader="none" w:pos="262"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The annual retainer of $105,000 consists of a cash compensation component of $60,000, and a common stock compensation component of $45,000.</w:t>
      </w:r>
    </w:p>
    <w:p>
      <w:pPr>
        <w:spacing w:after="0" w:line="100" w:lineRule="exact"/>
        <w:rPr>
          <w:sz w:val="20"/>
          <w:szCs w:val="20"/>
          <w:color w:val="auto"/>
        </w:rPr>
      </w:pPr>
    </w:p>
    <w:p>
      <w:pPr>
        <w:ind w:left="2"/>
        <w:spacing w:after="0"/>
        <w:rPr>
          <w:sz w:val="20"/>
          <w:szCs w:val="20"/>
          <w:color w:val="auto"/>
        </w:rPr>
      </w:pPr>
      <w:r>
        <w:rPr>
          <w:rFonts w:ascii="Arial" w:cs="Arial" w:eastAsia="Arial" w:hAnsi="Arial"/>
          <w:sz w:val="36"/>
          <w:szCs w:val="36"/>
          <w:b w:val="1"/>
          <w:bCs w:val="1"/>
          <w:color w:val="0076A8"/>
        </w:rPr>
        <w:t>Director Compensation Table</w:t>
      </w:r>
    </w:p>
    <w:p>
      <w:pPr>
        <w:spacing w:after="0" w:line="191"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table details Director compensation for 2025.</w:t>
      </w:r>
    </w:p>
    <w:p>
      <w:pPr>
        <w:spacing w:after="0" w:line="194" w:lineRule="exact"/>
        <w:rPr>
          <w:sz w:val="20"/>
          <w:szCs w:val="20"/>
          <w:color w:val="auto"/>
        </w:rPr>
      </w:pPr>
    </w:p>
    <w:tbl>
      <w:tblPr>
        <w:tblLayout w:type="fixed"/>
        <w:tblInd w:w="2" w:type="dxa"/>
        <w:tblCellMar>
          <w:top w:w="0" w:type="dxa"/>
          <w:left w:w="0" w:type="dxa"/>
          <w:bottom w:w="0" w:type="dxa"/>
          <w:right w:w="0" w:type="dxa"/>
        </w:tblCellMar>
      </w:tblPr>
      <w:tr>
        <w:trPr>
          <w:trHeight w:val="160"/>
        </w:trPr>
        <w:tc>
          <w:tcPr>
            <w:tcW w:w="4660" w:type="dxa"/>
            <w:vAlign w:val="bottom"/>
          </w:tcPr>
          <w:p>
            <w:pPr>
              <w:spacing w:after="0"/>
              <w:rPr>
                <w:sz w:val="13"/>
                <w:szCs w:val="13"/>
                <w:color w:val="auto"/>
              </w:rPr>
            </w:pPr>
          </w:p>
        </w:tc>
        <w:tc>
          <w:tcPr>
            <w:tcW w:w="4120" w:type="dxa"/>
            <w:vAlign w:val="bottom"/>
          </w:tcPr>
          <w:p>
            <w:pPr>
              <w:jc w:val="right"/>
              <w:ind w:right="222"/>
              <w:spacing w:after="0"/>
              <w:rPr>
                <w:sz w:val="20"/>
                <w:szCs w:val="20"/>
                <w:color w:val="auto"/>
              </w:rPr>
            </w:pPr>
            <w:r>
              <w:rPr>
                <w:rFonts w:ascii="Arial" w:cs="Arial" w:eastAsia="Arial" w:hAnsi="Arial"/>
                <w:sz w:val="13"/>
                <w:szCs w:val="13"/>
                <w:b w:val="1"/>
                <w:bCs w:val="1"/>
                <w:color w:val="191769"/>
              </w:rPr>
              <w:t>Fees earned</w:t>
            </w:r>
          </w:p>
        </w:tc>
        <w:tc>
          <w:tcPr>
            <w:tcW w:w="1200" w:type="dxa"/>
            <w:vAlign w:val="bottom"/>
          </w:tcPr>
          <w:p>
            <w:pPr>
              <w:ind w:left="280"/>
              <w:spacing w:after="0"/>
              <w:rPr>
                <w:sz w:val="20"/>
                <w:szCs w:val="20"/>
                <w:color w:val="auto"/>
              </w:rPr>
            </w:pPr>
            <w:r>
              <w:rPr>
                <w:rFonts w:ascii="Arial" w:cs="Arial" w:eastAsia="Arial" w:hAnsi="Arial"/>
                <w:sz w:val="13"/>
                <w:szCs w:val="13"/>
                <w:b w:val="1"/>
                <w:bCs w:val="1"/>
                <w:color w:val="191769"/>
              </w:rPr>
              <w:t>Common</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191769"/>
              </w:rPr>
              <w:t>Total</w:t>
            </w:r>
          </w:p>
        </w:tc>
        <w:tc>
          <w:tcPr>
            <w:tcW w:w="0" w:type="dxa"/>
            <w:vAlign w:val="bottom"/>
          </w:tcPr>
          <w:p>
            <w:pPr>
              <w:spacing w:after="0"/>
              <w:rPr>
                <w:sz w:val="1"/>
                <w:szCs w:val="1"/>
                <w:color w:val="auto"/>
              </w:rPr>
            </w:pPr>
          </w:p>
        </w:tc>
      </w:tr>
      <w:tr>
        <w:trPr>
          <w:trHeight w:val="160"/>
        </w:trPr>
        <w:tc>
          <w:tcPr>
            <w:tcW w:w="4660" w:type="dxa"/>
            <w:vAlign w:val="bottom"/>
            <w:vMerge w:val="restart"/>
          </w:tcPr>
          <w:p>
            <w:pPr>
              <w:ind w:left="20"/>
              <w:spacing w:after="0"/>
              <w:rPr>
                <w:sz w:val="20"/>
                <w:szCs w:val="20"/>
                <w:color w:val="auto"/>
              </w:rPr>
            </w:pPr>
            <w:r>
              <w:rPr>
                <w:rFonts w:ascii="Arial" w:cs="Arial" w:eastAsia="Arial" w:hAnsi="Arial"/>
                <w:sz w:val="13"/>
                <w:szCs w:val="13"/>
                <w:b w:val="1"/>
                <w:bCs w:val="1"/>
                <w:color w:val="191769"/>
              </w:rPr>
              <w:t>Name</w:t>
            </w:r>
          </w:p>
        </w:tc>
        <w:tc>
          <w:tcPr>
            <w:tcW w:w="4120" w:type="dxa"/>
            <w:vAlign w:val="bottom"/>
          </w:tcPr>
          <w:p>
            <w:pPr>
              <w:jc w:val="right"/>
              <w:ind w:right="222"/>
              <w:spacing w:after="0"/>
              <w:rPr>
                <w:sz w:val="20"/>
                <w:szCs w:val="20"/>
                <w:color w:val="auto"/>
              </w:rPr>
            </w:pPr>
            <w:r>
              <w:rPr>
                <w:rFonts w:ascii="Arial" w:cs="Arial" w:eastAsia="Arial" w:hAnsi="Arial"/>
                <w:sz w:val="13"/>
                <w:szCs w:val="13"/>
                <w:b w:val="1"/>
                <w:bCs w:val="1"/>
                <w:color w:val="191769"/>
              </w:rPr>
              <w:t>or paid in cash</w:t>
            </w:r>
          </w:p>
        </w:tc>
        <w:tc>
          <w:tcPr>
            <w:tcW w:w="1200" w:type="dxa"/>
            <w:vAlign w:val="bottom"/>
          </w:tcPr>
          <w:p>
            <w:pPr>
              <w:jc w:val="right"/>
              <w:ind w:right="262"/>
              <w:spacing w:after="0"/>
              <w:rPr>
                <w:sz w:val="20"/>
                <w:szCs w:val="20"/>
                <w:color w:val="auto"/>
              </w:rPr>
            </w:pPr>
            <w:r>
              <w:rPr>
                <w:rFonts w:ascii="Arial" w:cs="Arial" w:eastAsia="Arial" w:hAnsi="Arial"/>
                <w:sz w:val="13"/>
                <w:szCs w:val="13"/>
                <w:b w:val="1"/>
                <w:bCs w:val="1"/>
                <w:color w:val="191769"/>
              </w:rPr>
              <w:t>Stock</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191769"/>
              </w:rPr>
              <w:t>Compensation</w:t>
            </w:r>
          </w:p>
        </w:tc>
        <w:tc>
          <w:tcPr>
            <w:tcW w:w="0" w:type="dxa"/>
            <w:vAlign w:val="bottom"/>
          </w:tcPr>
          <w:p>
            <w:pPr>
              <w:spacing w:after="0"/>
              <w:rPr>
                <w:sz w:val="1"/>
                <w:szCs w:val="1"/>
                <w:color w:val="auto"/>
              </w:rPr>
            </w:pPr>
          </w:p>
        </w:tc>
      </w:tr>
      <w:tr>
        <w:trPr>
          <w:trHeight w:val="179"/>
        </w:trPr>
        <w:tc>
          <w:tcPr>
            <w:tcW w:w="4660" w:type="dxa"/>
            <w:vAlign w:val="bottom"/>
            <w:tcBorders>
              <w:bottom w:val="single" w:sz="8" w:color="00AEEF"/>
            </w:tcBorders>
            <w:vMerge w:val="continue"/>
          </w:tcPr>
          <w:p>
            <w:pPr>
              <w:spacing w:after="0"/>
              <w:rPr>
                <w:sz w:val="15"/>
                <w:szCs w:val="15"/>
                <w:color w:val="auto"/>
              </w:rPr>
            </w:pPr>
          </w:p>
        </w:tc>
        <w:tc>
          <w:tcPr>
            <w:tcW w:w="4120" w:type="dxa"/>
            <w:vAlign w:val="bottom"/>
            <w:tcBorders>
              <w:bottom w:val="single" w:sz="8" w:color="00AEEF"/>
            </w:tcBorders>
          </w:tcPr>
          <w:p>
            <w:pPr>
              <w:jc w:val="right"/>
              <w:ind w:right="222"/>
              <w:spacing w:after="0"/>
              <w:rPr>
                <w:sz w:val="20"/>
                <w:szCs w:val="20"/>
                <w:color w:val="auto"/>
              </w:rPr>
            </w:pPr>
            <w:r>
              <w:rPr>
                <w:rFonts w:ascii="Arial" w:cs="Arial" w:eastAsia="Arial" w:hAnsi="Arial"/>
                <w:sz w:val="13"/>
                <w:szCs w:val="13"/>
                <w:b w:val="1"/>
                <w:bCs w:val="1"/>
                <w:color w:val="191769"/>
              </w:rPr>
              <w:t>($)</w:t>
            </w:r>
          </w:p>
        </w:tc>
        <w:tc>
          <w:tcPr>
            <w:tcW w:w="1200" w:type="dxa"/>
            <w:vAlign w:val="bottom"/>
            <w:tcBorders>
              <w:bottom w:val="single" w:sz="8" w:color="00AEEF"/>
            </w:tcBorders>
          </w:tcPr>
          <w:p>
            <w:pPr>
              <w:jc w:val="right"/>
              <w:ind w:right="262"/>
              <w:spacing w:after="0"/>
              <w:rPr>
                <w:sz w:val="20"/>
                <w:szCs w:val="20"/>
                <w:color w:val="auto"/>
              </w:rPr>
            </w:pPr>
            <w:r>
              <w:rPr>
                <w:rFonts w:ascii="Arial" w:cs="Arial" w:eastAsia="Arial" w:hAnsi="Arial"/>
                <w:sz w:val="13"/>
                <w:szCs w:val="13"/>
                <w:b w:val="1"/>
                <w:bCs w:val="1"/>
                <w:color w:val="191769"/>
              </w:rPr>
              <w:t>($)</w:t>
            </w:r>
          </w:p>
        </w:tc>
        <w:tc>
          <w:tcPr>
            <w:tcW w:w="1260" w:type="dxa"/>
            <w:vAlign w:val="bottom"/>
            <w:tcBorders>
              <w:bottom w:val="single" w:sz="8" w:color="00AEEF"/>
            </w:tcBorders>
          </w:tcPr>
          <w:p>
            <w:pPr>
              <w:jc w:val="right"/>
              <w:spacing w:after="0"/>
              <w:rPr>
                <w:sz w:val="20"/>
                <w:szCs w:val="20"/>
                <w:color w:val="auto"/>
              </w:rPr>
            </w:pPr>
            <w:r>
              <w:rPr>
                <w:rFonts w:ascii="Arial" w:cs="Arial" w:eastAsia="Arial" w:hAnsi="Arial"/>
                <w:sz w:val="13"/>
                <w:szCs w:val="13"/>
                <w:b w:val="1"/>
                <w:bCs w:val="1"/>
                <w:color w:val="191769"/>
              </w:rPr>
              <w:t>($)</w:t>
            </w:r>
          </w:p>
        </w:tc>
        <w:tc>
          <w:tcPr>
            <w:tcW w:w="0" w:type="dxa"/>
            <w:vAlign w:val="bottom"/>
          </w:tcPr>
          <w:p>
            <w:pPr>
              <w:spacing w:after="0"/>
              <w:rPr>
                <w:sz w:val="1"/>
                <w:szCs w:val="1"/>
                <w:color w:val="auto"/>
              </w:rPr>
            </w:pPr>
          </w:p>
        </w:tc>
      </w:tr>
      <w:tr>
        <w:trPr>
          <w:trHeight w:val="232"/>
        </w:trPr>
        <w:tc>
          <w:tcPr>
            <w:tcW w:w="466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Joshua Bershad, M.D.</w:t>
            </w:r>
          </w:p>
        </w:tc>
        <w:tc>
          <w:tcPr>
            <w:tcW w:w="4120" w:type="dxa"/>
            <w:vAlign w:val="bottom"/>
            <w:tcBorders>
              <w:bottom w:val="single" w:sz="8" w:color="D9D9D9"/>
            </w:tcBorders>
          </w:tcPr>
          <w:p>
            <w:pPr>
              <w:jc w:val="right"/>
              <w:ind w:right="262"/>
              <w:spacing w:after="0"/>
              <w:rPr>
                <w:sz w:val="20"/>
                <w:szCs w:val="20"/>
                <w:color w:val="auto"/>
              </w:rPr>
            </w:pPr>
            <w:r>
              <w:rPr>
                <w:rFonts w:ascii="Arial" w:cs="Arial" w:eastAsia="Arial" w:hAnsi="Arial"/>
                <w:sz w:val="16"/>
                <w:szCs w:val="16"/>
                <w:color w:val="auto"/>
              </w:rPr>
              <w:t>81,000</w:t>
            </w:r>
          </w:p>
        </w:tc>
        <w:tc>
          <w:tcPr>
            <w:tcW w:w="1200" w:type="dxa"/>
            <w:vAlign w:val="bottom"/>
            <w:tcBorders>
              <w:bottom w:val="single" w:sz="8" w:color="D9D9D9"/>
            </w:tcBorders>
          </w:tcPr>
          <w:p>
            <w:pPr>
              <w:ind w:left="300"/>
              <w:spacing w:after="0"/>
              <w:rPr>
                <w:sz w:val="20"/>
                <w:szCs w:val="20"/>
                <w:color w:val="auto"/>
              </w:rPr>
            </w:pPr>
            <w:r>
              <w:rPr>
                <w:rFonts w:ascii="Arial" w:cs="Arial" w:eastAsia="Arial" w:hAnsi="Arial"/>
                <w:sz w:val="16"/>
                <w:szCs w:val="16"/>
                <w:color w:val="auto"/>
              </w:rPr>
              <w:t>45,000</w:t>
            </w:r>
          </w:p>
        </w:tc>
        <w:tc>
          <w:tcPr>
            <w:tcW w:w="126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126,000</w:t>
            </w:r>
          </w:p>
        </w:tc>
        <w:tc>
          <w:tcPr>
            <w:tcW w:w="0" w:type="dxa"/>
            <w:vAlign w:val="bottom"/>
          </w:tcPr>
          <w:p>
            <w:pPr>
              <w:spacing w:after="0"/>
              <w:rPr>
                <w:sz w:val="1"/>
                <w:szCs w:val="1"/>
                <w:color w:val="auto"/>
              </w:rPr>
            </w:pPr>
          </w:p>
        </w:tc>
      </w:tr>
      <w:tr>
        <w:trPr>
          <w:trHeight w:val="239"/>
        </w:trPr>
        <w:tc>
          <w:tcPr>
            <w:tcW w:w="466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James F. Cosgrove Jr.</w:t>
            </w:r>
          </w:p>
        </w:tc>
        <w:tc>
          <w:tcPr>
            <w:tcW w:w="4120" w:type="dxa"/>
            <w:vAlign w:val="bottom"/>
            <w:tcBorders>
              <w:bottom w:val="single" w:sz="8" w:color="D9D9D9"/>
            </w:tcBorders>
          </w:tcPr>
          <w:p>
            <w:pPr>
              <w:jc w:val="right"/>
              <w:ind w:right="262"/>
              <w:spacing w:after="0"/>
              <w:rPr>
                <w:sz w:val="20"/>
                <w:szCs w:val="20"/>
                <w:color w:val="auto"/>
              </w:rPr>
            </w:pPr>
            <w:r>
              <w:rPr>
                <w:rFonts w:ascii="Arial" w:cs="Arial" w:eastAsia="Arial" w:hAnsi="Arial"/>
                <w:sz w:val="16"/>
                <w:szCs w:val="16"/>
                <w:color w:val="auto"/>
              </w:rPr>
              <w:t>77,000</w:t>
            </w:r>
          </w:p>
        </w:tc>
        <w:tc>
          <w:tcPr>
            <w:tcW w:w="1200" w:type="dxa"/>
            <w:vAlign w:val="bottom"/>
            <w:tcBorders>
              <w:bottom w:val="single" w:sz="8" w:color="D9D9D9"/>
            </w:tcBorders>
          </w:tcPr>
          <w:p>
            <w:pPr>
              <w:ind w:left="300"/>
              <w:spacing w:after="0"/>
              <w:rPr>
                <w:sz w:val="20"/>
                <w:szCs w:val="20"/>
                <w:color w:val="auto"/>
              </w:rPr>
            </w:pPr>
            <w:r>
              <w:rPr>
                <w:rFonts w:ascii="Arial" w:cs="Arial" w:eastAsia="Arial" w:hAnsi="Arial"/>
                <w:sz w:val="16"/>
                <w:szCs w:val="16"/>
                <w:color w:val="auto"/>
              </w:rPr>
              <w:t>45,000</w:t>
            </w:r>
          </w:p>
        </w:tc>
        <w:tc>
          <w:tcPr>
            <w:tcW w:w="126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122,000</w:t>
            </w:r>
          </w:p>
        </w:tc>
        <w:tc>
          <w:tcPr>
            <w:tcW w:w="0" w:type="dxa"/>
            <w:vAlign w:val="bottom"/>
          </w:tcPr>
          <w:p>
            <w:pPr>
              <w:spacing w:after="0"/>
              <w:rPr>
                <w:sz w:val="1"/>
                <w:szCs w:val="1"/>
                <w:color w:val="auto"/>
              </w:rPr>
            </w:pPr>
          </w:p>
        </w:tc>
      </w:tr>
      <w:tr>
        <w:trPr>
          <w:trHeight w:val="239"/>
        </w:trPr>
        <w:tc>
          <w:tcPr>
            <w:tcW w:w="466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Dennis W. Doll*</w:t>
            </w:r>
          </w:p>
        </w:tc>
        <w:tc>
          <w:tcPr>
            <w:tcW w:w="4120" w:type="dxa"/>
            <w:vAlign w:val="bottom"/>
            <w:tcBorders>
              <w:bottom w:val="single" w:sz="8" w:color="D9D9D9"/>
            </w:tcBorders>
          </w:tcPr>
          <w:p>
            <w:pPr>
              <w:jc w:val="right"/>
              <w:ind w:right="262"/>
              <w:spacing w:after="0"/>
              <w:rPr>
                <w:sz w:val="20"/>
                <w:szCs w:val="20"/>
                <w:color w:val="auto"/>
              </w:rPr>
            </w:pPr>
            <w:r>
              <w:rPr>
                <w:rFonts w:ascii="Arial" w:cs="Arial" w:eastAsia="Arial" w:hAnsi="Arial"/>
                <w:sz w:val="16"/>
                <w:szCs w:val="16"/>
                <w:color w:val="auto"/>
              </w:rPr>
              <w:t>30,000</w:t>
            </w:r>
          </w:p>
        </w:tc>
        <w:tc>
          <w:tcPr>
            <w:tcW w:w="1200" w:type="dxa"/>
            <w:vAlign w:val="bottom"/>
            <w:tcBorders>
              <w:bottom w:val="single" w:sz="8" w:color="D9D9D9"/>
            </w:tcBorders>
          </w:tcPr>
          <w:p>
            <w:pPr>
              <w:ind w:left="300"/>
              <w:spacing w:after="0"/>
              <w:rPr>
                <w:sz w:val="20"/>
                <w:szCs w:val="20"/>
                <w:color w:val="auto"/>
              </w:rPr>
            </w:pPr>
            <w:r>
              <w:rPr>
                <w:rFonts w:ascii="Arial" w:cs="Arial" w:eastAsia="Arial" w:hAnsi="Arial"/>
                <w:sz w:val="16"/>
                <w:szCs w:val="16"/>
                <w:color w:val="auto"/>
              </w:rPr>
              <w:t>45,000</w:t>
            </w:r>
          </w:p>
        </w:tc>
        <w:tc>
          <w:tcPr>
            <w:tcW w:w="126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239"/>
        </w:trPr>
        <w:tc>
          <w:tcPr>
            <w:tcW w:w="466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Kim C. Hanemann</w:t>
            </w:r>
          </w:p>
        </w:tc>
        <w:tc>
          <w:tcPr>
            <w:tcW w:w="4120" w:type="dxa"/>
            <w:vAlign w:val="bottom"/>
            <w:tcBorders>
              <w:bottom w:val="single" w:sz="8" w:color="D9D9D9"/>
            </w:tcBorders>
          </w:tcPr>
          <w:p>
            <w:pPr>
              <w:jc w:val="right"/>
              <w:ind w:right="262"/>
              <w:spacing w:after="0"/>
              <w:rPr>
                <w:sz w:val="20"/>
                <w:szCs w:val="20"/>
                <w:color w:val="auto"/>
              </w:rPr>
            </w:pPr>
            <w:r>
              <w:rPr>
                <w:rFonts w:ascii="Arial" w:cs="Arial" w:eastAsia="Arial" w:hAnsi="Arial"/>
                <w:sz w:val="16"/>
                <w:szCs w:val="16"/>
                <w:color w:val="auto"/>
              </w:rPr>
              <w:t>80,000</w:t>
            </w:r>
          </w:p>
        </w:tc>
        <w:tc>
          <w:tcPr>
            <w:tcW w:w="1200" w:type="dxa"/>
            <w:vAlign w:val="bottom"/>
            <w:tcBorders>
              <w:bottom w:val="single" w:sz="8" w:color="D9D9D9"/>
            </w:tcBorders>
          </w:tcPr>
          <w:p>
            <w:pPr>
              <w:ind w:left="300"/>
              <w:spacing w:after="0"/>
              <w:rPr>
                <w:sz w:val="20"/>
                <w:szCs w:val="20"/>
                <w:color w:val="auto"/>
              </w:rPr>
            </w:pPr>
            <w:r>
              <w:rPr>
                <w:rFonts w:ascii="Arial" w:cs="Arial" w:eastAsia="Arial" w:hAnsi="Arial"/>
                <w:sz w:val="16"/>
                <w:szCs w:val="16"/>
                <w:color w:val="auto"/>
              </w:rPr>
              <w:t>45,000</w:t>
            </w:r>
          </w:p>
        </w:tc>
        <w:tc>
          <w:tcPr>
            <w:tcW w:w="126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125,000</w:t>
            </w:r>
          </w:p>
        </w:tc>
        <w:tc>
          <w:tcPr>
            <w:tcW w:w="0" w:type="dxa"/>
            <w:vAlign w:val="bottom"/>
          </w:tcPr>
          <w:p>
            <w:pPr>
              <w:spacing w:after="0"/>
              <w:rPr>
                <w:sz w:val="1"/>
                <w:szCs w:val="1"/>
                <w:color w:val="auto"/>
              </w:rPr>
            </w:pPr>
          </w:p>
        </w:tc>
      </w:tr>
      <w:tr>
        <w:trPr>
          <w:trHeight w:val="239"/>
        </w:trPr>
        <w:tc>
          <w:tcPr>
            <w:tcW w:w="466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Steven M. Klein</w:t>
            </w:r>
          </w:p>
        </w:tc>
        <w:tc>
          <w:tcPr>
            <w:tcW w:w="4120" w:type="dxa"/>
            <w:vAlign w:val="bottom"/>
            <w:tcBorders>
              <w:bottom w:val="single" w:sz="8" w:color="D9D9D9"/>
            </w:tcBorders>
          </w:tcPr>
          <w:p>
            <w:pPr>
              <w:jc w:val="right"/>
              <w:ind w:right="262"/>
              <w:spacing w:after="0"/>
              <w:rPr>
                <w:sz w:val="20"/>
                <w:szCs w:val="20"/>
                <w:color w:val="auto"/>
              </w:rPr>
            </w:pPr>
            <w:r>
              <w:rPr>
                <w:rFonts w:ascii="Arial" w:cs="Arial" w:eastAsia="Arial" w:hAnsi="Arial"/>
                <w:sz w:val="16"/>
                <w:szCs w:val="16"/>
                <w:color w:val="auto"/>
              </w:rPr>
              <w:t>88,000</w:t>
            </w:r>
          </w:p>
        </w:tc>
        <w:tc>
          <w:tcPr>
            <w:tcW w:w="1200" w:type="dxa"/>
            <w:vAlign w:val="bottom"/>
            <w:tcBorders>
              <w:bottom w:val="single" w:sz="8" w:color="D9D9D9"/>
            </w:tcBorders>
          </w:tcPr>
          <w:p>
            <w:pPr>
              <w:ind w:left="300"/>
              <w:spacing w:after="0"/>
              <w:rPr>
                <w:sz w:val="20"/>
                <w:szCs w:val="20"/>
                <w:color w:val="auto"/>
              </w:rPr>
            </w:pPr>
            <w:r>
              <w:rPr>
                <w:rFonts w:ascii="Arial" w:cs="Arial" w:eastAsia="Arial" w:hAnsi="Arial"/>
                <w:sz w:val="16"/>
                <w:szCs w:val="16"/>
                <w:color w:val="auto"/>
              </w:rPr>
              <w:t>45,000</w:t>
            </w:r>
          </w:p>
        </w:tc>
        <w:tc>
          <w:tcPr>
            <w:tcW w:w="126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133,000</w:t>
            </w:r>
          </w:p>
        </w:tc>
        <w:tc>
          <w:tcPr>
            <w:tcW w:w="0" w:type="dxa"/>
            <w:vAlign w:val="bottom"/>
          </w:tcPr>
          <w:p>
            <w:pPr>
              <w:spacing w:after="0"/>
              <w:rPr>
                <w:sz w:val="1"/>
                <w:szCs w:val="1"/>
                <w:color w:val="auto"/>
              </w:rPr>
            </w:pPr>
          </w:p>
        </w:tc>
      </w:tr>
      <w:tr>
        <w:trPr>
          <w:trHeight w:val="239"/>
        </w:trPr>
        <w:tc>
          <w:tcPr>
            <w:tcW w:w="466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Amy B. Mansue</w:t>
            </w:r>
          </w:p>
        </w:tc>
        <w:tc>
          <w:tcPr>
            <w:tcW w:w="4120" w:type="dxa"/>
            <w:vAlign w:val="bottom"/>
            <w:tcBorders>
              <w:bottom w:val="single" w:sz="8" w:color="D9D9D9"/>
            </w:tcBorders>
          </w:tcPr>
          <w:p>
            <w:pPr>
              <w:jc w:val="right"/>
              <w:ind w:right="262"/>
              <w:spacing w:after="0"/>
              <w:rPr>
                <w:sz w:val="20"/>
                <w:szCs w:val="20"/>
                <w:color w:val="auto"/>
              </w:rPr>
            </w:pPr>
            <w:r>
              <w:rPr>
                <w:rFonts w:ascii="Arial" w:cs="Arial" w:eastAsia="Arial" w:hAnsi="Arial"/>
                <w:sz w:val="16"/>
                <w:szCs w:val="16"/>
                <w:color w:val="auto"/>
              </w:rPr>
              <w:t>81,667</w:t>
            </w:r>
          </w:p>
        </w:tc>
        <w:tc>
          <w:tcPr>
            <w:tcW w:w="1200" w:type="dxa"/>
            <w:vAlign w:val="bottom"/>
            <w:tcBorders>
              <w:bottom w:val="single" w:sz="8" w:color="D9D9D9"/>
            </w:tcBorders>
          </w:tcPr>
          <w:p>
            <w:pPr>
              <w:ind w:left="300"/>
              <w:spacing w:after="0"/>
              <w:rPr>
                <w:sz w:val="20"/>
                <w:szCs w:val="20"/>
                <w:color w:val="auto"/>
              </w:rPr>
            </w:pPr>
            <w:r>
              <w:rPr>
                <w:rFonts w:ascii="Arial" w:cs="Arial" w:eastAsia="Arial" w:hAnsi="Arial"/>
                <w:sz w:val="16"/>
                <w:szCs w:val="16"/>
                <w:color w:val="auto"/>
              </w:rPr>
              <w:t>45,000</w:t>
            </w:r>
          </w:p>
        </w:tc>
        <w:tc>
          <w:tcPr>
            <w:tcW w:w="126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126,667</w:t>
            </w:r>
          </w:p>
        </w:tc>
        <w:tc>
          <w:tcPr>
            <w:tcW w:w="0" w:type="dxa"/>
            <w:vAlign w:val="bottom"/>
          </w:tcPr>
          <w:p>
            <w:pPr>
              <w:spacing w:after="0"/>
              <w:rPr>
                <w:sz w:val="1"/>
                <w:szCs w:val="1"/>
                <w:color w:val="auto"/>
              </w:rPr>
            </w:pPr>
          </w:p>
        </w:tc>
      </w:tr>
      <w:tr>
        <w:trPr>
          <w:trHeight w:val="239"/>
        </w:trPr>
        <w:tc>
          <w:tcPr>
            <w:tcW w:w="466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Vaughn L. McKoy</w:t>
            </w:r>
          </w:p>
        </w:tc>
        <w:tc>
          <w:tcPr>
            <w:tcW w:w="4120" w:type="dxa"/>
            <w:vAlign w:val="bottom"/>
            <w:tcBorders>
              <w:bottom w:val="single" w:sz="8" w:color="D9D9D9"/>
            </w:tcBorders>
          </w:tcPr>
          <w:p>
            <w:pPr>
              <w:jc w:val="right"/>
              <w:ind w:right="262"/>
              <w:spacing w:after="0"/>
              <w:rPr>
                <w:sz w:val="20"/>
                <w:szCs w:val="20"/>
                <w:color w:val="auto"/>
              </w:rPr>
            </w:pPr>
            <w:r>
              <w:rPr>
                <w:rFonts w:ascii="Arial" w:cs="Arial" w:eastAsia="Arial" w:hAnsi="Arial"/>
                <w:sz w:val="16"/>
                <w:szCs w:val="16"/>
                <w:color w:val="auto"/>
              </w:rPr>
              <w:t>75,000</w:t>
            </w:r>
          </w:p>
        </w:tc>
        <w:tc>
          <w:tcPr>
            <w:tcW w:w="1200" w:type="dxa"/>
            <w:vAlign w:val="bottom"/>
            <w:tcBorders>
              <w:bottom w:val="single" w:sz="8" w:color="D9D9D9"/>
            </w:tcBorders>
          </w:tcPr>
          <w:p>
            <w:pPr>
              <w:ind w:left="300"/>
              <w:spacing w:after="0"/>
              <w:rPr>
                <w:sz w:val="20"/>
                <w:szCs w:val="20"/>
                <w:color w:val="auto"/>
              </w:rPr>
            </w:pPr>
            <w:r>
              <w:rPr>
                <w:rFonts w:ascii="Arial" w:cs="Arial" w:eastAsia="Arial" w:hAnsi="Arial"/>
                <w:sz w:val="16"/>
                <w:szCs w:val="16"/>
                <w:color w:val="auto"/>
              </w:rPr>
              <w:t>45,000</w:t>
            </w:r>
          </w:p>
        </w:tc>
        <w:tc>
          <w:tcPr>
            <w:tcW w:w="126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120,000</w:t>
            </w:r>
          </w:p>
        </w:tc>
        <w:tc>
          <w:tcPr>
            <w:tcW w:w="0" w:type="dxa"/>
            <w:vAlign w:val="bottom"/>
          </w:tcPr>
          <w:p>
            <w:pPr>
              <w:spacing w:after="0"/>
              <w:rPr>
                <w:sz w:val="1"/>
                <w:szCs w:val="1"/>
                <w:color w:val="auto"/>
              </w:rPr>
            </w:pPr>
          </w:p>
        </w:tc>
      </w:tr>
      <w:tr>
        <w:trPr>
          <w:trHeight w:val="239"/>
        </w:trPr>
        <w:tc>
          <w:tcPr>
            <w:tcW w:w="466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Ann L. Noble</w:t>
            </w:r>
          </w:p>
        </w:tc>
        <w:tc>
          <w:tcPr>
            <w:tcW w:w="4120" w:type="dxa"/>
            <w:vAlign w:val="bottom"/>
            <w:tcBorders>
              <w:bottom w:val="single" w:sz="8" w:color="D9D9D9"/>
            </w:tcBorders>
          </w:tcPr>
          <w:p>
            <w:pPr>
              <w:jc w:val="right"/>
              <w:ind w:right="262"/>
              <w:spacing w:after="0"/>
              <w:rPr>
                <w:sz w:val="20"/>
                <w:szCs w:val="20"/>
                <w:color w:val="auto"/>
              </w:rPr>
            </w:pPr>
            <w:r>
              <w:rPr>
                <w:rFonts w:ascii="Arial" w:cs="Arial" w:eastAsia="Arial" w:hAnsi="Arial"/>
                <w:sz w:val="16"/>
                <w:szCs w:val="16"/>
                <w:color w:val="auto"/>
              </w:rPr>
              <w:t>78,000</w:t>
            </w:r>
          </w:p>
        </w:tc>
        <w:tc>
          <w:tcPr>
            <w:tcW w:w="1200" w:type="dxa"/>
            <w:vAlign w:val="bottom"/>
            <w:tcBorders>
              <w:bottom w:val="single" w:sz="8" w:color="D9D9D9"/>
            </w:tcBorders>
          </w:tcPr>
          <w:p>
            <w:pPr>
              <w:ind w:left="300"/>
              <w:spacing w:after="0"/>
              <w:rPr>
                <w:sz w:val="20"/>
                <w:szCs w:val="20"/>
                <w:color w:val="auto"/>
              </w:rPr>
            </w:pPr>
            <w:r>
              <w:rPr>
                <w:rFonts w:ascii="Arial" w:cs="Arial" w:eastAsia="Arial" w:hAnsi="Arial"/>
                <w:sz w:val="16"/>
                <w:szCs w:val="16"/>
                <w:color w:val="auto"/>
              </w:rPr>
              <w:t>45,000</w:t>
            </w:r>
          </w:p>
        </w:tc>
        <w:tc>
          <w:tcPr>
            <w:tcW w:w="126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123,000</w:t>
            </w:r>
          </w:p>
        </w:tc>
        <w:tc>
          <w:tcPr>
            <w:tcW w:w="0" w:type="dxa"/>
            <w:vAlign w:val="bottom"/>
          </w:tcPr>
          <w:p>
            <w:pPr>
              <w:spacing w:after="0"/>
              <w:rPr>
                <w:sz w:val="1"/>
                <w:szCs w:val="1"/>
                <w:color w:val="auto"/>
              </w:rPr>
            </w:pPr>
          </w:p>
        </w:tc>
      </w:tr>
      <w:tr>
        <w:trPr>
          <w:trHeight w:val="239"/>
        </w:trPr>
        <w:tc>
          <w:tcPr>
            <w:tcW w:w="4660" w:type="dxa"/>
            <w:vAlign w:val="bottom"/>
            <w:tcBorders>
              <w:bottom w:val="single" w:sz="8" w:color="00AEEF"/>
            </w:tcBorders>
          </w:tcPr>
          <w:p>
            <w:pPr>
              <w:ind w:left="20"/>
              <w:spacing w:after="0"/>
              <w:rPr>
                <w:sz w:val="20"/>
                <w:szCs w:val="20"/>
                <w:color w:val="auto"/>
              </w:rPr>
            </w:pPr>
            <w:r>
              <w:rPr>
                <w:rFonts w:ascii="Arial" w:cs="Arial" w:eastAsia="Arial" w:hAnsi="Arial"/>
                <w:sz w:val="16"/>
                <w:szCs w:val="16"/>
                <w:b w:val="1"/>
                <w:bCs w:val="1"/>
                <w:color w:val="191769"/>
              </w:rPr>
              <w:t>Walter G. Reinhard</w:t>
            </w:r>
          </w:p>
        </w:tc>
        <w:tc>
          <w:tcPr>
            <w:tcW w:w="4120" w:type="dxa"/>
            <w:vAlign w:val="bottom"/>
            <w:tcBorders>
              <w:bottom w:val="single" w:sz="8" w:color="00AEEF"/>
            </w:tcBorders>
          </w:tcPr>
          <w:p>
            <w:pPr>
              <w:jc w:val="right"/>
              <w:ind w:right="262"/>
              <w:spacing w:after="0"/>
              <w:rPr>
                <w:sz w:val="20"/>
                <w:szCs w:val="20"/>
                <w:color w:val="auto"/>
              </w:rPr>
            </w:pPr>
            <w:r>
              <w:rPr>
                <w:rFonts w:ascii="Arial" w:cs="Arial" w:eastAsia="Arial" w:hAnsi="Arial"/>
                <w:sz w:val="16"/>
                <w:szCs w:val="16"/>
                <w:color w:val="auto"/>
              </w:rPr>
              <w:t>78,333</w:t>
            </w:r>
          </w:p>
        </w:tc>
        <w:tc>
          <w:tcPr>
            <w:tcW w:w="1200" w:type="dxa"/>
            <w:vAlign w:val="bottom"/>
            <w:tcBorders>
              <w:bottom w:val="single" w:sz="8" w:color="00AEEF"/>
            </w:tcBorders>
          </w:tcPr>
          <w:p>
            <w:pPr>
              <w:ind w:left="300"/>
              <w:spacing w:after="0"/>
              <w:rPr>
                <w:sz w:val="20"/>
                <w:szCs w:val="20"/>
                <w:color w:val="auto"/>
              </w:rPr>
            </w:pPr>
            <w:r>
              <w:rPr>
                <w:rFonts w:ascii="Arial" w:cs="Arial" w:eastAsia="Arial" w:hAnsi="Arial"/>
                <w:sz w:val="16"/>
                <w:szCs w:val="16"/>
                <w:color w:val="auto"/>
              </w:rPr>
              <w:t>45,000</w:t>
            </w:r>
          </w:p>
        </w:tc>
        <w:tc>
          <w:tcPr>
            <w:tcW w:w="1260" w:type="dxa"/>
            <w:vAlign w:val="bottom"/>
            <w:tcBorders>
              <w:bottom w:val="single" w:sz="8" w:color="00AEEF"/>
            </w:tcBorders>
          </w:tcPr>
          <w:p>
            <w:pPr>
              <w:jc w:val="right"/>
              <w:spacing w:after="0"/>
              <w:rPr>
                <w:sz w:val="20"/>
                <w:szCs w:val="20"/>
                <w:color w:val="auto"/>
              </w:rPr>
            </w:pPr>
            <w:r>
              <w:rPr>
                <w:rFonts w:ascii="Arial" w:cs="Arial" w:eastAsia="Arial" w:hAnsi="Arial"/>
                <w:sz w:val="16"/>
                <w:szCs w:val="16"/>
                <w:color w:val="auto"/>
              </w:rPr>
              <w:t>123,333</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02" w:hanging="202"/>
        <w:spacing w:after="0"/>
        <w:tabs>
          <w:tab w:leader="none" w:pos="202" w:val="left"/>
        </w:tabs>
        <w:numPr>
          <w:ilvl w:val="0"/>
          <w:numId w:val="18"/>
        </w:numPr>
        <w:rPr>
          <w:rFonts w:ascii="Arial" w:cs="Arial" w:eastAsia="Arial" w:hAnsi="Arial"/>
          <w:sz w:val="13"/>
          <w:szCs w:val="13"/>
          <w:color w:val="auto"/>
        </w:rPr>
      </w:pPr>
      <w:r>
        <w:rPr>
          <w:rFonts w:ascii="Arial" w:cs="Arial" w:eastAsia="Arial" w:hAnsi="Arial"/>
          <w:sz w:val="13"/>
          <w:szCs w:val="13"/>
          <w:color w:val="auto"/>
        </w:rPr>
        <w:t>Mr. Doll served as the chair of the board of directors until May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292735</wp:posOffset>
            </wp:positionV>
            <wp:extent cx="7620" cy="132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62" w:hanging="445"/>
        <w:spacing w:after="0"/>
        <w:tabs>
          <w:tab w:leader="none" w:pos="462" w:val="left"/>
        </w:tabs>
        <w:numPr>
          <w:ilvl w:val="0"/>
          <w:numId w:val="19"/>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217805</wp:posOffset>
            </wp:positionV>
            <wp:extent cx="7169785"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2"/>
          </w:cols>
          <w:pgMar w:left="318" w:top="1093" w:right="339" w:bottom="1440" w:gutter="0" w:footer="0" w:header="0"/>
        </w:sectPr>
      </w:pPr>
    </w:p>
    <w:bookmarkStart w:id="18" w:name="page19"/>
    <w:bookmarkEnd w:id="18"/>
    <w:p>
      <w:pPr>
        <w:ind w:left="7440"/>
        <w:spacing w:after="0"/>
        <w:rPr>
          <w:sz w:val="20"/>
          <w:szCs w:val="20"/>
          <w:color w:val="auto"/>
        </w:rPr>
      </w:pPr>
      <w:r>
        <w:rPr>
          <w:rFonts w:ascii="Arial" w:cs="Arial" w:eastAsia="Arial" w:hAnsi="Arial"/>
          <w:sz w:val="13"/>
          <w:szCs w:val="13"/>
          <w:b w:val="1"/>
          <w:bCs w:val="1"/>
          <w:color w:val="191769"/>
        </w:rPr>
        <w:t>Director Compensation and Equity Ownership Guidelines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36"/>
          <w:szCs w:val="36"/>
          <w:b w:val="1"/>
          <w:bCs w:val="1"/>
          <w:color w:val="0076A8"/>
        </w:rPr>
        <w:t>Director Equity Ownership and</w:t>
      </w:r>
    </w:p>
    <w:p>
      <w:pPr>
        <w:spacing w:after="0" w:line="53" w:lineRule="exact"/>
        <w:rPr>
          <w:sz w:val="20"/>
          <w:szCs w:val="20"/>
          <w:color w:val="auto"/>
        </w:rPr>
      </w:pPr>
    </w:p>
    <w:p>
      <w:pPr>
        <w:spacing w:after="0"/>
        <w:rPr>
          <w:sz w:val="20"/>
          <w:szCs w:val="20"/>
          <w:color w:val="auto"/>
        </w:rPr>
      </w:pPr>
      <w:r>
        <w:rPr>
          <w:rFonts w:ascii="Arial" w:cs="Arial" w:eastAsia="Arial" w:hAnsi="Arial"/>
          <w:sz w:val="36"/>
          <w:szCs w:val="36"/>
          <w:b w:val="1"/>
          <w:bCs w:val="1"/>
          <w:color w:val="0076A8"/>
        </w:rPr>
        <w:t>Board Attendance</w:t>
      </w:r>
    </w:p>
    <w:p>
      <w:pPr>
        <w:spacing w:after="0" w:line="15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Except as noted above with respect to Ms. Leslie, each Director received Company common stock valued at $45,000. The Board believes that all Directors should maintain a meaningful ownership stake in the Company to underscore the importance of aligning their long-term interests with those of our shareholders. Directors are required to hold common stock valued at least three times the amount of the annual retainer by the fifth anniversary of Board membership. All outside directors serving during 2025 met this requirement for 2025.</w:t>
      </w:r>
    </w:p>
    <w:p>
      <w:pPr>
        <w:spacing w:after="0" w:line="80" w:lineRule="exact"/>
        <w:rPr>
          <w:sz w:val="20"/>
          <w:szCs w:val="20"/>
          <w:color w:val="auto"/>
        </w:rPr>
      </w:pPr>
    </w:p>
    <w:p>
      <w:pPr>
        <w:jc w:val="both"/>
        <w:ind w:right="540"/>
        <w:spacing w:after="0" w:line="278" w:lineRule="auto"/>
        <w:rPr>
          <w:sz w:val="20"/>
          <w:szCs w:val="20"/>
          <w:color w:val="auto"/>
        </w:rPr>
      </w:pPr>
      <w:r>
        <w:rPr>
          <w:rFonts w:ascii="Arial" w:cs="Arial" w:eastAsia="Arial" w:hAnsi="Arial"/>
          <w:sz w:val="16"/>
          <w:szCs w:val="16"/>
          <w:color w:val="auto"/>
        </w:rPr>
        <w:t>Each director is expected to prepare for, attend, and actively participate in all meetings of the Board and the committees on which he or she serves. Director attendance and engagement are regularly reviewed by the Board as part of its governance and effectiveness practices, and are considered essential to fulfilling the Board’s oversight responsibilities to the Company and its shareholders.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20" w:type="dxa"/>
            <w:vAlign w:val="bottom"/>
            <w:vMerge w:val="restart"/>
            <w:shd w:val="clear" w:color="auto" w:fill="E6F7FE"/>
          </w:tcPr>
          <w:p>
            <w:pPr>
              <w:jc w:val="center"/>
              <w:spacing w:after="0"/>
              <w:rPr>
                <w:sz w:val="20"/>
                <w:szCs w:val="20"/>
                <w:color w:val="auto"/>
              </w:rPr>
            </w:pPr>
            <w:r>
              <w:rPr>
                <w:rFonts w:ascii="Arial" w:cs="Arial" w:eastAsia="Arial" w:hAnsi="Arial"/>
                <w:sz w:val="41"/>
                <w:szCs w:val="41"/>
                <w:b w:val="1"/>
                <w:bCs w:val="1"/>
                <w:color w:val="191769"/>
              </w:rPr>
              <w:t>100%</w:t>
            </w:r>
          </w:p>
        </w:tc>
        <w:tc>
          <w:tcPr>
            <w:tcW w:w="360" w:type="dxa"/>
            <w:vAlign w:val="bottom"/>
            <w:tcBorders>
              <w:right w:val="single" w:sz="8" w:color="E6F7FE"/>
            </w:tcBorders>
            <w:shd w:val="clear" w:color="auto" w:fill="E6F7FE"/>
          </w:tcPr>
          <w:p>
            <w:pPr>
              <w:spacing w:after="0"/>
              <w:rPr>
                <w:sz w:val="14"/>
                <w:szCs w:val="14"/>
                <w:color w:val="auto"/>
              </w:rPr>
            </w:pPr>
          </w:p>
        </w:tc>
        <w:tc>
          <w:tcPr>
            <w:tcW w:w="2760" w:type="dxa"/>
            <w:vAlign w:val="bottom"/>
            <w:vMerge w:val="restart"/>
            <w:shd w:val="clear" w:color="auto" w:fill="E6F7FE"/>
          </w:tcPr>
          <w:p>
            <w:pPr>
              <w:jc w:val="center"/>
              <w:spacing w:after="0"/>
              <w:rPr>
                <w:sz w:val="20"/>
                <w:szCs w:val="20"/>
                <w:color w:val="auto"/>
              </w:rPr>
            </w:pPr>
            <w:r>
              <w:rPr>
                <w:rFonts w:ascii="Arial" w:cs="Arial" w:eastAsia="Arial" w:hAnsi="Arial"/>
                <w:sz w:val="41"/>
                <w:szCs w:val="41"/>
                <w:b w:val="1"/>
                <w:bCs w:val="1"/>
                <w:color w:val="191769"/>
                <w:w w:val="99"/>
              </w:rPr>
              <w:t>99%</w:t>
            </w:r>
          </w:p>
        </w:tc>
        <w:tc>
          <w:tcPr>
            <w:tcW w:w="20" w:type="dxa"/>
            <w:vAlign w:val="bottom"/>
            <w:shd w:val="clear" w:color="auto" w:fill="E6F7FE"/>
          </w:tcPr>
          <w:p>
            <w:pPr>
              <w:spacing w:after="0"/>
              <w:rPr>
                <w:sz w:val="14"/>
                <w:szCs w:val="14"/>
                <w:color w:val="auto"/>
              </w:rPr>
            </w:pPr>
          </w:p>
        </w:tc>
        <w:tc>
          <w:tcPr>
            <w:tcW w:w="2560" w:type="dxa"/>
            <w:vAlign w:val="bottom"/>
            <w:vMerge w:val="restart"/>
            <w:shd w:val="clear" w:color="auto" w:fill="E6F7FE"/>
          </w:tcPr>
          <w:p>
            <w:pPr>
              <w:jc w:val="center"/>
              <w:spacing w:after="0"/>
              <w:rPr>
                <w:sz w:val="20"/>
                <w:szCs w:val="20"/>
                <w:color w:val="auto"/>
              </w:rPr>
            </w:pPr>
            <w:r>
              <w:rPr>
                <w:rFonts w:ascii="Arial" w:cs="Arial" w:eastAsia="Arial" w:hAnsi="Arial"/>
                <w:sz w:val="41"/>
                <w:szCs w:val="41"/>
                <w:b w:val="1"/>
                <w:bCs w:val="1"/>
                <w:color w:val="191769"/>
              </w:rPr>
              <w:t>10</w:t>
            </w:r>
          </w:p>
        </w:tc>
        <w:tc>
          <w:tcPr>
            <w:tcW w:w="20" w:type="dxa"/>
            <w:vAlign w:val="bottom"/>
            <w:shd w:val="clear" w:color="auto" w:fill="E6F7FE"/>
          </w:tcPr>
          <w:p>
            <w:pPr>
              <w:spacing w:after="0"/>
              <w:rPr>
                <w:sz w:val="14"/>
                <w:szCs w:val="14"/>
                <w:color w:val="auto"/>
              </w:rPr>
            </w:pPr>
          </w:p>
        </w:tc>
        <w:tc>
          <w:tcPr>
            <w:tcW w:w="2300" w:type="dxa"/>
            <w:vAlign w:val="bottom"/>
            <w:vMerge w:val="restart"/>
            <w:shd w:val="clear" w:color="auto" w:fill="E6F7FE"/>
          </w:tcPr>
          <w:p>
            <w:pPr>
              <w:jc w:val="center"/>
              <w:ind w:left="277"/>
              <w:spacing w:after="0"/>
              <w:rPr>
                <w:sz w:val="20"/>
                <w:szCs w:val="20"/>
                <w:color w:val="auto"/>
              </w:rPr>
            </w:pPr>
            <w:r>
              <w:rPr>
                <w:rFonts w:ascii="Arial" w:cs="Arial" w:eastAsia="Arial" w:hAnsi="Arial"/>
                <w:sz w:val="41"/>
                <w:szCs w:val="41"/>
                <w:b w:val="1"/>
                <w:bCs w:val="1"/>
                <w:color w:val="191769"/>
                <w:w w:val="99"/>
              </w:rPr>
              <w:t>100%</w:t>
            </w:r>
          </w:p>
        </w:tc>
        <w:tc>
          <w:tcPr>
            <w:tcW w:w="400" w:type="dxa"/>
            <w:vAlign w:val="bottom"/>
            <w:tcBorders>
              <w:left w:val="single" w:sz="8" w:color="E6F7FE"/>
            </w:tcBorders>
            <w:shd w:val="clear" w:color="auto" w:fill="E6F7FE"/>
          </w:tcPr>
          <w:p>
            <w:pPr>
              <w:spacing w:after="0"/>
              <w:rPr>
                <w:sz w:val="14"/>
                <w:szCs w:val="14"/>
                <w:color w:val="auto"/>
              </w:rPr>
            </w:pPr>
          </w:p>
        </w:tc>
        <w:tc>
          <w:tcPr>
            <w:tcW w:w="0" w:type="dxa"/>
            <w:vAlign w:val="bottom"/>
          </w:tcPr>
          <w:p>
            <w:pPr>
              <w:spacing w:after="0"/>
              <w:rPr>
                <w:sz w:val="1"/>
                <w:szCs w:val="1"/>
                <w:color w:val="auto"/>
              </w:rPr>
            </w:pPr>
          </w:p>
        </w:tc>
      </w:tr>
      <w:tr>
        <w:trPr>
          <w:trHeight w:val="451"/>
        </w:trPr>
        <w:tc>
          <w:tcPr>
            <w:tcW w:w="2820" w:type="dxa"/>
            <w:vAlign w:val="bottom"/>
            <w:vMerge w:val="continue"/>
            <w:shd w:val="clear" w:color="auto" w:fill="E6F7FE"/>
          </w:tcPr>
          <w:p>
            <w:pPr>
              <w:spacing w:after="0"/>
              <w:rPr>
                <w:sz w:val="24"/>
                <w:szCs w:val="24"/>
                <w:color w:val="auto"/>
              </w:rPr>
            </w:pPr>
          </w:p>
        </w:tc>
        <w:tc>
          <w:tcPr>
            <w:tcW w:w="360" w:type="dxa"/>
            <w:vAlign w:val="bottom"/>
            <w:tcBorders>
              <w:right w:val="single" w:sz="8" w:color="191769"/>
            </w:tcBorders>
            <w:shd w:val="clear" w:color="auto" w:fill="E6F7FE"/>
          </w:tcPr>
          <w:p>
            <w:pPr>
              <w:spacing w:after="0"/>
              <w:rPr>
                <w:sz w:val="24"/>
                <w:szCs w:val="24"/>
                <w:color w:val="auto"/>
              </w:rPr>
            </w:pPr>
          </w:p>
        </w:tc>
        <w:tc>
          <w:tcPr>
            <w:tcW w:w="2760" w:type="dxa"/>
            <w:vAlign w:val="bottom"/>
            <w:vMerge w:val="continue"/>
            <w:shd w:val="clear" w:color="auto" w:fill="E6F7FE"/>
          </w:tcPr>
          <w:p>
            <w:pPr>
              <w:spacing w:after="0"/>
              <w:rPr>
                <w:sz w:val="24"/>
                <w:szCs w:val="24"/>
                <w:color w:val="auto"/>
              </w:rPr>
            </w:pPr>
          </w:p>
        </w:tc>
        <w:tc>
          <w:tcPr>
            <w:tcW w:w="20" w:type="dxa"/>
            <w:vAlign w:val="bottom"/>
            <w:shd w:val="clear" w:color="auto" w:fill="191769"/>
          </w:tcPr>
          <w:p>
            <w:pPr>
              <w:spacing w:after="0"/>
              <w:rPr>
                <w:sz w:val="24"/>
                <w:szCs w:val="24"/>
                <w:color w:val="auto"/>
              </w:rPr>
            </w:pPr>
          </w:p>
        </w:tc>
        <w:tc>
          <w:tcPr>
            <w:tcW w:w="2560" w:type="dxa"/>
            <w:vAlign w:val="bottom"/>
            <w:vMerge w:val="continue"/>
            <w:shd w:val="clear" w:color="auto" w:fill="E6F7FE"/>
          </w:tcPr>
          <w:p>
            <w:pPr>
              <w:spacing w:after="0"/>
              <w:rPr>
                <w:sz w:val="24"/>
                <w:szCs w:val="24"/>
                <w:color w:val="auto"/>
              </w:rPr>
            </w:pPr>
          </w:p>
        </w:tc>
        <w:tc>
          <w:tcPr>
            <w:tcW w:w="20" w:type="dxa"/>
            <w:vAlign w:val="bottom"/>
            <w:shd w:val="clear" w:color="auto" w:fill="191769"/>
          </w:tcPr>
          <w:p>
            <w:pPr>
              <w:spacing w:after="0"/>
              <w:rPr>
                <w:sz w:val="24"/>
                <w:szCs w:val="24"/>
                <w:color w:val="auto"/>
              </w:rPr>
            </w:pPr>
          </w:p>
        </w:tc>
        <w:tc>
          <w:tcPr>
            <w:tcW w:w="2300" w:type="dxa"/>
            <w:vAlign w:val="bottom"/>
            <w:vMerge w:val="continue"/>
            <w:shd w:val="clear" w:color="auto" w:fill="E6F7FE"/>
          </w:tcPr>
          <w:p>
            <w:pPr>
              <w:spacing w:after="0"/>
              <w:rPr>
                <w:sz w:val="24"/>
                <w:szCs w:val="24"/>
                <w:color w:val="auto"/>
              </w:rPr>
            </w:pPr>
          </w:p>
        </w:tc>
        <w:tc>
          <w:tcPr>
            <w:tcW w:w="400" w:type="dxa"/>
            <w:vAlign w:val="bottom"/>
            <w:tcBorders>
              <w:left w:val="single" w:sz="8" w:color="E6F7FE"/>
            </w:tcBorders>
            <w:shd w:val="clear" w:color="auto" w:fill="E6F7FE"/>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820" w:type="dxa"/>
            <w:vAlign w:val="bottom"/>
            <w:shd w:val="clear" w:color="auto" w:fill="E6F7FE"/>
          </w:tcPr>
          <w:p>
            <w:pPr>
              <w:jc w:val="center"/>
              <w:spacing w:after="0"/>
              <w:rPr>
                <w:sz w:val="20"/>
                <w:szCs w:val="20"/>
                <w:color w:val="auto"/>
              </w:rPr>
            </w:pPr>
            <w:r>
              <w:rPr>
                <w:rFonts w:ascii="Arial" w:cs="Arial" w:eastAsia="Arial" w:hAnsi="Arial"/>
                <w:sz w:val="16"/>
                <w:szCs w:val="16"/>
                <w:color w:val="auto"/>
              </w:rPr>
              <w:t>Director Attendance at</w:t>
            </w:r>
          </w:p>
        </w:tc>
        <w:tc>
          <w:tcPr>
            <w:tcW w:w="360" w:type="dxa"/>
            <w:vAlign w:val="bottom"/>
            <w:tcBorders>
              <w:right w:val="single" w:sz="8" w:color="191769"/>
            </w:tcBorders>
            <w:shd w:val="clear" w:color="auto" w:fill="E6F7FE"/>
          </w:tcPr>
          <w:p>
            <w:pPr>
              <w:spacing w:after="0"/>
              <w:rPr>
                <w:sz w:val="17"/>
                <w:szCs w:val="17"/>
                <w:color w:val="auto"/>
              </w:rPr>
            </w:pPr>
          </w:p>
        </w:tc>
        <w:tc>
          <w:tcPr>
            <w:tcW w:w="2760" w:type="dxa"/>
            <w:vAlign w:val="bottom"/>
            <w:shd w:val="clear" w:color="auto" w:fill="E6F7FE"/>
          </w:tcPr>
          <w:p>
            <w:pPr>
              <w:jc w:val="center"/>
              <w:spacing w:after="0"/>
              <w:rPr>
                <w:sz w:val="20"/>
                <w:szCs w:val="20"/>
                <w:color w:val="auto"/>
              </w:rPr>
            </w:pPr>
            <w:r>
              <w:rPr>
                <w:rFonts w:ascii="Arial" w:cs="Arial" w:eastAsia="Arial" w:hAnsi="Arial"/>
                <w:sz w:val="16"/>
                <w:szCs w:val="16"/>
                <w:color w:val="auto"/>
              </w:rPr>
              <w:t>Director Attendance</w:t>
            </w:r>
          </w:p>
        </w:tc>
        <w:tc>
          <w:tcPr>
            <w:tcW w:w="20" w:type="dxa"/>
            <w:vAlign w:val="bottom"/>
            <w:shd w:val="clear" w:color="auto" w:fill="191769"/>
          </w:tcPr>
          <w:p>
            <w:pPr>
              <w:spacing w:after="0"/>
              <w:rPr>
                <w:sz w:val="17"/>
                <w:szCs w:val="17"/>
                <w:color w:val="auto"/>
              </w:rPr>
            </w:pPr>
          </w:p>
        </w:tc>
        <w:tc>
          <w:tcPr>
            <w:tcW w:w="2560" w:type="dxa"/>
            <w:vAlign w:val="bottom"/>
            <w:shd w:val="clear" w:color="auto" w:fill="E6F7FE"/>
          </w:tcPr>
          <w:p>
            <w:pPr>
              <w:jc w:val="center"/>
              <w:spacing w:after="0"/>
              <w:rPr>
                <w:sz w:val="20"/>
                <w:szCs w:val="20"/>
                <w:color w:val="auto"/>
              </w:rPr>
            </w:pPr>
            <w:r>
              <w:rPr>
                <w:rFonts w:ascii="Arial" w:cs="Arial" w:eastAsia="Arial" w:hAnsi="Arial"/>
                <w:sz w:val="16"/>
                <w:szCs w:val="16"/>
                <w:color w:val="auto"/>
              </w:rPr>
              <w:t>Number of Board</w:t>
            </w:r>
          </w:p>
        </w:tc>
        <w:tc>
          <w:tcPr>
            <w:tcW w:w="20" w:type="dxa"/>
            <w:vAlign w:val="bottom"/>
            <w:shd w:val="clear" w:color="auto" w:fill="191769"/>
          </w:tcPr>
          <w:p>
            <w:pPr>
              <w:spacing w:after="0"/>
              <w:rPr>
                <w:sz w:val="17"/>
                <w:szCs w:val="17"/>
                <w:color w:val="auto"/>
              </w:rPr>
            </w:pPr>
          </w:p>
        </w:tc>
        <w:tc>
          <w:tcPr>
            <w:tcW w:w="2300" w:type="dxa"/>
            <w:vAlign w:val="bottom"/>
            <w:shd w:val="clear" w:color="auto" w:fill="E6F7FE"/>
          </w:tcPr>
          <w:p>
            <w:pPr>
              <w:jc w:val="center"/>
              <w:ind w:left="277"/>
              <w:spacing w:after="0"/>
              <w:rPr>
                <w:sz w:val="20"/>
                <w:szCs w:val="20"/>
                <w:color w:val="auto"/>
              </w:rPr>
            </w:pPr>
            <w:r>
              <w:rPr>
                <w:rFonts w:ascii="Arial" w:cs="Arial" w:eastAsia="Arial" w:hAnsi="Arial"/>
                <w:sz w:val="16"/>
                <w:szCs w:val="16"/>
                <w:color w:val="auto"/>
              </w:rPr>
              <w:t>Directors’ Compliance</w:t>
            </w:r>
          </w:p>
        </w:tc>
        <w:tc>
          <w:tcPr>
            <w:tcW w:w="400" w:type="dxa"/>
            <w:vAlign w:val="bottom"/>
            <w:tcBorders>
              <w:left w:val="single" w:sz="8" w:color="E6F7FE"/>
            </w:tcBorders>
            <w:shd w:val="clear" w:color="auto" w:fill="E6F7F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20" w:type="dxa"/>
            <w:vAlign w:val="bottom"/>
            <w:shd w:val="clear" w:color="auto" w:fill="E6F7FE"/>
          </w:tcPr>
          <w:p>
            <w:pPr>
              <w:jc w:val="center"/>
              <w:spacing w:after="0"/>
              <w:rPr>
                <w:sz w:val="20"/>
                <w:szCs w:val="20"/>
                <w:color w:val="auto"/>
              </w:rPr>
            </w:pPr>
            <w:r>
              <w:rPr>
                <w:rFonts w:ascii="Arial" w:cs="Arial" w:eastAsia="Arial" w:hAnsi="Arial"/>
                <w:sz w:val="16"/>
                <w:szCs w:val="16"/>
                <w:color w:val="auto"/>
              </w:rPr>
              <w:t>2025 Annual Meeting</w:t>
            </w:r>
          </w:p>
        </w:tc>
        <w:tc>
          <w:tcPr>
            <w:tcW w:w="360" w:type="dxa"/>
            <w:vAlign w:val="bottom"/>
            <w:tcBorders>
              <w:right w:val="single" w:sz="8" w:color="191769"/>
            </w:tcBorders>
            <w:shd w:val="clear" w:color="auto" w:fill="E6F7FE"/>
          </w:tcPr>
          <w:p>
            <w:pPr>
              <w:spacing w:after="0"/>
              <w:rPr>
                <w:sz w:val="17"/>
                <w:szCs w:val="17"/>
                <w:color w:val="auto"/>
              </w:rPr>
            </w:pPr>
          </w:p>
        </w:tc>
        <w:tc>
          <w:tcPr>
            <w:tcW w:w="2760" w:type="dxa"/>
            <w:vAlign w:val="bottom"/>
            <w:shd w:val="clear" w:color="auto" w:fill="E6F7FE"/>
          </w:tcPr>
          <w:p>
            <w:pPr>
              <w:jc w:val="center"/>
              <w:spacing w:after="0"/>
              <w:rPr>
                <w:sz w:val="20"/>
                <w:szCs w:val="20"/>
                <w:color w:val="auto"/>
              </w:rPr>
            </w:pPr>
            <w:r>
              <w:rPr>
                <w:rFonts w:ascii="Arial" w:cs="Arial" w:eastAsia="Arial" w:hAnsi="Arial"/>
                <w:sz w:val="16"/>
                <w:szCs w:val="16"/>
                <w:color w:val="auto"/>
              </w:rPr>
              <w:t>at 2025 Board and</w:t>
            </w:r>
          </w:p>
        </w:tc>
        <w:tc>
          <w:tcPr>
            <w:tcW w:w="20" w:type="dxa"/>
            <w:vAlign w:val="bottom"/>
            <w:shd w:val="clear" w:color="auto" w:fill="191769"/>
          </w:tcPr>
          <w:p>
            <w:pPr>
              <w:spacing w:after="0"/>
              <w:rPr>
                <w:sz w:val="17"/>
                <w:szCs w:val="17"/>
                <w:color w:val="auto"/>
              </w:rPr>
            </w:pPr>
          </w:p>
        </w:tc>
        <w:tc>
          <w:tcPr>
            <w:tcW w:w="2560" w:type="dxa"/>
            <w:vAlign w:val="bottom"/>
            <w:shd w:val="clear" w:color="auto" w:fill="E6F7FE"/>
          </w:tcPr>
          <w:p>
            <w:pPr>
              <w:jc w:val="center"/>
              <w:spacing w:after="0"/>
              <w:rPr>
                <w:sz w:val="20"/>
                <w:szCs w:val="20"/>
                <w:color w:val="auto"/>
              </w:rPr>
            </w:pPr>
            <w:r>
              <w:rPr>
                <w:rFonts w:ascii="Arial" w:cs="Arial" w:eastAsia="Arial" w:hAnsi="Arial"/>
                <w:sz w:val="16"/>
                <w:szCs w:val="16"/>
                <w:color w:val="auto"/>
              </w:rPr>
              <w:t>Meetings in 2025</w:t>
            </w:r>
          </w:p>
        </w:tc>
        <w:tc>
          <w:tcPr>
            <w:tcW w:w="20" w:type="dxa"/>
            <w:vAlign w:val="bottom"/>
            <w:shd w:val="clear" w:color="auto" w:fill="191769"/>
          </w:tcPr>
          <w:p>
            <w:pPr>
              <w:spacing w:after="0"/>
              <w:rPr>
                <w:sz w:val="17"/>
                <w:szCs w:val="17"/>
                <w:color w:val="auto"/>
              </w:rPr>
            </w:pPr>
          </w:p>
        </w:tc>
        <w:tc>
          <w:tcPr>
            <w:tcW w:w="2300" w:type="dxa"/>
            <w:vAlign w:val="bottom"/>
            <w:shd w:val="clear" w:color="auto" w:fill="E6F7FE"/>
          </w:tcPr>
          <w:p>
            <w:pPr>
              <w:jc w:val="center"/>
              <w:ind w:left="277"/>
              <w:spacing w:after="0"/>
              <w:rPr>
                <w:sz w:val="20"/>
                <w:szCs w:val="20"/>
                <w:color w:val="auto"/>
              </w:rPr>
            </w:pPr>
            <w:r>
              <w:rPr>
                <w:rFonts w:ascii="Arial" w:cs="Arial" w:eastAsia="Arial" w:hAnsi="Arial"/>
                <w:sz w:val="16"/>
                <w:szCs w:val="16"/>
                <w:color w:val="auto"/>
              </w:rPr>
              <w:t>with Equity</w:t>
            </w:r>
          </w:p>
        </w:tc>
        <w:tc>
          <w:tcPr>
            <w:tcW w:w="400" w:type="dxa"/>
            <w:vAlign w:val="bottom"/>
            <w:tcBorders>
              <w:left w:val="single" w:sz="8" w:color="E6F7FE"/>
            </w:tcBorders>
            <w:shd w:val="clear" w:color="auto" w:fill="E6F7F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E6F7FE"/>
          </w:tcPr>
          <w:p>
            <w:pPr>
              <w:spacing w:after="0"/>
              <w:rPr>
                <w:sz w:val="18"/>
                <w:szCs w:val="18"/>
                <w:color w:val="auto"/>
              </w:rPr>
            </w:pPr>
          </w:p>
        </w:tc>
        <w:tc>
          <w:tcPr>
            <w:tcW w:w="360" w:type="dxa"/>
            <w:vAlign w:val="bottom"/>
            <w:tcBorders>
              <w:right w:val="single" w:sz="8" w:color="191769"/>
            </w:tcBorders>
            <w:shd w:val="clear" w:color="auto" w:fill="E6F7FE"/>
          </w:tcPr>
          <w:p>
            <w:pPr>
              <w:spacing w:after="0"/>
              <w:rPr>
                <w:sz w:val="18"/>
                <w:szCs w:val="18"/>
                <w:color w:val="auto"/>
              </w:rPr>
            </w:pPr>
          </w:p>
        </w:tc>
        <w:tc>
          <w:tcPr>
            <w:tcW w:w="2760" w:type="dxa"/>
            <w:vAlign w:val="bottom"/>
            <w:shd w:val="clear" w:color="auto" w:fill="E6F7FE"/>
          </w:tcPr>
          <w:p>
            <w:pPr>
              <w:jc w:val="center"/>
              <w:spacing w:after="0"/>
              <w:rPr>
                <w:sz w:val="20"/>
                <w:szCs w:val="20"/>
                <w:color w:val="auto"/>
              </w:rPr>
            </w:pPr>
            <w:r>
              <w:rPr>
                <w:rFonts w:ascii="Arial" w:cs="Arial" w:eastAsia="Arial" w:hAnsi="Arial"/>
                <w:sz w:val="16"/>
                <w:szCs w:val="16"/>
                <w:color w:val="auto"/>
              </w:rPr>
              <w:t>Committee Meetings</w:t>
            </w:r>
          </w:p>
        </w:tc>
        <w:tc>
          <w:tcPr>
            <w:tcW w:w="20" w:type="dxa"/>
            <w:vAlign w:val="bottom"/>
            <w:shd w:val="clear" w:color="auto" w:fill="191769"/>
          </w:tcPr>
          <w:p>
            <w:pPr>
              <w:spacing w:after="0"/>
              <w:rPr>
                <w:sz w:val="18"/>
                <w:szCs w:val="18"/>
                <w:color w:val="auto"/>
              </w:rPr>
            </w:pPr>
          </w:p>
        </w:tc>
        <w:tc>
          <w:tcPr>
            <w:tcW w:w="2560" w:type="dxa"/>
            <w:vAlign w:val="bottom"/>
            <w:shd w:val="clear" w:color="auto" w:fill="E6F7FE"/>
          </w:tcPr>
          <w:p>
            <w:pPr>
              <w:spacing w:after="0"/>
              <w:rPr>
                <w:sz w:val="18"/>
                <w:szCs w:val="18"/>
                <w:color w:val="auto"/>
              </w:rPr>
            </w:pPr>
          </w:p>
        </w:tc>
        <w:tc>
          <w:tcPr>
            <w:tcW w:w="20" w:type="dxa"/>
            <w:vAlign w:val="bottom"/>
            <w:shd w:val="clear" w:color="auto" w:fill="191769"/>
          </w:tcPr>
          <w:p>
            <w:pPr>
              <w:spacing w:after="0"/>
              <w:rPr>
                <w:sz w:val="18"/>
                <w:szCs w:val="18"/>
                <w:color w:val="auto"/>
              </w:rPr>
            </w:pPr>
          </w:p>
        </w:tc>
        <w:tc>
          <w:tcPr>
            <w:tcW w:w="2300" w:type="dxa"/>
            <w:vAlign w:val="bottom"/>
            <w:shd w:val="clear" w:color="auto" w:fill="E6F7FE"/>
          </w:tcPr>
          <w:p>
            <w:pPr>
              <w:jc w:val="center"/>
              <w:ind w:left="297"/>
              <w:spacing w:after="0"/>
              <w:rPr>
                <w:sz w:val="20"/>
                <w:szCs w:val="20"/>
                <w:color w:val="auto"/>
              </w:rPr>
            </w:pPr>
            <w:r>
              <w:rPr>
                <w:rFonts w:ascii="Arial" w:cs="Arial" w:eastAsia="Arial" w:hAnsi="Arial"/>
                <w:sz w:val="16"/>
                <w:szCs w:val="16"/>
                <w:color w:val="auto"/>
              </w:rPr>
              <w:t>Holding Requirements</w:t>
            </w:r>
          </w:p>
        </w:tc>
        <w:tc>
          <w:tcPr>
            <w:tcW w:w="400" w:type="dxa"/>
            <w:vAlign w:val="bottom"/>
            <w:tcBorders>
              <w:left w:val="single" w:sz="8" w:color="E6F7FE"/>
            </w:tcBorders>
            <w:shd w:val="clear" w:color="auto" w:fill="E6F7F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820" w:type="dxa"/>
            <w:vAlign w:val="bottom"/>
            <w:shd w:val="clear" w:color="auto" w:fill="E6F7FE"/>
          </w:tcPr>
          <w:p>
            <w:pPr>
              <w:spacing w:after="0"/>
              <w:rPr>
                <w:sz w:val="22"/>
                <w:szCs w:val="22"/>
                <w:color w:val="auto"/>
              </w:rPr>
            </w:pPr>
          </w:p>
        </w:tc>
        <w:tc>
          <w:tcPr>
            <w:tcW w:w="360" w:type="dxa"/>
            <w:vAlign w:val="bottom"/>
            <w:tcBorders>
              <w:right w:val="single" w:sz="8" w:color="191769"/>
            </w:tcBorders>
            <w:shd w:val="clear" w:color="auto" w:fill="E6F7FE"/>
          </w:tcPr>
          <w:p>
            <w:pPr>
              <w:spacing w:after="0"/>
              <w:rPr>
                <w:sz w:val="22"/>
                <w:szCs w:val="22"/>
                <w:color w:val="auto"/>
              </w:rPr>
            </w:pPr>
          </w:p>
        </w:tc>
        <w:tc>
          <w:tcPr>
            <w:tcW w:w="2760" w:type="dxa"/>
            <w:vAlign w:val="bottom"/>
            <w:shd w:val="clear" w:color="auto" w:fill="E6F7FE"/>
          </w:tcPr>
          <w:p>
            <w:pPr>
              <w:spacing w:after="0"/>
              <w:rPr>
                <w:sz w:val="22"/>
                <w:szCs w:val="22"/>
                <w:color w:val="auto"/>
              </w:rPr>
            </w:pPr>
          </w:p>
        </w:tc>
        <w:tc>
          <w:tcPr>
            <w:tcW w:w="20" w:type="dxa"/>
            <w:vAlign w:val="bottom"/>
            <w:shd w:val="clear" w:color="auto" w:fill="191769"/>
          </w:tcPr>
          <w:p>
            <w:pPr>
              <w:spacing w:after="0"/>
              <w:rPr>
                <w:sz w:val="22"/>
                <w:szCs w:val="22"/>
                <w:color w:val="auto"/>
              </w:rPr>
            </w:pPr>
          </w:p>
        </w:tc>
        <w:tc>
          <w:tcPr>
            <w:tcW w:w="2560" w:type="dxa"/>
            <w:vAlign w:val="bottom"/>
            <w:shd w:val="clear" w:color="auto" w:fill="E6F7FE"/>
          </w:tcPr>
          <w:p>
            <w:pPr>
              <w:spacing w:after="0"/>
              <w:rPr>
                <w:sz w:val="22"/>
                <w:szCs w:val="22"/>
                <w:color w:val="auto"/>
              </w:rPr>
            </w:pPr>
          </w:p>
        </w:tc>
        <w:tc>
          <w:tcPr>
            <w:tcW w:w="20" w:type="dxa"/>
            <w:vAlign w:val="bottom"/>
            <w:shd w:val="clear" w:color="auto" w:fill="191769"/>
          </w:tcPr>
          <w:p>
            <w:pPr>
              <w:spacing w:after="0"/>
              <w:rPr>
                <w:sz w:val="22"/>
                <w:szCs w:val="22"/>
                <w:color w:val="auto"/>
              </w:rPr>
            </w:pPr>
          </w:p>
        </w:tc>
        <w:tc>
          <w:tcPr>
            <w:tcW w:w="2300" w:type="dxa"/>
            <w:vAlign w:val="bottom"/>
            <w:shd w:val="clear" w:color="auto" w:fill="E6F7FE"/>
          </w:tcPr>
          <w:p>
            <w:pPr>
              <w:spacing w:after="0"/>
              <w:rPr>
                <w:sz w:val="22"/>
                <w:szCs w:val="22"/>
                <w:color w:val="auto"/>
              </w:rPr>
            </w:pPr>
          </w:p>
        </w:tc>
        <w:tc>
          <w:tcPr>
            <w:tcW w:w="400" w:type="dxa"/>
            <w:vAlign w:val="bottom"/>
            <w:tcBorders>
              <w:left w:val="single" w:sz="8" w:color="E6F7FE"/>
            </w:tcBorders>
            <w:shd w:val="clear" w:color="auto" w:fill="E6F7FE"/>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2820" w:type="dxa"/>
            <w:vAlign w:val="bottom"/>
            <w:shd w:val="clear" w:color="auto" w:fill="E6F7FE"/>
          </w:tcPr>
          <w:p>
            <w:pPr>
              <w:spacing w:after="0"/>
              <w:rPr>
                <w:sz w:val="16"/>
                <w:szCs w:val="16"/>
                <w:color w:val="auto"/>
              </w:rPr>
            </w:pPr>
          </w:p>
        </w:tc>
        <w:tc>
          <w:tcPr>
            <w:tcW w:w="360" w:type="dxa"/>
            <w:vAlign w:val="bottom"/>
            <w:tcBorders>
              <w:right w:val="single" w:sz="8" w:color="E6F7FE"/>
            </w:tcBorders>
            <w:shd w:val="clear" w:color="auto" w:fill="E6F7FE"/>
          </w:tcPr>
          <w:p>
            <w:pPr>
              <w:spacing w:after="0"/>
              <w:rPr>
                <w:sz w:val="16"/>
                <w:szCs w:val="16"/>
                <w:color w:val="auto"/>
              </w:rPr>
            </w:pPr>
          </w:p>
        </w:tc>
        <w:tc>
          <w:tcPr>
            <w:tcW w:w="2760" w:type="dxa"/>
            <w:vAlign w:val="bottom"/>
            <w:shd w:val="clear" w:color="auto" w:fill="E6F7FE"/>
          </w:tcPr>
          <w:p>
            <w:pPr>
              <w:spacing w:after="0"/>
              <w:rPr>
                <w:sz w:val="16"/>
                <w:szCs w:val="16"/>
                <w:color w:val="auto"/>
              </w:rPr>
            </w:pPr>
          </w:p>
        </w:tc>
        <w:tc>
          <w:tcPr>
            <w:tcW w:w="20" w:type="dxa"/>
            <w:vAlign w:val="bottom"/>
            <w:shd w:val="clear" w:color="auto" w:fill="E6F7FE"/>
          </w:tcPr>
          <w:p>
            <w:pPr>
              <w:spacing w:after="0"/>
              <w:rPr>
                <w:sz w:val="16"/>
                <w:szCs w:val="16"/>
                <w:color w:val="auto"/>
              </w:rPr>
            </w:pPr>
          </w:p>
        </w:tc>
        <w:tc>
          <w:tcPr>
            <w:tcW w:w="2560" w:type="dxa"/>
            <w:vAlign w:val="bottom"/>
            <w:shd w:val="clear" w:color="auto" w:fill="E6F7FE"/>
          </w:tcPr>
          <w:p>
            <w:pPr>
              <w:spacing w:after="0"/>
              <w:rPr>
                <w:sz w:val="16"/>
                <w:szCs w:val="16"/>
                <w:color w:val="auto"/>
              </w:rPr>
            </w:pPr>
          </w:p>
        </w:tc>
        <w:tc>
          <w:tcPr>
            <w:tcW w:w="20" w:type="dxa"/>
            <w:vAlign w:val="bottom"/>
            <w:shd w:val="clear" w:color="auto" w:fill="E6F7FE"/>
          </w:tcPr>
          <w:p>
            <w:pPr>
              <w:spacing w:after="0"/>
              <w:rPr>
                <w:sz w:val="16"/>
                <w:szCs w:val="16"/>
                <w:color w:val="auto"/>
              </w:rPr>
            </w:pPr>
          </w:p>
        </w:tc>
        <w:tc>
          <w:tcPr>
            <w:tcW w:w="2300" w:type="dxa"/>
            <w:vAlign w:val="bottom"/>
            <w:shd w:val="clear" w:color="auto" w:fill="E6F7FE"/>
          </w:tcPr>
          <w:p>
            <w:pPr>
              <w:spacing w:after="0"/>
              <w:rPr>
                <w:sz w:val="16"/>
                <w:szCs w:val="16"/>
                <w:color w:val="auto"/>
              </w:rPr>
            </w:pPr>
          </w:p>
        </w:tc>
        <w:tc>
          <w:tcPr>
            <w:tcW w:w="400" w:type="dxa"/>
            <w:vAlign w:val="bottom"/>
            <w:tcBorders>
              <w:left w:val="single" w:sz="8" w:color="E6F7FE"/>
            </w:tcBorders>
            <w:shd w:val="clear" w:color="auto" w:fill="E6F7FE"/>
          </w:tcPr>
          <w:p>
            <w:pPr>
              <w:spacing w:after="0"/>
              <w:rPr>
                <w:sz w:val="16"/>
                <w:szCs w:val="16"/>
                <w:color w:val="auto"/>
              </w:rPr>
            </w:pPr>
          </w:p>
        </w:tc>
        <w:tc>
          <w:tcPr>
            <w:tcW w:w="0" w:type="dxa"/>
            <w:vAlign w:val="bottom"/>
          </w:tcPr>
          <w:p>
            <w:pPr>
              <w:spacing w:after="0"/>
              <w:rPr>
                <w:sz w:val="1"/>
                <w:szCs w:val="1"/>
                <w:color w:val="auto"/>
              </w:rPr>
            </w:pPr>
          </w:p>
        </w:tc>
      </w:tr>
      <w:tr>
        <w:trPr>
          <w:trHeight w:val="529"/>
        </w:trPr>
        <w:tc>
          <w:tcPr>
            <w:tcW w:w="2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vMerge w:val="restart"/>
          </w:tcPr>
          <w:p>
            <w:pPr>
              <w:ind w:left="88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0" w:type="dxa"/>
            <w:vAlign w:val="bottom"/>
            <w:vMerge w:val="continue"/>
          </w:tcPr>
          <w:p>
            <w:pPr>
              <w:spacing w:after="0"/>
              <w:rPr>
                <w:sz w:val="18"/>
                <w:szCs w:val="18"/>
                <w:color w:val="auto"/>
              </w:rPr>
            </w:pPr>
          </w:p>
        </w:tc>
        <w:tc>
          <w:tcPr>
            <w:tcW w:w="400" w:type="dxa"/>
            <w:vAlign w:val="bottom"/>
            <w:tcBorders>
              <w:left w:val="single" w:sz="8" w:color="00AEEF"/>
            </w:tcBorders>
          </w:tcPr>
          <w:p>
            <w:pPr>
              <w:jc w:val="right"/>
              <w:spacing w:after="0"/>
              <w:rPr>
                <w:sz w:val="20"/>
                <w:szCs w:val="20"/>
                <w:color w:val="auto"/>
              </w:rPr>
            </w:pPr>
            <w:r>
              <w:rPr>
                <w:rFonts w:ascii="Arial" w:cs="Arial" w:eastAsia="Arial" w:hAnsi="Arial"/>
                <w:sz w:val="13"/>
                <w:szCs w:val="13"/>
                <w:b w:val="1"/>
                <w:bCs w:val="1"/>
                <w:color w:val="191769"/>
              </w:rPr>
              <w:t>17</w:t>
            </w:r>
          </w:p>
        </w:tc>
        <w:tc>
          <w:tcPr>
            <w:tcW w:w="0" w:type="dxa"/>
            <w:vAlign w:val="bottom"/>
          </w:tcPr>
          <w:p>
            <w:pPr>
              <w:spacing w:after="0"/>
              <w:rPr>
                <w:sz w:val="1"/>
                <w:szCs w:val="1"/>
                <w:color w:val="auto"/>
              </w:rPr>
            </w:pPr>
          </w:p>
        </w:tc>
      </w:tr>
      <w:tr>
        <w:trPr>
          <w:trHeight w:val="312"/>
        </w:trPr>
        <w:tc>
          <w:tcPr>
            <w:tcW w:w="28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-1742440</wp:posOffset>
            </wp:positionV>
            <wp:extent cx="23495" cy="10083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495" cy="100838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Arial" w:cs="Arial" w:eastAsia="Arial" w:hAnsi="Arial"/>
          <w:sz w:val="46"/>
          <w:szCs w:val="46"/>
          <w:color w:val="191769"/>
        </w:rPr>
        <w:t>Corporate Governance</w:t>
      </w:r>
    </w:p>
    <w:p>
      <w:pPr>
        <w:spacing w:after="0" w:line="284" w:lineRule="exact"/>
        <w:rPr>
          <w:sz w:val="20"/>
          <w:szCs w:val="20"/>
          <w:color w:val="auto"/>
        </w:rPr>
      </w:pPr>
    </w:p>
    <w:p>
      <w:pPr>
        <w:spacing w:after="0"/>
        <w:rPr>
          <w:sz w:val="20"/>
          <w:szCs w:val="20"/>
          <w:color w:val="auto"/>
        </w:rPr>
      </w:pPr>
      <w:r>
        <w:rPr>
          <w:rFonts w:ascii="Arial" w:cs="Arial" w:eastAsia="Arial" w:hAnsi="Arial"/>
          <w:sz w:val="36"/>
          <w:szCs w:val="36"/>
          <w:b w:val="1"/>
          <w:bCs w:val="1"/>
          <w:color w:val="0076A8"/>
        </w:rPr>
        <w:t>Key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147320</wp:posOffset>
            </wp:positionV>
            <wp:extent cx="31115" cy="1946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115" cy="194627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0" w:type="dxa"/>
            <w:vAlign w:val="bottom"/>
            <w:shd w:val="clear" w:color="auto" w:fill="E6F7FE"/>
          </w:tcPr>
          <w:p>
            <w:pPr>
              <w:spacing w:after="0"/>
              <w:rPr>
                <w:sz w:val="16"/>
                <w:szCs w:val="16"/>
                <w:color w:val="auto"/>
              </w:rPr>
            </w:pPr>
          </w:p>
        </w:tc>
        <w:tc>
          <w:tcPr>
            <w:tcW w:w="2600" w:type="dxa"/>
            <w:vAlign w:val="bottom"/>
            <w:vMerge w:val="restart"/>
            <w:shd w:val="clear" w:color="auto" w:fill="E6F7FE"/>
          </w:tcPr>
          <w:p>
            <w:pPr>
              <w:jc w:val="center"/>
              <w:spacing w:after="0"/>
              <w:rPr>
                <w:sz w:val="20"/>
                <w:szCs w:val="20"/>
                <w:color w:val="auto"/>
              </w:rPr>
            </w:pPr>
            <w:r>
              <w:rPr>
                <w:rFonts w:ascii="Arial" w:cs="Arial" w:eastAsia="Arial" w:hAnsi="Arial"/>
                <w:sz w:val="16"/>
                <w:szCs w:val="16"/>
                <w:color w:val="auto"/>
              </w:rPr>
              <w:t>All Directors are independent,</w:t>
            </w:r>
          </w:p>
        </w:tc>
        <w:tc>
          <w:tcPr>
            <w:tcW w:w="520" w:type="dxa"/>
            <w:vAlign w:val="bottom"/>
            <w:tcBorders>
              <w:right w:val="single" w:sz="8" w:color="E6F7FE"/>
            </w:tcBorders>
            <w:shd w:val="clear" w:color="auto" w:fill="E6F7FE"/>
          </w:tcPr>
          <w:p>
            <w:pPr>
              <w:spacing w:after="0"/>
              <w:rPr>
                <w:sz w:val="16"/>
                <w:szCs w:val="16"/>
                <w:color w:val="auto"/>
              </w:rPr>
            </w:pPr>
          </w:p>
        </w:tc>
        <w:tc>
          <w:tcPr>
            <w:tcW w:w="460" w:type="dxa"/>
            <w:vAlign w:val="bottom"/>
            <w:shd w:val="clear" w:color="auto" w:fill="E6F7FE"/>
          </w:tcPr>
          <w:p>
            <w:pPr>
              <w:spacing w:after="0"/>
              <w:rPr>
                <w:sz w:val="16"/>
                <w:szCs w:val="16"/>
                <w:color w:val="auto"/>
              </w:rPr>
            </w:pPr>
          </w:p>
        </w:tc>
        <w:tc>
          <w:tcPr>
            <w:tcW w:w="2700" w:type="dxa"/>
            <w:vAlign w:val="bottom"/>
            <w:vMerge w:val="restart"/>
            <w:shd w:val="clear" w:color="auto" w:fill="E6F7FE"/>
          </w:tcPr>
          <w:p>
            <w:pPr>
              <w:jc w:val="center"/>
              <w:spacing w:after="0"/>
              <w:rPr>
                <w:sz w:val="20"/>
                <w:szCs w:val="20"/>
                <w:color w:val="auto"/>
              </w:rPr>
            </w:pPr>
            <w:r>
              <w:rPr>
                <w:rFonts w:ascii="Arial" w:cs="Arial" w:eastAsia="Arial" w:hAnsi="Arial"/>
                <w:sz w:val="16"/>
                <w:szCs w:val="16"/>
                <w:color w:val="auto"/>
              </w:rPr>
              <w:t>Independent Lead Director</w:t>
            </w:r>
          </w:p>
        </w:tc>
        <w:tc>
          <w:tcPr>
            <w:tcW w:w="500" w:type="dxa"/>
            <w:vAlign w:val="bottom"/>
            <w:tcBorders>
              <w:right w:val="single" w:sz="8" w:color="E6F7FE"/>
            </w:tcBorders>
            <w:shd w:val="clear" w:color="auto" w:fill="E6F7FE"/>
          </w:tcPr>
          <w:p>
            <w:pPr>
              <w:spacing w:after="0"/>
              <w:rPr>
                <w:sz w:val="16"/>
                <w:szCs w:val="16"/>
                <w:color w:val="auto"/>
              </w:rPr>
            </w:pPr>
          </w:p>
        </w:tc>
        <w:tc>
          <w:tcPr>
            <w:tcW w:w="480" w:type="dxa"/>
            <w:vAlign w:val="bottom"/>
            <w:shd w:val="clear" w:color="auto" w:fill="E6F7FE"/>
          </w:tcPr>
          <w:p>
            <w:pPr>
              <w:spacing w:after="0"/>
              <w:rPr>
                <w:sz w:val="16"/>
                <w:szCs w:val="16"/>
                <w:color w:val="auto"/>
              </w:rPr>
            </w:pPr>
          </w:p>
        </w:tc>
        <w:tc>
          <w:tcPr>
            <w:tcW w:w="3300" w:type="dxa"/>
            <w:vAlign w:val="bottom"/>
            <w:gridSpan w:val="2"/>
            <w:vMerge w:val="restart"/>
            <w:shd w:val="clear" w:color="auto" w:fill="E6F7FE"/>
          </w:tcPr>
          <w:p>
            <w:pPr>
              <w:jc w:val="center"/>
              <w:ind w:right="620"/>
              <w:spacing w:after="0"/>
              <w:rPr>
                <w:sz w:val="20"/>
                <w:szCs w:val="20"/>
                <w:color w:val="auto"/>
              </w:rPr>
            </w:pPr>
            <w:r>
              <w:rPr>
                <w:rFonts w:ascii="Arial" w:cs="Arial" w:eastAsia="Arial" w:hAnsi="Arial"/>
                <w:sz w:val="16"/>
                <w:szCs w:val="16"/>
                <w:color w:val="auto"/>
              </w:rPr>
              <w:t>Board Committees are comprised</w:t>
            </w:r>
          </w:p>
        </w:tc>
        <w:tc>
          <w:tcPr>
            <w:tcW w:w="0" w:type="dxa"/>
            <w:vAlign w:val="bottom"/>
          </w:tcPr>
          <w:p>
            <w:pPr>
              <w:spacing w:after="0"/>
              <w:rPr>
                <w:sz w:val="1"/>
                <w:szCs w:val="1"/>
                <w:color w:val="auto"/>
              </w:rPr>
            </w:pPr>
          </w:p>
        </w:tc>
      </w:tr>
      <w:tr>
        <w:trPr>
          <w:trHeight w:val="291"/>
        </w:trPr>
        <w:tc>
          <w:tcPr>
            <w:tcW w:w="680" w:type="dxa"/>
            <w:vAlign w:val="bottom"/>
            <w:shd w:val="clear" w:color="auto" w:fill="E6F7FE"/>
          </w:tcPr>
          <w:p>
            <w:pPr>
              <w:spacing w:after="0"/>
              <w:rPr>
                <w:sz w:val="24"/>
                <w:szCs w:val="24"/>
                <w:color w:val="auto"/>
              </w:rPr>
            </w:pPr>
          </w:p>
        </w:tc>
        <w:tc>
          <w:tcPr>
            <w:tcW w:w="2600" w:type="dxa"/>
            <w:vAlign w:val="bottom"/>
            <w:vMerge w:val="continue"/>
            <w:shd w:val="clear" w:color="auto" w:fill="E6F7FE"/>
          </w:tcPr>
          <w:p>
            <w:pPr>
              <w:spacing w:after="0"/>
              <w:rPr>
                <w:sz w:val="24"/>
                <w:szCs w:val="24"/>
                <w:color w:val="auto"/>
              </w:rPr>
            </w:pPr>
          </w:p>
        </w:tc>
        <w:tc>
          <w:tcPr>
            <w:tcW w:w="520" w:type="dxa"/>
            <w:vAlign w:val="bottom"/>
            <w:tcBorders>
              <w:right w:val="single" w:sz="8" w:color="191769"/>
            </w:tcBorders>
            <w:shd w:val="clear" w:color="auto" w:fill="E6F7FE"/>
          </w:tcPr>
          <w:p>
            <w:pPr>
              <w:spacing w:after="0"/>
              <w:rPr>
                <w:sz w:val="24"/>
                <w:szCs w:val="24"/>
                <w:color w:val="auto"/>
              </w:rPr>
            </w:pPr>
          </w:p>
        </w:tc>
        <w:tc>
          <w:tcPr>
            <w:tcW w:w="460" w:type="dxa"/>
            <w:vAlign w:val="bottom"/>
            <w:shd w:val="clear" w:color="auto" w:fill="E6F7FE"/>
          </w:tcPr>
          <w:p>
            <w:pPr>
              <w:spacing w:after="0"/>
              <w:rPr>
                <w:sz w:val="24"/>
                <w:szCs w:val="24"/>
                <w:color w:val="auto"/>
              </w:rPr>
            </w:pPr>
          </w:p>
        </w:tc>
        <w:tc>
          <w:tcPr>
            <w:tcW w:w="2700" w:type="dxa"/>
            <w:vAlign w:val="bottom"/>
            <w:vMerge w:val="continue"/>
            <w:shd w:val="clear" w:color="auto" w:fill="E6F7FE"/>
          </w:tcPr>
          <w:p>
            <w:pPr>
              <w:spacing w:after="0"/>
              <w:rPr>
                <w:sz w:val="24"/>
                <w:szCs w:val="24"/>
                <w:color w:val="auto"/>
              </w:rPr>
            </w:pPr>
          </w:p>
        </w:tc>
        <w:tc>
          <w:tcPr>
            <w:tcW w:w="500" w:type="dxa"/>
            <w:vAlign w:val="bottom"/>
            <w:tcBorders>
              <w:right w:val="single" w:sz="8" w:color="191769"/>
            </w:tcBorders>
            <w:shd w:val="clear" w:color="auto" w:fill="E6F7FE"/>
          </w:tcPr>
          <w:p>
            <w:pPr>
              <w:spacing w:after="0"/>
              <w:rPr>
                <w:sz w:val="24"/>
                <w:szCs w:val="24"/>
                <w:color w:val="auto"/>
              </w:rPr>
            </w:pPr>
          </w:p>
        </w:tc>
        <w:tc>
          <w:tcPr>
            <w:tcW w:w="480" w:type="dxa"/>
            <w:vAlign w:val="bottom"/>
            <w:shd w:val="clear" w:color="auto" w:fill="E6F7FE"/>
          </w:tcPr>
          <w:p>
            <w:pPr>
              <w:spacing w:after="0"/>
              <w:rPr>
                <w:sz w:val="24"/>
                <w:szCs w:val="24"/>
                <w:color w:val="auto"/>
              </w:rPr>
            </w:pPr>
          </w:p>
        </w:tc>
        <w:tc>
          <w:tcPr>
            <w:tcW w:w="3300" w:type="dxa"/>
            <w:vAlign w:val="bottom"/>
            <w:gridSpan w:val="2"/>
            <w:vMerge w:val="continue"/>
            <w:shd w:val="clear" w:color="auto" w:fill="E6F7FE"/>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80" w:type="dxa"/>
            <w:vAlign w:val="bottom"/>
            <w:shd w:val="clear" w:color="auto" w:fill="E6F7FE"/>
          </w:tcPr>
          <w:p>
            <w:pPr>
              <w:spacing w:after="0"/>
              <w:rPr>
                <w:sz w:val="10"/>
                <w:szCs w:val="10"/>
                <w:color w:val="auto"/>
              </w:rPr>
            </w:pPr>
          </w:p>
        </w:tc>
        <w:tc>
          <w:tcPr>
            <w:tcW w:w="2600" w:type="dxa"/>
            <w:vAlign w:val="bottom"/>
            <w:vMerge w:val="restart"/>
            <w:shd w:val="clear" w:color="auto" w:fill="E6F7FE"/>
          </w:tcPr>
          <w:p>
            <w:pPr>
              <w:jc w:val="center"/>
              <w:spacing w:after="0"/>
              <w:rPr>
                <w:sz w:val="20"/>
                <w:szCs w:val="20"/>
                <w:color w:val="auto"/>
              </w:rPr>
            </w:pPr>
            <w:r>
              <w:rPr>
                <w:rFonts w:ascii="Arial" w:cs="Arial" w:eastAsia="Arial" w:hAnsi="Arial"/>
                <w:sz w:val="16"/>
                <w:szCs w:val="16"/>
                <w:color w:val="auto"/>
              </w:rPr>
              <w:t>other than the Company Chair</w:t>
            </w:r>
          </w:p>
        </w:tc>
        <w:tc>
          <w:tcPr>
            <w:tcW w:w="520" w:type="dxa"/>
            <w:vAlign w:val="bottom"/>
            <w:tcBorders>
              <w:right w:val="single" w:sz="8" w:color="191769"/>
            </w:tcBorders>
            <w:shd w:val="clear" w:color="auto" w:fill="E6F7FE"/>
          </w:tcPr>
          <w:p>
            <w:pPr>
              <w:spacing w:after="0"/>
              <w:rPr>
                <w:sz w:val="10"/>
                <w:szCs w:val="10"/>
                <w:color w:val="auto"/>
              </w:rPr>
            </w:pPr>
          </w:p>
        </w:tc>
        <w:tc>
          <w:tcPr>
            <w:tcW w:w="460" w:type="dxa"/>
            <w:vAlign w:val="bottom"/>
            <w:shd w:val="clear" w:color="auto" w:fill="E6F7FE"/>
          </w:tcPr>
          <w:p>
            <w:pPr>
              <w:spacing w:after="0"/>
              <w:rPr>
                <w:sz w:val="10"/>
                <w:szCs w:val="10"/>
                <w:color w:val="auto"/>
              </w:rPr>
            </w:pPr>
          </w:p>
        </w:tc>
        <w:tc>
          <w:tcPr>
            <w:tcW w:w="2700" w:type="dxa"/>
            <w:vAlign w:val="bottom"/>
            <w:vMerge w:val="continue"/>
            <w:shd w:val="clear" w:color="auto" w:fill="E6F7FE"/>
          </w:tcPr>
          <w:p>
            <w:pPr>
              <w:spacing w:after="0"/>
              <w:rPr>
                <w:sz w:val="10"/>
                <w:szCs w:val="10"/>
                <w:color w:val="auto"/>
              </w:rPr>
            </w:pPr>
          </w:p>
        </w:tc>
        <w:tc>
          <w:tcPr>
            <w:tcW w:w="500" w:type="dxa"/>
            <w:vAlign w:val="bottom"/>
            <w:tcBorders>
              <w:right w:val="single" w:sz="8" w:color="191769"/>
            </w:tcBorders>
            <w:shd w:val="clear" w:color="auto" w:fill="E6F7FE"/>
          </w:tcPr>
          <w:p>
            <w:pPr>
              <w:spacing w:after="0"/>
              <w:rPr>
                <w:sz w:val="10"/>
                <w:szCs w:val="10"/>
                <w:color w:val="auto"/>
              </w:rPr>
            </w:pPr>
          </w:p>
        </w:tc>
        <w:tc>
          <w:tcPr>
            <w:tcW w:w="480" w:type="dxa"/>
            <w:vAlign w:val="bottom"/>
            <w:shd w:val="clear" w:color="auto" w:fill="E6F7FE"/>
          </w:tcPr>
          <w:p>
            <w:pPr>
              <w:spacing w:after="0"/>
              <w:rPr>
                <w:sz w:val="10"/>
                <w:szCs w:val="10"/>
                <w:color w:val="auto"/>
              </w:rPr>
            </w:pPr>
          </w:p>
        </w:tc>
        <w:tc>
          <w:tcPr>
            <w:tcW w:w="3300" w:type="dxa"/>
            <w:vAlign w:val="bottom"/>
            <w:gridSpan w:val="2"/>
            <w:vMerge w:val="restart"/>
            <w:shd w:val="clear" w:color="auto" w:fill="E6F7FE"/>
          </w:tcPr>
          <w:p>
            <w:pPr>
              <w:jc w:val="center"/>
              <w:ind w:right="640"/>
              <w:spacing w:after="0"/>
              <w:rPr>
                <w:sz w:val="20"/>
                <w:szCs w:val="20"/>
                <w:color w:val="auto"/>
              </w:rPr>
            </w:pPr>
            <w:r>
              <w:rPr>
                <w:rFonts w:ascii="Arial" w:cs="Arial" w:eastAsia="Arial" w:hAnsi="Arial"/>
                <w:sz w:val="16"/>
                <w:szCs w:val="16"/>
                <w:color w:val="auto"/>
              </w:rPr>
              <w:t>entirely of independent directors</w:t>
            </w:r>
          </w:p>
        </w:tc>
        <w:tc>
          <w:tcPr>
            <w:tcW w:w="0" w:type="dxa"/>
            <w:vAlign w:val="bottom"/>
          </w:tcPr>
          <w:p>
            <w:pPr>
              <w:spacing w:after="0"/>
              <w:rPr>
                <w:sz w:val="1"/>
                <w:szCs w:val="1"/>
                <w:color w:val="auto"/>
              </w:rPr>
            </w:pPr>
          </w:p>
        </w:tc>
      </w:tr>
      <w:tr>
        <w:trPr>
          <w:trHeight w:val="98"/>
        </w:trPr>
        <w:tc>
          <w:tcPr>
            <w:tcW w:w="680" w:type="dxa"/>
            <w:vAlign w:val="bottom"/>
            <w:shd w:val="clear" w:color="auto" w:fill="E6F7FE"/>
          </w:tcPr>
          <w:p>
            <w:pPr>
              <w:spacing w:after="0"/>
              <w:rPr>
                <w:sz w:val="8"/>
                <w:szCs w:val="8"/>
                <w:color w:val="auto"/>
              </w:rPr>
            </w:pPr>
          </w:p>
        </w:tc>
        <w:tc>
          <w:tcPr>
            <w:tcW w:w="2600" w:type="dxa"/>
            <w:vAlign w:val="bottom"/>
            <w:vMerge w:val="continue"/>
            <w:shd w:val="clear" w:color="auto" w:fill="E6F7FE"/>
          </w:tcPr>
          <w:p>
            <w:pPr>
              <w:spacing w:after="0"/>
              <w:rPr>
                <w:sz w:val="8"/>
                <w:szCs w:val="8"/>
                <w:color w:val="auto"/>
              </w:rPr>
            </w:pPr>
          </w:p>
        </w:tc>
        <w:tc>
          <w:tcPr>
            <w:tcW w:w="520" w:type="dxa"/>
            <w:vAlign w:val="bottom"/>
            <w:tcBorders>
              <w:right w:val="single" w:sz="8" w:color="191769"/>
            </w:tcBorders>
            <w:shd w:val="clear" w:color="auto" w:fill="E6F7FE"/>
          </w:tcPr>
          <w:p>
            <w:pPr>
              <w:spacing w:after="0"/>
              <w:rPr>
                <w:sz w:val="8"/>
                <w:szCs w:val="8"/>
                <w:color w:val="auto"/>
              </w:rPr>
            </w:pPr>
          </w:p>
        </w:tc>
        <w:tc>
          <w:tcPr>
            <w:tcW w:w="460" w:type="dxa"/>
            <w:vAlign w:val="bottom"/>
            <w:shd w:val="clear" w:color="auto" w:fill="E6F7FE"/>
          </w:tcPr>
          <w:p>
            <w:pPr>
              <w:spacing w:after="0"/>
              <w:rPr>
                <w:sz w:val="8"/>
                <w:szCs w:val="8"/>
                <w:color w:val="auto"/>
              </w:rPr>
            </w:pPr>
          </w:p>
        </w:tc>
        <w:tc>
          <w:tcPr>
            <w:tcW w:w="2700" w:type="dxa"/>
            <w:vAlign w:val="bottom"/>
            <w:shd w:val="clear" w:color="auto" w:fill="E6F7FE"/>
          </w:tcPr>
          <w:p>
            <w:pPr>
              <w:spacing w:after="0"/>
              <w:rPr>
                <w:sz w:val="8"/>
                <w:szCs w:val="8"/>
                <w:color w:val="auto"/>
              </w:rPr>
            </w:pPr>
          </w:p>
        </w:tc>
        <w:tc>
          <w:tcPr>
            <w:tcW w:w="500" w:type="dxa"/>
            <w:vAlign w:val="bottom"/>
            <w:tcBorders>
              <w:right w:val="single" w:sz="8" w:color="191769"/>
            </w:tcBorders>
            <w:shd w:val="clear" w:color="auto" w:fill="E6F7FE"/>
          </w:tcPr>
          <w:p>
            <w:pPr>
              <w:spacing w:after="0"/>
              <w:rPr>
                <w:sz w:val="8"/>
                <w:szCs w:val="8"/>
                <w:color w:val="auto"/>
              </w:rPr>
            </w:pPr>
          </w:p>
        </w:tc>
        <w:tc>
          <w:tcPr>
            <w:tcW w:w="480" w:type="dxa"/>
            <w:vAlign w:val="bottom"/>
            <w:shd w:val="clear" w:color="auto" w:fill="E6F7FE"/>
          </w:tcPr>
          <w:p>
            <w:pPr>
              <w:spacing w:after="0"/>
              <w:rPr>
                <w:sz w:val="8"/>
                <w:szCs w:val="8"/>
                <w:color w:val="auto"/>
              </w:rPr>
            </w:pPr>
          </w:p>
        </w:tc>
        <w:tc>
          <w:tcPr>
            <w:tcW w:w="3300" w:type="dxa"/>
            <w:vAlign w:val="bottom"/>
            <w:gridSpan w:val="2"/>
            <w:vMerge w:val="continue"/>
            <w:shd w:val="clear" w:color="auto" w:fill="E6F7FE"/>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680" w:type="dxa"/>
            <w:vAlign w:val="bottom"/>
            <w:tcBorders>
              <w:bottom w:val="single" w:sz="8" w:color="E6F7FE"/>
            </w:tcBorders>
            <w:shd w:val="clear" w:color="auto" w:fill="E6F7FE"/>
          </w:tcPr>
          <w:p>
            <w:pPr>
              <w:spacing w:after="0"/>
              <w:rPr>
                <w:sz w:val="24"/>
                <w:szCs w:val="24"/>
                <w:color w:val="auto"/>
              </w:rPr>
            </w:pPr>
          </w:p>
        </w:tc>
        <w:tc>
          <w:tcPr>
            <w:tcW w:w="2600" w:type="dxa"/>
            <w:vAlign w:val="bottom"/>
            <w:tcBorders>
              <w:bottom w:val="single" w:sz="8" w:color="191769"/>
            </w:tcBorders>
            <w:shd w:val="clear" w:color="auto" w:fill="E6F7FE"/>
          </w:tcPr>
          <w:p>
            <w:pPr>
              <w:spacing w:after="0"/>
              <w:rPr>
                <w:sz w:val="24"/>
                <w:szCs w:val="24"/>
                <w:color w:val="auto"/>
              </w:rPr>
            </w:pPr>
          </w:p>
        </w:tc>
        <w:tc>
          <w:tcPr>
            <w:tcW w:w="520" w:type="dxa"/>
            <w:vAlign w:val="bottom"/>
            <w:tcBorders>
              <w:bottom w:val="single" w:sz="8" w:color="E6F7FE"/>
              <w:right w:val="single" w:sz="8" w:color="191769"/>
            </w:tcBorders>
            <w:shd w:val="clear" w:color="auto" w:fill="E6F7FE"/>
          </w:tcPr>
          <w:p>
            <w:pPr>
              <w:spacing w:after="0"/>
              <w:rPr>
                <w:sz w:val="24"/>
                <w:szCs w:val="24"/>
                <w:color w:val="auto"/>
              </w:rPr>
            </w:pPr>
          </w:p>
        </w:tc>
        <w:tc>
          <w:tcPr>
            <w:tcW w:w="460" w:type="dxa"/>
            <w:vAlign w:val="bottom"/>
            <w:tcBorders>
              <w:bottom w:val="single" w:sz="8" w:color="E6F7FE"/>
            </w:tcBorders>
            <w:shd w:val="clear" w:color="auto" w:fill="E6F7FE"/>
          </w:tcPr>
          <w:p>
            <w:pPr>
              <w:spacing w:after="0"/>
              <w:rPr>
                <w:sz w:val="24"/>
                <w:szCs w:val="24"/>
                <w:color w:val="auto"/>
              </w:rPr>
            </w:pPr>
          </w:p>
        </w:tc>
        <w:tc>
          <w:tcPr>
            <w:tcW w:w="2700" w:type="dxa"/>
            <w:vAlign w:val="bottom"/>
            <w:tcBorders>
              <w:bottom w:val="single" w:sz="8" w:color="191769"/>
            </w:tcBorders>
            <w:shd w:val="clear" w:color="auto" w:fill="E6F7FE"/>
          </w:tcPr>
          <w:p>
            <w:pPr>
              <w:spacing w:after="0"/>
              <w:rPr>
                <w:sz w:val="24"/>
                <w:szCs w:val="24"/>
                <w:color w:val="auto"/>
              </w:rPr>
            </w:pPr>
          </w:p>
        </w:tc>
        <w:tc>
          <w:tcPr>
            <w:tcW w:w="500" w:type="dxa"/>
            <w:vAlign w:val="bottom"/>
            <w:tcBorders>
              <w:bottom w:val="single" w:sz="8" w:color="E6F7FE"/>
              <w:right w:val="single" w:sz="8" w:color="191769"/>
            </w:tcBorders>
            <w:shd w:val="clear" w:color="auto" w:fill="E6F7FE"/>
          </w:tcPr>
          <w:p>
            <w:pPr>
              <w:spacing w:after="0"/>
              <w:rPr>
                <w:sz w:val="24"/>
                <w:szCs w:val="24"/>
                <w:color w:val="auto"/>
              </w:rPr>
            </w:pPr>
          </w:p>
        </w:tc>
        <w:tc>
          <w:tcPr>
            <w:tcW w:w="480" w:type="dxa"/>
            <w:vAlign w:val="bottom"/>
            <w:tcBorders>
              <w:bottom w:val="single" w:sz="8" w:color="E6F7FE"/>
            </w:tcBorders>
            <w:shd w:val="clear" w:color="auto" w:fill="E6F7FE"/>
          </w:tcPr>
          <w:p>
            <w:pPr>
              <w:spacing w:after="0"/>
              <w:rPr>
                <w:sz w:val="24"/>
                <w:szCs w:val="24"/>
                <w:color w:val="auto"/>
              </w:rPr>
            </w:pPr>
          </w:p>
        </w:tc>
        <w:tc>
          <w:tcPr>
            <w:tcW w:w="2660" w:type="dxa"/>
            <w:vAlign w:val="bottom"/>
            <w:tcBorders>
              <w:bottom w:val="single" w:sz="8" w:color="191769"/>
            </w:tcBorders>
            <w:shd w:val="clear" w:color="auto" w:fill="E6F7FE"/>
          </w:tcPr>
          <w:p>
            <w:pPr>
              <w:spacing w:after="0"/>
              <w:rPr>
                <w:sz w:val="24"/>
                <w:szCs w:val="24"/>
                <w:color w:val="auto"/>
              </w:rPr>
            </w:pPr>
          </w:p>
        </w:tc>
        <w:tc>
          <w:tcPr>
            <w:tcW w:w="640" w:type="dxa"/>
            <w:vAlign w:val="bottom"/>
            <w:tcBorders>
              <w:bottom w:val="single" w:sz="8" w:color="E6F7FE"/>
            </w:tcBorders>
            <w:shd w:val="clear" w:color="auto" w:fill="E6F7FE"/>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680" w:type="dxa"/>
            <w:vAlign w:val="bottom"/>
            <w:shd w:val="clear" w:color="auto" w:fill="E6F7FE"/>
          </w:tcPr>
          <w:p>
            <w:pPr>
              <w:spacing w:after="0"/>
              <w:rPr>
                <w:sz w:val="24"/>
                <w:szCs w:val="24"/>
                <w:color w:val="auto"/>
              </w:rPr>
            </w:pPr>
          </w:p>
        </w:tc>
        <w:tc>
          <w:tcPr>
            <w:tcW w:w="2600" w:type="dxa"/>
            <w:vAlign w:val="bottom"/>
            <w:vMerge w:val="restart"/>
            <w:shd w:val="clear" w:color="auto" w:fill="E6F7FE"/>
          </w:tcPr>
          <w:p>
            <w:pPr>
              <w:jc w:val="center"/>
              <w:spacing w:after="0"/>
              <w:rPr>
                <w:sz w:val="20"/>
                <w:szCs w:val="20"/>
                <w:color w:val="auto"/>
              </w:rPr>
            </w:pPr>
            <w:r>
              <w:rPr>
                <w:rFonts w:ascii="Arial" w:cs="Arial" w:eastAsia="Arial" w:hAnsi="Arial"/>
                <w:sz w:val="16"/>
                <w:szCs w:val="16"/>
                <w:color w:val="auto"/>
              </w:rPr>
              <w:t>Commitment to corporate social</w:t>
            </w:r>
          </w:p>
        </w:tc>
        <w:tc>
          <w:tcPr>
            <w:tcW w:w="520" w:type="dxa"/>
            <w:vAlign w:val="bottom"/>
            <w:tcBorders>
              <w:right w:val="single" w:sz="8" w:color="191769"/>
            </w:tcBorders>
            <w:shd w:val="clear" w:color="auto" w:fill="E6F7FE"/>
          </w:tcPr>
          <w:p>
            <w:pPr>
              <w:spacing w:after="0"/>
              <w:rPr>
                <w:sz w:val="24"/>
                <w:szCs w:val="24"/>
                <w:color w:val="auto"/>
              </w:rPr>
            </w:pPr>
          </w:p>
        </w:tc>
        <w:tc>
          <w:tcPr>
            <w:tcW w:w="460" w:type="dxa"/>
            <w:vAlign w:val="bottom"/>
            <w:shd w:val="clear" w:color="auto" w:fill="E6F7FE"/>
          </w:tcPr>
          <w:p>
            <w:pPr>
              <w:spacing w:after="0"/>
              <w:rPr>
                <w:sz w:val="24"/>
                <w:szCs w:val="24"/>
                <w:color w:val="auto"/>
              </w:rPr>
            </w:pPr>
          </w:p>
        </w:tc>
        <w:tc>
          <w:tcPr>
            <w:tcW w:w="2700" w:type="dxa"/>
            <w:vAlign w:val="bottom"/>
            <w:shd w:val="clear" w:color="auto" w:fill="E6F7FE"/>
          </w:tcPr>
          <w:p>
            <w:pPr>
              <w:jc w:val="center"/>
              <w:spacing w:after="0"/>
              <w:rPr>
                <w:sz w:val="20"/>
                <w:szCs w:val="20"/>
                <w:color w:val="auto"/>
              </w:rPr>
            </w:pPr>
            <w:r>
              <w:rPr>
                <w:rFonts w:ascii="Arial" w:cs="Arial" w:eastAsia="Arial" w:hAnsi="Arial"/>
                <w:sz w:val="16"/>
                <w:szCs w:val="16"/>
                <w:color w:val="auto"/>
              </w:rPr>
              <w:t>Advisory vote on Named Executive</w:t>
            </w:r>
          </w:p>
        </w:tc>
        <w:tc>
          <w:tcPr>
            <w:tcW w:w="500" w:type="dxa"/>
            <w:vAlign w:val="bottom"/>
            <w:tcBorders>
              <w:right w:val="single" w:sz="8" w:color="191769"/>
            </w:tcBorders>
            <w:shd w:val="clear" w:color="auto" w:fill="E6F7FE"/>
          </w:tcPr>
          <w:p>
            <w:pPr>
              <w:spacing w:after="0"/>
              <w:rPr>
                <w:sz w:val="24"/>
                <w:szCs w:val="24"/>
                <w:color w:val="auto"/>
              </w:rPr>
            </w:pPr>
          </w:p>
        </w:tc>
        <w:tc>
          <w:tcPr>
            <w:tcW w:w="480" w:type="dxa"/>
            <w:vAlign w:val="bottom"/>
            <w:shd w:val="clear" w:color="auto" w:fill="E6F7FE"/>
          </w:tcPr>
          <w:p>
            <w:pPr>
              <w:spacing w:after="0"/>
              <w:rPr>
                <w:sz w:val="24"/>
                <w:szCs w:val="24"/>
                <w:color w:val="auto"/>
              </w:rPr>
            </w:pPr>
          </w:p>
        </w:tc>
        <w:tc>
          <w:tcPr>
            <w:tcW w:w="3300" w:type="dxa"/>
            <w:vAlign w:val="bottom"/>
            <w:gridSpan w:val="2"/>
            <w:vMerge w:val="restart"/>
            <w:shd w:val="clear" w:color="auto" w:fill="E6F7FE"/>
          </w:tcPr>
          <w:p>
            <w:pPr>
              <w:jc w:val="center"/>
              <w:ind w:right="640"/>
              <w:spacing w:after="0"/>
              <w:rPr>
                <w:sz w:val="20"/>
                <w:szCs w:val="20"/>
                <w:color w:val="auto"/>
              </w:rPr>
            </w:pPr>
            <w:r>
              <w:rPr>
                <w:rFonts w:ascii="Arial" w:cs="Arial" w:eastAsia="Arial" w:hAnsi="Arial"/>
                <w:sz w:val="16"/>
                <w:szCs w:val="16"/>
                <w:color w:val="auto"/>
              </w:rPr>
              <w:t>Prohibitions against hedging and</w:t>
            </w:r>
          </w:p>
        </w:tc>
        <w:tc>
          <w:tcPr>
            <w:tcW w:w="0" w:type="dxa"/>
            <w:vAlign w:val="bottom"/>
          </w:tcPr>
          <w:p>
            <w:pPr>
              <w:spacing w:after="0"/>
              <w:rPr>
                <w:sz w:val="1"/>
                <w:szCs w:val="1"/>
                <w:color w:val="auto"/>
              </w:rPr>
            </w:pPr>
          </w:p>
        </w:tc>
      </w:tr>
      <w:tr>
        <w:trPr>
          <w:trHeight w:val="98"/>
        </w:trPr>
        <w:tc>
          <w:tcPr>
            <w:tcW w:w="680" w:type="dxa"/>
            <w:vAlign w:val="bottom"/>
            <w:shd w:val="clear" w:color="auto" w:fill="E6F7FE"/>
          </w:tcPr>
          <w:p>
            <w:pPr>
              <w:spacing w:after="0"/>
              <w:rPr>
                <w:sz w:val="8"/>
                <w:szCs w:val="8"/>
                <w:color w:val="auto"/>
              </w:rPr>
            </w:pPr>
          </w:p>
        </w:tc>
        <w:tc>
          <w:tcPr>
            <w:tcW w:w="2600" w:type="dxa"/>
            <w:vAlign w:val="bottom"/>
            <w:vMerge w:val="continue"/>
            <w:shd w:val="clear" w:color="auto" w:fill="E6F7FE"/>
          </w:tcPr>
          <w:p>
            <w:pPr>
              <w:spacing w:after="0"/>
              <w:rPr>
                <w:sz w:val="8"/>
                <w:szCs w:val="8"/>
                <w:color w:val="auto"/>
              </w:rPr>
            </w:pPr>
          </w:p>
        </w:tc>
        <w:tc>
          <w:tcPr>
            <w:tcW w:w="520" w:type="dxa"/>
            <w:vAlign w:val="bottom"/>
            <w:tcBorders>
              <w:right w:val="single" w:sz="8" w:color="191769"/>
            </w:tcBorders>
            <w:shd w:val="clear" w:color="auto" w:fill="E6F7FE"/>
          </w:tcPr>
          <w:p>
            <w:pPr>
              <w:spacing w:after="0"/>
              <w:rPr>
                <w:sz w:val="8"/>
                <w:szCs w:val="8"/>
                <w:color w:val="auto"/>
              </w:rPr>
            </w:pPr>
          </w:p>
        </w:tc>
        <w:tc>
          <w:tcPr>
            <w:tcW w:w="460" w:type="dxa"/>
            <w:vAlign w:val="bottom"/>
            <w:shd w:val="clear" w:color="auto" w:fill="E6F7FE"/>
          </w:tcPr>
          <w:p>
            <w:pPr>
              <w:spacing w:after="0"/>
              <w:rPr>
                <w:sz w:val="8"/>
                <w:szCs w:val="8"/>
                <w:color w:val="auto"/>
              </w:rPr>
            </w:pPr>
          </w:p>
        </w:tc>
        <w:tc>
          <w:tcPr>
            <w:tcW w:w="2700" w:type="dxa"/>
            <w:vAlign w:val="bottom"/>
            <w:vMerge w:val="restart"/>
            <w:shd w:val="clear" w:color="auto" w:fill="E6F7FE"/>
          </w:tcPr>
          <w:p>
            <w:pPr>
              <w:jc w:val="center"/>
              <w:spacing w:after="0"/>
              <w:rPr>
                <w:sz w:val="20"/>
                <w:szCs w:val="20"/>
                <w:color w:val="auto"/>
              </w:rPr>
            </w:pPr>
            <w:r>
              <w:rPr>
                <w:rFonts w:ascii="Arial" w:cs="Arial" w:eastAsia="Arial" w:hAnsi="Arial"/>
                <w:sz w:val="16"/>
                <w:szCs w:val="16"/>
                <w:color w:val="auto"/>
              </w:rPr>
              <w:t>Officers compensation is held on an</w:t>
            </w:r>
          </w:p>
        </w:tc>
        <w:tc>
          <w:tcPr>
            <w:tcW w:w="500" w:type="dxa"/>
            <w:vAlign w:val="bottom"/>
            <w:tcBorders>
              <w:right w:val="single" w:sz="8" w:color="191769"/>
            </w:tcBorders>
            <w:shd w:val="clear" w:color="auto" w:fill="E6F7FE"/>
          </w:tcPr>
          <w:p>
            <w:pPr>
              <w:spacing w:after="0"/>
              <w:rPr>
                <w:sz w:val="8"/>
                <w:szCs w:val="8"/>
                <w:color w:val="auto"/>
              </w:rPr>
            </w:pPr>
          </w:p>
        </w:tc>
        <w:tc>
          <w:tcPr>
            <w:tcW w:w="480" w:type="dxa"/>
            <w:vAlign w:val="bottom"/>
            <w:shd w:val="clear" w:color="auto" w:fill="E6F7FE"/>
          </w:tcPr>
          <w:p>
            <w:pPr>
              <w:spacing w:after="0"/>
              <w:rPr>
                <w:sz w:val="8"/>
                <w:szCs w:val="8"/>
                <w:color w:val="auto"/>
              </w:rPr>
            </w:pPr>
          </w:p>
        </w:tc>
        <w:tc>
          <w:tcPr>
            <w:tcW w:w="3300" w:type="dxa"/>
            <w:vAlign w:val="bottom"/>
            <w:gridSpan w:val="2"/>
            <w:vMerge w:val="continue"/>
            <w:shd w:val="clear" w:color="auto" w:fill="E6F7F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680" w:type="dxa"/>
            <w:vAlign w:val="bottom"/>
            <w:shd w:val="clear" w:color="auto" w:fill="E6F7FE"/>
          </w:tcPr>
          <w:p>
            <w:pPr>
              <w:spacing w:after="0"/>
              <w:rPr>
                <w:sz w:val="8"/>
                <w:szCs w:val="8"/>
                <w:color w:val="auto"/>
              </w:rPr>
            </w:pPr>
          </w:p>
        </w:tc>
        <w:tc>
          <w:tcPr>
            <w:tcW w:w="2600" w:type="dxa"/>
            <w:vAlign w:val="bottom"/>
            <w:vMerge w:val="restart"/>
            <w:shd w:val="clear" w:color="auto" w:fill="E6F7FE"/>
          </w:tcPr>
          <w:p>
            <w:pPr>
              <w:jc w:val="center"/>
              <w:spacing w:after="0"/>
              <w:rPr>
                <w:sz w:val="20"/>
                <w:szCs w:val="20"/>
                <w:color w:val="auto"/>
              </w:rPr>
            </w:pPr>
            <w:r>
              <w:rPr>
                <w:rFonts w:ascii="Arial" w:cs="Arial" w:eastAsia="Arial" w:hAnsi="Arial"/>
                <w:sz w:val="16"/>
                <w:szCs w:val="16"/>
                <w:color w:val="auto"/>
              </w:rPr>
              <w:t>responsibility and sustainability</w:t>
            </w:r>
          </w:p>
        </w:tc>
        <w:tc>
          <w:tcPr>
            <w:tcW w:w="520" w:type="dxa"/>
            <w:vAlign w:val="bottom"/>
            <w:tcBorders>
              <w:right w:val="single" w:sz="8" w:color="191769"/>
            </w:tcBorders>
            <w:shd w:val="clear" w:color="auto" w:fill="E6F7FE"/>
          </w:tcPr>
          <w:p>
            <w:pPr>
              <w:spacing w:after="0"/>
              <w:rPr>
                <w:sz w:val="8"/>
                <w:szCs w:val="8"/>
                <w:color w:val="auto"/>
              </w:rPr>
            </w:pPr>
          </w:p>
        </w:tc>
        <w:tc>
          <w:tcPr>
            <w:tcW w:w="460" w:type="dxa"/>
            <w:vAlign w:val="bottom"/>
            <w:shd w:val="clear" w:color="auto" w:fill="E6F7FE"/>
          </w:tcPr>
          <w:p>
            <w:pPr>
              <w:spacing w:after="0"/>
              <w:rPr>
                <w:sz w:val="8"/>
                <w:szCs w:val="8"/>
                <w:color w:val="auto"/>
              </w:rPr>
            </w:pPr>
          </w:p>
        </w:tc>
        <w:tc>
          <w:tcPr>
            <w:tcW w:w="2700" w:type="dxa"/>
            <w:vAlign w:val="bottom"/>
            <w:vMerge w:val="continue"/>
            <w:shd w:val="clear" w:color="auto" w:fill="E6F7FE"/>
          </w:tcPr>
          <w:p>
            <w:pPr>
              <w:spacing w:after="0"/>
              <w:rPr>
                <w:sz w:val="8"/>
                <w:szCs w:val="8"/>
                <w:color w:val="auto"/>
              </w:rPr>
            </w:pPr>
          </w:p>
        </w:tc>
        <w:tc>
          <w:tcPr>
            <w:tcW w:w="500" w:type="dxa"/>
            <w:vAlign w:val="bottom"/>
            <w:tcBorders>
              <w:right w:val="single" w:sz="8" w:color="191769"/>
            </w:tcBorders>
            <w:shd w:val="clear" w:color="auto" w:fill="E6F7FE"/>
          </w:tcPr>
          <w:p>
            <w:pPr>
              <w:spacing w:after="0"/>
              <w:rPr>
                <w:sz w:val="8"/>
                <w:szCs w:val="8"/>
                <w:color w:val="auto"/>
              </w:rPr>
            </w:pPr>
          </w:p>
        </w:tc>
        <w:tc>
          <w:tcPr>
            <w:tcW w:w="480" w:type="dxa"/>
            <w:vAlign w:val="bottom"/>
            <w:shd w:val="clear" w:color="auto" w:fill="E6F7FE"/>
          </w:tcPr>
          <w:p>
            <w:pPr>
              <w:spacing w:after="0"/>
              <w:rPr>
                <w:sz w:val="8"/>
                <w:szCs w:val="8"/>
                <w:color w:val="auto"/>
              </w:rPr>
            </w:pPr>
          </w:p>
        </w:tc>
        <w:tc>
          <w:tcPr>
            <w:tcW w:w="3300" w:type="dxa"/>
            <w:vAlign w:val="bottom"/>
            <w:gridSpan w:val="2"/>
            <w:vMerge w:val="restart"/>
            <w:shd w:val="clear" w:color="auto" w:fill="E6F7FE"/>
          </w:tcPr>
          <w:p>
            <w:pPr>
              <w:jc w:val="center"/>
              <w:ind w:right="640"/>
              <w:spacing w:after="0"/>
              <w:rPr>
                <w:sz w:val="20"/>
                <w:szCs w:val="20"/>
                <w:color w:val="auto"/>
              </w:rPr>
            </w:pPr>
            <w:r>
              <w:rPr>
                <w:rFonts w:ascii="Arial" w:cs="Arial" w:eastAsia="Arial" w:hAnsi="Arial"/>
                <w:sz w:val="16"/>
                <w:szCs w:val="16"/>
                <w:color w:val="auto"/>
              </w:rPr>
              <w:t>borrowing against Company stock</w:t>
            </w:r>
          </w:p>
        </w:tc>
        <w:tc>
          <w:tcPr>
            <w:tcW w:w="0" w:type="dxa"/>
            <w:vAlign w:val="bottom"/>
          </w:tcPr>
          <w:p>
            <w:pPr>
              <w:spacing w:after="0"/>
              <w:rPr>
                <w:sz w:val="1"/>
                <w:szCs w:val="1"/>
                <w:color w:val="auto"/>
              </w:rPr>
            </w:pPr>
          </w:p>
        </w:tc>
      </w:tr>
      <w:tr>
        <w:trPr>
          <w:trHeight w:val="118"/>
        </w:trPr>
        <w:tc>
          <w:tcPr>
            <w:tcW w:w="680" w:type="dxa"/>
            <w:vAlign w:val="bottom"/>
            <w:shd w:val="clear" w:color="auto" w:fill="E6F7FE"/>
          </w:tcPr>
          <w:p>
            <w:pPr>
              <w:spacing w:after="0"/>
              <w:rPr>
                <w:sz w:val="10"/>
                <w:szCs w:val="10"/>
                <w:color w:val="auto"/>
              </w:rPr>
            </w:pPr>
          </w:p>
        </w:tc>
        <w:tc>
          <w:tcPr>
            <w:tcW w:w="2600" w:type="dxa"/>
            <w:vAlign w:val="bottom"/>
            <w:vMerge w:val="continue"/>
            <w:shd w:val="clear" w:color="auto" w:fill="E6F7FE"/>
          </w:tcPr>
          <w:p>
            <w:pPr>
              <w:spacing w:after="0"/>
              <w:rPr>
                <w:sz w:val="10"/>
                <w:szCs w:val="10"/>
                <w:color w:val="auto"/>
              </w:rPr>
            </w:pPr>
          </w:p>
        </w:tc>
        <w:tc>
          <w:tcPr>
            <w:tcW w:w="520" w:type="dxa"/>
            <w:vAlign w:val="bottom"/>
            <w:tcBorders>
              <w:right w:val="single" w:sz="8" w:color="191769"/>
            </w:tcBorders>
            <w:shd w:val="clear" w:color="auto" w:fill="E6F7FE"/>
          </w:tcPr>
          <w:p>
            <w:pPr>
              <w:spacing w:after="0"/>
              <w:rPr>
                <w:sz w:val="10"/>
                <w:szCs w:val="10"/>
                <w:color w:val="auto"/>
              </w:rPr>
            </w:pPr>
          </w:p>
        </w:tc>
        <w:tc>
          <w:tcPr>
            <w:tcW w:w="460" w:type="dxa"/>
            <w:vAlign w:val="bottom"/>
            <w:shd w:val="clear" w:color="auto" w:fill="E6F7FE"/>
          </w:tcPr>
          <w:p>
            <w:pPr>
              <w:spacing w:after="0"/>
              <w:rPr>
                <w:sz w:val="10"/>
                <w:szCs w:val="10"/>
                <w:color w:val="auto"/>
              </w:rPr>
            </w:pPr>
          </w:p>
        </w:tc>
        <w:tc>
          <w:tcPr>
            <w:tcW w:w="2700" w:type="dxa"/>
            <w:vAlign w:val="bottom"/>
            <w:vMerge w:val="restart"/>
            <w:shd w:val="clear" w:color="auto" w:fill="E6F7FE"/>
          </w:tcPr>
          <w:p>
            <w:pPr>
              <w:jc w:val="center"/>
              <w:spacing w:after="0"/>
              <w:rPr>
                <w:sz w:val="20"/>
                <w:szCs w:val="20"/>
                <w:color w:val="auto"/>
              </w:rPr>
            </w:pPr>
            <w:r>
              <w:rPr>
                <w:rFonts w:ascii="Arial" w:cs="Arial" w:eastAsia="Arial" w:hAnsi="Arial"/>
                <w:sz w:val="16"/>
                <w:szCs w:val="16"/>
                <w:color w:val="auto"/>
              </w:rPr>
              <w:t>annual basis</w:t>
            </w:r>
          </w:p>
        </w:tc>
        <w:tc>
          <w:tcPr>
            <w:tcW w:w="500" w:type="dxa"/>
            <w:vAlign w:val="bottom"/>
            <w:tcBorders>
              <w:right w:val="single" w:sz="8" w:color="191769"/>
            </w:tcBorders>
            <w:shd w:val="clear" w:color="auto" w:fill="E6F7FE"/>
          </w:tcPr>
          <w:p>
            <w:pPr>
              <w:spacing w:after="0"/>
              <w:rPr>
                <w:sz w:val="10"/>
                <w:szCs w:val="10"/>
                <w:color w:val="auto"/>
              </w:rPr>
            </w:pPr>
          </w:p>
        </w:tc>
        <w:tc>
          <w:tcPr>
            <w:tcW w:w="480" w:type="dxa"/>
            <w:vAlign w:val="bottom"/>
            <w:shd w:val="clear" w:color="auto" w:fill="E6F7FE"/>
          </w:tcPr>
          <w:p>
            <w:pPr>
              <w:spacing w:after="0"/>
              <w:rPr>
                <w:sz w:val="10"/>
                <w:szCs w:val="10"/>
                <w:color w:val="auto"/>
              </w:rPr>
            </w:pPr>
          </w:p>
        </w:tc>
        <w:tc>
          <w:tcPr>
            <w:tcW w:w="3300" w:type="dxa"/>
            <w:vAlign w:val="bottom"/>
            <w:gridSpan w:val="2"/>
            <w:vMerge w:val="continue"/>
            <w:shd w:val="clear" w:color="auto" w:fill="E6F7F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shd w:val="clear" w:color="auto" w:fill="E6F7FE"/>
          </w:tcPr>
          <w:p>
            <w:pPr>
              <w:spacing w:after="0"/>
              <w:rPr>
                <w:sz w:val="8"/>
                <w:szCs w:val="8"/>
                <w:color w:val="auto"/>
              </w:rPr>
            </w:pPr>
          </w:p>
        </w:tc>
        <w:tc>
          <w:tcPr>
            <w:tcW w:w="2600" w:type="dxa"/>
            <w:vAlign w:val="bottom"/>
            <w:shd w:val="clear" w:color="auto" w:fill="E6F7FE"/>
          </w:tcPr>
          <w:p>
            <w:pPr>
              <w:spacing w:after="0"/>
              <w:rPr>
                <w:sz w:val="8"/>
                <w:szCs w:val="8"/>
                <w:color w:val="auto"/>
              </w:rPr>
            </w:pPr>
          </w:p>
        </w:tc>
        <w:tc>
          <w:tcPr>
            <w:tcW w:w="520" w:type="dxa"/>
            <w:vAlign w:val="bottom"/>
            <w:tcBorders>
              <w:right w:val="single" w:sz="8" w:color="191769"/>
            </w:tcBorders>
            <w:shd w:val="clear" w:color="auto" w:fill="E6F7FE"/>
          </w:tcPr>
          <w:p>
            <w:pPr>
              <w:spacing w:after="0"/>
              <w:rPr>
                <w:sz w:val="8"/>
                <w:szCs w:val="8"/>
                <w:color w:val="auto"/>
              </w:rPr>
            </w:pPr>
          </w:p>
        </w:tc>
        <w:tc>
          <w:tcPr>
            <w:tcW w:w="460" w:type="dxa"/>
            <w:vAlign w:val="bottom"/>
            <w:shd w:val="clear" w:color="auto" w:fill="E6F7FE"/>
          </w:tcPr>
          <w:p>
            <w:pPr>
              <w:spacing w:after="0"/>
              <w:rPr>
                <w:sz w:val="8"/>
                <w:szCs w:val="8"/>
                <w:color w:val="auto"/>
              </w:rPr>
            </w:pPr>
          </w:p>
        </w:tc>
        <w:tc>
          <w:tcPr>
            <w:tcW w:w="2700" w:type="dxa"/>
            <w:vAlign w:val="bottom"/>
            <w:vMerge w:val="continue"/>
            <w:shd w:val="clear" w:color="auto" w:fill="E6F7FE"/>
          </w:tcPr>
          <w:p>
            <w:pPr>
              <w:spacing w:after="0"/>
              <w:rPr>
                <w:sz w:val="8"/>
                <w:szCs w:val="8"/>
                <w:color w:val="auto"/>
              </w:rPr>
            </w:pPr>
          </w:p>
        </w:tc>
        <w:tc>
          <w:tcPr>
            <w:tcW w:w="500" w:type="dxa"/>
            <w:vAlign w:val="bottom"/>
            <w:tcBorders>
              <w:right w:val="single" w:sz="8" w:color="191769"/>
            </w:tcBorders>
            <w:shd w:val="clear" w:color="auto" w:fill="E6F7FE"/>
          </w:tcPr>
          <w:p>
            <w:pPr>
              <w:spacing w:after="0"/>
              <w:rPr>
                <w:sz w:val="8"/>
                <w:szCs w:val="8"/>
                <w:color w:val="auto"/>
              </w:rPr>
            </w:pPr>
          </w:p>
        </w:tc>
        <w:tc>
          <w:tcPr>
            <w:tcW w:w="480" w:type="dxa"/>
            <w:vAlign w:val="bottom"/>
            <w:shd w:val="clear" w:color="auto" w:fill="E6F7FE"/>
          </w:tcPr>
          <w:p>
            <w:pPr>
              <w:spacing w:after="0"/>
              <w:rPr>
                <w:sz w:val="8"/>
                <w:szCs w:val="8"/>
                <w:color w:val="auto"/>
              </w:rPr>
            </w:pPr>
          </w:p>
        </w:tc>
        <w:tc>
          <w:tcPr>
            <w:tcW w:w="2660" w:type="dxa"/>
            <w:vAlign w:val="bottom"/>
            <w:shd w:val="clear" w:color="auto" w:fill="E6F7FE"/>
          </w:tcPr>
          <w:p>
            <w:pPr>
              <w:spacing w:after="0"/>
              <w:rPr>
                <w:sz w:val="8"/>
                <w:szCs w:val="8"/>
                <w:color w:val="auto"/>
              </w:rPr>
            </w:pPr>
          </w:p>
        </w:tc>
        <w:tc>
          <w:tcPr>
            <w:tcW w:w="640" w:type="dxa"/>
            <w:vAlign w:val="bottom"/>
            <w:shd w:val="clear" w:color="auto" w:fill="E6F7FE"/>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680" w:type="dxa"/>
            <w:vAlign w:val="bottom"/>
            <w:tcBorders>
              <w:bottom w:val="single" w:sz="8" w:color="E6F7FE"/>
            </w:tcBorders>
            <w:shd w:val="clear" w:color="auto" w:fill="E6F7FE"/>
          </w:tcPr>
          <w:p>
            <w:pPr>
              <w:spacing w:after="0"/>
              <w:rPr>
                <w:sz w:val="24"/>
                <w:szCs w:val="24"/>
                <w:color w:val="auto"/>
              </w:rPr>
            </w:pPr>
          </w:p>
        </w:tc>
        <w:tc>
          <w:tcPr>
            <w:tcW w:w="2600" w:type="dxa"/>
            <w:vAlign w:val="bottom"/>
            <w:tcBorders>
              <w:bottom w:val="single" w:sz="8" w:color="191769"/>
            </w:tcBorders>
            <w:shd w:val="clear" w:color="auto" w:fill="E6F7FE"/>
          </w:tcPr>
          <w:p>
            <w:pPr>
              <w:spacing w:after="0"/>
              <w:rPr>
                <w:sz w:val="24"/>
                <w:szCs w:val="24"/>
                <w:color w:val="auto"/>
              </w:rPr>
            </w:pPr>
          </w:p>
        </w:tc>
        <w:tc>
          <w:tcPr>
            <w:tcW w:w="520" w:type="dxa"/>
            <w:vAlign w:val="bottom"/>
            <w:tcBorders>
              <w:bottom w:val="single" w:sz="8" w:color="E6F7FE"/>
              <w:right w:val="single" w:sz="8" w:color="191769"/>
            </w:tcBorders>
            <w:shd w:val="clear" w:color="auto" w:fill="E6F7FE"/>
          </w:tcPr>
          <w:p>
            <w:pPr>
              <w:spacing w:after="0"/>
              <w:rPr>
                <w:sz w:val="24"/>
                <w:szCs w:val="24"/>
                <w:color w:val="auto"/>
              </w:rPr>
            </w:pPr>
          </w:p>
        </w:tc>
        <w:tc>
          <w:tcPr>
            <w:tcW w:w="460" w:type="dxa"/>
            <w:vAlign w:val="bottom"/>
            <w:tcBorders>
              <w:bottom w:val="single" w:sz="8" w:color="E6F7FE"/>
            </w:tcBorders>
            <w:shd w:val="clear" w:color="auto" w:fill="E6F7FE"/>
          </w:tcPr>
          <w:p>
            <w:pPr>
              <w:spacing w:after="0"/>
              <w:rPr>
                <w:sz w:val="24"/>
                <w:szCs w:val="24"/>
                <w:color w:val="auto"/>
              </w:rPr>
            </w:pPr>
          </w:p>
        </w:tc>
        <w:tc>
          <w:tcPr>
            <w:tcW w:w="2700" w:type="dxa"/>
            <w:vAlign w:val="bottom"/>
            <w:tcBorders>
              <w:bottom w:val="single" w:sz="8" w:color="191769"/>
            </w:tcBorders>
            <w:shd w:val="clear" w:color="auto" w:fill="E6F7FE"/>
          </w:tcPr>
          <w:p>
            <w:pPr>
              <w:spacing w:after="0"/>
              <w:rPr>
                <w:sz w:val="24"/>
                <w:szCs w:val="24"/>
                <w:color w:val="auto"/>
              </w:rPr>
            </w:pPr>
          </w:p>
        </w:tc>
        <w:tc>
          <w:tcPr>
            <w:tcW w:w="500" w:type="dxa"/>
            <w:vAlign w:val="bottom"/>
            <w:tcBorders>
              <w:bottom w:val="single" w:sz="8" w:color="E6F7FE"/>
              <w:right w:val="single" w:sz="8" w:color="191769"/>
            </w:tcBorders>
            <w:shd w:val="clear" w:color="auto" w:fill="E6F7FE"/>
          </w:tcPr>
          <w:p>
            <w:pPr>
              <w:spacing w:after="0"/>
              <w:rPr>
                <w:sz w:val="24"/>
                <w:szCs w:val="24"/>
                <w:color w:val="auto"/>
              </w:rPr>
            </w:pPr>
          </w:p>
        </w:tc>
        <w:tc>
          <w:tcPr>
            <w:tcW w:w="480" w:type="dxa"/>
            <w:vAlign w:val="bottom"/>
            <w:tcBorders>
              <w:bottom w:val="single" w:sz="8" w:color="E6F7FE"/>
            </w:tcBorders>
            <w:shd w:val="clear" w:color="auto" w:fill="E6F7FE"/>
          </w:tcPr>
          <w:p>
            <w:pPr>
              <w:spacing w:after="0"/>
              <w:rPr>
                <w:sz w:val="24"/>
                <w:szCs w:val="24"/>
                <w:color w:val="auto"/>
              </w:rPr>
            </w:pPr>
          </w:p>
        </w:tc>
        <w:tc>
          <w:tcPr>
            <w:tcW w:w="2660" w:type="dxa"/>
            <w:vAlign w:val="bottom"/>
            <w:tcBorders>
              <w:bottom w:val="single" w:sz="8" w:color="191769"/>
            </w:tcBorders>
            <w:shd w:val="clear" w:color="auto" w:fill="E6F7FE"/>
          </w:tcPr>
          <w:p>
            <w:pPr>
              <w:spacing w:after="0"/>
              <w:rPr>
                <w:sz w:val="24"/>
                <w:szCs w:val="24"/>
                <w:color w:val="auto"/>
              </w:rPr>
            </w:pPr>
          </w:p>
        </w:tc>
        <w:tc>
          <w:tcPr>
            <w:tcW w:w="640" w:type="dxa"/>
            <w:vAlign w:val="bottom"/>
            <w:tcBorders>
              <w:bottom w:val="single" w:sz="8" w:color="E6F7FE"/>
            </w:tcBorders>
            <w:shd w:val="clear" w:color="auto" w:fill="E6F7FE"/>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80" w:type="dxa"/>
            <w:vAlign w:val="bottom"/>
            <w:shd w:val="clear" w:color="auto" w:fill="E6F7FE"/>
          </w:tcPr>
          <w:p>
            <w:pPr>
              <w:spacing w:after="0"/>
              <w:rPr>
                <w:sz w:val="24"/>
                <w:szCs w:val="24"/>
                <w:color w:val="auto"/>
              </w:rPr>
            </w:pPr>
          </w:p>
        </w:tc>
        <w:tc>
          <w:tcPr>
            <w:tcW w:w="2600" w:type="dxa"/>
            <w:vAlign w:val="bottom"/>
            <w:vMerge w:val="restart"/>
            <w:shd w:val="clear" w:color="auto" w:fill="E6F7FE"/>
          </w:tcPr>
          <w:p>
            <w:pPr>
              <w:jc w:val="center"/>
              <w:spacing w:after="0"/>
              <w:rPr>
                <w:sz w:val="20"/>
                <w:szCs w:val="20"/>
                <w:color w:val="auto"/>
              </w:rPr>
            </w:pPr>
            <w:r>
              <w:rPr>
                <w:rFonts w:ascii="Arial" w:cs="Arial" w:eastAsia="Arial" w:hAnsi="Arial"/>
                <w:sz w:val="16"/>
                <w:szCs w:val="16"/>
                <w:color w:val="auto"/>
              </w:rPr>
              <w:t>Stock ownership requirements for</w:t>
            </w:r>
          </w:p>
        </w:tc>
        <w:tc>
          <w:tcPr>
            <w:tcW w:w="520" w:type="dxa"/>
            <w:vAlign w:val="bottom"/>
            <w:tcBorders>
              <w:right w:val="single" w:sz="8" w:color="191769"/>
            </w:tcBorders>
            <w:shd w:val="clear" w:color="auto" w:fill="E6F7FE"/>
          </w:tcPr>
          <w:p>
            <w:pPr>
              <w:spacing w:after="0"/>
              <w:rPr>
                <w:sz w:val="24"/>
                <w:szCs w:val="24"/>
                <w:color w:val="auto"/>
              </w:rPr>
            </w:pPr>
          </w:p>
        </w:tc>
        <w:tc>
          <w:tcPr>
            <w:tcW w:w="460" w:type="dxa"/>
            <w:vAlign w:val="bottom"/>
            <w:shd w:val="clear" w:color="auto" w:fill="E6F7FE"/>
          </w:tcPr>
          <w:p>
            <w:pPr>
              <w:spacing w:after="0"/>
              <w:rPr>
                <w:sz w:val="24"/>
                <w:szCs w:val="24"/>
                <w:color w:val="auto"/>
              </w:rPr>
            </w:pPr>
          </w:p>
        </w:tc>
        <w:tc>
          <w:tcPr>
            <w:tcW w:w="2700" w:type="dxa"/>
            <w:vAlign w:val="bottom"/>
            <w:vMerge w:val="restart"/>
            <w:shd w:val="clear" w:color="auto" w:fill="E6F7FE"/>
          </w:tcPr>
          <w:p>
            <w:pPr>
              <w:jc w:val="center"/>
              <w:spacing w:after="0"/>
              <w:rPr>
                <w:sz w:val="20"/>
                <w:szCs w:val="20"/>
                <w:color w:val="auto"/>
              </w:rPr>
            </w:pPr>
            <w:r>
              <w:rPr>
                <w:rFonts w:ascii="Arial" w:cs="Arial" w:eastAsia="Arial" w:hAnsi="Arial"/>
                <w:sz w:val="16"/>
                <w:szCs w:val="16"/>
                <w:color w:val="auto"/>
              </w:rPr>
              <w:t>Compensation Committee oversees</w:t>
            </w:r>
          </w:p>
        </w:tc>
        <w:tc>
          <w:tcPr>
            <w:tcW w:w="500" w:type="dxa"/>
            <w:vAlign w:val="bottom"/>
            <w:tcBorders>
              <w:right w:val="single" w:sz="8" w:color="191769"/>
            </w:tcBorders>
            <w:shd w:val="clear" w:color="auto" w:fill="E6F7FE"/>
          </w:tcPr>
          <w:p>
            <w:pPr>
              <w:spacing w:after="0"/>
              <w:rPr>
                <w:sz w:val="24"/>
                <w:szCs w:val="24"/>
                <w:color w:val="auto"/>
              </w:rPr>
            </w:pPr>
          </w:p>
        </w:tc>
        <w:tc>
          <w:tcPr>
            <w:tcW w:w="480" w:type="dxa"/>
            <w:vAlign w:val="bottom"/>
            <w:shd w:val="clear" w:color="auto" w:fill="E6F7FE"/>
          </w:tcPr>
          <w:p>
            <w:pPr>
              <w:spacing w:after="0"/>
              <w:rPr>
                <w:sz w:val="24"/>
                <w:szCs w:val="24"/>
                <w:color w:val="auto"/>
              </w:rPr>
            </w:pPr>
          </w:p>
        </w:tc>
        <w:tc>
          <w:tcPr>
            <w:tcW w:w="2660" w:type="dxa"/>
            <w:vAlign w:val="bottom"/>
            <w:shd w:val="clear" w:color="auto" w:fill="E6F7FE"/>
          </w:tcPr>
          <w:p>
            <w:pPr>
              <w:jc w:val="center"/>
              <w:spacing w:after="0"/>
              <w:rPr>
                <w:sz w:val="20"/>
                <w:szCs w:val="20"/>
                <w:color w:val="auto"/>
              </w:rPr>
            </w:pPr>
            <w:r>
              <w:rPr>
                <w:rFonts w:ascii="Arial" w:cs="Arial" w:eastAsia="Arial" w:hAnsi="Arial"/>
                <w:sz w:val="16"/>
                <w:szCs w:val="16"/>
                <w:color w:val="auto"/>
              </w:rPr>
              <w:t>Transparent process for</w:t>
            </w:r>
          </w:p>
        </w:tc>
        <w:tc>
          <w:tcPr>
            <w:tcW w:w="640" w:type="dxa"/>
            <w:vAlign w:val="bottom"/>
            <w:shd w:val="clear" w:color="auto" w:fill="E6F7FE"/>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80" w:type="dxa"/>
            <w:vAlign w:val="bottom"/>
            <w:shd w:val="clear" w:color="auto" w:fill="E6F7FE"/>
          </w:tcPr>
          <w:p>
            <w:pPr>
              <w:spacing w:after="0"/>
              <w:rPr>
                <w:sz w:val="8"/>
                <w:szCs w:val="8"/>
                <w:color w:val="auto"/>
              </w:rPr>
            </w:pPr>
          </w:p>
        </w:tc>
        <w:tc>
          <w:tcPr>
            <w:tcW w:w="2600" w:type="dxa"/>
            <w:vAlign w:val="bottom"/>
            <w:vMerge w:val="continue"/>
            <w:shd w:val="clear" w:color="auto" w:fill="E6F7FE"/>
          </w:tcPr>
          <w:p>
            <w:pPr>
              <w:spacing w:after="0"/>
              <w:rPr>
                <w:sz w:val="8"/>
                <w:szCs w:val="8"/>
                <w:color w:val="auto"/>
              </w:rPr>
            </w:pPr>
          </w:p>
        </w:tc>
        <w:tc>
          <w:tcPr>
            <w:tcW w:w="520" w:type="dxa"/>
            <w:vAlign w:val="bottom"/>
            <w:tcBorders>
              <w:right w:val="single" w:sz="8" w:color="191769"/>
            </w:tcBorders>
            <w:shd w:val="clear" w:color="auto" w:fill="E6F7FE"/>
          </w:tcPr>
          <w:p>
            <w:pPr>
              <w:spacing w:after="0"/>
              <w:rPr>
                <w:sz w:val="8"/>
                <w:szCs w:val="8"/>
                <w:color w:val="auto"/>
              </w:rPr>
            </w:pPr>
          </w:p>
        </w:tc>
        <w:tc>
          <w:tcPr>
            <w:tcW w:w="460" w:type="dxa"/>
            <w:vAlign w:val="bottom"/>
            <w:shd w:val="clear" w:color="auto" w:fill="E6F7FE"/>
          </w:tcPr>
          <w:p>
            <w:pPr>
              <w:spacing w:after="0"/>
              <w:rPr>
                <w:sz w:val="8"/>
                <w:szCs w:val="8"/>
                <w:color w:val="auto"/>
              </w:rPr>
            </w:pPr>
          </w:p>
        </w:tc>
        <w:tc>
          <w:tcPr>
            <w:tcW w:w="2700" w:type="dxa"/>
            <w:vAlign w:val="bottom"/>
            <w:vMerge w:val="continue"/>
            <w:shd w:val="clear" w:color="auto" w:fill="E6F7FE"/>
          </w:tcPr>
          <w:p>
            <w:pPr>
              <w:spacing w:after="0"/>
              <w:rPr>
                <w:sz w:val="8"/>
                <w:szCs w:val="8"/>
                <w:color w:val="auto"/>
              </w:rPr>
            </w:pPr>
          </w:p>
        </w:tc>
        <w:tc>
          <w:tcPr>
            <w:tcW w:w="500" w:type="dxa"/>
            <w:vAlign w:val="bottom"/>
            <w:tcBorders>
              <w:right w:val="single" w:sz="8" w:color="191769"/>
            </w:tcBorders>
            <w:shd w:val="clear" w:color="auto" w:fill="E6F7FE"/>
          </w:tcPr>
          <w:p>
            <w:pPr>
              <w:spacing w:after="0"/>
              <w:rPr>
                <w:sz w:val="8"/>
                <w:szCs w:val="8"/>
                <w:color w:val="auto"/>
              </w:rPr>
            </w:pPr>
          </w:p>
        </w:tc>
        <w:tc>
          <w:tcPr>
            <w:tcW w:w="480" w:type="dxa"/>
            <w:vAlign w:val="bottom"/>
            <w:shd w:val="clear" w:color="auto" w:fill="E6F7FE"/>
          </w:tcPr>
          <w:p>
            <w:pPr>
              <w:spacing w:after="0"/>
              <w:rPr>
                <w:sz w:val="8"/>
                <w:szCs w:val="8"/>
                <w:color w:val="auto"/>
              </w:rPr>
            </w:pPr>
          </w:p>
        </w:tc>
        <w:tc>
          <w:tcPr>
            <w:tcW w:w="2660" w:type="dxa"/>
            <w:vAlign w:val="bottom"/>
            <w:vMerge w:val="restart"/>
            <w:shd w:val="clear" w:color="auto" w:fill="E6F7FE"/>
          </w:tcPr>
          <w:p>
            <w:pPr>
              <w:jc w:val="center"/>
              <w:spacing w:after="0"/>
              <w:rPr>
                <w:sz w:val="20"/>
                <w:szCs w:val="20"/>
                <w:color w:val="auto"/>
              </w:rPr>
            </w:pPr>
            <w:r>
              <w:rPr>
                <w:rFonts w:ascii="Arial" w:cs="Arial" w:eastAsia="Arial" w:hAnsi="Arial"/>
                <w:sz w:val="16"/>
                <w:szCs w:val="16"/>
                <w:color w:val="auto"/>
              </w:rPr>
              <w:t>shareholder communications with</w:t>
            </w:r>
          </w:p>
        </w:tc>
        <w:tc>
          <w:tcPr>
            <w:tcW w:w="640" w:type="dxa"/>
            <w:vAlign w:val="bottom"/>
            <w:shd w:val="clear" w:color="auto" w:fill="E6F7F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680" w:type="dxa"/>
            <w:vAlign w:val="bottom"/>
            <w:shd w:val="clear" w:color="auto" w:fill="E6F7FE"/>
          </w:tcPr>
          <w:p>
            <w:pPr>
              <w:spacing w:after="0"/>
              <w:rPr>
                <w:sz w:val="8"/>
                <w:szCs w:val="8"/>
                <w:color w:val="auto"/>
              </w:rPr>
            </w:pPr>
          </w:p>
        </w:tc>
        <w:tc>
          <w:tcPr>
            <w:tcW w:w="2600" w:type="dxa"/>
            <w:vAlign w:val="bottom"/>
            <w:vMerge w:val="restart"/>
            <w:shd w:val="clear" w:color="auto" w:fill="E6F7FE"/>
          </w:tcPr>
          <w:p>
            <w:pPr>
              <w:jc w:val="center"/>
              <w:spacing w:after="0"/>
              <w:rPr>
                <w:sz w:val="20"/>
                <w:szCs w:val="20"/>
                <w:color w:val="auto"/>
              </w:rPr>
            </w:pPr>
            <w:r>
              <w:rPr>
                <w:rFonts w:ascii="Arial" w:cs="Arial" w:eastAsia="Arial" w:hAnsi="Arial"/>
                <w:sz w:val="16"/>
                <w:szCs w:val="16"/>
                <w:color w:val="auto"/>
              </w:rPr>
              <w:t>Directors and Executive Officers</w:t>
            </w:r>
          </w:p>
        </w:tc>
        <w:tc>
          <w:tcPr>
            <w:tcW w:w="520" w:type="dxa"/>
            <w:vAlign w:val="bottom"/>
            <w:tcBorders>
              <w:right w:val="single" w:sz="8" w:color="191769"/>
            </w:tcBorders>
            <w:shd w:val="clear" w:color="auto" w:fill="E6F7FE"/>
          </w:tcPr>
          <w:p>
            <w:pPr>
              <w:spacing w:after="0"/>
              <w:rPr>
                <w:sz w:val="8"/>
                <w:szCs w:val="8"/>
                <w:color w:val="auto"/>
              </w:rPr>
            </w:pPr>
          </w:p>
        </w:tc>
        <w:tc>
          <w:tcPr>
            <w:tcW w:w="460" w:type="dxa"/>
            <w:vAlign w:val="bottom"/>
            <w:shd w:val="clear" w:color="auto" w:fill="E6F7FE"/>
          </w:tcPr>
          <w:p>
            <w:pPr>
              <w:spacing w:after="0"/>
              <w:rPr>
                <w:sz w:val="8"/>
                <w:szCs w:val="8"/>
                <w:color w:val="auto"/>
              </w:rPr>
            </w:pPr>
          </w:p>
        </w:tc>
        <w:tc>
          <w:tcPr>
            <w:tcW w:w="2700" w:type="dxa"/>
            <w:vAlign w:val="bottom"/>
            <w:vMerge w:val="restart"/>
            <w:shd w:val="clear" w:color="auto" w:fill="E6F7FE"/>
          </w:tcPr>
          <w:p>
            <w:pPr>
              <w:jc w:val="center"/>
              <w:spacing w:after="0"/>
              <w:rPr>
                <w:sz w:val="20"/>
                <w:szCs w:val="20"/>
                <w:color w:val="auto"/>
              </w:rPr>
            </w:pPr>
            <w:r>
              <w:rPr>
                <w:rFonts w:ascii="Arial" w:cs="Arial" w:eastAsia="Arial" w:hAnsi="Arial"/>
                <w:sz w:val="16"/>
                <w:szCs w:val="16"/>
                <w:color w:val="auto"/>
              </w:rPr>
              <w:t>alignment of pay to performance</w:t>
            </w:r>
          </w:p>
        </w:tc>
        <w:tc>
          <w:tcPr>
            <w:tcW w:w="500" w:type="dxa"/>
            <w:vAlign w:val="bottom"/>
            <w:tcBorders>
              <w:right w:val="single" w:sz="8" w:color="191769"/>
            </w:tcBorders>
            <w:shd w:val="clear" w:color="auto" w:fill="E6F7FE"/>
          </w:tcPr>
          <w:p>
            <w:pPr>
              <w:spacing w:after="0"/>
              <w:rPr>
                <w:sz w:val="8"/>
                <w:szCs w:val="8"/>
                <w:color w:val="auto"/>
              </w:rPr>
            </w:pPr>
          </w:p>
        </w:tc>
        <w:tc>
          <w:tcPr>
            <w:tcW w:w="480" w:type="dxa"/>
            <w:vAlign w:val="bottom"/>
            <w:shd w:val="clear" w:color="auto" w:fill="E6F7FE"/>
          </w:tcPr>
          <w:p>
            <w:pPr>
              <w:spacing w:after="0"/>
              <w:rPr>
                <w:sz w:val="8"/>
                <w:szCs w:val="8"/>
                <w:color w:val="auto"/>
              </w:rPr>
            </w:pPr>
          </w:p>
        </w:tc>
        <w:tc>
          <w:tcPr>
            <w:tcW w:w="2660" w:type="dxa"/>
            <w:vAlign w:val="bottom"/>
            <w:vMerge w:val="continue"/>
            <w:shd w:val="clear" w:color="auto" w:fill="E6F7FE"/>
          </w:tcPr>
          <w:p>
            <w:pPr>
              <w:spacing w:after="0"/>
              <w:rPr>
                <w:sz w:val="8"/>
                <w:szCs w:val="8"/>
                <w:color w:val="auto"/>
              </w:rPr>
            </w:pPr>
          </w:p>
        </w:tc>
        <w:tc>
          <w:tcPr>
            <w:tcW w:w="640" w:type="dxa"/>
            <w:vAlign w:val="bottom"/>
            <w:shd w:val="clear" w:color="auto" w:fill="E6F7F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680" w:type="dxa"/>
            <w:vAlign w:val="bottom"/>
            <w:shd w:val="clear" w:color="auto" w:fill="E6F7FE"/>
          </w:tcPr>
          <w:p>
            <w:pPr>
              <w:spacing w:after="0"/>
              <w:rPr>
                <w:sz w:val="10"/>
                <w:szCs w:val="10"/>
                <w:color w:val="auto"/>
              </w:rPr>
            </w:pPr>
          </w:p>
        </w:tc>
        <w:tc>
          <w:tcPr>
            <w:tcW w:w="2600" w:type="dxa"/>
            <w:vAlign w:val="bottom"/>
            <w:vMerge w:val="continue"/>
            <w:shd w:val="clear" w:color="auto" w:fill="E6F7FE"/>
          </w:tcPr>
          <w:p>
            <w:pPr>
              <w:spacing w:after="0"/>
              <w:rPr>
                <w:sz w:val="10"/>
                <w:szCs w:val="10"/>
                <w:color w:val="auto"/>
              </w:rPr>
            </w:pPr>
          </w:p>
        </w:tc>
        <w:tc>
          <w:tcPr>
            <w:tcW w:w="520" w:type="dxa"/>
            <w:vAlign w:val="bottom"/>
            <w:tcBorders>
              <w:right w:val="single" w:sz="8" w:color="191769"/>
            </w:tcBorders>
            <w:shd w:val="clear" w:color="auto" w:fill="E6F7FE"/>
          </w:tcPr>
          <w:p>
            <w:pPr>
              <w:spacing w:after="0"/>
              <w:rPr>
                <w:sz w:val="10"/>
                <w:szCs w:val="10"/>
                <w:color w:val="auto"/>
              </w:rPr>
            </w:pPr>
          </w:p>
        </w:tc>
        <w:tc>
          <w:tcPr>
            <w:tcW w:w="460" w:type="dxa"/>
            <w:vAlign w:val="bottom"/>
            <w:shd w:val="clear" w:color="auto" w:fill="E6F7FE"/>
          </w:tcPr>
          <w:p>
            <w:pPr>
              <w:spacing w:after="0"/>
              <w:rPr>
                <w:sz w:val="10"/>
                <w:szCs w:val="10"/>
                <w:color w:val="auto"/>
              </w:rPr>
            </w:pPr>
          </w:p>
        </w:tc>
        <w:tc>
          <w:tcPr>
            <w:tcW w:w="2700" w:type="dxa"/>
            <w:vAlign w:val="bottom"/>
            <w:vMerge w:val="continue"/>
            <w:shd w:val="clear" w:color="auto" w:fill="E6F7FE"/>
          </w:tcPr>
          <w:p>
            <w:pPr>
              <w:spacing w:after="0"/>
              <w:rPr>
                <w:sz w:val="10"/>
                <w:szCs w:val="10"/>
                <w:color w:val="auto"/>
              </w:rPr>
            </w:pPr>
          </w:p>
        </w:tc>
        <w:tc>
          <w:tcPr>
            <w:tcW w:w="500" w:type="dxa"/>
            <w:vAlign w:val="bottom"/>
            <w:tcBorders>
              <w:right w:val="single" w:sz="8" w:color="191769"/>
            </w:tcBorders>
            <w:shd w:val="clear" w:color="auto" w:fill="E6F7FE"/>
          </w:tcPr>
          <w:p>
            <w:pPr>
              <w:spacing w:after="0"/>
              <w:rPr>
                <w:sz w:val="10"/>
                <w:szCs w:val="10"/>
                <w:color w:val="auto"/>
              </w:rPr>
            </w:pPr>
          </w:p>
        </w:tc>
        <w:tc>
          <w:tcPr>
            <w:tcW w:w="480" w:type="dxa"/>
            <w:vAlign w:val="bottom"/>
            <w:shd w:val="clear" w:color="auto" w:fill="E6F7FE"/>
          </w:tcPr>
          <w:p>
            <w:pPr>
              <w:spacing w:after="0"/>
              <w:rPr>
                <w:sz w:val="10"/>
                <w:szCs w:val="10"/>
                <w:color w:val="auto"/>
              </w:rPr>
            </w:pPr>
          </w:p>
        </w:tc>
        <w:tc>
          <w:tcPr>
            <w:tcW w:w="2660" w:type="dxa"/>
            <w:vAlign w:val="bottom"/>
            <w:vMerge w:val="restart"/>
            <w:shd w:val="clear" w:color="auto" w:fill="E6F7FE"/>
          </w:tcPr>
          <w:p>
            <w:pPr>
              <w:jc w:val="center"/>
              <w:spacing w:after="0"/>
              <w:rPr>
                <w:sz w:val="20"/>
                <w:szCs w:val="20"/>
                <w:color w:val="auto"/>
              </w:rPr>
            </w:pPr>
            <w:r>
              <w:rPr>
                <w:rFonts w:ascii="Arial" w:cs="Arial" w:eastAsia="Arial" w:hAnsi="Arial"/>
                <w:sz w:val="16"/>
                <w:szCs w:val="16"/>
                <w:color w:val="auto"/>
              </w:rPr>
              <w:t>the Board</w:t>
            </w:r>
          </w:p>
        </w:tc>
        <w:tc>
          <w:tcPr>
            <w:tcW w:w="640" w:type="dxa"/>
            <w:vAlign w:val="bottom"/>
            <w:shd w:val="clear" w:color="auto" w:fill="E6F7F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680" w:type="dxa"/>
            <w:vAlign w:val="bottom"/>
            <w:tcBorders>
              <w:bottom w:val="single" w:sz="8" w:color="E6F7FE"/>
            </w:tcBorders>
            <w:shd w:val="clear" w:color="auto" w:fill="E6F7FE"/>
          </w:tcPr>
          <w:p>
            <w:pPr>
              <w:spacing w:after="0"/>
              <w:rPr>
                <w:sz w:val="8"/>
                <w:szCs w:val="8"/>
                <w:color w:val="auto"/>
              </w:rPr>
            </w:pPr>
          </w:p>
        </w:tc>
        <w:tc>
          <w:tcPr>
            <w:tcW w:w="2600" w:type="dxa"/>
            <w:vAlign w:val="bottom"/>
            <w:tcBorders>
              <w:bottom w:val="single" w:sz="8" w:color="E6F7FE"/>
            </w:tcBorders>
            <w:shd w:val="clear" w:color="auto" w:fill="E6F7FE"/>
          </w:tcPr>
          <w:p>
            <w:pPr>
              <w:spacing w:after="0"/>
              <w:rPr>
                <w:sz w:val="8"/>
                <w:szCs w:val="8"/>
                <w:color w:val="auto"/>
              </w:rPr>
            </w:pPr>
          </w:p>
        </w:tc>
        <w:tc>
          <w:tcPr>
            <w:tcW w:w="520" w:type="dxa"/>
            <w:vAlign w:val="bottom"/>
            <w:tcBorders>
              <w:bottom w:val="single" w:sz="8" w:color="E6F7FE"/>
              <w:right w:val="single" w:sz="8" w:color="191769"/>
            </w:tcBorders>
            <w:shd w:val="clear" w:color="auto" w:fill="E6F7FE"/>
          </w:tcPr>
          <w:p>
            <w:pPr>
              <w:spacing w:after="0"/>
              <w:rPr>
                <w:sz w:val="8"/>
                <w:szCs w:val="8"/>
                <w:color w:val="auto"/>
              </w:rPr>
            </w:pPr>
          </w:p>
        </w:tc>
        <w:tc>
          <w:tcPr>
            <w:tcW w:w="460" w:type="dxa"/>
            <w:vAlign w:val="bottom"/>
            <w:tcBorders>
              <w:bottom w:val="single" w:sz="8" w:color="E6F7FE"/>
            </w:tcBorders>
            <w:shd w:val="clear" w:color="auto" w:fill="E6F7FE"/>
          </w:tcPr>
          <w:p>
            <w:pPr>
              <w:spacing w:after="0"/>
              <w:rPr>
                <w:sz w:val="8"/>
                <w:szCs w:val="8"/>
                <w:color w:val="auto"/>
              </w:rPr>
            </w:pPr>
          </w:p>
        </w:tc>
        <w:tc>
          <w:tcPr>
            <w:tcW w:w="2700" w:type="dxa"/>
            <w:vAlign w:val="bottom"/>
            <w:tcBorders>
              <w:bottom w:val="single" w:sz="8" w:color="E6F7FE"/>
            </w:tcBorders>
            <w:shd w:val="clear" w:color="auto" w:fill="E6F7FE"/>
          </w:tcPr>
          <w:p>
            <w:pPr>
              <w:spacing w:after="0"/>
              <w:rPr>
                <w:sz w:val="8"/>
                <w:szCs w:val="8"/>
                <w:color w:val="auto"/>
              </w:rPr>
            </w:pPr>
          </w:p>
        </w:tc>
        <w:tc>
          <w:tcPr>
            <w:tcW w:w="500" w:type="dxa"/>
            <w:vAlign w:val="bottom"/>
            <w:tcBorders>
              <w:bottom w:val="single" w:sz="8" w:color="E6F7FE"/>
              <w:right w:val="single" w:sz="8" w:color="191769"/>
            </w:tcBorders>
            <w:shd w:val="clear" w:color="auto" w:fill="E6F7FE"/>
          </w:tcPr>
          <w:p>
            <w:pPr>
              <w:spacing w:after="0"/>
              <w:rPr>
                <w:sz w:val="8"/>
                <w:szCs w:val="8"/>
                <w:color w:val="auto"/>
              </w:rPr>
            </w:pPr>
          </w:p>
        </w:tc>
        <w:tc>
          <w:tcPr>
            <w:tcW w:w="480" w:type="dxa"/>
            <w:vAlign w:val="bottom"/>
            <w:tcBorders>
              <w:bottom w:val="single" w:sz="8" w:color="E6F7FE"/>
            </w:tcBorders>
            <w:shd w:val="clear" w:color="auto" w:fill="E6F7FE"/>
          </w:tcPr>
          <w:p>
            <w:pPr>
              <w:spacing w:after="0"/>
              <w:rPr>
                <w:sz w:val="8"/>
                <w:szCs w:val="8"/>
                <w:color w:val="auto"/>
              </w:rPr>
            </w:pPr>
          </w:p>
        </w:tc>
        <w:tc>
          <w:tcPr>
            <w:tcW w:w="2660" w:type="dxa"/>
            <w:vAlign w:val="bottom"/>
            <w:tcBorders>
              <w:bottom w:val="single" w:sz="8" w:color="E6F7FE"/>
            </w:tcBorders>
            <w:vMerge w:val="continue"/>
            <w:shd w:val="clear" w:color="auto" w:fill="E6F7FE"/>
          </w:tcPr>
          <w:p>
            <w:pPr>
              <w:spacing w:after="0"/>
              <w:rPr>
                <w:sz w:val="8"/>
                <w:szCs w:val="8"/>
                <w:color w:val="auto"/>
              </w:rPr>
            </w:pPr>
          </w:p>
        </w:tc>
        <w:tc>
          <w:tcPr>
            <w:tcW w:w="640" w:type="dxa"/>
            <w:vAlign w:val="bottom"/>
            <w:tcBorders>
              <w:bottom w:val="single" w:sz="8" w:color="E6F7FE"/>
            </w:tcBorders>
            <w:shd w:val="clear" w:color="auto" w:fill="E6F7FE"/>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680" w:type="dxa"/>
            <w:vAlign w:val="bottom"/>
            <w:shd w:val="clear" w:color="auto" w:fill="E6F7FE"/>
          </w:tcPr>
          <w:p>
            <w:pPr>
              <w:spacing w:after="0"/>
              <w:rPr>
                <w:sz w:val="16"/>
                <w:szCs w:val="16"/>
                <w:color w:val="auto"/>
              </w:rPr>
            </w:pPr>
          </w:p>
        </w:tc>
        <w:tc>
          <w:tcPr>
            <w:tcW w:w="2600" w:type="dxa"/>
            <w:vAlign w:val="bottom"/>
            <w:shd w:val="clear" w:color="auto" w:fill="E6F7FE"/>
          </w:tcPr>
          <w:p>
            <w:pPr>
              <w:spacing w:after="0"/>
              <w:rPr>
                <w:sz w:val="16"/>
                <w:szCs w:val="16"/>
                <w:color w:val="auto"/>
              </w:rPr>
            </w:pPr>
          </w:p>
        </w:tc>
        <w:tc>
          <w:tcPr>
            <w:tcW w:w="520" w:type="dxa"/>
            <w:vAlign w:val="bottom"/>
            <w:tcBorders>
              <w:right w:val="single" w:sz="8" w:color="E6F7FE"/>
            </w:tcBorders>
            <w:shd w:val="clear" w:color="auto" w:fill="E6F7FE"/>
          </w:tcPr>
          <w:p>
            <w:pPr>
              <w:spacing w:after="0"/>
              <w:rPr>
                <w:sz w:val="16"/>
                <w:szCs w:val="16"/>
                <w:color w:val="auto"/>
              </w:rPr>
            </w:pPr>
          </w:p>
        </w:tc>
        <w:tc>
          <w:tcPr>
            <w:tcW w:w="460" w:type="dxa"/>
            <w:vAlign w:val="bottom"/>
            <w:shd w:val="clear" w:color="auto" w:fill="E6F7FE"/>
          </w:tcPr>
          <w:p>
            <w:pPr>
              <w:spacing w:after="0"/>
              <w:rPr>
                <w:sz w:val="16"/>
                <w:szCs w:val="16"/>
                <w:color w:val="auto"/>
              </w:rPr>
            </w:pPr>
          </w:p>
        </w:tc>
        <w:tc>
          <w:tcPr>
            <w:tcW w:w="2700" w:type="dxa"/>
            <w:vAlign w:val="bottom"/>
            <w:shd w:val="clear" w:color="auto" w:fill="E6F7FE"/>
          </w:tcPr>
          <w:p>
            <w:pPr>
              <w:spacing w:after="0"/>
              <w:rPr>
                <w:sz w:val="16"/>
                <w:szCs w:val="16"/>
                <w:color w:val="auto"/>
              </w:rPr>
            </w:pPr>
          </w:p>
        </w:tc>
        <w:tc>
          <w:tcPr>
            <w:tcW w:w="500" w:type="dxa"/>
            <w:vAlign w:val="bottom"/>
            <w:tcBorders>
              <w:right w:val="single" w:sz="8" w:color="E6F7FE"/>
            </w:tcBorders>
            <w:shd w:val="clear" w:color="auto" w:fill="E6F7FE"/>
          </w:tcPr>
          <w:p>
            <w:pPr>
              <w:spacing w:after="0"/>
              <w:rPr>
                <w:sz w:val="16"/>
                <w:szCs w:val="16"/>
                <w:color w:val="auto"/>
              </w:rPr>
            </w:pPr>
          </w:p>
        </w:tc>
        <w:tc>
          <w:tcPr>
            <w:tcW w:w="480" w:type="dxa"/>
            <w:vAlign w:val="bottom"/>
            <w:shd w:val="clear" w:color="auto" w:fill="E6F7FE"/>
          </w:tcPr>
          <w:p>
            <w:pPr>
              <w:spacing w:after="0"/>
              <w:rPr>
                <w:sz w:val="16"/>
                <w:szCs w:val="16"/>
                <w:color w:val="auto"/>
              </w:rPr>
            </w:pPr>
          </w:p>
        </w:tc>
        <w:tc>
          <w:tcPr>
            <w:tcW w:w="2660" w:type="dxa"/>
            <w:vAlign w:val="bottom"/>
            <w:shd w:val="clear" w:color="auto" w:fill="E6F7FE"/>
          </w:tcPr>
          <w:p>
            <w:pPr>
              <w:spacing w:after="0"/>
              <w:rPr>
                <w:sz w:val="16"/>
                <w:szCs w:val="16"/>
                <w:color w:val="auto"/>
              </w:rPr>
            </w:pPr>
          </w:p>
        </w:tc>
        <w:tc>
          <w:tcPr>
            <w:tcW w:w="640" w:type="dxa"/>
            <w:vAlign w:val="bottom"/>
            <w:shd w:val="clear" w:color="auto" w:fill="E6F7FE"/>
          </w:tcPr>
          <w:p>
            <w:pPr>
              <w:spacing w:after="0"/>
              <w:rPr>
                <w:sz w:val="16"/>
                <w:szCs w:val="16"/>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36"/>
          <w:szCs w:val="36"/>
          <w:b w:val="1"/>
          <w:bCs w:val="1"/>
          <w:color w:val="0076A8"/>
        </w:rPr>
        <w:t>Code of Ethics and Corporate Governance Guidelines</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Management of the Company is under the general direction of the Board who are elected by the shareholders. The Company’s business is managed under the direction of the Board in accordance with the New Jersey Business Corporation Act and our Certificate of Incorporation and By-laws. Members of the Board are kept apprised of our business through discussions with the President and Chief Executive Officer and other Company Officers, by reviewing briefing materials and other relevant information provided to them, and by participating in meetings of the Board and its Committees.</w:t>
      </w:r>
    </w:p>
    <w:p>
      <w:pPr>
        <w:spacing w:after="0" w:line="214" w:lineRule="exact"/>
        <w:rPr>
          <w:sz w:val="20"/>
          <w:szCs w:val="20"/>
          <w:color w:val="auto"/>
        </w:rPr>
      </w:pPr>
    </w:p>
    <w:p>
      <w:pPr>
        <w:spacing w:after="0"/>
        <w:rPr>
          <w:sz w:val="20"/>
          <w:szCs w:val="20"/>
          <w:color w:val="auto"/>
        </w:rPr>
      </w:pPr>
      <w:r>
        <w:rPr>
          <w:rFonts w:ascii="Arial" w:cs="Arial" w:eastAsia="Arial" w:hAnsi="Arial"/>
          <w:sz w:val="36"/>
          <w:szCs w:val="36"/>
          <w:b w:val="1"/>
          <w:bCs w:val="1"/>
          <w:color w:val="0076A8"/>
        </w:rPr>
        <w:t>Code of Business Conduct</w:t>
      </w:r>
    </w:p>
    <w:p>
      <w:pPr>
        <w:spacing w:after="0" w:line="191"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Our Company Code of Conduct (the “Code”) includes guidelines of behavior for Board members as well as vendors and suppliers. All Directors and employees were required to review the Code and affirm, with their signature, that they read and understood the provisions of the Code. Employees receive ongoing education about the Code and are advised they have an ongoing obligation to consult with the General Counsel over any question or potential conflict of interest. In addition, the Company has an internal Ethics Hotline where Code violations may be reported by any employee or member of the general public without fear of retaliation.</w:t>
      </w:r>
    </w:p>
    <w:p>
      <w:pPr>
        <w:spacing w:after="0" w:line="97"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 xml:space="preserve">The Company’s Code, as well as the charters for the Audit, Compensation, Corporate Governance &amp; Nominating, Enterprise Risk and Pension Committees, are available on our website </w:t>
      </w:r>
      <w:r>
        <w:rPr>
          <w:rFonts w:ascii="Arial" w:cs="Arial" w:eastAsia="Arial" w:hAnsi="Arial"/>
          <w:sz w:val="16"/>
          <w:szCs w:val="16"/>
          <w:u w:val="single" w:color="auto"/>
          <w:color w:val="0076A8"/>
        </w:rPr>
        <w:t>www.MiddlesexWater.com</w:t>
      </w:r>
      <w:r>
        <w:rPr>
          <w:rFonts w:ascii="Arial" w:cs="Arial" w:eastAsia="Arial" w:hAnsi="Arial"/>
          <w:sz w:val="16"/>
          <w:szCs w:val="16"/>
          <w:color w:val="auto"/>
        </w:rPr>
        <w:t xml:space="preserve"> under the heading Investors - (Governance). We also make this information available in print to any shareholder upon request. Requests should be addressed to Corporate Secretary, Middlesex Water Company, 485C Route 1 South, Suite 400, Iselin, New Jersey 08830-0452.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350520</wp:posOffset>
            </wp:positionV>
            <wp:extent cx="7620" cy="132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460" w:hanging="445"/>
        <w:spacing w:after="0"/>
        <w:tabs>
          <w:tab w:leader="none" w:pos="460" w:val="left"/>
        </w:tabs>
        <w:numPr>
          <w:ilvl w:val="0"/>
          <w:numId w:val="20"/>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210185</wp:posOffset>
            </wp:positionV>
            <wp:extent cx="7169785"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4"/>
          <w:szCs w:val="14"/>
          <w:b w:val="1"/>
          <w:bCs w:val="1"/>
          <w:color w:val="191769"/>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
        <w:spacing w:after="0"/>
        <w:rPr>
          <w:sz w:val="20"/>
          <w:szCs w:val="20"/>
          <w:color w:val="auto"/>
        </w:rPr>
      </w:pPr>
      <w:r>
        <w:rPr>
          <w:rFonts w:ascii="Arial" w:cs="Arial" w:eastAsia="Arial" w:hAnsi="Arial"/>
          <w:sz w:val="36"/>
          <w:szCs w:val="36"/>
          <w:b w:val="1"/>
          <w:bCs w:val="1"/>
          <w:color w:val="0076A8"/>
        </w:rPr>
        <w:t>Board Structure and Composition</w:t>
      </w:r>
    </w:p>
    <w:p>
      <w:pPr>
        <w:spacing w:after="0" w:line="185"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191769"/>
        </w:rPr>
        <w:t>Board Leadership Structure</w:t>
      </w:r>
    </w:p>
    <w:p>
      <w:pPr>
        <w:spacing w:after="0" w:line="89" w:lineRule="exact"/>
        <w:rPr>
          <w:sz w:val="20"/>
          <w:szCs w:val="20"/>
          <w:color w:val="auto"/>
        </w:rPr>
      </w:pPr>
    </w:p>
    <w:p>
      <w:pPr>
        <w:ind w:left="2" w:right="120"/>
        <w:spacing w:after="0" w:line="264" w:lineRule="auto"/>
        <w:rPr>
          <w:sz w:val="20"/>
          <w:szCs w:val="20"/>
          <w:color w:val="auto"/>
        </w:rPr>
      </w:pPr>
      <w:r>
        <w:rPr>
          <w:rFonts w:ascii="Arial" w:cs="Arial" w:eastAsia="Arial" w:hAnsi="Arial"/>
          <w:sz w:val="16"/>
          <w:szCs w:val="16"/>
          <w:color w:val="auto"/>
        </w:rPr>
        <w:t>The Corporate Governance and Nominating Committee and the Board of Directors periodically review the corporate governance model and functioning of the Board, and the ability of directors to identify and discuss topics of relevant interest or concern. The Board of Directors believes that it should maintain the flexibility to select its chair, and its Board leadership structure, based upon the Board’s operating needs and its assessment of what is in the best interest of the Company and its stockholders. Currently, the Company operates with one individual, Ms. Leslie, serving as Chair of the Board as well as President and Chief Executive Officer. This structure, coupled with a strong Lead Director and Independent standing Board committees leverages Ms. Leslie’s extensive utility and management experience to effectively identify strategic priorities and lead discussions and execution of the Company’s strategy.</w:t>
      </w:r>
    </w:p>
    <w:p>
      <w:pPr>
        <w:spacing w:after="0" w:line="200" w:lineRule="exact"/>
        <w:rPr>
          <w:sz w:val="20"/>
          <w:szCs w:val="20"/>
          <w:color w:val="auto"/>
        </w:rPr>
      </w:pPr>
    </w:p>
    <w:p>
      <w:pPr>
        <w:spacing w:after="0" w:line="230"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191769"/>
        </w:rPr>
        <w:t>Lead Director</w:t>
      </w:r>
    </w:p>
    <w:p>
      <w:pPr>
        <w:spacing w:after="0" w:line="102" w:lineRule="exact"/>
        <w:rPr>
          <w:sz w:val="20"/>
          <w:szCs w:val="20"/>
          <w:color w:val="auto"/>
        </w:rPr>
      </w:pPr>
    </w:p>
    <w:p>
      <w:pPr>
        <w:ind w:left="2" w:right="160"/>
        <w:spacing w:after="0" w:line="299" w:lineRule="auto"/>
        <w:rPr>
          <w:sz w:val="20"/>
          <w:szCs w:val="20"/>
          <w:color w:val="auto"/>
        </w:rPr>
      </w:pPr>
      <w:r>
        <w:rPr>
          <w:rFonts w:ascii="Arial" w:cs="Arial" w:eastAsia="Arial" w:hAnsi="Arial"/>
          <w:sz w:val="16"/>
          <w:szCs w:val="16"/>
          <w:color w:val="auto"/>
        </w:rPr>
        <w:t>In order to ensure that the independent Directors play a leading role in our current leadership structure, the Board maintains a Lead Director position with Ms. Amy Mansue currently serving in that role.</w:t>
      </w:r>
    </w:p>
    <w:p>
      <w:pPr>
        <w:spacing w:after="0" w:line="59" w:lineRule="exact"/>
        <w:rPr>
          <w:sz w:val="20"/>
          <w:szCs w:val="20"/>
          <w:color w:val="auto"/>
        </w:rPr>
      </w:pPr>
    </w:p>
    <w:p>
      <w:pPr>
        <w:ind w:left="2"/>
        <w:spacing w:after="0"/>
        <w:rPr>
          <w:sz w:val="20"/>
          <w:szCs w:val="20"/>
          <w:color w:val="auto"/>
        </w:rPr>
      </w:pPr>
      <w:r>
        <w:rPr>
          <w:rFonts w:ascii="Arial" w:cs="Arial" w:eastAsia="Arial" w:hAnsi="Arial"/>
          <w:sz w:val="16"/>
          <w:szCs w:val="16"/>
          <w:color w:val="auto"/>
        </w:rPr>
        <w:t>Summary of Lead Director Responsibilities:</w:t>
      </w:r>
    </w:p>
    <w:p>
      <w:pPr>
        <w:spacing w:after="0" w:line="148" w:lineRule="exact"/>
        <w:rPr>
          <w:sz w:val="20"/>
          <w:szCs w:val="20"/>
          <w:color w:val="auto"/>
        </w:rPr>
      </w:pPr>
    </w:p>
    <w:p>
      <w:pPr>
        <w:ind w:left="162" w:hanging="162"/>
        <w:spacing w:after="0"/>
        <w:tabs>
          <w:tab w:leader="none" w:pos="162"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Advises the Chair as to an appropriate schedule of Board meetings;</w:t>
      </w:r>
    </w:p>
    <w:p>
      <w:pPr>
        <w:spacing w:after="0" w:line="74" w:lineRule="exact"/>
        <w:rPr>
          <w:rFonts w:ascii="Arial" w:cs="Arial" w:eastAsia="Arial" w:hAnsi="Arial"/>
          <w:sz w:val="16"/>
          <w:szCs w:val="16"/>
          <w:b w:val="1"/>
          <w:bCs w:val="1"/>
          <w:color w:val="auto"/>
        </w:rPr>
      </w:pPr>
    </w:p>
    <w:p>
      <w:pPr>
        <w:ind w:left="162" w:hanging="162"/>
        <w:spacing w:after="0"/>
        <w:tabs>
          <w:tab w:leader="none" w:pos="162"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Reviews and provides the Chair with input regarding the agenda for Board meetings;</w:t>
      </w:r>
    </w:p>
    <w:p>
      <w:pPr>
        <w:spacing w:after="0" w:line="86" w:lineRule="exact"/>
        <w:rPr>
          <w:rFonts w:ascii="Arial" w:cs="Arial" w:eastAsia="Arial" w:hAnsi="Arial"/>
          <w:sz w:val="16"/>
          <w:szCs w:val="16"/>
          <w:b w:val="1"/>
          <w:bCs w:val="1"/>
          <w:color w:val="auto"/>
        </w:rPr>
      </w:pPr>
    </w:p>
    <w:p>
      <w:pPr>
        <w:ind w:left="182" w:right="480" w:hanging="182"/>
        <w:spacing w:after="0" w:line="297" w:lineRule="auto"/>
        <w:tabs>
          <w:tab w:leader="none" w:pos="173"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Presides at all meetings at which the Chair is not present, including Executive sessions of the independent directors, and apprises the Chair of the issues considered;</w:t>
      </w:r>
    </w:p>
    <w:p>
      <w:pPr>
        <w:ind w:left="162" w:hanging="162"/>
        <w:spacing w:after="0"/>
        <w:tabs>
          <w:tab w:leader="none" w:pos="162"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Is available for consultation and direct communication with the Company’s shareholders and other members of the Board;</w:t>
      </w:r>
    </w:p>
    <w:p>
      <w:pPr>
        <w:spacing w:after="0" w:line="74" w:lineRule="exact"/>
        <w:rPr>
          <w:rFonts w:ascii="Arial" w:cs="Arial" w:eastAsia="Arial" w:hAnsi="Arial"/>
          <w:sz w:val="16"/>
          <w:szCs w:val="16"/>
          <w:b w:val="1"/>
          <w:bCs w:val="1"/>
          <w:color w:val="auto"/>
        </w:rPr>
      </w:pPr>
    </w:p>
    <w:p>
      <w:pPr>
        <w:ind w:left="162" w:hanging="162"/>
        <w:spacing w:after="0"/>
        <w:tabs>
          <w:tab w:leader="none" w:pos="162"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Calls meetings of the independent Directors when necessary and appropriate;</w:t>
      </w:r>
    </w:p>
    <w:p>
      <w:pPr>
        <w:spacing w:after="0" w:line="74" w:lineRule="exact"/>
        <w:rPr>
          <w:rFonts w:ascii="Arial" w:cs="Arial" w:eastAsia="Arial" w:hAnsi="Arial"/>
          <w:sz w:val="16"/>
          <w:szCs w:val="16"/>
          <w:b w:val="1"/>
          <w:bCs w:val="1"/>
          <w:color w:val="auto"/>
        </w:rPr>
      </w:pPr>
    </w:p>
    <w:p>
      <w:pPr>
        <w:ind w:left="162" w:hanging="162"/>
        <w:spacing w:after="0"/>
        <w:tabs>
          <w:tab w:leader="none" w:pos="162"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Performs such other duties as the Board may from time to time delegate.</w:t>
      </w:r>
    </w:p>
    <w:p>
      <w:pPr>
        <w:spacing w:after="0" w:line="148" w:lineRule="exact"/>
        <w:rPr>
          <w:sz w:val="20"/>
          <w:szCs w:val="20"/>
          <w:color w:val="auto"/>
        </w:rPr>
      </w:pPr>
    </w:p>
    <w:p>
      <w:pPr>
        <w:ind w:left="2" w:right="60"/>
        <w:spacing w:after="0" w:line="271" w:lineRule="auto"/>
        <w:rPr>
          <w:sz w:val="20"/>
          <w:szCs w:val="20"/>
          <w:color w:val="auto"/>
        </w:rPr>
      </w:pPr>
      <w:r>
        <w:rPr>
          <w:rFonts w:ascii="Arial" w:cs="Arial" w:eastAsia="Arial" w:hAnsi="Arial"/>
          <w:sz w:val="16"/>
          <w:szCs w:val="16"/>
          <w:color w:val="auto"/>
        </w:rPr>
        <w:t>As part of our Board’s annual assessment process, the Board evaluates our Board leadership structure to ensure it remains appropriate. The Board recognizes there may be circumstances that would lead it to conclude that separate roles of Chief Executive Officer (CEO) and Chair of the Board may not be appropriate, but believes that the absence of a formal policy requiring either the separation or combination of the roles of Chair and CEO provides the flexibility to determine the most appropriate governance structure, as conditions change in the future.</w:t>
      </w:r>
    </w:p>
    <w:p>
      <w:pPr>
        <w:spacing w:after="0" w:line="200" w:lineRule="exact"/>
        <w:rPr>
          <w:sz w:val="20"/>
          <w:szCs w:val="20"/>
          <w:color w:val="auto"/>
        </w:rPr>
      </w:pPr>
    </w:p>
    <w:p>
      <w:pPr>
        <w:spacing w:after="0" w:line="352" w:lineRule="exact"/>
        <w:rPr>
          <w:sz w:val="20"/>
          <w:szCs w:val="20"/>
          <w:color w:val="auto"/>
        </w:rPr>
      </w:pPr>
    </w:p>
    <w:tbl>
      <w:tblPr>
        <w:tblLayout w:type="fixed"/>
        <w:tblInd w:w="2" w:type="dxa"/>
        <w:tblCellMar>
          <w:top w:w="0" w:type="dxa"/>
          <w:left w:w="0" w:type="dxa"/>
          <w:bottom w:w="0" w:type="dxa"/>
          <w:right w:w="0" w:type="dxa"/>
        </w:tblCellMar>
      </w:tblPr>
      <w:tr>
        <w:trPr>
          <w:trHeight w:val="209"/>
        </w:trPr>
        <w:tc>
          <w:tcPr>
            <w:tcW w:w="10860" w:type="dxa"/>
            <w:vAlign w:val="bottom"/>
            <w:tcBorders>
              <w:right w:val="single" w:sz="8" w:color="00AEEF"/>
            </w:tcBorders>
          </w:tcPr>
          <w:p>
            <w:pPr>
              <w:ind w:left="94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19</w:t>
            </w:r>
          </w:p>
        </w:tc>
      </w:tr>
      <w:tr>
        <w:trPr>
          <w:trHeight w:val="312"/>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-27940</wp:posOffset>
            </wp:positionV>
            <wp:extent cx="33020"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2"/>
          </w:cols>
          <w:pgMar w:left="318" w:top="124"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color w:val="191769"/>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6"/>
          <w:szCs w:val="36"/>
          <w:b w:val="1"/>
          <w:bCs w:val="1"/>
          <w:color w:val="0076A8"/>
        </w:rPr>
        <w:t>Board Composition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10 DIRECTORS, MEDIAN AGE: 62.5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66040</wp:posOffset>
            </wp:positionV>
            <wp:extent cx="2024380" cy="20243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24380" cy="202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00" w:hanging="240"/>
        <w:spacing w:after="0"/>
        <w:tabs>
          <w:tab w:leader="none" w:pos="300" w:val="left"/>
        </w:tabs>
        <w:numPr>
          <w:ilvl w:val="0"/>
          <w:numId w:val="22"/>
        </w:numPr>
        <w:rPr>
          <w:rFonts w:ascii="Arial" w:cs="Arial" w:eastAsia="Arial" w:hAnsi="Arial"/>
          <w:sz w:val="13"/>
          <w:szCs w:val="13"/>
          <w:b w:val="1"/>
          <w:bCs w:val="1"/>
          <w:color w:val="191769"/>
        </w:rPr>
      </w:pPr>
      <w:r>
        <w:rPr>
          <w:rFonts w:ascii="Arial" w:cs="Arial" w:eastAsia="Arial" w:hAnsi="Arial"/>
          <w:sz w:val="16"/>
          <w:szCs w:val="16"/>
          <w:color w:val="auto"/>
        </w:rPr>
        <w:t>5 years or less</w:t>
      </w:r>
    </w:p>
    <w:p>
      <w:pPr>
        <w:spacing w:after="0" w:line="136" w:lineRule="exact"/>
        <w:rPr>
          <w:rFonts w:ascii="Arial" w:cs="Arial" w:eastAsia="Arial" w:hAnsi="Arial"/>
          <w:sz w:val="13"/>
          <w:szCs w:val="13"/>
          <w:b w:val="1"/>
          <w:bCs w:val="1"/>
          <w:color w:val="191769"/>
        </w:rPr>
      </w:pPr>
    </w:p>
    <w:p>
      <w:pPr>
        <w:ind w:left="300" w:hanging="240"/>
        <w:spacing w:after="0"/>
        <w:tabs>
          <w:tab w:leader="none" w:pos="300" w:val="left"/>
        </w:tabs>
        <w:numPr>
          <w:ilvl w:val="0"/>
          <w:numId w:val="22"/>
        </w:numPr>
        <w:rPr>
          <w:rFonts w:ascii="Arial" w:cs="Arial" w:eastAsia="Arial" w:hAnsi="Arial"/>
          <w:sz w:val="13"/>
          <w:szCs w:val="13"/>
          <w:b w:val="1"/>
          <w:bCs w:val="1"/>
          <w:color w:val="00AEEF"/>
        </w:rPr>
      </w:pPr>
      <w:r>
        <w:rPr>
          <w:rFonts w:ascii="Arial" w:cs="Arial" w:eastAsia="Arial" w:hAnsi="Arial"/>
          <w:sz w:val="16"/>
          <w:szCs w:val="16"/>
          <w:color w:val="auto"/>
        </w:rPr>
        <w:t>6-10 years</w:t>
      </w:r>
    </w:p>
    <w:p>
      <w:pPr>
        <w:spacing w:after="0" w:line="136" w:lineRule="exact"/>
        <w:rPr>
          <w:rFonts w:ascii="Arial" w:cs="Arial" w:eastAsia="Arial" w:hAnsi="Arial"/>
          <w:sz w:val="13"/>
          <w:szCs w:val="13"/>
          <w:b w:val="1"/>
          <w:bCs w:val="1"/>
          <w:color w:val="00AEEF"/>
        </w:rPr>
      </w:pPr>
    </w:p>
    <w:p>
      <w:pPr>
        <w:ind w:left="300" w:hanging="240"/>
        <w:spacing w:after="0"/>
        <w:tabs>
          <w:tab w:leader="none" w:pos="300" w:val="left"/>
        </w:tabs>
        <w:numPr>
          <w:ilvl w:val="0"/>
          <w:numId w:val="22"/>
        </w:numPr>
        <w:rPr>
          <w:rFonts w:ascii="Arial" w:cs="Arial" w:eastAsia="Arial" w:hAnsi="Arial"/>
          <w:sz w:val="13"/>
          <w:szCs w:val="13"/>
          <w:b w:val="1"/>
          <w:bCs w:val="1"/>
          <w:color w:val="00838D"/>
        </w:rPr>
      </w:pPr>
      <w:r>
        <w:rPr>
          <w:rFonts w:ascii="Arial" w:cs="Arial" w:eastAsia="Arial" w:hAnsi="Arial"/>
          <w:sz w:val="16"/>
          <w:szCs w:val="16"/>
          <w:color w:val="auto"/>
        </w:rPr>
        <w:t>More than 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175260</wp:posOffset>
            </wp:positionV>
            <wp:extent cx="2024380" cy="20243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24380" cy="202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40" w:hanging="256"/>
        <w:spacing w:after="0"/>
        <w:tabs>
          <w:tab w:leader="none" w:pos="340" w:val="left"/>
        </w:tabs>
        <w:numPr>
          <w:ilvl w:val="0"/>
          <w:numId w:val="23"/>
        </w:numPr>
        <w:rPr>
          <w:rFonts w:ascii="Arial" w:cs="Arial" w:eastAsia="Arial" w:hAnsi="Arial"/>
          <w:sz w:val="13"/>
          <w:szCs w:val="13"/>
          <w:b w:val="1"/>
          <w:bCs w:val="1"/>
          <w:color w:val="191769"/>
        </w:rPr>
      </w:pPr>
      <w:r>
        <w:rPr>
          <w:rFonts w:ascii="Arial" w:cs="Arial" w:eastAsia="Arial" w:hAnsi="Arial"/>
          <w:sz w:val="16"/>
          <w:szCs w:val="16"/>
          <w:color w:val="auto"/>
        </w:rPr>
        <w:t>Independent</w:t>
      </w:r>
    </w:p>
    <w:p>
      <w:pPr>
        <w:spacing w:after="0" w:line="136" w:lineRule="exact"/>
        <w:rPr>
          <w:rFonts w:ascii="Arial" w:cs="Arial" w:eastAsia="Arial" w:hAnsi="Arial"/>
          <w:sz w:val="13"/>
          <w:szCs w:val="13"/>
          <w:b w:val="1"/>
          <w:bCs w:val="1"/>
          <w:color w:val="191769"/>
        </w:rPr>
      </w:pPr>
    </w:p>
    <w:p>
      <w:pPr>
        <w:ind w:left="340" w:hanging="256"/>
        <w:spacing w:after="0"/>
        <w:tabs>
          <w:tab w:leader="none" w:pos="340" w:val="left"/>
        </w:tabs>
        <w:numPr>
          <w:ilvl w:val="0"/>
          <w:numId w:val="23"/>
        </w:numPr>
        <w:rPr>
          <w:rFonts w:ascii="Arial" w:cs="Arial" w:eastAsia="Arial" w:hAnsi="Arial"/>
          <w:sz w:val="13"/>
          <w:szCs w:val="13"/>
          <w:b w:val="1"/>
          <w:bCs w:val="1"/>
          <w:color w:val="00AEEF"/>
        </w:rPr>
      </w:pPr>
      <w:r>
        <w:rPr>
          <w:rFonts w:ascii="Arial" w:cs="Arial" w:eastAsia="Arial" w:hAnsi="Arial"/>
          <w:sz w:val="16"/>
          <w:szCs w:val="16"/>
          <w:color w:val="auto"/>
        </w:rPr>
        <w:t>Not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370840</wp:posOffset>
            </wp:positionV>
            <wp:extent cx="7620" cy="132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460" w:hanging="445"/>
        <w:spacing w:after="0"/>
        <w:tabs>
          <w:tab w:leader="none" w:pos="460" w:val="left"/>
        </w:tabs>
        <w:numPr>
          <w:ilvl w:val="0"/>
          <w:numId w:val="24"/>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62" w:hanging="262"/>
        <w:spacing w:after="0"/>
        <w:tabs>
          <w:tab w:leader="none" w:pos="262" w:val="left"/>
        </w:tabs>
        <w:numPr>
          <w:ilvl w:val="0"/>
          <w:numId w:val="25"/>
        </w:numPr>
        <w:rPr>
          <w:rFonts w:ascii="Arial" w:cs="Arial" w:eastAsia="Arial" w:hAnsi="Arial"/>
          <w:sz w:val="13"/>
          <w:szCs w:val="13"/>
          <w:b w:val="1"/>
          <w:bCs w:val="1"/>
          <w:color w:val="191769"/>
        </w:rPr>
      </w:pPr>
      <w:r>
        <w:rPr>
          <w:rFonts w:ascii="Arial" w:cs="Arial" w:eastAsia="Arial" w:hAnsi="Arial"/>
          <w:sz w:val="16"/>
          <w:szCs w:val="16"/>
          <w:color w:val="auto"/>
        </w:rPr>
        <w:t>Female</w:t>
      </w:r>
    </w:p>
    <w:p>
      <w:pPr>
        <w:spacing w:after="0" w:line="136" w:lineRule="exact"/>
        <w:rPr>
          <w:rFonts w:ascii="Arial" w:cs="Arial" w:eastAsia="Arial" w:hAnsi="Arial"/>
          <w:sz w:val="13"/>
          <w:szCs w:val="13"/>
          <w:b w:val="1"/>
          <w:bCs w:val="1"/>
          <w:color w:val="191769"/>
        </w:rPr>
      </w:pPr>
    </w:p>
    <w:p>
      <w:pPr>
        <w:ind w:left="262" w:hanging="262"/>
        <w:spacing w:after="0"/>
        <w:tabs>
          <w:tab w:leader="none" w:pos="262" w:val="left"/>
        </w:tabs>
        <w:numPr>
          <w:ilvl w:val="0"/>
          <w:numId w:val="25"/>
        </w:numPr>
        <w:rPr>
          <w:rFonts w:ascii="Arial" w:cs="Arial" w:eastAsia="Arial" w:hAnsi="Arial"/>
          <w:sz w:val="13"/>
          <w:szCs w:val="13"/>
          <w:b w:val="1"/>
          <w:bCs w:val="1"/>
          <w:color w:val="00AEEF"/>
        </w:rPr>
      </w:pPr>
      <w:r>
        <w:rPr>
          <w:rFonts w:ascii="Arial" w:cs="Arial" w:eastAsia="Arial" w:hAnsi="Arial"/>
          <w:sz w:val="16"/>
          <w:szCs w:val="16"/>
          <w:color w:val="auto"/>
        </w:rPr>
        <w:t>Male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-2544445</wp:posOffset>
            </wp:positionV>
            <wp:extent cx="2024380" cy="20243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024380" cy="2024380"/>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323850</wp:posOffset>
            </wp:positionV>
            <wp:extent cx="2024380" cy="20243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024380" cy="202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62" w:hanging="262"/>
        <w:spacing w:after="0"/>
        <w:tabs>
          <w:tab w:leader="none" w:pos="262" w:val="left"/>
        </w:tabs>
        <w:numPr>
          <w:ilvl w:val="0"/>
          <w:numId w:val="26"/>
        </w:numPr>
        <w:rPr>
          <w:rFonts w:ascii="Arial" w:cs="Arial" w:eastAsia="Arial" w:hAnsi="Arial"/>
          <w:sz w:val="13"/>
          <w:szCs w:val="13"/>
          <w:b w:val="1"/>
          <w:bCs w:val="1"/>
          <w:color w:val="191769"/>
        </w:rPr>
      </w:pPr>
      <w:r>
        <w:rPr>
          <w:rFonts w:ascii="Arial" w:cs="Arial" w:eastAsia="Arial" w:hAnsi="Arial"/>
          <w:sz w:val="16"/>
          <w:szCs w:val="16"/>
          <w:color w:val="auto"/>
        </w:rPr>
        <w:t>African American or Black</w:t>
      </w:r>
    </w:p>
    <w:p>
      <w:pPr>
        <w:spacing w:after="0" w:line="136" w:lineRule="exact"/>
        <w:rPr>
          <w:rFonts w:ascii="Arial" w:cs="Arial" w:eastAsia="Arial" w:hAnsi="Arial"/>
          <w:sz w:val="13"/>
          <w:szCs w:val="13"/>
          <w:b w:val="1"/>
          <w:bCs w:val="1"/>
          <w:color w:val="191769"/>
        </w:rPr>
      </w:pPr>
    </w:p>
    <w:p>
      <w:pPr>
        <w:ind w:left="262" w:hanging="262"/>
        <w:spacing w:after="0"/>
        <w:tabs>
          <w:tab w:leader="none" w:pos="262" w:val="left"/>
        </w:tabs>
        <w:numPr>
          <w:ilvl w:val="0"/>
          <w:numId w:val="26"/>
        </w:numPr>
        <w:rPr>
          <w:rFonts w:ascii="Arial" w:cs="Arial" w:eastAsia="Arial" w:hAnsi="Arial"/>
          <w:sz w:val="13"/>
          <w:szCs w:val="13"/>
          <w:b w:val="1"/>
          <w:bCs w:val="1"/>
          <w:color w:val="00AEEF"/>
        </w:rPr>
      </w:pPr>
      <w:r>
        <w:rPr>
          <w:rFonts w:ascii="Arial" w:cs="Arial" w:eastAsia="Arial" w:hAnsi="Arial"/>
          <w:sz w:val="16"/>
          <w:szCs w:val="16"/>
          <w:color w:val="auto"/>
        </w:rPr>
        <w:t>Caucasian or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-3694430</wp:posOffset>
            </wp:positionH>
            <wp:positionV relativeFrom="paragraph">
              <wp:posOffset>741045</wp:posOffset>
            </wp:positionV>
            <wp:extent cx="7169785"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2">
            <w:col w:w="5078" w:space="720"/>
            <w:col w:w="4341"/>
          </w:cols>
          <w:pgMar w:left="320" w:top="124" w:right="1440" w:bottom="1440" w:gutter="0" w:footer="0" w:header="0"/>
        </w:sectPr>
      </w:pPr>
    </w:p>
    <w:bookmarkStart w:id="22" w:name="page23"/>
    <w:bookmarkEnd w:id="22"/>
    <w:p>
      <w:pPr>
        <w:ind w:left="9740"/>
        <w:spacing w:after="0"/>
        <w:rPr>
          <w:sz w:val="20"/>
          <w:szCs w:val="20"/>
          <w:color w:val="auto"/>
        </w:rPr>
      </w:pPr>
      <w:r>
        <w:rPr>
          <w:rFonts w:ascii="Arial" w:cs="Arial" w:eastAsia="Arial" w:hAnsi="Arial"/>
          <w:sz w:val="14"/>
          <w:szCs w:val="14"/>
          <w:b w:val="1"/>
          <w:bCs w:val="1"/>
          <w:color w:val="191769"/>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6"/>
          <w:szCs w:val="36"/>
          <w:b w:val="1"/>
          <w:bCs w:val="1"/>
          <w:color w:val="0076A8"/>
        </w:rPr>
        <w:t>Board Role in Risk Oversight</w:t>
      </w:r>
    </w:p>
    <w:p>
      <w:pPr>
        <w:spacing w:after="0" w:line="191"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The Board as a whole plays an integral role in shaping the Company’s strategy, risk appetite, governance and culture. Another critical responsibility is overseeing our risk exposure as part of determining business strategy that generates long-term shareholder value. Risk Management oversight is a core responsibility of the Enterprise Risk Committee.</w:t>
      </w:r>
    </w:p>
    <w:p>
      <w:pPr>
        <w:spacing w:after="0" w:line="7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Specifically, in early 2025, the Board of Directors established the Enterprise Risk Committee specifically to formally assist in fulfilling the Board’s risk oversight management responsibilities. Responsibility in assisting the Board was previously held by the Corporate Governance and Nominating Committee. The Enterprise Risk Committee fulfills this responsibility by overseeing the process by which the Company’s management identifies, manages, and mitigates risks of the Company. The Enterprise Risk Committee accomplishes its risk management oversight responsibilities through (i) assessing and reporting to the Board on the Company’s risk environment (including Operational Risk, Financial Risk, Reputational and Brand Risk, risks related to information technology, cybersecurity and physical security, and legal and regulatory compliance); (ii) ensuring that management understands and accepts its responsibility for identifying, assessing, and managing risk; (iii) reviewing guidelines and policies governing the processes by which risk assessment and management is undertaken and handled, including assessing whether they are comprehensive and evolving in relation to the risk profile of the Company, and; (iv) reviewing management’s risk identification and mitigation processes. Management retains responsibility for all day-to-day activities of the Company, including administration of the Company’s formal Enterprise Risk Management program. The Enterprise Risk Committee also performs an annual review of the Board’s assignments to its committees of risk management oversight responsibilities and recommends to the Board any changes it considers advisable or necessary. The Enterprise Risk Committee updates the Board on risk management activities routinely throughout the year.</w:t>
      </w:r>
    </w:p>
    <w:p>
      <w:pPr>
        <w:spacing w:after="0" w:line="107" w:lineRule="exact"/>
        <w:rPr>
          <w:sz w:val="20"/>
          <w:szCs w:val="20"/>
          <w:color w:val="auto"/>
        </w:rPr>
      </w:pPr>
    </w:p>
    <w:p>
      <w:pPr>
        <w:ind w:right="320"/>
        <w:spacing w:after="0" w:line="299" w:lineRule="auto"/>
        <w:rPr>
          <w:sz w:val="20"/>
          <w:szCs w:val="20"/>
          <w:color w:val="auto"/>
        </w:rPr>
      </w:pPr>
      <w:r>
        <w:rPr>
          <w:rFonts w:ascii="Arial" w:cs="Arial" w:eastAsia="Arial" w:hAnsi="Arial"/>
          <w:sz w:val="16"/>
          <w:szCs w:val="16"/>
          <w:color w:val="auto"/>
        </w:rPr>
        <w:t>Specifically as it relates to cybersecurity, our Board receives regular updates from the Chief Technology Officer on cyber risks and ongoing policies and plans to assess the effectiveness of our information technology and data security processes.</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540" w:type="dxa"/>
            <w:vAlign w:val="bottom"/>
            <w:tcBorders>
              <w:top w:val="single" w:sz="8" w:color="00AEEF"/>
              <w:left w:val="single" w:sz="8" w:color="00AEEF"/>
              <w:right w:val="single" w:sz="8" w:color="00AEEF"/>
            </w:tcBorders>
            <w:shd w:val="clear" w:color="auto" w:fill="E6F7FE"/>
          </w:tcPr>
          <w:p>
            <w:pPr>
              <w:jc w:val="center"/>
              <w:ind w:left="118"/>
              <w:spacing w:after="0"/>
              <w:rPr>
                <w:sz w:val="20"/>
                <w:szCs w:val="20"/>
                <w:color w:val="auto"/>
              </w:rPr>
            </w:pPr>
            <w:r>
              <w:rPr>
                <w:rFonts w:ascii="Arial" w:cs="Arial" w:eastAsia="Arial" w:hAnsi="Arial"/>
                <w:sz w:val="16"/>
                <w:szCs w:val="16"/>
                <w:b w:val="1"/>
                <w:bCs w:val="1"/>
                <w:color w:val="auto"/>
              </w:rPr>
              <w:t>CORPORATE GOVERNANCE AND</w:t>
            </w:r>
          </w:p>
        </w:tc>
        <w:tc>
          <w:tcPr>
            <w:tcW w:w="5720" w:type="dxa"/>
            <w:vAlign w:val="bottom"/>
            <w:tcBorders>
              <w:top w:val="single" w:sz="8" w:color="00AEEF"/>
              <w:right w:val="single" w:sz="8" w:color="00AEEF"/>
            </w:tcBorders>
            <w:vMerge w:val="restart"/>
            <w:shd w:val="clear" w:color="auto" w:fill="E6F7FE"/>
          </w:tcPr>
          <w:p>
            <w:pPr>
              <w:ind w:left="1960"/>
              <w:spacing w:after="0"/>
              <w:rPr>
                <w:sz w:val="20"/>
                <w:szCs w:val="20"/>
                <w:color w:val="auto"/>
              </w:rPr>
            </w:pPr>
            <w:r>
              <w:rPr>
                <w:rFonts w:ascii="Arial" w:cs="Arial" w:eastAsia="Arial" w:hAnsi="Arial"/>
                <w:sz w:val="16"/>
                <w:szCs w:val="16"/>
                <w:b w:val="1"/>
                <w:bCs w:val="1"/>
                <w:color w:val="auto"/>
              </w:rPr>
              <w:t>PENSION COMMITTEE</w:t>
            </w:r>
          </w:p>
        </w:tc>
        <w:tc>
          <w:tcPr>
            <w:tcW w:w="0" w:type="dxa"/>
            <w:vAlign w:val="bottom"/>
          </w:tcPr>
          <w:p>
            <w:pPr>
              <w:spacing w:after="0"/>
              <w:rPr>
                <w:sz w:val="1"/>
                <w:szCs w:val="1"/>
                <w:color w:val="auto"/>
              </w:rPr>
            </w:pPr>
          </w:p>
        </w:tc>
      </w:tr>
      <w:tr>
        <w:trPr>
          <w:trHeight w:val="126"/>
        </w:trPr>
        <w:tc>
          <w:tcPr>
            <w:tcW w:w="5540" w:type="dxa"/>
            <w:vAlign w:val="bottom"/>
            <w:tcBorders>
              <w:left w:val="single" w:sz="8" w:color="00AEEF"/>
              <w:right w:val="single" w:sz="8" w:color="00AEEF"/>
            </w:tcBorders>
            <w:vMerge w:val="restart"/>
            <w:shd w:val="clear" w:color="auto" w:fill="E6F7FE"/>
          </w:tcPr>
          <w:p>
            <w:pPr>
              <w:jc w:val="center"/>
              <w:ind w:left="98"/>
              <w:spacing w:after="0"/>
              <w:rPr>
                <w:sz w:val="20"/>
                <w:szCs w:val="20"/>
                <w:color w:val="auto"/>
              </w:rPr>
            </w:pPr>
            <w:r>
              <w:rPr>
                <w:rFonts w:ascii="Arial" w:cs="Arial" w:eastAsia="Arial" w:hAnsi="Arial"/>
                <w:sz w:val="16"/>
                <w:szCs w:val="16"/>
                <w:b w:val="1"/>
                <w:bCs w:val="1"/>
                <w:color w:val="auto"/>
              </w:rPr>
              <w:t>NOMINATING COMMITTEE</w:t>
            </w:r>
          </w:p>
        </w:tc>
        <w:tc>
          <w:tcPr>
            <w:tcW w:w="5720" w:type="dxa"/>
            <w:vAlign w:val="bottom"/>
            <w:tcBorders>
              <w:right w:val="single" w:sz="8" w:color="00AEEF"/>
            </w:tcBorders>
            <w:vMerge w:val="continue"/>
            <w:shd w:val="clear" w:color="auto" w:fill="E6F7F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540" w:type="dxa"/>
            <w:vAlign w:val="bottom"/>
            <w:tcBorders>
              <w:left w:val="single" w:sz="8" w:color="00AEEF"/>
              <w:bottom w:val="single" w:sz="8" w:color="00AEEF"/>
              <w:right w:val="single" w:sz="8" w:color="00AEEF"/>
            </w:tcBorders>
            <w:vMerge w:val="continue"/>
            <w:shd w:val="clear" w:color="auto" w:fill="E6F7FE"/>
          </w:tcPr>
          <w:p>
            <w:pPr>
              <w:spacing w:after="0"/>
              <w:rPr>
                <w:sz w:val="9"/>
                <w:szCs w:val="9"/>
                <w:color w:val="auto"/>
              </w:rPr>
            </w:pPr>
          </w:p>
        </w:tc>
        <w:tc>
          <w:tcPr>
            <w:tcW w:w="5720" w:type="dxa"/>
            <w:vAlign w:val="bottom"/>
            <w:tcBorders>
              <w:bottom w:val="single" w:sz="8" w:color="00AEEF"/>
              <w:right w:val="single" w:sz="8" w:color="00AEEF"/>
            </w:tcBorders>
            <w:shd w:val="clear" w:color="auto" w:fill="E6F7FE"/>
          </w:tcPr>
          <w:p>
            <w:pPr>
              <w:spacing w:after="0"/>
              <w:rPr>
                <w:sz w:val="9"/>
                <w:szCs w:val="9"/>
                <w:color w:val="auto"/>
              </w:rPr>
            </w:pPr>
          </w:p>
        </w:tc>
        <w:tc>
          <w:tcPr>
            <w:tcW w:w="0" w:type="dxa"/>
            <w:vAlign w:val="bottom"/>
          </w:tcPr>
          <w:p>
            <w:pPr>
              <w:spacing w:after="0"/>
              <w:rPr>
                <w:sz w:val="1"/>
                <w:szCs w:val="1"/>
                <w:color w:val="auto"/>
              </w:rPr>
            </w:pPr>
          </w:p>
        </w:tc>
      </w:tr>
      <w:tr>
        <w:trPr>
          <w:trHeight w:val="269"/>
        </w:trPr>
        <w:tc>
          <w:tcPr>
            <w:tcW w:w="5540" w:type="dxa"/>
            <w:vAlign w:val="bottom"/>
            <w:tcBorders>
              <w:left w:val="single" w:sz="8" w:color="00AEEF"/>
              <w:right w:val="single" w:sz="8" w:color="00AEEF"/>
            </w:tcBorders>
          </w:tcPr>
          <w:p>
            <w:pPr>
              <w:ind w:left="240"/>
              <w:spacing w:after="0"/>
              <w:rPr>
                <w:sz w:val="20"/>
                <w:szCs w:val="20"/>
                <w:color w:val="auto"/>
              </w:rPr>
            </w:pPr>
            <w:r>
              <w:rPr>
                <w:rFonts w:ascii="Arial" w:cs="Arial" w:eastAsia="Arial" w:hAnsi="Arial"/>
                <w:sz w:val="16"/>
                <w:szCs w:val="16"/>
                <w:b w:val="1"/>
                <w:bCs w:val="1"/>
                <w:color w:val="0076A8"/>
              </w:rPr>
              <w:t>Primary Areas of Risk Oversight</w:t>
            </w:r>
          </w:p>
        </w:tc>
        <w:tc>
          <w:tcPr>
            <w:tcW w:w="5720" w:type="dxa"/>
            <w:vAlign w:val="bottom"/>
            <w:tcBorders>
              <w:right w:val="single" w:sz="8" w:color="00AEEF"/>
            </w:tcBorders>
          </w:tcPr>
          <w:p>
            <w:pPr>
              <w:ind w:left="220"/>
              <w:spacing w:after="0"/>
              <w:rPr>
                <w:sz w:val="20"/>
                <w:szCs w:val="20"/>
                <w:color w:val="auto"/>
              </w:rPr>
            </w:pPr>
            <w:r>
              <w:rPr>
                <w:rFonts w:ascii="Arial" w:cs="Arial" w:eastAsia="Arial" w:hAnsi="Arial"/>
                <w:sz w:val="16"/>
                <w:szCs w:val="16"/>
                <w:b w:val="1"/>
                <w:bCs w:val="1"/>
                <w:color w:val="0076A8"/>
              </w:rPr>
              <w:t>Primary Areas of Risk Oversight</w:t>
            </w:r>
          </w:p>
        </w:tc>
        <w:tc>
          <w:tcPr>
            <w:tcW w:w="0" w:type="dxa"/>
            <w:vAlign w:val="bottom"/>
          </w:tcPr>
          <w:p>
            <w:pPr>
              <w:spacing w:after="0"/>
              <w:rPr>
                <w:sz w:val="1"/>
                <w:szCs w:val="1"/>
                <w:color w:val="auto"/>
              </w:rPr>
            </w:pPr>
          </w:p>
        </w:tc>
      </w:tr>
      <w:tr>
        <w:trPr>
          <w:trHeight w:val="231"/>
        </w:trPr>
        <w:tc>
          <w:tcPr>
            <w:tcW w:w="5540" w:type="dxa"/>
            <w:vAlign w:val="bottom"/>
            <w:tcBorders>
              <w:left w:val="single" w:sz="8" w:color="00AEEF"/>
              <w:right w:val="single" w:sz="8" w:color="00AEEF"/>
            </w:tcBorders>
          </w:tcPr>
          <w:p>
            <w:pPr>
              <w:ind w:left="2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Overall corporate governance, including our governance policies and</w:t>
            </w:r>
          </w:p>
        </w:tc>
        <w:tc>
          <w:tcPr>
            <w:tcW w:w="5720" w:type="dxa"/>
            <w:vAlign w:val="bottom"/>
            <w:tcBorders>
              <w:right w:val="single" w:sz="8" w:color="00AEEF"/>
            </w:tcBorders>
          </w:tcPr>
          <w:p>
            <w:pPr>
              <w:ind w:left="2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ERISA compliance</w:t>
            </w:r>
          </w:p>
        </w:tc>
        <w:tc>
          <w:tcPr>
            <w:tcW w:w="0" w:type="dxa"/>
            <w:vAlign w:val="bottom"/>
          </w:tcPr>
          <w:p>
            <w:pPr>
              <w:spacing w:after="0"/>
              <w:rPr>
                <w:sz w:val="1"/>
                <w:szCs w:val="1"/>
                <w:color w:val="auto"/>
              </w:rPr>
            </w:pPr>
          </w:p>
        </w:tc>
      </w:tr>
      <w:tr>
        <w:trPr>
          <w:trHeight w:val="216"/>
        </w:trPr>
        <w:tc>
          <w:tcPr>
            <w:tcW w:w="5540" w:type="dxa"/>
            <w:vAlign w:val="bottom"/>
            <w:tcBorders>
              <w:left w:val="single" w:sz="8" w:color="00AEEF"/>
              <w:right w:val="single" w:sz="8" w:color="00AEEF"/>
            </w:tcBorders>
          </w:tcPr>
          <w:p>
            <w:pPr>
              <w:ind w:left="420"/>
              <w:spacing w:after="0"/>
              <w:rPr>
                <w:sz w:val="20"/>
                <w:szCs w:val="20"/>
                <w:color w:val="auto"/>
              </w:rPr>
            </w:pPr>
            <w:r>
              <w:rPr>
                <w:rFonts w:ascii="Arial" w:cs="Arial" w:eastAsia="Arial" w:hAnsi="Arial"/>
                <w:sz w:val="16"/>
                <w:szCs w:val="16"/>
                <w:color w:val="auto"/>
              </w:rPr>
              <w:t>practices</w:t>
            </w:r>
          </w:p>
        </w:tc>
        <w:tc>
          <w:tcPr>
            <w:tcW w:w="5720" w:type="dxa"/>
            <w:vAlign w:val="bottom"/>
            <w:tcBorders>
              <w:right w:val="single" w:sz="8" w:color="00AEEF"/>
            </w:tcBorders>
            <w:vMerge w:val="restart"/>
          </w:tcPr>
          <w:p>
            <w:pPr>
              <w:ind w:left="2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Investment Policy Statement compliance</w:t>
            </w:r>
          </w:p>
        </w:tc>
        <w:tc>
          <w:tcPr>
            <w:tcW w:w="0" w:type="dxa"/>
            <w:vAlign w:val="bottom"/>
          </w:tcPr>
          <w:p>
            <w:pPr>
              <w:spacing w:after="0"/>
              <w:rPr>
                <w:sz w:val="1"/>
                <w:szCs w:val="1"/>
                <w:color w:val="auto"/>
              </w:rPr>
            </w:pPr>
          </w:p>
        </w:tc>
      </w:tr>
      <w:tr>
        <w:trPr>
          <w:trHeight w:val="70"/>
        </w:trPr>
        <w:tc>
          <w:tcPr>
            <w:tcW w:w="5540" w:type="dxa"/>
            <w:vAlign w:val="bottom"/>
            <w:tcBorders>
              <w:left w:val="single" w:sz="8" w:color="00AEEF"/>
              <w:right w:val="single" w:sz="8" w:color="00AEEF"/>
            </w:tcBorders>
            <w:vMerge w:val="restart"/>
          </w:tcPr>
          <w:p>
            <w:pPr>
              <w:ind w:left="2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Board composition, Board structure and Board succession planning</w:t>
            </w:r>
          </w:p>
        </w:tc>
        <w:tc>
          <w:tcPr>
            <w:tcW w:w="5720" w:type="dxa"/>
            <w:vAlign w:val="bottom"/>
            <w:tcBorders>
              <w:right w:val="single" w:sz="8" w:color="00AEE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540" w:type="dxa"/>
            <w:vAlign w:val="bottom"/>
            <w:tcBorders>
              <w:left w:val="single" w:sz="8" w:color="00AEEF"/>
              <w:right w:val="single" w:sz="8" w:color="00AEEF"/>
            </w:tcBorders>
            <w:vMerge w:val="continue"/>
          </w:tcPr>
          <w:p>
            <w:pPr>
              <w:spacing w:after="0"/>
              <w:rPr>
                <w:sz w:val="17"/>
                <w:szCs w:val="17"/>
                <w:color w:val="auto"/>
              </w:rPr>
            </w:pPr>
          </w:p>
        </w:tc>
        <w:tc>
          <w:tcPr>
            <w:tcW w:w="5720" w:type="dxa"/>
            <w:vAlign w:val="bottom"/>
            <w:tcBorders>
              <w:right w:val="single" w:sz="8" w:color="00AEEF"/>
            </w:tcBorders>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5540" w:type="dxa"/>
            <w:vAlign w:val="bottom"/>
            <w:tcBorders>
              <w:left w:val="single" w:sz="8" w:color="00AEEF"/>
              <w:right w:val="single" w:sz="8" w:color="00AEEF"/>
            </w:tcBorders>
          </w:tcPr>
          <w:p>
            <w:pPr>
              <w:ind w:left="2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Sustainability</w:t>
            </w:r>
          </w:p>
        </w:tc>
        <w:tc>
          <w:tcPr>
            <w:tcW w:w="5720" w:type="dxa"/>
            <w:vAlign w:val="bottom"/>
            <w:tcBorders>
              <w:right w:val="single" w:sz="8" w:color="00AEEF"/>
            </w:tcBorders>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5540" w:type="dxa"/>
            <w:vAlign w:val="bottom"/>
            <w:tcBorders>
              <w:left w:val="single" w:sz="8" w:color="00AEEF"/>
              <w:bottom w:val="single" w:sz="8" w:color="00AEEF"/>
              <w:right w:val="single" w:sz="8" w:color="00AEEF"/>
            </w:tcBorders>
          </w:tcPr>
          <w:p>
            <w:pPr>
              <w:spacing w:after="0"/>
              <w:rPr>
                <w:sz w:val="10"/>
                <w:szCs w:val="10"/>
                <w:color w:val="auto"/>
              </w:rPr>
            </w:pPr>
          </w:p>
        </w:tc>
        <w:tc>
          <w:tcPr>
            <w:tcW w:w="5720" w:type="dxa"/>
            <w:vAlign w:val="bottom"/>
            <w:tcBorders>
              <w:bottom w:val="single" w:sz="8" w:color="00AEEF"/>
              <w:right w:val="single" w:sz="8" w:color="00AEEF"/>
            </w:tcBorders>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5540" w:type="dxa"/>
            <w:vAlign w:val="bottom"/>
            <w:tcBorders>
              <w:left w:val="single" w:sz="8" w:color="00AEEF"/>
              <w:bottom w:val="single" w:sz="8" w:color="00AEEF"/>
              <w:right w:val="single" w:sz="8" w:color="00AEEF"/>
            </w:tcBorders>
            <w:shd w:val="clear" w:color="auto" w:fill="E6F7FE"/>
          </w:tcPr>
          <w:p>
            <w:pPr>
              <w:jc w:val="center"/>
              <w:ind w:left="118"/>
              <w:spacing w:after="0"/>
              <w:rPr>
                <w:sz w:val="20"/>
                <w:szCs w:val="20"/>
                <w:color w:val="auto"/>
              </w:rPr>
            </w:pPr>
            <w:r>
              <w:rPr>
                <w:rFonts w:ascii="Arial" w:cs="Arial" w:eastAsia="Arial" w:hAnsi="Arial"/>
                <w:sz w:val="16"/>
                <w:szCs w:val="16"/>
                <w:b w:val="1"/>
                <w:bCs w:val="1"/>
                <w:color w:val="191769"/>
              </w:rPr>
              <w:t>AUDIT COMMITTEE</w:t>
            </w:r>
          </w:p>
        </w:tc>
        <w:tc>
          <w:tcPr>
            <w:tcW w:w="5720" w:type="dxa"/>
            <w:vAlign w:val="bottom"/>
            <w:tcBorders>
              <w:bottom w:val="single" w:sz="8" w:color="00AEEF"/>
              <w:right w:val="single" w:sz="8" w:color="00AEEF"/>
            </w:tcBorders>
            <w:shd w:val="clear" w:color="auto" w:fill="E6F7FE"/>
          </w:tcPr>
          <w:p>
            <w:pPr>
              <w:ind w:left="1660"/>
              <w:spacing w:after="0"/>
              <w:rPr>
                <w:sz w:val="20"/>
                <w:szCs w:val="20"/>
                <w:color w:val="auto"/>
              </w:rPr>
            </w:pPr>
            <w:r>
              <w:rPr>
                <w:rFonts w:ascii="Arial" w:cs="Arial" w:eastAsia="Arial" w:hAnsi="Arial"/>
                <w:sz w:val="16"/>
                <w:szCs w:val="16"/>
                <w:b w:val="1"/>
                <w:bCs w:val="1"/>
                <w:color w:val="191769"/>
              </w:rPr>
              <w:t>COMPENSATION COMMITTEE</w:t>
            </w:r>
          </w:p>
        </w:tc>
        <w:tc>
          <w:tcPr>
            <w:tcW w:w="0" w:type="dxa"/>
            <w:vAlign w:val="bottom"/>
          </w:tcPr>
          <w:p>
            <w:pPr>
              <w:spacing w:after="0"/>
              <w:rPr>
                <w:sz w:val="1"/>
                <w:szCs w:val="1"/>
                <w:color w:val="auto"/>
              </w:rPr>
            </w:pPr>
          </w:p>
        </w:tc>
      </w:tr>
      <w:tr>
        <w:trPr>
          <w:trHeight w:val="269"/>
        </w:trPr>
        <w:tc>
          <w:tcPr>
            <w:tcW w:w="5540" w:type="dxa"/>
            <w:vAlign w:val="bottom"/>
            <w:tcBorders>
              <w:left w:val="single" w:sz="8" w:color="00AEEF"/>
              <w:right w:val="single" w:sz="8" w:color="00AEEF"/>
            </w:tcBorders>
          </w:tcPr>
          <w:p>
            <w:pPr>
              <w:ind w:left="240"/>
              <w:spacing w:after="0"/>
              <w:rPr>
                <w:sz w:val="20"/>
                <w:szCs w:val="20"/>
                <w:color w:val="auto"/>
              </w:rPr>
            </w:pPr>
            <w:r>
              <w:rPr>
                <w:rFonts w:ascii="Arial" w:cs="Arial" w:eastAsia="Arial" w:hAnsi="Arial"/>
                <w:sz w:val="16"/>
                <w:szCs w:val="16"/>
                <w:b w:val="1"/>
                <w:bCs w:val="1"/>
                <w:color w:val="0076A8"/>
              </w:rPr>
              <w:t>Primary Areas of Risk Oversight</w:t>
            </w:r>
          </w:p>
        </w:tc>
        <w:tc>
          <w:tcPr>
            <w:tcW w:w="5720" w:type="dxa"/>
            <w:vAlign w:val="bottom"/>
            <w:tcBorders>
              <w:right w:val="single" w:sz="8" w:color="00AEEF"/>
            </w:tcBorders>
          </w:tcPr>
          <w:p>
            <w:pPr>
              <w:ind w:left="220"/>
              <w:spacing w:after="0"/>
              <w:rPr>
                <w:sz w:val="20"/>
                <w:szCs w:val="20"/>
                <w:color w:val="auto"/>
              </w:rPr>
            </w:pPr>
            <w:r>
              <w:rPr>
                <w:rFonts w:ascii="Arial" w:cs="Arial" w:eastAsia="Arial" w:hAnsi="Arial"/>
                <w:sz w:val="16"/>
                <w:szCs w:val="16"/>
                <w:b w:val="1"/>
                <w:bCs w:val="1"/>
                <w:color w:val="0076A8"/>
              </w:rPr>
              <w:t>Primary Areas of Risk Oversight</w:t>
            </w:r>
          </w:p>
        </w:tc>
        <w:tc>
          <w:tcPr>
            <w:tcW w:w="0" w:type="dxa"/>
            <w:vAlign w:val="bottom"/>
          </w:tcPr>
          <w:p>
            <w:pPr>
              <w:spacing w:after="0"/>
              <w:rPr>
                <w:sz w:val="1"/>
                <w:szCs w:val="1"/>
                <w:color w:val="auto"/>
              </w:rPr>
            </w:pPr>
          </w:p>
        </w:tc>
      </w:tr>
      <w:tr>
        <w:trPr>
          <w:trHeight w:val="259"/>
        </w:trPr>
        <w:tc>
          <w:tcPr>
            <w:tcW w:w="5540" w:type="dxa"/>
            <w:vAlign w:val="bottom"/>
            <w:tcBorders>
              <w:left w:val="single" w:sz="8" w:color="00AEEF"/>
              <w:right w:val="single" w:sz="8" w:color="00AEEF"/>
            </w:tcBorders>
          </w:tcPr>
          <w:p>
            <w:pPr>
              <w:ind w:left="2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Financial reporting, internal controls and fraud</w:t>
            </w:r>
          </w:p>
        </w:tc>
        <w:tc>
          <w:tcPr>
            <w:tcW w:w="5720" w:type="dxa"/>
            <w:vAlign w:val="bottom"/>
            <w:tcBorders>
              <w:right w:val="single" w:sz="8" w:color="00AEEF"/>
            </w:tcBorders>
          </w:tcPr>
          <w:p>
            <w:pPr>
              <w:ind w:left="2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Executive level compensation and succession planning</w:t>
            </w:r>
          </w:p>
        </w:tc>
        <w:tc>
          <w:tcPr>
            <w:tcW w:w="0" w:type="dxa"/>
            <w:vAlign w:val="bottom"/>
          </w:tcPr>
          <w:p>
            <w:pPr>
              <w:spacing w:after="0"/>
              <w:rPr>
                <w:sz w:val="1"/>
                <w:szCs w:val="1"/>
                <w:color w:val="auto"/>
              </w:rPr>
            </w:pPr>
          </w:p>
        </w:tc>
      </w:tr>
      <w:tr>
        <w:trPr>
          <w:trHeight w:val="231"/>
        </w:trPr>
        <w:tc>
          <w:tcPr>
            <w:tcW w:w="5540" w:type="dxa"/>
            <w:vAlign w:val="bottom"/>
            <w:tcBorders>
              <w:left w:val="single" w:sz="8" w:color="00AEEF"/>
              <w:right w:val="single" w:sz="8" w:color="00AEEF"/>
            </w:tcBorders>
          </w:tcPr>
          <w:p>
            <w:pPr>
              <w:ind w:left="2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independent registered public accounting firm and</w:t>
            </w:r>
          </w:p>
        </w:tc>
        <w:tc>
          <w:tcPr>
            <w:tcW w:w="5720" w:type="dxa"/>
            <w:vAlign w:val="bottom"/>
            <w:tcBorders>
              <w:right w:val="single" w:sz="8" w:color="00AEEF"/>
            </w:tcBorders>
          </w:tcPr>
          <w:p>
            <w:pPr>
              <w:ind w:left="2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Organizational human capital management including recruitment,</w:t>
            </w:r>
          </w:p>
        </w:tc>
        <w:tc>
          <w:tcPr>
            <w:tcW w:w="0" w:type="dxa"/>
            <w:vAlign w:val="bottom"/>
          </w:tcPr>
          <w:p>
            <w:pPr>
              <w:spacing w:after="0"/>
              <w:rPr>
                <w:sz w:val="1"/>
                <w:szCs w:val="1"/>
                <w:color w:val="auto"/>
              </w:rPr>
            </w:pPr>
          </w:p>
        </w:tc>
      </w:tr>
      <w:tr>
        <w:trPr>
          <w:trHeight w:val="216"/>
        </w:trPr>
        <w:tc>
          <w:tcPr>
            <w:tcW w:w="5540" w:type="dxa"/>
            <w:vAlign w:val="bottom"/>
            <w:tcBorders>
              <w:left w:val="single" w:sz="8" w:color="00AEEF"/>
              <w:right w:val="single" w:sz="8" w:color="00AEEF"/>
            </w:tcBorders>
          </w:tcPr>
          <w:p>
            <w:pPr>
              <w:ind w:left="420"/>
              <w:spacing w:after="0"/>
              <w:rPr>
                <w:sz w:val="20"/>
                <w:szCs w:val="20"/>
                <w:color w:val="auto"/>
              </w:rPr>
            </w:pPr>
            <w:r>
              <w:rPr>
                <w:rFonts w:ascii="Arial" w:cs="Arial" w:eastAsia="Arial" w:hAnsi="Arial"/>
                <w:sz w:val="16"/>
                <w:szCs w:val="16"/>
                <w:color w:val="auto"/>
              </w:rPr>
              <w:t>internal audit function</w:t>
            </w:r>
          </w:p>
        </w:tc>
        <w:tc>
          <w:tcPr>
            <w:tcW w:w="5720" w:type="dxa"/>
            <w:vAlign w:val="bottom"/>
            <w:tcBorders>
              <w:right w:val="single" w:sz="8" w:color="00AEEF"/>
            </w:tcBorders>
          </w:tcPr>
          <w:p>
            <w:pPr>
              <w:ind w:left="400"/>
              <w:spacing w:after="0"/>
              <w:rPr>
                <w:sz w:val="20"/>
                <w:szCs w:val="20"/>
                <w:color w:val="auto"/>
              </w:rPr>
            </w:pPr>
            <w:r>
              <w:rPr>
                <w:rFonts w:ascii="Arial" w:cs="Arial" w:eastAsia="Arial" w:hAnsi="Arial"/>
                <w:sz w:val="16"/>
                <w:szCs w:val="16"/>
                <w:color w:val="auto"/>
              </w:rPr>
              <w:t>retention and engagement</w:t>
            </w:r>
          </w:p>
        </w:tc>
        <w:tc>
          <w:tcPr>
            <w:tcW w:w="0" w:type="dxa"/>
            <w:vAlign w:val="bottom"/>
          </w:tcPr>
          <w:p>
            <w:pPr>
              <w:spacing w:after="0"/>
              <w:rPr>
                <w:sz w:val="1"/>
                <w:szCs w:val="1"/>
                <w:color w:val="auto"/>
              </w:rPr>
            </w:pPr>
          </w:p>
        </w:tc>
      </w:tr>
      <w:tr>
        <w:trPr>
          <w:trHeight w:val="279"/>
        </w:trPr>
        <w:tc>
          <w:tcPr>
            <w:tcW w:w="5540" w:type="dxa"/>
            <w:vAlign w:val="bottom"/>
            <w:tcBorders>
              <w:left w:val="single" w:sz="8" w:color="00AEEF"/>
              <w:right w:val="single" w:sz="8" w:color="00AEEF"/>
            </w:tcBorders>
          </w:tcPr>
          <w:p>
            <w:pPr>
              <w:ind w:left="2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Risks related to complaints and reporting</w:t>
            </w:r>
          </w:p>
        </w:tc>
        <w:tc>
          <w:tcPr>
            <w:tcW w:w="5720" w:type="dxa"/>
            <w:vAlign w:val="bottom"/>
            <w:tcBorders>
              <w:right w:val="single" w:sz="8" w:color="00AEEF"/>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540" w:type="dxa"/>
            <w:vAlign w:val="bottom"/>
            <w:tcBorders>
              <w:left w:val="single" w:sz="8" w:color="00AEEF"/>
              <w:bottom w:val="single" w:sz="8" w:color="009FD4"/>
              <w:right w:val="single" w:sz="8" w:color="00AEEF"/>
            </w:tcBorders>
          </w:tcPr>
          <w:p>
            <w:pPr>
              <w:spacing w:after="0"/>
              <w:rPr>
                <w:sz w:val="12"/>
                <w:szCs w:val="12"/>
                <w:color w:val="auto"/>
              </w:rPr>
            </w:pPr>
          </w:p>
        </w:tc>
        <w:tc>
          <w:tcPr>
            <w:tcW w:w="5720" w:type="dxa"/>
            <w:vAlign w:val="bottom"/>
            <w:tcBorders>
              <w:bottom w:val="single" w:sz="8" w:color="009FD4"/>
              <w:right w:val="single" w:sz="8" w:color="00AEEF"/>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7152005" cy="930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2005" cy="93027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191769"/>
        </w:rPr>
        <w:t>ENTERPRISE RISK COMMITTEE</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0076A8"/>
        </w:rPr>
        <w:t>Primary Areas of Risk Oversight</w:t>
      </w:r>
    </w:p>
    <w:p>
      <w:pPr>
        <w:spacing w:after="0" w:line="75" w:lineRule="exact"/>
        <w:rPr>
          <w:sz w:val="20"/>
          <w:szCs w:val="20"/>
          <w:color w:val="auto"/>
        </w:rPr>
      </w:pPr>
    </w:p>
    <w:p>
      <w:pPr>
        <w:ind w:left="400" w:hanging="164"/>
        <w:spacing w:after="0"/>
        <w:tabs>
          <w:tab w:leader="none" w:pos="400"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Operations, financial, reputation, and brand</w:t>
      </w:r>
    </w:p>
    <w:p>
      <w:pPr>
        <w:spacing w:after="0" w:line="74" w:lineRule="exact"/>
        <w:rPr>
          <w:rFonts w:ascii="Arial" w:cs="Arial" w:eastAsia="Arial" w:hAnsi="Arial"/>
          <w:sz w:val="16"/>
          <w:szCs w:val="16"/>
          <w:b w:val="1"/>
          <w:bCs w:val="1"/>
          <w:color w:val="auto"/>
        </w:rPr>
      </w:pPr>
    </w:p>
    <w:p>
      <w:pPr>
        <w:ind w:left="400" w:hanging="164"/>
        <w:spacing w:after="0"/>
        <w:tabs>
          <w:tab w:leader="none" w:pos="400"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Information technology, cybersecurity, and physical security</w:t>
      </w:r>
    </w:p>
    <w:p>
      <w:pPr>
        <w:spacing w:after="0" w:line="86" w:lineRule="exact"/>
        <w:rPr>
          <w:rFonts w:ascii="Arial" w:cs="Arial" w:eastAsia="Arial" w:hAnsi="Arial"/>
          <w:sz w:val="16"/>
          <w:szCs w:val="16"/>
          <w:b w:val="1"/>
          <w:bCs w:val="1"/>
          <w:color w:val="auto"/>
        </w:rPr>
      </w:pPr>
    </w:p>
    <w:p>
      <w:pPr>
        <w:ind w:left="400" w:hanging="164"/>
        <w:spacing w:after="0"/>
        <w:tabs>
          <w:tab w:leader="none" w:pos="400"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Legal and regulatory compliance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860" w:type="dxa"/>
            <w:vAlign w:val="bottom"/>
            <w:tcBorders>
              <w:right w:val="single" w:sz="8" w:color="00AEEF"/>
            </w:tcBorders>
          </w:tcPr>
          <w:p>
            <w:pPr>
              <w:ind w:left="94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21</w:t>
            </w:r>
          </w:p>
        </w:tc>
      </w:tr>
      <w:tr>
        <w:trPr>
          <w:trHeight w:val="312"/>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3" w:name="page24"/>
    <w:bookmarkEnd w:id="23"/>
    <w:p>
      <w:pPr>
        <w:ind w:left="2"/>
        <w:spacing w:after="0"/>
        <w:rPr>
          <w:sz w:val="20"/>
          <w:szCs w:val="20"/>
          <w:color w:val="auto"/>
        </w:rPr>
      </w:pPr>
      <w:r>
        <w:rPr>
          <w:rFonts w:ascii="Arial" w:cs="Arial" w:eastAsia="Arial" w:hAnsi="Arial"/>
          <w:sz w:val="14"/>
          <w:szCs w:val="14"/>
          <w:b w:val="1"/>
          <w:bCs w:val="1"/>
          <w:color w:val="191769"/>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
        <w:spacing w:after="0"/>
        <w:rPr>
          <w:sz w:val="20"/>
          <w:szCs w:val="20"/>
          <w:color w:val="auto"/>
        </w:rPr>
      </w:pPr>
      <w:r>
        <w:rPr>
          <w:rFonts w:ascii="Arial" w:cs="Arial" w:eastAsia="Arial" w:hAnsi="Arial"/>
          <w:sz w:val="36"/>
          <w:szCs w:val="36"/>
          <w:b w:val="1"/>
          <w:bCs w:val="1"/>
          <w:color w:val="0076A8"/>
        </w:rPr>
        <w:t>Board Policies</w:t>
      </w:r>
    </w:p>
    <w:p>
      <w:pPr>
        <w:spacing w:after="0" w:line="185"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191769"/>
        </w:rPr>
        <w:t>Director Independence</w:t>
      </w:r>
    </w:p>
    <w:p>
      <w:pPr>
        <w:spacing w:after="0" w:line="89" w:lineRule="exact"/>
        <w:rPr>
          <w:sz w:val="20"/>
          <w:szCs w:val="20"/>
          <w:color w:val="auto"/>
        </w:rPr>
      </w:pPr>
    </w:p>
    <w:p>
      <w:pPr>
        <w:ind w:left="2" w:right="20"/>
        <w:spacing w:after="0" w:line="267" w:lineRule="auto"/>
        <w:rPr>
          <w:sz w:val="20"/>
          <w:szCs w:val="20"/>
          <w:color w:val="auto"/>
        </w:rPr>
      </w:pPr>
      <w:r>
        <w:rPr>
          <w:rFonts w:ascii="Arial" w:cs="Arial" w:eastAsia="Arial" w:hAnsi="Arial"/>
          <w:sz w:val="16"/>
          <w:szCs w:val="16"/>
          <w:color w:val="auto"/>
        </w:rPr>
        <w:t>The Company’s Common Stock is listed on the Nasdaq Global Select Market. Nasdaq listing rules require that a majority of the Company’s Directors be “Independent Directors” as defined by Nasdaq corporate governance standards. “Independent Director” means a person other than an Executive Officer or employee of the Company or any other individual having a relationship which, in the opinion of the Company’s Board of Directors, could interfere with the exercise of independent judgment in carrying out the responsibilities of a Director. For purposes of this rule, “family member” means a person’s spouse, parents, children and siblings, whether by blood, marriage or adoption, or anyone residing in such person’s home.</w:t>
      </w:r>
    </w:p>
    <w:p>
      <w:pPr>
        <w:spacing w:after="0" w:line="97" w:lineRule="exact"/>
        <w:rPr>
          <w:sz w:val="20"/>
          <w:szCs w:val="20"/>
          <w:color w:val="auto"/>
        </w:rPr>
      </w:pPr>
    </w:p>
    <w:p>
      <w:pPr>
        <w:ind w:left="2"/>
        <w:spacing w:after="0"/>
        <w:rPr>
          <w:sz w:val="20"/>
          <w:szCs w:val="20"/>
          <w:color w:val="auto"/>
        </w:rPr>
      </w:pPr>
      <w:r>
        <w:rPr>
          <w:rFonts w:ascii="Arial" w:cs="Arial" w:eastAsia="Arial" w:hAnsi="Arial"/>
          <w:sz w:val="16"/>
          <w:szCs w:val="16"/>
          <w:color w:val="auto"/>
        </w:rPr>
        <w:t>As defined by Nasdaq corporate governance requirements, a member of the Board is not independent if the Director:</w:t>
      </w:r>
    </w:p>
    <w:p>
      <w:pPr>
        <w:spacing w:after="0" w:line="148" w:lineRule="exact"/>
        <w:rPr>
          <w:sz w:val="20"/>
          <w:szCs w:val="20"/>
          <w:color w:val="auto"/>
        </w:rPr>
      </w:pPr>
    </w:p>
    <w:p>
      <w:pPr>
        <w:ind w:left="162" w:hanging="162"/>
        <w:spacing w:after="0"/>
        <w:tabs>
          <w:tab w:leader="none" w:pos="162"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Is, or at any time during the past three years, has been employed by the Company.</w:t>
      </w:r>
    </w:p>
    <w:p>
      <w:pPr>
        <w:spacing w:after="0" w:line="74" w:lineRule="exact"/>
        <w:rPr>
          <w:rFonts w:ascii="Arial" w:cs="Arial" w:eastAsia="Arial" w:hAnsi="Arial"/>
          <w:sz w:val="16"/>
          <w:szCs w:val="16"/>
          <w:b w:val="1"/>
          <w:bCs w:val="1"/>
          <w:color w:val="auto"/>
        </w:rPr>
      </w:pPr>
    </w:p>
    <w:p>
      <w:pPr>
        <w:ind w:left="182" w:right="480" w:hanging="182"/>
        <w:spacing w:after="0" w:line="297" w:lineRule="auto"/>
        <w:tabs>
          <w:tab w:leader="none" w:pos="173"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Has accepted, or has a family member that has accepted any compensation from the Company in excess of $120,000 during any period of twelve consecutive months within the three years preceding the determination of independence.</w:t>
      </w:r>
    </w:p>
    <w:p>
      <w:pPr>
        <w:ind w:left="162" w:hanging="162"/>
        <w:spacing w:after="0"/>
        <w:tabs>
          <w:tab w:leader="none" w:pos="162"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Is a family member of an individual who is, or at any time during the past three years was, employed by the Company as an Executive Officer.</w:t>
      </w:r>
    </w:p>
    <w:p>
      <w:pPr>
        <w:spacing w:after="0" w:line="86" w:lineRule="exact"/>
        <w:rPr>
          <w:rFonts w:ascii="Arial" w:cs="Arial" w:eastAsia="Arial" w:hAnsi="Arial"/>
          <w:sz w:val="16"/>
          <w:szCs w:val="16"/>
          <w:b w:val="1"/>
          <w:bCs w:val="1"/>
          <w:color w:val="auto"/>
        </w:rPr>
      </w:pPr>
    </w:p>
    <w:p>
      <w:pPr>
        <w:jc w:val="both"/>
        <w:ind w:left="182" w:right="20" w:hanging="182"/>
        <w:spacing w:after="0" w:line="278" w:lineRule="auto"/>
        <w:tabs>
          <w:tab w:leader="none" w:pos="173"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Is, or has a family member who is, a partner in, or a controlling Shareholder or an Executive Officer of, any organization to which the Company made, or from which the Company received, payments for property or services in the current or any of the past three fiscal years that exceed 5% of the recipient’s consolidated gross revenues for that year, or $200,000, whichever is more.</w:t>
      </w:r>
    </w:p>
    <w:p>
      <w:pPr>
        <w:spacing w:after="0" w:line="13" w:lineRule="exact"/>
        <w:rPr>
          <w:rFonts w:ascii="Arial" w:cs="Arial" w:eastAsia="Arial" w:hAnsi="Arial"/>
          <w:sz w:val="16"/>
          <w:szCs w:val="16"/>
          <w:b w:val="1"/>
          <w:bCs w:val="1"/>
          <w:color w:val="auto"/>
        </w:rPr>
      </w:pPr>
    </w:p>
    <w:p>
      <w:pPr>
        <w:ind w:left="182" w:right="60" w:hanging="182"/>
        <w:spacing w:after="0" w:line="297" w:lineRule="auto"/>
        <w:tabs>
          <w:tab w:leader="none" w:pos="173"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Is, or has a family member who is, employed as an Executive Officer of any other entity where at any time during the past three years any of the officers of the Company serve on the compensation committee of such other entity.</w:t>
      </w:r>
    </w:p>
    <w:p>
      <w:pPr>
        <w:ind w:left="182" w:hanging="182"/>
        <w:spacing w:after="0" w:line="299" w:lineRule="auto"/>
        <w:tabs>
          <w:tab w:leader="none" w:pos="173"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Is, or has a family member who is, a current partner of the Company’s independent auditor, or was a partner or employee of the Company’s independent auditor who worked on the Company’s audit at any time during any of the past three years.</w:t>
      </w:r>
    </w:p>
    <w:p>
      <w:pPr>
        <w:spacing w:after="0" w:line="71" w:lineRule="exact"/>
        <w:rPr>
          <w:sz w:val="20"/>
          <w:szCs w:val="20"/>
          <w:color w:val="auto"/>
        </w:rPr>
      </w:pPr>
    </w:p>
    <w:p>
      <w:pPr>
        <w:ind w:left="2" w:right="40"/>
        <w:spacing w:after="0" w:line="278" w:lineRule="auto"/>
        <w:rPr>
          <w:sz w:val="20"/>
          <w:szCs w:val="20"/>
          <w:color w:val="auto"/>
        </w:rPr>
      </w:pPr>
      <w:r>
        <w:rPr>
          <w:rFonts w:ascii="Arial" w:cs="Arial" w:eastAsia="Arial" w:hAnsi="Arial"/>
          <w:sz w:val="16"/>
          <w:szCs w:val="16"/>
          <w:color w:val="auto"/>
        </w:rPr>
        <w:t>With the exception of Ms. Leslie, who is an Executive Officer of the Company and the Chair of the Board of Directors as of May 20, 2025, and Dennis Doll, who served as Chair of the Board of Directors until his retirement from the Board on May 20, 2025, the Board has determined that each member of the Board is independent under the Nasdaq listing standards.</w:t>
      </w:r>
    </w:p>
    <w:p>
      <w:pPr>
        <w:spacing w:after="0" w:line="87" w:lineRule="exact"/>
        <w:rPr>
          <w:sz w:val="20"/>
          <w:szCs w:val="20"/>
          <w:color w:val="auto"/>
        </w:rPr>
      </w:pPr>
    </w:p>
    <w:p>
      <w:pPr>
        <w:ind w:left="2" w:right="640"/>
        <w:spacing w:after="0" w:line="278" w:lineRule="auto"/>
        <w:rPr>
          <w:sz w:val="20"/>
          <w:szCs w:val="20"/>
          <w:color w:val="auto"/>
        </w:rPr>
      </w:pPr>
      <w:r>
        <w:rPr>
          <w:rFonts w:ascii="Arial" w:cs="Arial" w:eastAsia="Arial" w:hAnsi="Arial"/>
          <w:sz w:val="16"/>
          <w:szCs w:val="16"/>
          <w:color w:val="auto"/>
        </w:rPr>
        <w:t>The Board based this determination primarily on a review of the responses of the Directors to a comprehensive annual questionnaire regarding employment and compensation history, affiliations, family and other relationships, together with an examination of those companies with whom the Company transacts business. The Directors certify individually as to their representations.</w:t>
      </w:r>
    </w:p>
    <w:p>
      <w:pPr>
        <w:spacing w:after="0" w:line="205"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191769"/>
        </w:rPr>
        <w:t>Disclosure of Family Relationships and Related Party Transactions</w:t>
      </w:r>
    </w:p>
    <w:p>
      <w:pPr>
        <w:spacing w:after="0" w:line="102" w:lineRule="exact"/>
        <w:rPr>
          <w:sz w:val="20"/>
          <w:szCs w:val="20"/>
          <w:color w:val="auto"/>
        </w:rPr>
      </w:pPr>
    </w:p>
    <w:p>
      <w:pPr>
        <w:ind w:left="2" w:right="240"/>
        <w:spacing w:after="0" w:line="271" w:lineRule="auto"/>
        <w:rPr>
          <w:sz w:val="20"/>
          <w:szCs w:val="20"/>
          <w:color w:val="auto"/>
        </w:rPr>
      </w:pPr>
      <w:r>
        <w:rPr>
          <w:rFonts w:ascii="Arial" w:cs="Arial" w:eastAsia="Arial" w:hAnsi="Arial"/>
          <w:sz w:val="16"/>
          <w:szCs w:val="16"/>
          <w:color w:val="auto"/>
        </w:rPr>
        <w:t>The NASDAQ Corporate Standards and the Company’s Code of Conduct require that Directors and Officers avoid having a relationship or arranging for the Company to enter into transactions with an immediate family member whereby the relationship could interfere with the exercise of independent judgment in carrying out the responsibilities of a Director or Officer. In 2025, the Company did not enter into any transaction where an immediate family member of a Director or Officer had a direct or indirect material interest in the transaction.</w:t>
      </w:r>
    </w:p>
    <w:p>
      <w:pPr>
        <w:spacing w:after="0" w:line="210"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191769"/>
        </w:rPr>
        <w:t>Board Size</w:t>
      </w:r>
    </w:p>
    <w:p>
      <w:pPr>
        <w:spacing w:after="0" w:line="102"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Board shall consist of not less than five nor more than twelve members in accordance with the Company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386080</wp:posOffset>
            </wp:positionV>
            <wp:extent cx="7620" cy="132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62" w:hanging="445"/>
        <w:spacing w:after="0"/>
        <w:tabs>
          <w:tab w:leader="none" w:pos="462" w:val="left"/>
        </w:tabs>
        <w:numPr>
          <w:ilvl w:val="0"/>
          <w:numId w:val="29"/>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210185</wp:posOffset>
            </wp:positionV>
            <wp:extent cx="7169785"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22"/>
          </w:cols>
          <w:pgMar w:left="318" w:top="124" w:right="359" w:bottom="1440" w:gutter="0" w:footer="0" w:header="0"/>
        </w:sectPr>
      </w:pPr>
    </w:p>
    <w:bookmarkStart w:id="24" w:name="page25"/>
    <w:bookmarkEnd w:id="24"/>
    <w:p>
      <w:pPr>
        <w:jc w:val="right"/>
        <w:spacing w:after="0"/>
        <w:rPr>
          <w:sz w:val="20"/>
          <w:szCs w:val="20"/>
          <w:color w:val="auto"/>
        </w:rPr>
      </w:pPr>
      <w:r>
        <w:rPr>
          <w:rFonts w:ascii="Arial" w:cs="Arial" w:eastAsia="Arial" w:hAnsi="Arial"/>
          <w:sz w:val="14"/>
          <w:szCs w:val="14"/>
          <w:b w:val="1"/>
          <w:bCs w:val="1"/>
          <w:color w:val="191769"/>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191769"/>
        </w:rPr>
        <w:t>Board Meetings and Annual Meeting Attendance by Board Members</w:t>
      </w:r>
    </w:p>
    <w:p>
      <w:pPr>
        <w:spacing w:after="0" w:line="102" w:lineRule="exact"/>
        <w:rPr>
          <w:sz w:val="20"/>
          <w:szCs w:val="20"/>
          <w:color w:val="auto"/>
        </w:rPr>
      </w:pPr>
    </w:p>
    <w:p>
      <w:pPr>
        <w:ind w:left="2" w:right="620"/>
        <w:spacing w:after="0" w:line="283" w:lineRule="auto"/>
        <w:rPr>
          <w:sz w:val="20"/>
          <w:szCs w:val="20"/>
          <w:color w:val="auto"/>
        </w:rPr>
      </w:pPr>
      <w:r>
        <w:rPr>
          <w:rFonts w:ascii="Arial" w:cs="Arial" w:eastAsia="Arial" w:hAnsi="Arial"/>
          <w:sz w:val="16"/>
          <w:szCs w:val="16"/>
          <w:color w:val="auto"/>
        </w:rPr>
        <w:t>The frequency and length of Board meetings, as well as agenda items, are determined by the Chair and Committee Chairs with input from all other Directors. Meeting schedules are approved by the full Board.</w:t>
      </w:r>
    </w:p>
    <w:p>
      <w:pPr>
        <w:spacing w:after="0" w:line="71" w:lineRule="exact"/>
        <w:rPr>
          <w:sz w:val="20"/>
          <w:szCs w:val="20"/>
          <w:color w:val="auto"/>
        </w:rPr>
      </w:pPr>
    </w:p>
    <w:p>
      <w:pPr>
        <w:ind w:left="2" w:right="40"/>
        <w:spacing w:after="0" w:line="255" w:lineRule="auto"/>
        <w:rPr>
          <w:sz w:val="20"/>
          <w:szCs w:val="20"/>
          <w:color w:val="auto"/>
        </w:rPr>
      </w:pPr>
      <w:r>
        <w:rPr>
          <w:rFonts w:ascii="Arial" w:cs="Arial" w:eastAsia="Arial" w:hAnsi="Arial"/>
          <w:sz w:val="16"/>
          <w:szCs w:val="16"/>
          <w:color w:val="auto"/>
        </w:rPr>
        <w:t>The Board holds regularly scheduled meetings and meets on other occasions when required. We expect our Directors to attend each meeting of the Board and of the committees on which they serve. We expect our Directors to attend our Annual Meeting. During 2025, the Board held 10 meetings and the Board Committees held 19 meetings. Across all Board and Committee meetings held in 2025, all Directors attended at least 75% of the Board meetings and Committee meetings for the Committees in which they were members, with actual attendance of all Directors exceeding 99%. All of the Directors serving at the time of the May 2025 Annual Meeting attended that meeting..</w:t>
      </w:r>
    </w:p>
    <w:p>
      <w:pPr>
        <w:spacing w:after="0" w:line="224"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191769"/>
        </w:rPr>
        <w:t>Executive Sessions</w:t>
      </w:r>
    </w:p>
    <w:p>
      <w:pPr>
        <w:spacing w:after="0" w:line="102" w:lineRule="exact"/>
        <w:rPr>
          <w:sz w:val="20"/>
          <w:szCs w:val="20"/>
          <w:color w:val="auto"/>
        </w:rPr>
      </w:pPr>
    </w:p>
    <w:p>
      <w:pPr>
        <w:ind w:left="2" w:right="60"/>
        <w:spacing w:after="0" w:line="283" w:lineRule="auto"/>
        <w:rPr>
          <w:sz w:val="20"/>
          <w:szCs w:val="20"/>
          <w:color w:val="auto"/>
        </w:rPr>
      </w:pPr>
      <w:r>
        <w:rPr>
          <w:rFonts w:ascii="Arial" w:cs="Arial" w:eastAsia="Arial" w:hAnsi="Arial"/>
          <w:sz w:val="16"/>
          <w:szCs w:val="16"/>
          <w:color w:val="auto"/>
        </w:rPr>
        <w:t>The Independent Directors periodically meet without management in Executive session at least twice a year. The Lead Director is designated to preside at these Executive sessions.</w:t>
      </w:r>
    </w:p>
    <w:p>
      <w:pPr>
        <w:spacing w:after="0" w:line="201"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191769"/>
        </w:rPr>
        <w:t>Communications with the Board</w:t>
      </w:r>
    </w:p>
    <w:p>
      <w:pPr>
        <w:spacing w:after="0" w:line="102" w:lineRule="exact"/>
        <w:rPr>
          <w:sz w:val="20"/>
          <w:szCs w:val="20"/>
          <w:color w:val="auto"/>
        </w:rPr>
      </w:pPr>
    </w:p>
    <w:p>
      <w:pPr>
        <w:ind w:left="2"/>
        <w:spacing w:after="0"/>
        <w:rPr>
          <w:sz w:val="20"/>
          <w:szCs w:val="20"/>
          <w:color w:val="auto"/>
        </w:rPr>
      </w:pPr>
      <w:r>
        <w:rPr>
          <w:rFonts w:ascii="Arial" w:cs="Arial" w:eastAsia="Arial" w:hAnsi="Arial"/>
          <w:sz w:val="16"/>
          <w:szCs w:val="16"/>
          <w:color w:val="auto"/>
        </w:rPr>
        <w:t>Any shareholder wishing to communicate with a Director may do so by contacting the Company’s Corporate Secretary at:</w:t>
      </w:r>
    </w:p>
    <w:p>
      <w:pPr>
        <w:spacing w:after="0" w:line="136" w:lineRule="exact"/>
        <w:rPr>
          <w:sz w:val="20"/>
          <w:szCs w:val="20"/>
          <w:color w:val="auto"/>
        </w:rPr>
      </w:pPr>
    </w:p>
    <w:p>
      <w:pPr>
        <w:ind w:left="2"/>
        <w:spacing w:after="0"/>
        <w:rPr>
          <w:sz w:val="20"/>
          <w:szCs w:val="20"/>
          <w:color w:val="auto"/>
        </w:rPr>
      </w:pPr>
      <w:r>
        <w:rPr>
          <w:rFonts w:ascii="Arial" w:cs="Arial" w:eastAsia="Arial" w:hAnsi="Arial"/>
          <w:sz w:val="16"/>
          <w:szCs w:val="16"/>
          <w:color w:val="auto"/>
        </w:rPr>
        <w:t>Middlesex Water Company Office of the Corporate Secretary</w:t>
      </w:r>
    </w:p>
    <w:p>
      <w:pPr>
        <w:spacing w:after="0" w:line="17" w:lineRule="exact"/>
        <w:rPr>
          <w:sz w:val="20"/>
          <w:szCs w:val="20"/>
          <w:color w:val="auto"/>
        </w:rPr>
      </w:pPr>
    </w:p>
    <w:p>
      <w:pPr>
        <w:ind w:left="2"/>
        <w:spacing w:after="0"/>
        <w:rPr>
          <w:sz w:val="20"/>
          <w:szCs w:val="20"/>
          <w:color w:val="auto"/>
        </w:rPr>
      </w:pPr>
      <w:r>
        <w:rPr>
          <w:rFonts w:ascii="Arial" w:cs="Arial" w:eastAsia="Arial" w:hAnsi="Arial"/>
          <w:sz w:val="16"/>
          <w:szCs w:val="16"/>
          <w:color w:val="auto"/>
        </w:rPr>
        <w:t>485C Route 1 South, Suite 400</w:t>
      </w:r>
    </w:p>
    <w:p>
      <w:pPr>
        <w:spacing w:after="0" w:line="1" w:lineRule="exact"/>
        <w:rPr>
          <w:sz w:val="20"/>
          <w:szCs w:val="20"/>
          <w:color w:val="auto"/>
        </w:rPr>
      </w:pPr>
    </w:p>
    <w:p>
      <w:pPr>
        <w:ind w:left="2"/>
        <w:spacing w:after="0"/>
        <w:rPr>
          <w:sz w:val="20"/>
          <w:szCs w:val="20"/>
          <w:color w:val="auto"/>
        </w:rPr>
      </w:pPr>
      <w:r>
        <w:rPr>
          <w:rFonts w:ascii="Arial" w:cs="Arial" w:eastAsia="Arial" w:hAnsi="Arial"/>
          <w:sz w:val="16"/>
          <w:szCs w:val="16"/>
          <w:color w:val="auto"/>
        </w:rPr>
        <w:t>Iselin, New Jersey 08830</w:t>
      </w:r>
    </w:p>
    <w:p>
      <w:pPr>
        <w:spacing w:after="0" w:line="120" w:lineRule="exact"/>
        <w:rPr>
          <w:sz w:val="20"/>
          <w:szCs w:val="20"/>
          <w:color w:val="auto"/>
        </w:rPr>
      </w:pPr>
    </w:p>
    <w:p>
      <w:pPr>
        <w:ind w:left="2" w:right="100"/>
        <w:spacing w:after="0" w:line="299" w:lineRule="auto"/>
        <w:rPr>
          <w:sz w:val="20"/>
          <w:szCs w:val="20"/>
          <w:color w:val="auto"/>
        </w:rPr>
      </w:pPr>
      <w:r>
        <w:rPr>
          <w:rFonts w:ascii="Arial" w:cs="Arial" w:eastAsia="Arial" w:hAnsi="Arial"/>
          <w:sz w:val="16"/>
          <w:szCs w:val="16"/>
          <w:color w:val="auto"/>
        </w:rPr>
        <w:t>The Corporate Secretary will forward to the Director a written, email or phone communication. The Corporate Secretary has been authorized by the Board to screen frivolous or unlawful communications or commercial advertisements.</w:t>
      </w:r>
    </w:p>
    <w:p>
      <w:pPr>
        <w:spacing w:after="0" w:line="177"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191769"/>
        </w:rPr>
        <w:t>Shareholder Proposals</w:t>
      </w:r>
    </w:p>
    <w:p>
      <w:pPr>
        <w:spacing w:after="0" w:line="102" w:lineRule="exact"/>
        <w:rPr>
          <w:sz w:val="20"/>
          <w:szCs w:val="20"/>
          <w:color w:val="auto"/>
        </w:rPr>
      </w:pPr>
    </w:p>
    <w:p>
      <w:pPr>
        <w:ind w:left="2" w:right="620"/>
        <w:spacing w:after="0" w:line="270" w:lineRule="auto"/>
        <w:rPr>
          <w:sz w:val="20"/>
          <w:szCs w:val="20"/>
          <w:color w:val="auto"/>
        </w:rPr>
      </w:pPr>
      <w:r>
        <w:rPr>
          <w:rFonts w:ascii="Arial" w:cs="Arial" w:eastAsia="Arial" w:hAnsi="Arial"/>
          <w:sz w:val="16"/>
          <w:szCs w:val="16"/>
          <w:color w:val="auto"/>
        </w:rPr>
        <w:t>In order to be eligible for inclusion in our proxy materials for our 2026 Annual Meeting, any shareholder proposal must have been received by the Corporate Secretary of the Company, 485C Route 1 South, Suite 400, Iselin, New Jersey 08830 no later than December 13, 2025. No shareholder proposals were received by the Company for the 2026 Annual Meeting.</w:t>
      </w:r>
    </w:p>
    <w:p>
      <w:pPr>
        <w:spacing w:after="0" w:line="215" w:lineRule="exact"/>
        <w:rPr>
          <w:sz w:val="20"/>
          <w:szCs w:val="20"/>
          <w:color w:val="auto"/>
        </w:rPr>
      </w:pPr>
    </w:p>
    <w:p>
      <w:pPr>
        <w:ind w:left="2" w:right="1060"/>
        <w:spacing w:after="0" w:line="296" w:lineRule="auto"/>
        <w:rPr>
          <w:sz w:val="20"/>
          <w:szCs w:val="20"/>
          <w:color w:val="auto"/>
        </w:rPr>
      </w:pPr>
      <w:r>
        <w:rPr>
          <w:rFonts w:ascii="Arial" w:cs="Arial" w:eastAsia="Arial" w:hAnsi="Arial"/>
          <w:sz w:val="36"/>
          <w:szCs w:val="36"/>
          <w:b w:val="1"/>
          <w:bCs w:val="1"/>
          <w:color w:val="0076A8"/>
        </w:rPr>
        <w:t>Advance Notice of Business to be Conducted at the Annual Meeting</w:t>
      </w:r>
    </w:p>
    <w:p>
      <w:pPr>
        <w:spacing w:after="0" w:line="2" w:lineRule="exact"/>
        <w:rPr>
          <w:sz w:val="20"/>
          <w:szCs w:val="20"/>
          <w:color w:val="auto"/>
        </w:rPr>
      </w:pPr>
    </w:p>
    <w:p>
      <w:pPr>
        <w:ind w:left="2" w:right="60"/>
        <w:spacing w:after="0" w:line="260" w:lineRule="auto"/>
        <w:rPr>
          <w:sz w:val="20"/>
          <w:szCs w:val="20"/>
          <w:color w:val="auto"/>
        </w:rPr>
      </w:pPr>
      <w:r>
        <w:rPr>
          <w:rFonts w:ascii="Arial" w:cs="Arial" w:eastAsia="Arial" w:hAnsi="Arial"/>
          <w:sz w:val="16"/>
          <w:szCs w:val="16"/>
          <w:color w:val="auto"/>
        </w:rPr>
        <w:t>Shareholders are entitled to submit proposals on matters appropriate for shareholder action consistent with regulations of the SEC. For business to be properly brought before an Annual Meeting by a shareholder, the business must be an appropriate matter to be voted by the shareholders at an Annual Meeting and the shareholder must have given proper and timely notice in writing to the Corporate Secretary of the Company at 485C Route 1 South, Suite 400, Iselin, New Jersey 08830-0452.</w:t>
      </w:r>
    </w:p>
    <w:p>
      <w:pPr>
        <w:spacing w:after="0" w:line="89" w:lineRule="exact"/>
        <w:rPr>
          <w:sz w:val="20"/>
          <w:szCs w:val="20"/>
          <w:color w:val="auto"/>
        </w:rPr>
      </w:pPr>
    </w:p>
    <w:p>
      <w:pPr>
        <w:ind w:left="2"/>
        <w:spacing w:after="0"/>
        <w:rPr>
          <w:sz w:val="20"/>
          <w:szCs w:val="20"/>
          <w:color w:val="auto"/>
        </w:rPr>
      </w:pPr>
      <w:r>
        <w:rPr>
          <w:rFonts w:ascii="Arial" w:cs="Arial" w:eastAsia="Arial" w:hAnsi="Arial"/>
          <w:sz w:val="16"/>
          <w:szCs w:val="16"/>
          <w:color w:val="auto"/>
        </w:rPr>
        <w:t>A shareholder’s notice to the Corporate Secretary must set forth as to each matter the shareholder proposes to bring before the Annual Meeting:</w:t>
      </w:r>
    </w:p>
    <w:p>
      <w:pPr>
        <w:spacing w:after="0" w:line="136" w:lineRule="exact"/>
        <w:rPr>
          <w:sz w:val="20"/>
          <w:szCs w:val="20"/>
          <w:color w:val="auto"/>
        </w:rPr>
      </w:pPr>
    </w:p>
    <w:p>
      <w:pPr>
        <w:ind w:left="262" w:hanging="262"/>
        <w:spacing w:after="0"/>
        <w:tabs>
          <w:tab w:leader="none" w:pos="262" w:val="left"/>
        </w:tabs>
        <w:numPr>
          <w:ilvl w:val="0"/>
          <w:numId w:val="30"/>
        </w:numPr>
        <w:rPr>
          <w:rFonts w:ascii="Arial" w:cs="Arial" w:eastAsia="Arial" w:hAnsi="Arial"/>
          <w:sz w:val="13"/>
          <w:szCs w:val="13"/>
          <w:color w:val="auto"/>
        </w:rPr>
      </w:pPr>
      <w:r>
        <w:rPr>
          <w:rFonts w:ascii="Arial" w:cs="Arial" w:eastAsia="Arial" w:hAnsi="Arial"/>
          <w:sz w:val="16"/>
          <w:szCs w:val="16"/>
          <w:color w:val="auto"/>
        </w:rPr>
        <w:t>a brief description of the matter desired to be brought before the Annual Meeting and reasons for conducting such business at the Annual Meeting,</w:t>
      </w:r>
    </w:p>
    <w:p>
      <w:pPr>
        <w:spacing w:after="0" w:line="74" w:lineRule="exact"/>
        <w:rPr>
          <w:rFonts w:ascii="Arial" w:cs="Arial" w:eastAsia="Arial" w:hAnsi="Arial"/>
          <w:sz w:val="13"/>
          <w:szCs w:val="13"/>
          <w:color w:val="auto"/>
        </w:rPr>
      </w:pPr>
    </w:p>
    <w:p>
      <w:pPr>
        <w:ind w:left="262" w:hanging="262"/>
        <w:spacing w:after="0"/>
        <w:tabs>
          <w:tab w:leader="none" w:pos="262" w:val="left"/>
        </w:tabs>
        <w:numPr>
          <w:ilvl w:val="0"/>
          <w:numId w:val="30"/>
        </w:numPr>
        <w:rPr>
          <w:rFonts w:ascii="Arial" w:cs="Arial" w:eastAsia="Arial" w:hAnsi="Arial"/>
          <w:sz w:val="13"/>
          <w:szCs w:val="13"/>
          <w:color w:val="auto"/>
        </w:rPr>
      </w:pPr>
      <w:r>
        <w:rPr>
          <w:rFonts w:ascii="Arial" w:cs="Arial" w:eastAsia="Arial" w:hAnsi="Arial"/>
          <w:sz w:val="16"/>
          <w:szCs w:val="16"/>
          <w:color w:val="auto"/>
        </w:rPr>
        <w:t>the name and address, as they appear in the Company’s records, of the shareholder proposing such business,</w:t>
      </w:r>
    </w:p>
    <w:p>
      <w:pPr>
        <w:spacing w:after="0" w:line="74" w:lineRule="exact"/>
        <w:rPr>
          <w:rFonts w:ascii="Arial" w:cs="Arial" w:eastAsia="Arial" w:hAnsi="Arial"/>
          <w:sz w:val="13"/>
          <w:szCs w:val="13"/>
          <w:color w:val="auto"/>
        </w:rPr>
      </w:pPr>
    </w:p>
    <w:p>
      <w:pPr>
        <w:ind w:left="242" w:hanging="242"/>
        <w:spacing w:after="0"/>
        <w:tabs>
          <w:tab w:leader="none" w:pos="242" w:val="left"/>
        </w:tabs>
        <w:numPr>
          <w:ilvl w:val="0"/>
          <w:numId w:val="30"/>
        </w:numPr>
        <w:rPr>
          <w:rFonts w:ascii="Arial" w:cs="Arial" w:eastAsia="Arial" w:hAnsi="Arial"/>
          <w:sz w:val="13"/>
          <w:szCs w:val="13"/>
          <w:color w:val="auto"/>
        </w:rPr>
      </w:pPr>
      <w:r>
        <w:rPr>
          <w:rFonts w:ascii="Arial" w:cs="Arial" w:eastAsia="Arial" w:hAnsi="Arial"/>
          <w:sz w:val="16"/>
          <w:szCs w:val="16"/>
          <w:color w:val="auto"/>
        </w:rPr>
        <w:t>the class and number of shares of the Company which are beneficially owned by the shareholder and</w:t>
      </w:r>
    </w:p>
    <w:p>
      <w:pPr>
        <w:spacing w:after="0" w:line="62" w:lineRule="exact"/>
        <w:rPr>
          <w:rFonts w:ascii="Arial" w:cs="Arial" w:eastAsia="Arial" w:hAnsi="Arial"/>
          <w:sz w:val="13"/>
          <w:szCs w:val="13"/>
          <w:color w:val="auto"/>
        </w:rPr>
      </w:pPr>
    </w:p>
    <w:p>
      <w:pPr>
        <w:ind w:left="262" w:hanging="262"/>
        <w:spacing w:after="0"/>
        <w:tabs>
          <w:tab w:leader="none" w:pos="262" w:val="left"/>
        </w:tabs>
        <w:numPr>
          <w:ilvl w:val="0"/>
          <w:numId w:val="30"/>
        </w:numPr>
        <w:rPr>
          <w:rFonts w:ascii="Arial" w:cs="Arial" w:eastAsia="Arial" w:hAnsi="Arial"/>
          <w:sz w:val="13"/>
          <w:szCs w:val="13"/>
          <w:color w:val="auto"/>
        </w:rPr>
      </w:pPr>
      <w:r>
        <w:rPr>
          <w:rFonts w:ascii="Arial" w:cs="Arial" w:eastAsia="Arial" w:hAnsi="Arial"/>
          <w:sz w:val="16"/>
          <w:szCs w:val="16"/>
          <w:color w:val="auto"/>
        </w:rPr>
        <w:t>any material interest of the shareholder in such business.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 w:type="dxa"/>
        <w:tblCellMar>
          <w:top w:w="0" w:type="dxa"/>
          <w:left w:w="0" w:type="dxa"/>
          <w:bottom w:w="0" w:type="dxa"/>
          <w:right w:w="0" w:type="dxa"/>
        </w:tblCellMar>
      </w:tblPr>
      <w:tr>
        <w:trPr>
          <w:trHeight w:val="209"/>
        </w:trPr>
        <w:tc>
          <w:tcPr>
            <w:tcW w:w="10860" w:type="dxa"/>
            <w:vAlign w:val="bottom"/>
            <w:tcBorders>
              <w:right w:val="single" w:sz="8" w:color="00AEEF"/>
            </w:tcBorders>
          </w:tcPr>
          <w:p>
            <w:pPr>
              <w:ind w:left="94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23</w:t>
            </w:r>
          </w:p>
        </w:tc>
      </w:tr>
      <w:tr>
        <w:trPr>
          <w:trHeight w:val="312"/>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-27940</wp:posOffset>
            </wp:positionV>
            <wp:extent cx="33020"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2"/>
          </w:cols>
          <w:pgMar w:left="318" w:top="124" w:right="339" w:bottom="1440" w:gutter="0" w:footer="0" w:header="0"/>
        </w:sectPr>
      </w:pPr>
    </w:p>
    <w:bookmarkStart w:id="25" w:name="page26"/>
    <w:bookmarkEnd w:id="25"/>
    <w:p>
      <w:pPr>
        <w:ind w:left="2"/>
        <w:spacing w:after="0"/>
        <w:rPr>
          <w:sz w:val="20"/>
          <w:szCs w:val="20"/>
          <w:color w:val="auto"/>
        </w:rPr>
      </w:pPr>
      <w:r>
        <w:rPr>
          <w:rFonts w:ascii="Arial" w:cs="Arial" w:eastAsia="Arial" w:hAnsi="Arial"/>
          <w:sz w:val="14"/>
          <w:szCs w:val="14"/>
          <w:b w:val="1"/>
          <w:bCs w:val="1"/>
          <w:color w:val="191769"/>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
        <w:spacing w:after="0"/>
        <w:rPr>
          <w:sz w:val="20"/>
          <w:szCs w:val="20"/>
          <w:color w:val="auto"/>
        </w:rPr>
      </w:pPr>
      <w:r>
        <w:rPr>
          <w:rFonts w:ascii="Arial" w:cs="Arial" w:eastAsia="Arial" w:hAnsi="Arial"/>
          <w:sz w:val="36"/>
          <w:szCs w:val="36"/>
          <w:b w:val="1"/>
          <w:bCs w:val="1"/>
          <w:color w:val="0076A8"/>
        </w:rPr>
        <w:t>Shareholder Engagement</w:t>
      </w:r>
    </w:p>
    <w:p>
      <w:pPr>
        <w:spacing w:after="0" w:line="104" w:lineRule="exact"/>
        <w:rPr>
          <w:sz w:val="20"/>
          <w:szCs w:val="20"/>
          <w:color w:val="auto"/>
        </w:rPr>
      </w:pPr>
    </w:p>
    <w:p>
      <w:pPr>
        <w:ind w:left="2" w:right="320"/>
        <w:spacing w:after="0" w:line="283" w:lineRule="auto"/>
        <w:rPr>
          <w:sz w:val="20"/>
          <w:szCs w:val="20"/>
          <w:color w:val="auto"/>
        </w:rPr>
      </w:pPr>
      <w:r>
        <w:rPr>
          <w:rFonts w:ascii="Arial" w:cs="Arial" w:eastAsia="Arial" w:hAnsi="Arial"/>
          <w:sz w:val="16"/>
          <w:szCs w:val="16"/>
          <w:color w:val="auto"/>
        </w:rPr>
        <w:t>We welcome the opportunity to engage with our shareholders to share our perspectives on and obtain their feedback on matters of mutual interest. We engage with the shareholders throughout the year to:</w:t>
      </w:r>
    </w:p>
    <w:p>
      <w:pPr>
        <w:spacing w:after="0" w:line="71" w:lineRule="exact"/>
        <w:rPr>
          <w:sz w:val="20"/>
          <w:szCs w:val="20"/>
          <w:color w:val="auto"/>
        </w:rPr>
      </w:pPr>
    </w:p>
    <w:p>
      <w:pPr>
        <w:ind w:left="162" w:hanging="162"/>
        <w:spacing w:after="0"/>
        <w:tabs>
          <w:tab w:leader="none" w:pos="162"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Provide visibility and transparency into our business, financial and operational performance.</w:t>
      </w:r>
    </w:p>
    <w:p>
      <w:pPr>
        <w:spacing w:after="0" w:line="74" w:lineRule="exact"/>
        <w:rPr>
          <w:rFonts w:ascii="Arial" w:cs="Arial" w:eastAsia="Arial" w:hAnsi="Arial"/>
          <w:sz w:val="16"/>
          <w:szCs w:val="16"/>
          <w:b w:val="1"/>
          <w:bCs w:val="1"/>
          <w:color w:val="auto"/>
        </w:rPr>
      </w:pPr>
    </w:p>
    <w:p>
      <w:pPr>
        <w:ind w:left="162" w:hanging="162"/>
        <w:spacing w:after="0"/>
        <w:tabs>
          <w:tab w:leader="none" w:pos="162"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Learn from our shareholders what issues are most important to them and to hear our views on those issues.</w:t>
      </w:r>
    </w:p>
    <w:p>
      <w:pPr>
        <w:spacing w:after="0" w:line="62" w:lineRule="exact"/>
        <w:rPr>
          <w:rFonts w:ascii="Arial" w:cs="Arial" w:eastAsia="Arial" w:hAnsi="Arial"/>
          <w:sz w:val="16"/>
          <w:szCs w:val="16"/>
          <w:b w:val="1"/>
          <w:bCs w:val="1"/>
          <w:color w:val="auto"/>
        </w:rPr>
      </w:pPr>
    </w:p>
    <w:p>
      <w:pPr>
        <w:ind w:left="162" w:hanging="162"/>
        <w:spacing w:after="0"/>
        <w:tabs>
          <w:tab w:leader="none" w:pos="162"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Share our perspective on Company and industry developments and regulatory impacts.</w:t>
      </w:r>
    </w:p>
    <w:p>
      <w:pPr>
        <w:spacing w:after="0" w:line="74" w:lineRule="exact"/>
        <w:rPr>
          <w:rFonts w:ascii="Arial" w:cs="Arial" w:eastAsia="Arial" w:hAnsi="Arial"/>
          <w:sz w:val="16"/>
          <w:szCs w:val="16"/>
          <w:b w:val="1"/>
          <w:bCs w:val="1"/>
          <w:color w:val="auto"/>
        </w:rPr>
      </w:pPr>
    </w:p>
    <w:p>
      <w:pPr>
        <w:ind w:left="162" w:hanging="162"/>
        <w:spacing w:after="0"/>
        <w:tabs>
          <w:tab w:leader="none" w:pos="162"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Discuss and seek feedback on our corporate governance policies and practices as well as emerging trends.</w:t>
      </w:r>
    </w:p>
    <w:p>
      <w:pPr>
        <w:spacing w:after="0" w:line="74" w:lineRule="exact"/>
        <w:rPr>
          <w:rFonts w:ascii="Arial" w:cs="Arial" w:eastAsia="Arial" w:hAnsi="Arial"/>
          <w:sz w:val="16"/>
          <w:szCs w:val="16"/>
          <w:b w:val="1"/>
          <w:bCs w:val="1"/>
          <w:color w:val="auto"/>
        </w:rPr>
      </w:pPr>
    </w:p>
    <w:p>
      <w:pPr>
        <w:ind w:left="162" w:hanging="162"/>
        <w:spacing w:after="0"/>
        <w:tabs>
          <w:tab w:leader="none" w:pos="162"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Share our sustainability updates.</w:t>
      </w:r>
    </w:p>
    <w:p>
      <w:pPr>
        <w:spacing w:after="0" w:line="62" w:lineRule="exact"/>
        <w:rPr>
          <w:rFonts w:ascii="Arial" w:cs="Arial" w:eastAsia="Arial" w:hAnsi="Arial"/>
          <w:sz w:val="16"/>
          <w:szCs w:val="16"/>
          <w:b w:val="1"/>
          <w:bCs w:val="1"/>
          <w:color w:val="auto"/>
        </w:rPr>
      </w:pPr>
    </w:p>
    <w:p>
      <w:pPr>
        <w:ind w:left="162" w:hanging="162"/>
        <w:spacing w:after="0"/>
        <w:tabs>
          <w:tab w:leader="none" w:pos="162"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Seek feedback on our communications and disclosures to investors.</w:t>
      </w:r>
    </w:p>
    <w:p>
      <w:pPr>
        <w:spacing w:after="0" w:line="173" w:lineRule="exact"/>
        <w:rPr>
          <w:sz w:val="20"/>
          <w:szCs w:val="20"/>
          <w:color w:val="auto"/>
        </w:rPr>
      </w:pPr>
    </w:p>
    <w:p>
      <w:pPr>
        <w:ind w:left="2" w:right="180"/>
        <w:spacing w:after="0" w:line="255" w:lineRule="auto"/>
        <w:rPr>
          <w:sz w:val="20"/>
          <w:szCs w:val="20"/>
          <w:color w:val="auto"/>
        </w:rPr>
      </w:pPr>
      <w:r>
        <w:rPr>
          <w:rFonts w:ascii="Arial" w:cs="Arial" w:eastAsia="Arial" w:hAnsi="Arial"/>
          <w:sz w:val="16"/>
          <w:szCs w:val="16"/>
          <w:color w:val="auto"/>
        </w:rPr>
        <w:t>We approach shareholder engagement as an integrated, year-round process involving the Chief Executive Officer, the Chief Financial Officer and our Investor Relations team. Throughout the year, we had dialogue with analysts, investors and others to inform and share our perspective and to solicit their feedback on our performance. This includes participation in in person and virtual investor conferences, group and one-on-one meetings as well as our virtual annual shareholder meeting. We also share information in our Annual Report and Proxy Statement, press releases, SEC filings, on our corporate and transfer agent website as well as in our Corporate Sustainability Report.</w:t>
      </w:r>
    </w:p>
    <w:p>
      <w:pPr>
        <w:spacing w:after="0" w:line="130" w:lineRule="exact"/>
        <w:rPr>
          <w:sz w:val="20"/>
          <w:szCs w:val="20"/>
          <w:color w:val="auto"/>
        </w:rPr>
      </w:pPr>
    </w:p>
    <w:p>
      <w:pPr>
        <w:jc w:val="both"/>
        <w:ind w:left="2" w:right="80"/>
        <w:spacing w:after="0" w:line="270" w:lineRule="auto"/>
        <w:rPr>
          <w:sz w:val="20"/>
          <w:szCs w:val="20"/>
          <w:color w:val="auto"/>
        </w:rPr>
      </w:pPr>
      <w:r>
        <w:rPr>
          <w:rFonts w:ascii="Arial" w:cs="Arial" w:eastAsia="Arial" w:hAnsi="Arial"/>
          <w:sz w:val="16"/>
          <w:szCs w:val="16"/>
          <w:color w:val="auto"/>
        </w:rPr>
        <w:t>During 2025, our discussions with debt and equity investors were primarily focused on our MWC2030 strategy and our five pillars, employee engagement, operational excellence, customer experience, stakeholder management and selective and sustainable growth; regulatory proceedings; capital investment; and environmental compliance.</w:t>
      </w:r>
    </w:p>
    <w:p>
      <w:pPr>
        <w:spacing w:after="0" w:line="203" w:lineRule="exact"/>
        <w:rPr>
          <w:sz w:val="20"/>
          <w:szCs w:val="20"/>
          <w:color w:val="auto"/>
        </w:rPr>
      </w:pPr>
    </w:p>
    <w:p>
      <w:pPr>
        <w:ind w:left="2"/>
        <w:spacing w:after="0"/>
        <w:rPr>
          <w:sz w:val="20"/>
          <w:szCs w:val="20"/>
          <w:color w:val="auto"/>
        </w:rPr>
      </w:pPr>
      <w:r>
        <w:rPr>
          <w:rFonts w:ascii="Arial" w:cs="Arial" w:eastAsia="Arial" w:hAnsi="Arial"/>
          <w:sz w:val="36"/>
          <w:szCs w:val="36"/>
          <w:b w:val="1"/>
          <w:bCs w:val="1"/>
          <w:color w:val="0076A8"/>
        </w:rPr>
        <w:t>Committees of the Board</w:t>
      </w:r>
    </w:p>
    <w:p>
      <w:pPr>
        <w:spacing w:after="0" w:line="104" w:lineRule="exact"/>
        <w:rPr>
          <w:sz w:val="20"/>
          <w:szCs w:val="20"/>
          <w:color w:val="auto"/>
        </w:rPr>
      </w:pPr>
    </w:p>
    <w:p>
      <w:pPr>
        <w:ind w:left="2" w:right="60"/>
        <w:spacing w:after="0" w:line="260" w:lineRule="auto"/>
        <w:rPr>
          <w:sz w:val="20"/>
          <w:szCs w:val="20"/>
          <w:color w:val="auto"/>
        </w:rPr>
      </w:pPr>
      <w:r>
        <w:rPr>
          <w:rFonts w:ascii="Arial" w:cs="Arial" w:eastAsia="Arial" w:hAnsi="Arial"/>
          <w:sz w:val="16"/>
          <w:szCs w:val="16"/>
          <w:color w:val="auto"/>
        </w:rPr>
        <w:t>The Board maintains standing committees to assist with the performance of its responsibilities. The number, structure and function of Board Committees are reviewed periodically by the Corporate Governance and Nominating Committee. The Committees regularly report to the Board on their deliberations. The Committees also bring to the Board for consideration those matters and decisions which the Committees judge to be of significance and which require full Board approval. The table shown below provides information on Board committee membership for the year 2025.</w:t>
      </w:r>
    </w:p>
    <w:p>
      <w:pPr>
        <w:spacing w:after="0" w:line="49" w:lineRule="exact"/>
        <w:rPr>
          <w:sz w:val="20"/>
          <w:szCs w:val="20"/>
          <w:color w:val="auto"/>
        </w:rPr>
      </w:pPr>
    </w:p>
    <w:tbl>
      <w:tblPr>
        <w:tblLayout w:type="fixed"/>
        <w:tblInd w:w="2" w:type="dxa"/>
        <w:tblCellMar>
          <w:top w:w="0" w:type="dxa"/>
          <w:left w:w="0" w:type="dxa"/>
          <w:bottom w:w="0" w:type="dxa"/>
          <w:right w:w="0" w:type="dxa"/>
        </w:tblCellMar>
      </w:tblPr>
      <w:tr>
        <w:trPr>
          <w:trHeight w:val="160"/>
        </w:trPr>
        <w:tc>
          <w:tcPr>
            <w:tcW w:w="31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3"/>
                <w:szCs w:val="13"/>
                <w:b w:val="1"/>
                <w:bCs w:val="1"/>
                <w:color w:val="191769"/>
              </w:rPr>
              <w:t>Corporate</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191769"/>
              </w:rPr>
              <w:t>Enterprise</w:t>
            </w:r>
          </w:p>
        </w:tc>
        <w:tc>
          <w:tcPr>
            <w:tcW w:w="1060" w:type="dxa"/>
            <w:vAlign w:val="bottom"/>
          </w:tcPr>
          <w:p>
            <w:pPr>
              <w:spacing w:after="0"/>
              <w:rPr>
                <w:sz w:val="13"/>
                <w:szCs w:val="13"/>
                <w:color w:val="auto"/>
              </w:rPr>
            </w:pPr>
          </w:p>
        </w:tc>
      </w:tr>
      <w:tr>
        <w:trPr>
          <w:trHeight w:val="186"/>
        </w:trPr>
        <w:tc>
          <w:tcPr>
            <w:tcW w:w="3140" w:type="dxa"/>
            <w:vAlign w:val="bottom"/>
            <w:tcBorders>
              <w:bottom w:val="single" w:sz="8" w:color="00AEEF"/>
            </w:tcBorders>
          </w:tcPr>
          <w:p>
            <w:pPr>
              <w:ind w:left="20"/>
              <w:spacing w:after="0"/>
              <w:rPr>
                <w:sz w:val="20"/>
                <w:szCs w:val="20"/>
                <w:color w:val="auto"/>
              </w:rPr>
            </w:pPr>
            <w:r>
              <w:rPr>
                <w:rFonts w:ascii="Arial" w:cs="Arial" w:eastAsia="Arial" w:hAnsi="Arial"/>
                <w:sz w:val="13"/>
                <w:szCs w:val="13"/>
                <w:b w:val="1"/>
                <w:bCs w:val="1"/>
                <w:color w:val="191769"/>
              </w:rPr>
              <w:t>Name</w:t>
            </w:r>
          </w:p>
        </w:tc>
        <w:tc>
          <w:tcPr>
            <w:tcW w:w="1860" w:type="dxa"/>
            <w:vAlign w:val="bottom"/>
            <w:tcBorders>
              <w:bottom w:val="single" w:sz="8" w:color="00AEEF"/>
            </w:tcBorders>
          </w:tcPr>
          <w:p>
            <w:pPr>
              <w:jc w:val="center"/>
              <w:ind w:left="878"/>
              <w:spacing w:after="0"/>
              <w:rPr>
                <w:sz w:val="20"/>
                <w:szCs w:val="20"/>
                <w:color w:val="auto"/>
              </w:rPr>
            </w:pPr>
            <w:r>
              <w:rPr>
                <w:rFonts w:ascii="Arial" w:cs="Arial" w:eastAsia="Arial" w:hAnsi="Arial"/>
                <w:sz w:val="13"/>
                <w:szCs w:val="13"/>
                <w:b w:val="1"/>
                <w:bCs w:val="1"/>
                <w:color w:val="191769"/>
              </w:rPr>
              <w:t>Audit</w:t>
            </w:r>
          </w:p>
        </w:tc>
        <w:tc>
          <w:tcPr>
            <w:tcW w:w="1540" w:type="dxa"/>
            <w:vAlign w:val="bottom"/>
            <w:tcBorders>
              <w:bottom w:val="single" w:sz="8" w:color="00AEEF"/>
            </w:tcBorders>
          </w:tcPr>
          <w:p>
            <w:pPr>
              <w:jc w:val="center"/>
              <w:ind w:right="18"/>
              <w:spacing w:after="0"/>
              <w:rPr>
                <w:sz w:val="20"/>
                <w:szCs w:val="20"/>
                <w:color w:val="auto"/>
              </w:rPr>
            </w:pPr>
            <w:r>
              <w:rPr>
                <w:rFonts w:ascii="Arial" w:cs="Arial" w:eastAsia="Arial" w:hAnsi="Arial"/>
                <w:sz w:val="13"/>
                <w:szCs w:val="13"/>
                <w:b w:val="1"/>
                <w:bCs w:val="1"/>
                <w:color w:val="191769"/>
              </w:rPr>
              <w:t>Compensation</w:t>
            </w:r>
          </w:p>
        </w:tc>
        <w:tc>
          <w:tcPr>
            <w:tcW w:w="2360" w:type="dxa"/>
            <w:vAlign w:val="bottom"/>
            <w:tcBorders>
              <w:bottom w:val="single" w:sz="8" w:color="00AEEF"/>
            </w:tcBorders>
          </w:tcPr>
          <w:p>
            <w:pPr>
              <w:jc w:val="center"/>
              <w:spacing w:after="0"/>
              <w:rPr>
                <w:sz w:val="20"/>
                <w:szCs w:val="20"/>
                <w:color w:val="auto"/>
              </w:rPr>
            </w:pPr>
            <w:r>
              <w:rPr>
                <w:rFonts w:ascii="Arial" w:cs="Arial" w:eastAsia="Arial" w:hAnsi="Arial"/>
                <w:sz w:val="13"/>
                <w:szCs w:val="13"/>
                <w:b w:val="1"/>
                <w:bCs w:val="1"/>
                <w:color w:val="191769"/>
              </w:rPr>
              <w:t>Governance &amp; Nominating</w:t>
            </w:r>
          </w:p>
        </w:tc>
        <w:tc>
          <w:tcPr>
            <w:tcW w:w="1280" w:type="dxa"/>
            <w:vAlign w:val="bottom"/>
            <w:tcBorders>
              <w:bottom w:val="single" w:sz="8" w:color="00AEEF"/>
            </w:tcBorders>
          </w:tcPr>
          <w:p>
            <w:pPr>
              <w:jc w:val="center"/>
              <w:spacing w:after="0"/>
              <w:rPr>
                <w:sz w:val="20"/>
                <w:szCs w:val="20"/>
                <w:color w:val="auto"/>
              </w:rPr>
            </w:pPr>
            <w:r>
              <w:rPr>
                <w:rFonts w:ascii="Arial" w:cs="Arial" w:eastAsia="Arial" w:hAnsi="Arial"/>
                <w:sz w:val="13"/>
                <w:szCs w:val="13"/>
                <w:b w:val="1"/>
                <w:bCs w:val="1"/>
                <w:color w:val="191769"/>
                <w:w w:val="94"/>
              </w:rPr>
              <w:t>Risk</w:t>
            </w:r>
          </w:p>
        </w:tc>
        <w:tc>
          <w:tcPr>
            <w:tcW w:w="1060" w:type="dxa"/>
            <w:vAlign w:val="bottom"/>
            <w:tcBorders>
              <w:bottom w:val="single" w:sz="8" w:color="00AEEF"/>
            </w:tcBorders>
          </w:tcPr>
          <w:p>
            <w:pPr>
              <w:jc w:val="center"/>
              <w:spacing w:after="0"/>
              <w:rPr>
                <w:sz w:val="20"/>
                <w:szCs w:val="20"/>
                <w:color w:val="auto"/>
              </w:rPr>
            </w:pPr>
            <w:r>
              <w:rPr>
                <w:rFonts w:ascii="Arial" w:cs="Arial" w:eastAsia="Arial" w:hAnsi="Arial"/>
                <w:sz w:val="13"/>
                <w:szCs w:val="13"/>
                <w:b w:val="1"/>
                <w:bCs w:val="1"/>
                <w:color w:val="191769"/>
                <w:w w:val="98"/>
              </w:rPr>
              <w:t>Pension</w:t>
            </w:r>
          </w:p>
        </w:tc>
      </w:tr>
      <w:tr>
        <w:trPr>
          <w:trHeight w:val="248"/>
        </w:trPr>
        <w:tc>
          <w:tcPr>
            <w:tcW w:w="3140" w:type="dxa"/>
            <w:vAlign w:val="bottom"/>
          </w:tcPr>
          <w:p>
            <w:pPr>
              <w:ind w:left="20"/>
              <w:spacing w:after="0"/>
              <w:rPr>
                <w:sz w:val="20"/>
                <w:szCs w:val="20"/>
                <w:color w:val="auto"/>
              </w:rPr>
            </w:pPr>
            <w:r>
              <w:rPr>
                <w:rFonts w:ascii="Arial" w:cs="Arial" w:eastAsia="Arial" w:hAnsi="Arial"/>
                <w:sz w:val="16"/>
                <w:szCs w:val="16"/>
                <w:b w:val="1"/>
                <w:bCs w:val="1"/>
                <w:color w:val="191769"/>
              </w:rPr>
              <w:t>Joshua Bershad, M.D.</w:t>
            </w:r>
          </w:p>
        </w:tc>
        <w:tc>
          <w:tcPr>
            <w:tcW w:w="1860" w:type="dxa"/>
            <w:vAlign w:val="bottom"/>
          </w:tcPr>
          <w:p>
            <w:pPr>
              <w:jc w:val="center"/>
              <w:ind w:left="878"/>
              <w:spacing w:after="0"/>
              <w:rPr>
                <w:sz w:val="20"/>
                <w:szCs w:val="20"/>
                <w:color w:val="auto"/>
              </w:rPr>
            </w:pPr>
            <w:r>
              <w:rPr>
                <w:rFonts w:ascii="Wingdings" w:cs="Wingdings" w:eastAsia="Wingdings" w:hAnsi="Wingdings"/>
                <w:sz w:val="16"/>
                <w:szCs w:val="16"/>
                <w:b w:val="1"/>
                <w:bCs w:val="1"/>
                <w:color w:val="191769"/>
                <w:w w:val="97"/>
              </w:rPr>
              <w:t>¡</w:t>
            </w:r>
          </w:p>
        </w:tc>
        <w:tc>
          <w:tcPr>
            <w:tcW w:w="1540" w:type="dxa"/>
            <w:vAlign w:val="bottom"/>
          </w:tcPr>
          <w:p>
            <w:pPr>
              <w:jc w:val="center"/>
              <w:ind w:right="18"/>
              <w:spacing w:after="0"/>
              <w:rPr>
                <w:sz w:val="20"/>
                <w:szCs w:val="20"/>
                <w:color w:val="auto"/>
              </w:rPr>
            </w:pPr>
            <w:r>
              <w:rPr>
                <w:rFonts w:ascii="Wingdings" w:cs="Wingdings" w:eastAsia="Wingdings" w:hAnsi="Wingdings"/>
                <w:sz w:val="20"/>
                <w:szCs w:val="20"/>
                <w:b w:val="1"/>
                <w:bCs w:val="1"/>
                <w:color w:val="00AEEF"/>
              </w:rPr>
              <w:t>l</w:t>
            </w:r>
          </w:p>
        </w:tc>
        <w:tc>
          <w:tcPr>
            <w:tcW w:w="2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34"/>
        </w:trPr>
        <w:tc>
          <w:tcPr>
            <w:tcW w:w="3140" w:type="dxa"/>
            <w:vAlign w:val="bottom"/>
            <w:tcBorders>
              <w:bottom w:val="single" w:sz="8" w:color="D9D9D9"/>
            </w:tcBorders>
          </w:tcPr>
          <w:p>
            <w:pPr>
              <w:spacing w:after="0"/>
              <w:rPr>
                <w:sz w:val="2"/>
                <w:szCs w:val="2"/>
                <w:color w:val="auto"/>
              </w:rPr>
            </w:pPr>
          </w:p>
        </w:tc>
        <w:tc>
          <w:tcPr>
            <w:tcW w:w="1860" w:type="dxa"/>
            <w:vAlign w:val="bottom"/>
            <w:tcBorders>
              <w:bottom w:val="single" w:sz="8" w:color="D9D9D9"/>
            </w:tcBorders>
          </w:tcPr>
          <w:p>
            <w:pPr>
              <w:spacing w:after="0"/>
              <w:rPr>
                <w:sz w:val="2"/>
                <w:szCs w:val="2"/>
                <w:color w:val="auto"/>
              </w:rPr>
            </w:pPr>
          </w:p>
        </w:tc>
        <w:tc>
          <w:tcPr>
            <w:tcW w:w="1540" w:type="dxa"/>
            <w:vAlign w:val="bottom"/>
            <w:tcBorders>
              <w:bottom w:val="single" w:sz="8" w:color="D9D9D9"/>
            </w:tcBorders>
          </w:tcPr>
          <w:p>
            <w:pPr>
              <w:spacing w:after="0"/>
              <w:rPr>
                <w:sz w:val="2"/>
                <w:szCs w:val="2"/>
                <w:color w:val="auto"/>
              </w:rPr>
            </w:pPr>
          </w:p>
        </w:tc>
        <w:tc>
          <w:tcPr>
            <w:tcW w:w="2360" w:type="dxa"/>
            <w:vAlign w:val="bottom"/>
            <w:tcBorders>
              <w:bottom w:val="single" w:sz="8" w:color="D9D9D9"/>
            </w:tcBorders>
          </w:tcPr>
          <w:p>
            <w:pPr>
              <w:spacing w:after="0"/>
              <w:rPr>
                <w:sz w:val="2"/>
                <w:szCs w:val="2"/>
                <w:color w:val="auto"/>
              </w:rPr>
            </w:pPr>
          </w:p>
        </w:tc>
        <w:tc>
          <w:tcPr>
            <w:tcW w:w="1280" w:type="dxa"/>
            <w:vAlign w:val="bottom"/>
            <w:tcBorders>
              <w:bottom w:val="single" w:sz="8" w:color="D9D9D9"/>
            </w:tcBorders>
          </w:tcPr>
          <w:p>
            <w:pPr>
              <w:spacing w:after="0"/>
              <w:rPr>
                <w:sz w:val="2"/>
                <w:szCs w:val="2"/>
                <w:color w:val="auto"/>
              </w:rPr>
            </w:pPr>
          </w:p>
        </w:tc>
        <w:tc>
          <w:tcPr>
            <w:tcW w:w="1060" w:type="dxa"/>
            <w:vAlign w:val="bottom"/>
            <w:tcBorders>
              <w:bottom w:val="single" w:sz="8" w:color="D9D9D9"/>
            </w:tcBorders>
          </w:tcPr>
          <w:p>
            <w:pPr>
              <w:spacing w:after="0"/>
              <w:rPr>
                <w:sz w:val="2"/>
                <w:szCs w:val="2"/>
                <w:color w:val="auto"/>
              </w:rPr>
            </w:pPr>
          </w:p>
        </w:tc>
      </w:tr>
      <w:tr>
        <w:trPr>
          <w:trHeight w:val="242"/>
        </w:trPr>
        <w:tc>
          <w:tcPr>
            <w:tcW w:w="3140" w:type="dxa"/>
            <w:vAlign w:val="bottom"/>
          </w:tcPr>
          <w:p>
            <w:pPr>
              <w:ind w:left="20"/>
              <w:spacing w:after="0"/>
              <w:rPr>
                <w:sz w:val="20"/>
                <w:szCs w:val="20"/>
                <w:color w:val="auto"/>
              </w:rPr>
            </w:pPr>
            <w:r>
              <w:rPr>
                <w:rFonts w:ascii="Arial" w:cs="Arial" w:eastAsia="Arial" w:hAnsi="Arial"/>
                <w:sz w:val="16"/>
                <w:szCs w:val="16"/>
                <w:b w:val="1"/>
                <w:bCs w:val="1"/>
                <w:color w:val="191769"/>
              </w:rPr>
              <w:t>James F. Cosgrove, Jr.</w:t>
            </w:r>
          </w:p>
        </w:tc>
        <w:tc>
          <w:tcPr>
            <w:tcW w:w="1860" w:type="dxa"/>
            <w:vAlign w:val="bottom"/>
          </w:tcPr>
          <w:p>
            <w:pPr>
              <w:spacing w:after="0"/>
              <w:rPr>
                <w:sz w:val="21"/>
                <w:szCs w:val="21"/>
                <w:color w:val="auto"/>
              </w:rPr>
            </w:pPr>
          </w:p>
        </w:tc>
        <w:tc>
          <w:tcPr>
            <w:tcW w:w="1540" w:type="dxa"/>
            <w:vAlign w:val="bottom"/>
          </w:tcPr>
          <w:p>
            <w:pPr>
              <w:jc w:val="center"/>
              <w:ind w:right="18"/>
              <w:spacing w:after="0"/>
              <w:rPr>
                <w:sz w:val="20"/>
                <w:szCs w:val="20"/>
                <w:color w:val="auto"/>
              </w:rPr>
            </w:pPr>
            <w:r>
              <w:rPr>
                <w:rFonts w:ascii="Wingdings" w:cs="Wingdings" w:eastAsia="Wingdings" w:hAnsi="Wingdings"/>
                <w:sz w:val="16"/>
                <w:szCs w:val="16"/>
                <w:b w:val="1"/>
                <w:bCs w:val="1"/>
                <w:color w:val="191769"/>
              </w:rPr>
              <w:t>¡</w:t>
            </w:r>
          </w:p>
        </w:tc>
        <w:tc>
          <w:tcPr>
            <w:tcW w:w="2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Wingdings" w:cs="Wingdings" w:eastAsia="Wingdings" w:hAnsi="Wingdings"/>
                <w:sz w:val="20"/>
                <w:szCs w:val="20"/>
                <w:b w:val="1"/>
                <w:bCs w:val="1"/>
                <w:color w:val="00AEEF"/>
                <w:w w:val="93"/>
              </w:rPr>
              <w:t>l</w:t>
            </w:r>
          </w:p>
        </w:tc>
      </w:tr>
      <w:tr>
        <w:trPr>
          <w:trHeight w:val="34"/>
        </w:trPr>
        <w:tc>
          <w:tcPr>
            <w:tcW w:w="3140" w:type="dxa"/>
            <w:vAlign w:val="bottom"/>
            <w:tcBorders>
              <w:bottom w:val="single" w:sz="8" w:color="D9D9D9"/>
            </w:tcBorders>
          </w:tcPr>
          <w:p>
            <w:pPr>
              <w:spacing w:after="0"/>
              <w:rPr>
                <w:sz w:val="2"/>
                <w:szCs w:val="2"/>
                <w:color w:val="auto"/>
              </w:rPr>
            </w:pPr>
          </w:p>
        </w:tc>
        <w:tc>
          <w:tcPr>
            <w:tcW w:w="1860" w:type="dxa"/>
            <w:vAlign w:val="bottom"/>
            <w:tcBorders>
              <w:bottom w:val="single" w:sz="8" w:color="D9D9D9"/>
            </w:tcBorders>
          </w:tcPr>
          <w:p>
            <w:pPr>
              <w:spacing w:after="0"/>
              <w:rPr>
                <w:sz w:val="2"/>
                <w:szCs w:val="2"/>
                <w:color w:val="auto"/>
              </w:rPr>
            </w:pPr>
          </w:p>
        </w:tc>
        <w:tc>
          <w:tcPr>
            <w:tcW w:w="1540" w:type="dxa"/>
            <w:vAlign w:val="bottom"/>
            <w:tcBorders>
              <w:bottom w:val="single" w:sz="8" w:color="D9D9D9"/>
            </w:tcBorders>
          </w:tcPr>
          <w:p>
            <w:pPr>
              <w:spacing w:after="0"/>
              <w:rPr>
                <w:sz w:val="2"/>
                <w:szCs w:val="2"/>
                <w:color w:val="auto"/>
              </w:rPr>
            </w:pPr>
          </w:p>
        </w:tc>
        <w:tc>
          <w:tcPr>
            <w:tcW w:w="2360" w:type="dxa"/>
            <w:vAlign w:val="bottom"/>
            <w:tcBorders>
              <w:bottom w:val="single" w:sz="8" w:color="D9D9D9"/>
            </w:tcBorders>
          </w:tcPr>
          <w:p>
            <w:pPr>
              <w:spacing w:after="0"/>
              <w:rPr>
                <w:sz w:val="2"/>
                <w:szCs w:val="2"/>
                <w:color w:val="auto"/>
              </w:rPr>
            </w:pPr>
          </w:p>
        </w:tc>
        <w:tc>
          <w:tcPr>
            <w:tcW w:w="1280" w:type="dxa"/>
            <w:vAlign w:val="bottom"/>
            <w:tcBorders>
              <w:bottom w:val="single" w:sz="8" w:color="D9D9D9"/>
            </w:tcBorders>
          </w:tcPr>
          <w:p>
            <w:pPr>
              <w:spacing w:after="0"/>
              <w:rPr>
                <w:sz w:val="2"/>
                <w:szCs w:val="2"/>
                <w:color w:val="auto"/>
              </w:rPr>
            </w:pPr>
          </w:p>
        </w:tc>
        <w:tc>
          <w:tcPr>
            <w:tcW w:w="1060" w:type="dxa"/>
            <w:vAlign w:val="bottom"/>
            <w:tcBorders>
              <w:bottom w:val="single" w:sz="8" w:color="D9D9D9"/>
            </w:tcBorders>
          </w:tcPr>
          <w:p>
            <w:pPr>
              <w:spacing w:after="0"/>
              <w:rPr>
                <w:sz w:val="2"/>
                <w:szCs w:val="2"/>
                <w:color w:val="auto"/>
              </w:rPr>
            </w:pPr>
          </w:p>
        </w:tc>
      </w:tr>
      <w:tr>
        <w:trPr>
          <w:trHeight w:val="242"/>
        </w:trPr>
        <w:tc>
          <w:tcPr>
            <w:tcW w:w="3140" w:type="dxa"/>
            <w:vAlign w:val="bottom"/>
          </w:tcPr>
          <w:p>
            <w:pPr>
              <w:ind w:left="20"/>
              <w:spacing w:after="0"/>
              <w:rPr>
                <w:sz w:val="20"/>
                <w:szCs w:val="20"/>
                <w:color w:val="auto"/>
              </w:rPr>
            </w:pPr>
            <w:r>
              <w:rPr>
                <w:rFonts w:ascii="Arial" w:cs="Arial" w:eastAsia="Arial" w:hAnsi="Arial"/>
                <w:sz w:val="16"/>
                <w:szCs w:val="16"/>
                <w:b w:val="1"/>
                <w:bCs w:val="1"/>
                <w:color w:val="191769"/>
              </w:rPr>
              <w:t>Kim C. Hanemann</w:t>
            </w:r>
          </w:p>
        </w:tc>
        <w:tc>
          <w:tcPr>
            <w:tcW w:w="1860" w:type="dxa"/>
            <w:vAlign w:val="bottom"/>
          </w:tcPr>
          <w:p>
            <w:pPr>
              <w:spacing w:after="0"/>
              <w:rPr>
                <w:sz w:val="21"/>
                <w:szCs w:val="21"/>
                <w:color w:val="auto"/>
              </w:rPr>
            </w:pPr>
          </w:p>
        </w:tc>
        <w:tc>
          <w:tcPr>
            <w:tcW w:w="1540" w:type="dxa"/>
            <w:vAlign w:val="bottom"/>
          </w:tcPr>
          <w:p>
            <w:pPr>
              <w:jc w:val="center"/>
              <w:ind w:right="18"/>
              <w:spacing w:after="0"/>
              <w:rPr>
                <w:sz w:val="20"/>
                <w:szCs w:val="20"/>
                <w:color w:val="auto"/>
              </w:rPr>
            </w:pPr>
            <w:r>
              <w:rPr>
                <w:rFonts w:ascii="Wingdings" w:cs="Wingdings" w:eastAsia="Wingdings" w:hAnsi="Wingdings"/>
                <w:sz w:val="16"/>
                <w:szCs w:val="16"/>
                <w:b w:val="1"/>
                <w:bCs w:val="1"/>
                <w:color w:val="191769"/>
              </w:rPr>
              <w:t>¡</w:t>
            </w:r>
          </w:p>
        </w:tc>
        <w:tc>
          <w:tcPr>
            <w:tcW w:w="236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Wingdings" w:cs="Wingdings" w:eastAsia="Wingdings" w:hAnsi="Wingdings"/>
                <w:sz w:val="20"/>
                <w:szCs w:val="20"/>
                <w:b w:val="1"/>
                <w:bCs w:val="1"/>
                <w:color w:val="00AEEF"/>
                <w:w w:val="93"/>
              </w:rPr>
              <w:t>l</w:t>
            </w:r>
          </w:p>
        </w:tc>
        <w:tc>
          <w:tcPr>
            <w:tcW w:w="1060" w:type="dxa"/>
            <w:vAlign w:val="bottom"/>
          </w:tcPr>
          <w:p>
            <w:pPr>
              <w:spacing w:after="0"/>
              <w:rPr>
                <w:sz w:val="21"/>
                <w:szCs w:val="21"/>
                <w:color w:val="auto"/>
              </w:rPr>
            </w:pPr>
          </w:p>
        </w:tc>
      </w:tr>
      <w:tr>
        <w:trPr>
          <w:trHeight w:val="34"/>
        </w:trPr>
        <w:tc>
          <w:tcPr>
            <w:tcW w:w="3140" w:type="dxa"/>
            <w:vAlign w:val="bottom"/>
            <w:tcBorders>
              <w:bottom w:val="single" w:sz="8" w:color="D9D9D9"/>
            </w:tcBorders>
          </w:tcPr>
          <w:p>
            <w:pPr>
              <w:spacing w:after="0"/>
              <w:rPr>
                <w:sz w:val="2"/>
                <w:szCs w:val="2"/>
                <w:color w:val="auto"/>
              </w:rPr>
            </w:pPr>
          </w:p>
        </w:tc>
        <w:tc>
          <w:tcPr>
            <w:tcW w:w="1860" w:type="dxa"/>
            <w:vAlign w:val="bottom"/>
            <w:tcBorders>
              <w:bottom w:val="single" w:sz="8" w:color="D9D9D9"/>
            </w:tcBorders>
          </w:tcPr>
          <w:p>
            <w:pPr>
              <w:spacing w:after="0"/>
              <w:rPr>
                <w:sz w:val="2"/>
                <w:szCs w:val="2"/>
                <w:color w:val="auto"/>
              </w:rPr>
            </w:pPr>
          </w:p>
        </w:tc>
        <w:tc>
          <w:tcPr>
            <w:tcW w:w="1540" w:type="dxa"/>
            <w:vAlign w:val="bottom"/>
            <w:tcBorders>
              <w:bottom w:val="single" w:sz="8" w:color="D9D9D9"/>
            </w:tcBorders>
          </w:tcPr>
          <w:p>
            <w:pPr>
              <w:spacing w:after="0"/>
              <w:rPr>
                <w:sz w:val="2"/>
                <w:szCs w:val="2"/>
                <w:color w:val="auto"/>
              </w:rPr>
            </w:pPr>
          </w:p>
        </w:tc>
        <w:tc>
          <w:tcPr>
            <w:tcW w:w="2360" w:type="dxa"/>
            <w:vAlign w:val="bottom"/>
            <w:tcBorders>
              <w:bottom w:val="single" w:sz="8" w:color="D9D9D9"/>
            </w:tcBorders>
          </w:tcPr>
          <w:p>
            <w:pPr>
              <w:spacing w:after="0"/>
              <w:rPr>
                <w:sz w:val="2"/>
                <w:szCs w:val="2"/>
                <w:color w:val="auto"/>
              </w:rPr>
            </w:pPr>
          </w:p>
        </w:tc>
        <w:tc>
          <w:tcPr>
            <w:tcW w:w="1280" w:type="dxa"/>
            <w:vAlign w:val="bottom"/>
            <w:tcBorders>
              <w:bottom w:val="single" w:sz="8" w:color="D9D9D9"/>
            </w:tcBorders>
          </w:tcPr>
          <w:p>
            <w:pPr>
              <w:spacing w:after="0"/>
              <w:rPr>
                <w:sz w:val="2"/>
                <w:szCs w:val="2"/>
                <w:color w:val="auto"/>
              </w:rPr>
            </w:pPr>
          </w:p>
        </w:tc>
        <w:tc>
          <w:tcPr>
            <w:tcW w:w="1060" w:type="dxa"/>
            <w:vAlign w:val="bottom"/>
            <w:tcBorders>
              <w:bottom w:val="single" w:sz="8" w:color="D9D9D9"/>
            </w:tcBorders>
          </w:tcPr>
          <w:p>
            <w:pPr>
              <w:spacing w:after="0"/>
              <w:rPr>
                <w:sz w:val="2"/>
                <w:szCs w:val="2"/>
                <w:color w:val="auto"/>
              </w:rPr>
            </w:pPr>
          </w:p>
        </w:tc>
      </w:tr>
      <w:tr>
        <w:trPr>
          <w:trHeight w:val="275"/>
        </w:trPr>
        <w:tc>
          <w:tcPr>
            <w:tcW w:w="314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 xml:space="preserve">Steven M. Klein </w:t>
            </w:r>
            <w:r>
              <w:rPr>
                <w:rFonts w:ascii="Arial" w:cs="Arial" w:eastAsia="Arial" w:hAnsi="Arial"/>
                <w:sz w:val="21"/>
                <w:szCs w:val="21"/>
                <w:b w:val="1"/>
                <w:bCs w:val="1"/>
                <w:color w:val="191769"/>
                <w:vertAlign w:val="superscript"/>
              </w:rPr>
              <w:t>(1)</w:t>
            </w:r>
          </w:p>
        </w:tc>
        <w:tc>
          <w:tcPr>
            <w:tcW w:w="1860" w:type="dxa"/>
            <w:vAlign w:val="bottom"/>
            <w:tcBorders>
              <w:bottom w:val="single" w:sz="8" w:color="D9D9D9"/>
            </w:tcBorders>
          </w:tcPr>
          <w:p>
            <w:pPr>
              <w:jc w:val="center"/>
              <w:ind w:left="878"/>
              <w:spacing w:after="0"/>
              <w:rPr>
                <w:sz w:val="20"/>
                <w:szCs w:val="20"/>
                <w:color w:val="auto"/>
              </w:rPr>
            </w:pPr>
            <w:r>
              <w:rPr>
                <w:rFonts w:ascii="Wingdings" w:cs="Wingdings" w:eastAsia="Wingdings" w:hAnsi="Wingdings"/>
                <w:sz w:val="20"/>
                <w:szCs w:val="20"/>
                <w:b w:val="1"/>
                <w:bCs w:val="1"/>
                <w:color w:val="00AEEF"/>
                <w:w w:val="93"/>
              </w:rPr>
              <w:t>l</w:t>
            </w:r>
          </w:p>
        </w:tc>
        <w:tc>
          <w:tcPr>
            <w:tcW w:w="1540" w:type="dxa"/>
            <w:vAlign w:val="bottom"/>
            <w:tcBorders>
              <w:bottom w:val="single" w:sz="8" w:color="D9D9D9"/>
            </w:tcBorders>
          </w:tcPr>
          <w:p>
            <w:pPr>
              <w:spacing w:after="0"/>
              <w:rPr>
                <w:sz w:val="23"/>
                <w:szCs w:val="23"/>
                <w:color w:val="auto"/>
              </w:rPr>
            </w:pPr>
          </w:p>
        </w:tc>
        <w:tc>
          <w:tcPr>
            <w:tcW w:w="2360" w:type="dxa"/>
            <w:vAlign w:val="bottom"/>
            <w:tcBorders>
              <w:bottom w:val="single" w:sz="8" w:color="D9D9D9"/>
            </w:tcBorders>
          </w:tcPr>
          <w:p>
            <w:pPr>
              <w:jc w:val="center"/>
              <w:spacing w:after="0"/>
              <w:rPr>
                <w:sz w:val="20"/>
                <w:szCs w:val="20"/>
                <w:color w:val="auto"/>
              </w:rPr>
            </w:pPr>
            <w:r>
              <w:rPr>
                <w:rFonts w:ascii="Wingdings" w:cs="Wingdings" w:eastAsia="Wingdings" w:hAnsi="Wingdings"/>
                <w:sz w:val="16"/>
                <w:szCs w:val="16"/>
                <w:b w:val="1"/>
                <w:bCs w:val="1"/>
                <w:color w:val="191769"/>
                <w:w w:val="97"/>
              </w:rPr>
              <w:t>¡</w:t>
            </w:r>
          </w:p>
        </w:tc>
        <w:tc>
          <w:tcPr>
            <w:tcW w:w="1280" w:type="dxa"/>
            <w:vAlign w:val="bottom"/>
            <w:tcBorders>
              <w:bottom w:val="single" w:sz="8" w:color="D9D9D9"/>
            </w:tcBorders>
          </w:tcPr>
          <w:p>
            <w:pPr>
              <w:spacing w:after="0"/>
              <w:rPr>
                <w:sz w:val="23"/>
                <w:szCs w:val="23"/>
                <w:color w:val="auto"/>
              </w:rPr>
            </w:pPr>
          </w:p>
        </w:tc>
        <w:tc>
          <w:tcPr>
            <w:tcW w:w="1060" w:type="dxa"/>
            <w:vAlign w:val="bottom"/>
            <w:tcBorders>
              <w:bottom w:val="single" w:sz="8" w:color="D9D9D9"/>
            </w:tcBorders>
          </w:tcPr>
          <w:p>
            <w:pPr>
              <w:jc w:val="center"/>
              <w:spacing w:after="0"/>
              <w:rPr>
                <w:sz w:val="20"/>
                <w:szCs w:val="20"/>
                <w:color w:val="auto"/>
              </w:rPr>
            </w:pPr>
            <w:r>
              <w:rPr>
                <w:rFonts w:ascii="Wingdings" w:cs="Wingdings" w:eastAsia="Wingdings" w:hAnsi="Wingdings"/>
                <w:sz w:val="16"/>
                <w:szCs w:val="16"/>
                <w:b w:val="1"/>
                <w:bCs w:val="1"/>
                <w:color w:val="191769"/>
                <w:w w:val="97"/>
              </w:rPr>
              <w:t>¡</w:t>
            </w:r>
          </w:p>
        </w:tc>
      </w:tr>
      <w:tr>
        <w:trPr>
          <w:trHeight w:val="239"/>
        </w:trPr>
        <w:tc>
          <w:tcPr>
            <w:tcW w:w="3140" w:type="dxa"/>
            <w:vAlign w:val="bottom"/>
            <w:tcBorders>
              <w:bottom w:val="single" w:sz="8" w:color="D9D9D9"/>
            </w:tcBorders>
          </w:tcPr>
          <w:p>
            <w:pPr>
              <w:ind w:left="20"/>
              <w:spacing w:after="0" w:line="239" w:lineRule="exact"/>
              <w:rPr>
                <w:sz w:val="20"/>
                <w:szCs w:val="20"/>
                <w:color w:val="auto"/>
              </w:rPr>
            </w:pPr>
            <w:r>
              <w:rPr>
                <w:rFonts w:ascii="Arial" w:cs="Arial" w:eastAsia="Arial" w:hAnsi="Arial"/>
                <w:sz w:val="16"/>
                <w:szCs w:val="16"/>
                <w:b w:val="1"/>
                <w:bCs w:val="1"/>
                <w:color w:val="191769"/>
              </w:rPr>
              <w:t xml:space="preserve">Amy B. Mansue (L) </w:t>
            </w:r>
            <w:r>
              <w:rPr>
                <w:rFonts w:ascii="Arial" w:cs="Arial" w:eastAsia="Arial" w:hAnsi="Arial"/>
                <w:sz w:val="21"/>
                <w:szCs w:val="21"/>
                <w:b w:val="1"/>
                <w:bCs w:val="1"/>
                <w:color w:val="191769"/>
                <w:vertAlign w:val="superscript"/>
              </w:rPr>
              <w:t>(2)</w:t>
            </w:r>
          </w:p>
        </w:tc>
        <w:tc>
          <w:tcPr>
            <w:tcW w:w="1860" w:type="dxa"/>
            <w:vAlign w:val="bottom"/>
            <w:tcBorders>
              <w:bottom w:val="single" w:sz="8" w:color="D9D9D9"/>
            </w:tcBorders>
          </w:tcPr>
          <w:p>
            <w:pPr>
              <w:spacing w:after="0"/>
              <w:rPr>
                <w:sz w:val="20"/>
                <w:szCs w:val="20"/>
                <w:color w:val="auto"/>
              </w:rPr>
            </w:pPr>
          </w:p>
        </w:tc>
        <w:tc>
          <w:tcPr>
            <w:tcW w:w="1540" w:type="dxa"/>
            <w:vAlign w:val="bottom"/>
            <w:tcBorders>
              <w:bottom w:val="single" w:sz="8" w:color="D9D9D9"/>
            </w:tcBorders>
          </w:tcPr>
          <w:p>
            <w:pPr>
              <w:jc w:val="center"/>
              <w:ind w:right="18"/>
              <w:spacing w:after="0"/>
              <w:rPr>
                <w:sz w:val="20"/>
                <w:szCs w:val="20"/>
                <w:color w:val="auto"/>
              </w:rPr>
            </w:pPr>
            <w:r>
              <w:rPr>
                <w:rFonts w:ascii="Wingdings" w:cs="Wingdings" w:eastAsia="Wingdings" w:hAnsi="Wingdings"/>
                <w:sz w:val="16"/>
                <w:szCs w:val="16"/>
                <w:b w:val="1"/>
                <w:bCs w:val="1"/>
                <w:color w:val="191769"/>
              </w:rPr>
              <w:t>¡</w:t>
            </w:r>
          </w:p>
        </w:tc>
        <w:tc>
          <w:tcPr>
            <w:tcW w:w="2360" w:type="dxa"/>
            <w:vAlign w:val="bottom"/>
            <w:tcBorders>
              <w:bottom w:val="single" w:sz="8" w:color="D9D9D9"/>
            </w:tcBorders>
          </w:tcPr>
          <w:p>
            <w:pPr>
              <w:spacing w:after="0"/>
              <w:rPr>
                <w:sz w:val="20"/>
                <w:szCs w:val="20"/>
                <w:color w:val="auto"/>
              </w:rPr>
            </w:pPr>
          </w:p>
        </w:tc>
        <w:tc>
          <w:tcPr>
            <w:tcW w:w="1280" w:type="dxa"/>
            <w:vAlign w:val="bottom"/>
            <w:tcBorders>
              <w:bottom w:val="single" w:sz="8" w:color="D9D9D9"/>
            </w:tcBorders>
          </w:tcPr>
          <w:p>
            <w:pPr>
              <w:jc w:val="center"/>
              <w:spacing w:after="0"/>
              <w:rPr>
                <w:sz w:val="20"/>
                <w:szCs w:val="20"/>
                <w:color w:val="auto"/>
              </w:rPr>
            </w:pPr>
            <w:r>
              <w:rPr>
                <w:rFonts w:ascii="Wingdings" w:cs="Wingdings" w:eastAsia="Wingdings" w:hAnsi="Wingdings"/>
                <w:sz w:val="16"/>
                <w:szCs w:val="16"/>
                <w:b w:val="1"/>
                <w:bCs w:val="1"/>
                <w:color w:val="191769"/>
                <w:w w:val="97"/>
              </w:rPr>
              <w:t>¡</w:t>
            </w:r>
          </w:p>
        </w:tc>
        <w:tc>
          <w:tcPr>
            <w:tcW w:w="1060" w:type="dxa"/>
            <w:vAlign w:val="bottom"/>
            <w:tcBorders>
              <w:bottom w:val="single" w:sz="8" w:color="D9D9D9"/>
            </w:tcBorders>
          </w:tcPr>
          <w:p>
            <w:pPr>
              <w:spacing w:after="0"/>
              <w:rPr>
                <w:sz w:val="20"/>
                <w:szCs w:val="20"/>
                <w:color w:val="auto"/>
              </w:rPr>
            </w:pPr>
          </w:p>
        </w:tc>
      </w:tr>
      <w:tr>
        <w:trPr>
          <w:trHeight w:val="232"/>
        </w:trPr>
        <w:tc>
          <w:tcPr>
            <w:tcW w:w="314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Vaughn L. McKoy</w:t>
            </w:r>
          </w:p>
        </w:tc>
        <w:tc>
          <w:tcPr>
            <w:tcW w:w="1860" w:type="dxa"/>
            <w:vAlign w:val="bottom"/>
            <w:tcBorders>
              <w:bottom w:val="single" w:sz="8" w:color="D9D9D9"/>
            </w:tcBorders>
          </w:tcPr>
          <w:p>
            <w:pPr>
              <w:spacing w:after="0"/>
              <w:rPr>
                <w:sz w:val="20"/>
                <w:szCs w:val="20"/>
                <w:color w:val="auto"/>
              </w:rPr>
            </w:pPr>
          </w:p>
        </w:tc>
        <w:tc>
          <w:tcPr>
            <w:tcW w:w="1540" w:type="dxa"/>
            <w:vAlign w:val="bottom"/>
            <w:tcBorders>
              <w:bottom w:val="single" w:sz="8" w:color="D9D9D9"/>
            </w:tcBorders>
          </w:tcPr>
          <w:p>
            <w:pPr>
              <w:spacing w:after="0"/>
              <w:rPr>
                <w:sz w:val="20"/>
                <w:szCs w:val="20"/>
                <w:color w:val="auto"/>
              </w:rPr>
            </w:pPr>
          </w:p>
        </w:tc>
        <w:tc>
          <w:tcPr>
            <w:tcW w:w="2360" w:type="dxa"/>
            <w:vAlign w:val="bottom"/>
            <w:tcBorders>
              <w:bottom w:val="single" w:sz="8" w:color="D9D9D9"/>
            </w:tcBorders>
          </w:tcPr>
          <w:p>
            <w:pPr>
              <w:jc w:val="center"/>
              <w:spacing w:after="0"/>
              <w:rPr>
                <w:sz w:val="20"/>
                <w:szCs w:val="20"/>
                <w:color w:val="auto"/>
              </w:rPr>
            </w:pPr>
            <w:r>
              <w:rPr>
                <w:rFonts w:ascii="Wingdings" w:cs="Wingdings" w:eastAsia="Wingdings" w:hAnsi="Wingdings"/>
                <w:sz w:val="16"/>
                <w:szCs w:val="16"/>
                <w:b w:val="1"/>
                <w:bCs w:val="1"/>
                <w:color w:val="191769"/>
                <w:w w:val="97"/>
              </w:rPr>
              <w:t>¡</w:t>
            </w:r>
          </w:p>
        </w:tc>
        <w:tc>
          <w:tcPr>
            <w:tcW w:w="1280" w:type="dxa"/>
            <w:vAlign w:val="bottom"/>
            <w:tcBorders>
              <w:bottom w:val="single" w:sz="8" w:color="D9D9D9"/>
            </w:tcBorders>
          </w:tcPr>
          <w:p>
            <w:pPr>
              <w:jc w:val="center"/>
              <w:spacing w:after="0"/>
              <w:rPr>
                <w:sz w:val="20"/>
                <w:szCs w:val="20"/>
                <w:color w:val="auto"/>
              </w:rPr>
            </w:pPr>
            <w:r>
              <w:rPr>
                <w:rFonts w:ascii="Wingdings" w:cs="Wingdings" w:eastAsia="Wingdings" w:hAnsi="Wingdings"/>
                <w:sz w:val="16"/>
                <w:szCs w:val="16"/>
                <w:b w:val="1"/>
                <w:bCs w:val="1"/>
                <w:color w:val="191769"/>
                <w:w w:val="97"/>
              </w:rPr>
              <w:t>¡</w:t>
            </w:r>
          </w:p>
        </w:tc>
        <w:tc>
          <w:tcPr>
            <w:tcW w:w="1060" w:type="dxa"/>
            <w:vAlign w:val="bottom"/>
            <w:tcBorders>
              <w:bottom w:val="single" w:sz="8" w:color="D9D9D9"/>
            </w:tcBorders>
          </w:tcPr>
          <w:p>
            <w:pPr>
              <w:jc w:val="center"/>
              <w:spacing w:after="0"/>
              <w:rPr>
                <w:sz w:val="20"/>
                <w:szCs w:val="20"/>
                <w:color w:val="auto"/>
              </w:rPr>
            </w:pPr>
            <w:r>
              <w:rPr>
                <w:rFonts w:ascii="Wingdings" w:cs="Wingdings" w:eastAsia="Wingdings" w:hAnsi="Wingdings"/>
                <w:sz w:val="16"/>
                <w:szCs w:val="16"/>
                <w:b w:val="1"/>
                <w:bCs w:val="1"/>
                <w:color w:val="191769"/>
                <w:w w:val="97"/>
              </w:rPr>
              <w:t>¡</w:t>
            </w:r>
          </w:p>
        </w:tc>
      </w:tr>
      <w:tr>
        <w:trPr>
          <w:trHeight w:val="249"/>
        </w:trPr>
        <w:tc>
          <w:tcPr>
            <w:tcW w:w="3140" w:type="dxa"/>
            <w:vAlign w:val="bottom"/>
          </w:tcPr>
          <w:p>
            <w:pPr>
              <w:ind w:left="20"/>
              <w:spacing w:after="0"/>
              <w:rPr>
                <w:sz w:val="20"/>
                <w:szCs w:val="20"/>
                <w:color w:val="auto"/>
              </w:rPr>
            </w:pPr>
            <w:r>
              <w:rPr>
                <w:rFonts w:ascii="Arial" w:cs="Arial" w:eastAsia="Arial" w:hAnsi="Arial"/>
                <w:sz w:val="16"/>
                <w:szCs w:val="16"/>
                <w:b w:val="1"/>
                <w:bCs w:val="1"/>
                <w:color w:val="191769"/>
              </w:rPr>
              <w:t>Ann L. Noble</w:t>
            </w:r>
          </w:p>
        </w:tc>
        <w:tc>
          <w:tcPr>
            <w:tcW w:w="1860" w:type="dxa"/>
            <w:vAlign w:val="bottom"/>
          </w:tcPr>
          <w:p>
            <w:pPr>
              <w:jc w:val="center"/>
              <w:ind w:left="878"/>
              <w:spacing w:after="0"/>
              <w:rPr>
                <w:sz w:val="20"/>
                <w:szCs w:val="20"/>
                <w:color w:val="auto"/>
              </w:rPr>
            </w:pPr>
            <w:r>
              <w:rPr>
                <w:rFonts w:ascii="Wingdings" w:cs="Wingdings" w:eastAsia="Wingdings" w:hAnsi="Wingdings"/>
                <w:sz w:val="16"/>
                <w:szCs w:val="16"/>
                <w:b w:val="1"/>
                <w:bCs w:val="1"/>
                <w:color w:val="191769"/>
                <w:w w:val="97"/>
              </w:rPr>
              <w:t>¡</w:t>
            </w:r>
          </w:p>
        </w:tc>
        <w:tc>
          <w:tcPr>
            <w:tcW w:w="1540" w:type="dxa"/>
            <w:vAlign w:val="bottom"/>
          </w:tcPr>
          <w:p>
            <w:pPr>
              <w:spacing w:after="0"/>
              <w:rPr>
                <w:sz w:val="21"/>
                <w:szCs w:val="21"/>
                <w:color w:val="auto"/>
              </w:rPr>
            </w:pPr>
          </w:p>
        </w:tc>
        <w:tc>
          <w:tcPr>
            <w:tcW w:w="2360" w:type="dxa"/>
            <w:vAlign w:val="bottom"/>
          </w:tcPr>
          <w:p>
            <w:pPr>
              <w:jc w:val="center"/>
              <w:spacing w:after="0"/>
              <w:rPr>
                <w:sz w:val="20"/>
                <w:szCs w:val="20"/>
                <w:color w:val="auto"/>
              </w:rPr>
            </w:pPr>
            <w:r>
              <w:rPr>
                <w:rFonts w:ascii="Wingdings" w:cs="Wingdings" w:eastAsia="Wingdings" w:hAnsi="Wingdings"/>
                <w:sz w:val="20"/>
                <w:szCs w:val="20"/>
                <w:b w:val="1"/>
                <w:bCs w:val="1"/>
                <w:color w:val="00AEEF"/>
              </w:rPr>
              <w:t>l</w:t>
            </w:r>
          </w:p>
        </w:tc>
        <w:tc>
          <w:tcPr>
            <w:tcW w:w="1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34"/>
        </w:trPr>
        <w:tc>
          <w:tcPr>
            <w:tcW w:w="3140" w:type="dxa"/>
            <w:vAlign w:val="bottom"/>
            <w:tcBorders>
              <w:bottom w:val="single" w:sz="8" w:color="D9D9D9"/>
            </w:tcBorders>
          </w:tcPr>
          <w:p>
            <w:pPr>
              <w:spacing w:after="0"/>
              <w:rPr>
                <w:sz w:val="2"/>
                <w:szCs w:val="2"/>
                <w:color w:val="auto"/>
              </w:rPr>
            </w:pPr>
          </w:p>
        </w:tc>
        <w:tc>
          <w:tcPr>
            <w:tcW w:w="1860" w:type="dxa"/>
            <w:vAlign w:val="bottom"/>
            <w:tcBorders>
              <w:bottom w:val="single" w:sz="8" w:color="D9D9D9"/>
            </w:tcBorders>
          </w:tcPr>
          <w:p>
            <w:pPr>
              <w:spacing w:after="0"/>
              <w:rPr>
                <w:sz w:val="2"/>
                <w:szCs w:val="2"/>
                <w:color w:val="auto"/>
              </w:rPr>
            </w:pPr>
          </w:p>
        </w:tc>
        <w:tc>
          <w:tcPr>
            <w:tcW w:w="1540" w:type="dxa"/>
            <w:vAlign w:val="bottom"/>
            <w:tcBorders>
              <w:bottom w:val="single" w:sz="8" w:color="D9D9D9"/>
            </w:tcBorders>
          </w:tcPr>
          <w:p>
            <w:pPr>
              <w:spacing w:after="0"/>
              <w:rPr>
                <w:sz w:val="2"/>
                <w:szCs w:val="2"/>
                <w:color w:val="auto"/>
              </w:rPr>
            </w:pPr>
          </w:p>
        </w:tc>
        <w:tc>
          <w:tcPr>
            <w:tcW w:w="2360" w:type="dxa"/>
            <w:vAlign w:val="bottom"/>
            <w:tcBorders>
              <w:bottom w:val="single" w:sz="8" w:color="D9D9D9"/>
            </w:tcBorders>
          </w:tcPr>
          <w:p>
            <w:pPr>
              <w:spacing w:after="0"/>
              <w:rPr>
                <w:sz w:val="2"/>
                <w:szCs w:val="2"/>
                <w:color w:val="auto"/>
              </w:rPr>
            </w:pPr>
          </w:p>
        </w:tc>
        <w:tc>
          <w:tcPr>
            <w:tcW w:w="1280" w:type="dxa"/>
            <w:vAlign w:val="bottom"/>
            <w:tcBorders>
              <w:bottom w:val="single" w:sz="8" w:color="D9D9D9"/>
            </w:tcBorders>
          </w:tcPr>
          <w:p>
            <w:pPr>
              <w:spacing w:after="0"/>
              <w:rPr>
                <w:sz w:val="2"/>
                <w:szCs w:val="2"/>
                <w:color w:val="auto"/>
              </w:rPr>
            </w:pPr>
          </w:p>
        </w:tc>
        <w:tc>
          <w:tcPr>
            <w:tcW w:w="1060" w:type="dxa"/>
            <w:vAlign w:val="bottom"/>
            <w:tcBorders>
              <w:bottom w:val="single" w:sz="8" w:color="D9D9D9"/>
            </w:tcBorders>
          </w:tcPr>
          <w:p>
            <w:pPr>
              <w:spacing w:after="0"/>
              <w:rPr>
                <w:sz w:val="2"/>
                <w:szCs w:val="2"/>
                <w:color w:val="auto"/>
              </w:rPr>
            </w:pPr>
          </w:p>
        </w:tc>
      </w:tr>
      <w:tr>
        <w:trPr>
          <w:trHeight w:val="239"/>
        </w:trPr>
        <w:tc>
          <w:tcPr>
            <w:tcW w:w="3140" w:type="dxa"/>
            <w:vAlign w:val="bottom"/>
            <w:tcBorders>
              <w:bottom w:val="single" w:sz="8" w:color="00AEEF"/>
            </w:tcBorders>
          </w:tcPr>
          <w:p>
            <w:pPr>
              <w:ind w:left="20"/>
              <w:spacing w:after="0" w:line="239" w:lineRule="exact"/>
              <w:rPr>
                <w:sz w:val="20"/>
                <w:szCs w:val="20"/>
                <w:color w:val="auto"/>
              </w:rPr>
            </w:pPr>
            <w:r>
              <w:rPr>
                <w:rFonts w:ascii="Arial" w:cs="Arial" w:eastAsia="Arial" w:hAnsi="Arial"/>
                <w:sz w:val="16"/>
                <w:szCs w:val="16"/>
                <w:b w:val="1"/>
                <w:bCs w:val="1"/>
                <w:color w:val="191769"/>
              </w:rPr>
              <w:t xml:space="preserve">Walter G. Reinhard (L) </w:t>
            </w:r>
            <w:r>
              <w:rPr>
                <w:rFonts w:ascii="Arial" w:cs="Arial" w:eastAsia="Arial" w:hAnsi="Arial"/>
                <w:sz w:val="21"/>
                <w:szCs w:val="21"/>
                <w:b w:val="1"/>
                <w:bCs w:val="1"/>
                <w:color w:val="191769"/>
                <w:vertAlign w:val="superscript"/>
              </w:rPr>
              <w:t>(3)</w:t>
            </w:r>
          </w:p>
        </w:tc>
        <w:tc>
          <w:tcPr>
            <w:tcW w:w="1860" w:type="dxa"/>
            <w:vAlign w:val="bottom"/>
            <w:tcBorders>
              <w:bottom w:val="single" w:sz="8" w:color="00AEEF"/>
            </w:tcBorders>
          </w:tcPr>
          <w:p>
            <w:pPr>
              <w:spacing w:after="0"/>
              <w:rPr>
                <w:sz w:val="20"/>
                <w:szCs w:val="20"/>
                <w:color w:val="auto"/>
              </w:rPr>
            </w:pPr>
          </w:p>
        </w:tc>
        <w:tc>
          <w:tcPr>
            <w:tcW w:w="1540" w:type="dxa"/>
            <w:vAlign w:val="bottom"/>
            <w:tcBorders>
              <w:bottom w:val="single" w:sz="8" w:color="00AEEF"/>
            </w:tcBorders>
          </w:tcPr>
          <w:p>
            <w:pPr>
              <w:spacing w:after="0"/>
              <w:rPr>
                <w:sz w:val="20"/>
                <w:szCs w:val="20"/>
                <w:color w:val="auto"/>
              </w:rPr>
            </w:pPr>
          </w:p>
        </w:tc>
        <w:tc>
          <w:tcPr>
            <w:tcW w:w="2360" w:type="dxa"/>
            <w:vAlign w:val="bottom"/>
            <w:tcBorders>
              <w:bottom w:val="single" w:sz="8" w:color="00AEEF"/>
            </w:tcBorders>
          </w:tcPr>
          <w:p>
            <w:pPr>
              <w:jc w:val="center"/>
              <w:spacing w:after="0"/>
              <w:rPr>
                <w:sz w:val="20"/>
                <w:szCs w:val="20"/>
                <w:color w:val="auto"/>
              </w:rPr>
            </w:pPr>
            <w:r>
              <w:rPr>
                <w:rFonts w:ascii="Wingdings" w:cs="Wingdings" w:eastAsia="Wingdings" w:hAnsi="Wingdings"/>
                <w:sz w:val="16"/>
                <w:szCs w:val="16"/>
                <w:b w:val="1"/>
                <w:bCs w:val="1"/>
                <w:color w:val="191769"/>
                <w:w w:val="97"/>
              </w:rPr>
              <w:t>¡</w:t>
            </w:r>
          </w:p>
        </w:tc>
        <w:tc>
          <w:tcPr>
            <w:tcW w:w="1280" w:type="dxa"/>
            <w:vAlign w:val="bottom"/>
            <w:tcBorders>
              <w:bottom w:val="single" w:sz="8" w:color="00AEEF"/>
            </w:tcBorders>
          </w:tcPr>
          <w:p>
            <w:pPr>
              <w:spacing w:after="0"/>
              <w:rPr>
                <w:sz w:val="20"/>
                <w:szCs w:val="20"/>
                <w:color w:val="auto"/>
              </w:rPr>
            </w:pPr>
          </w:p>
        </w:tc>
        <w:tc>
          <w:tcPr>
            <w:tcW w:w="1060" w:type="dxa"/>
            <w:vAlign w:val="bottom"/>
            <w:tcBorders>
              <w:bottom w:val="single" w:sz="8" w:color="00AEEF"/>
            </w:tcBorders>
          </w:tcPr>
          <w:p>
            <w:pPr>
              <w:jc w:val="center"/>
              <w:spacing w:after="0"/>
              <w:rPr>
                <w:sz w:val="20"/>
                <w:szCs w:val="20"/>
                <w:color w:val="auto"/>
              </w:rPr>
            </w:pPr>
            <w:r>
              <w:rPr>
                <w:rFonts w:ascii="Wingdings" w:cs="Wingdings" w:eastAsia="Wingdings" w:hAnsi="Wingdings"/>
                <w:sz w:val="16"/>
                <w:szCs w:val="16"/>
                <w:b w:val="1"/>
                <w:bCs w:val="1"/>
                <w:color w:val="191769"/>
                <w:w w:val="97"/>
              </w:rPr>
              <w:t>¡</w:t>
            </w:r>
          </w:p>
        </w:tc>
      </w:tr>
    </w:tbl>
    <w:p>
      <w:pPr>
        <w:spacing w:after="0" w:line="117" w:lineRule="exact"/>
        <w:rPr>
          <w:sz w:val="20"/>
          <w:szCs w:val="20"/>
          <w:color w:val="auto"/>
        </w:rPr>
      </w:pPr>
    </w:p>
    <w:p>
      <w:pPr>
        <w:ind w:left="262" w:hanging="262"/>
        <w:spacing w:after="0"/>
        <w:tabs>
          <w:tab w:leader="none" w:pos="262" w:val="left"/>
        </w:tabs>
        <w:numPr>
          <w:ilvl w:val="0"/>
          <w:numId w:val="32"/>
        </w:numPr>
        <w:rPr>
          <w:rFonts w:ascii="Arial" w:cs="Arial" w:eastAsia="Arial" w:hAnsi="Arial"/>
          <w:sz w:val="17"/>
          <w:szCs w:val="17"/>
          <w:color w:val="auto"/>
          <w:vertAlign w:val="superscript"/>
        </w:rPr>
      </w:pPr>
      <w:r>
        <w:rPr>
          <w:rFonts w:ascii="Arial" w:cs="Arial" w:eastAsia="Arial" w:hAnsi="Arial"/>
          <w:sz w:val="13"/>
          <w:szCs w:val="13"/>
          <w:color w:val="auto"/>
        </w:rPr>
        <w:t>Director is an “Audit Committee Financial Expert” as defined by SEC Rules and Regulations.</w:t>
      </w:r>
    </w:p>
    <w:p>
      <w:pPr>
        <w:spacing w:after="0" w:line="50" w:lineRule="exact"/>
        <w:rPr>
          <w:rFonts w:ascii="Arial" w:cs="Arial" w:eastAsia="Arial" w:hAnsi="Arial"/>
          <w:sz w:val="17"/>
          <w:szCs w:val="17"/>
          <w:color w:val="auto"/>
          <w:vertAlign w:val="superscript"/>
        </w:rPr>
      </w:pPr>
    </w:p>
    <w:p>
      <w:pPr>
        <w:ind w:left="262" w:hanging="262"/>
        <w:spacing w:after="0"/>
        <w:tabs>
          <w:tab w:leader="none" w:pos="262" w:val="left"/>
        </w:tabs>
        <w:numPr>
          <w:ilvl w:val="0"/>
          <w:numId w:val="32"/>
        </w:numPr>
        <w:rPr>
          <w:rFonts w:ascii="Arial" w:cs="Arial" w:eastAsia="Arial" w:hAnsi="Arial"/>
          <w:sz w:val="9"/>
          <w:szCs w:val="9"/>
          <w:color w:val="auto"/>
        </w:rPr>
      </w:pPr>
      <w:r>
        <w:rPr>
          <w:rFonts w:ascii="Arial" w:cs="Arial" w:eastAsia="Arial" w:hAnsi="Arial"/>
          <w:sz w:val="13"/>
          <w:szCs w:val="13"/>
          <w:color w:val="auto"/>
        </w:rPr>
        <w:t>Ms. Mansue became Lead Director on May 20, 2025.</w:t>
      </w:r>
    </w:p>
    <w:p>
      <w:pPr>
        <w:spacing w:after="0" w:line="70" w:lineRule="exact"/>
        <w:rPr>
          <w:rFonts w:ascii="Arial" w:cs="Arial" w:eastAsia="Arial" w:hAnsi="Arial"/>
          <w:sz w:val="9"/>
          <w:szCs w:val="9"/>
          <w:color w:val="auto"/>
        </w:rPr>
      </w:pPr>
    </w:p>
    <w:p>
      <w:pPr>
        <w:ind w:left="262" w:hanging="262"/>
        <w:spacing w:after="0"/>
        <w:tabs>
          <w:tab w:leader="none" w:pos="262" w:val="left"/>
        </w:tabs>
        <w:numPr>
          <w:ilvl w:val="0"/>
          <w:numId w:val="32"/>
        </w:numPr>
        <w:rPr>
          <w:rFonts w:ascii="Arial" w:cs="Arial" w:eastAsia="Arial" w:hAnsi="Arial"/>
          <w:sz w:val="9"/>
          <w:szCs w:val="9"/>
          <w:color w:val="auto"/>
        </w:rPr>
      </w:pPr>
      <w:r>
        <w:rPr>
          <w:rFonts w:ascii="Arial" w:cs="Arial" w:eastAsia="Arial" w:hAnsi="Arial"/>
          <w:sz w:val="13"/>
          <w:szCs w:val="13"/>
          <w:color w:val="auto"/>
        </w:rPr>
        <w:t>Mr. Reinhard was Lead Director from January 1, 2025 through May 20, 2025.</w:t>
      </w:r>
    </w:p>
    <w:p>
      <w:pPr>
        <w:spacing w:after="0" w:line="137" w:lineRule="exact"/>
        <w:rPr>
          <w:sz w:val="20"/>
          <w:szCs w:val="20"/>
          <w:color w:val="auto"/>
        </w:rPr>
      </w:pPr>
    </w:p>
    <w:p>
      <w:pPr>
        <w:ind w:left="22"/>
        <w:spacing w:after="0"/>
        <w:tabs>
          <w:tab w:leader="none" w:pos="2121" w:val="left"/>
          <w:tab w:leader="none" w:pos="3941" w:val="left"/>
        </w:tabs>
        <w:rPr>
          <w:sz w:val="20"/>
          <w:szCs w:val="20"/>
          <w:color w:val="auto"/>
        </w:rPr>
      </w:pPr>
      <w:r>
        <w:rPr>
          <w:rFonts w:ascii="Wingdings" w:cs="Wingdings" w:eastAsia="Wingdings" w:hAnsi="Wingdings"/>
          <w:sz w:val="20"/>
          <w:szCs w:val="20"/>
          <w:b w:val="1"/>
          <w:bCs w:val="1"/>
          <w:color w:val="00AEEF"/>
        </w:rPr>
        <w:t xml:space="preserve">l </w:t>
      </w:r>
      <w:r>
        <w:rPr>
          <w:rFonts w:ascii="Arial" w:cs="Arial" w:eastAsia="Arial" w:hAnsi="Arial"/>
          <w:sz w:val="16"/>
          <w:szCs w:val="16"/>
          <w:color w:val="000000"/>
        </w:rPr>
        <w:t>= Chairperson</w:t>
      </w:r>
      <w:r>
        <w:rPr>
          <w:sz w:val="20"/>
          <w:szCs w:val="20"/>
          <w:color w:val="auto"/>
        </w:rPr>
        <w:tab/>
      </w:r>
      <w:r>
        <w:rPr>
          <w:rFonts w:ascii="Wingdings" w:cs="Wingdings" w:eastAsia="Wingdings" w:hAnsi="Wingdings"/>
          <w:sz w:val="16"/>
          <w:szCs w:val="16"/>
          <w:b w:val="1"/>
          <w:bCs w:val="1"/>
          <w:color w:val="191769"/>
        </w:rPr>
        <w:t xml:space="preserve">¡ </w:t>
      </w:r>
      <w:r>
        <w:rPr>
          <w:rFonts w:ascii="Arial" w:cs="Arial" w:eastAsia="Arial" w:hAnsi="Arial"/>
          <w:sz w:val="16"/>
          <w:szCs w:val="16"/>
          <w:color w:val="000000"/>
        </w:rPr>
        <w:t>= Member</w:t>
      </w:r>
      <w:r>
        <w:rPr>
          <w:sz w:val="20"/>
          <w:szCs w:val="20"/>
          <w:color w:val="auto"/>
        </w:rPr>
        <w:tab/>
      </w:r>
      <w:r>
        <w:rPr>
          <w:rFonts w:ascii="Arial" w:cs="Arial" w:eastAsia="Arial" w:hAnsi="Arial"/>
          <w:sz w:val="16"/>
          <w:szCs w:val="16"/>
          <w:color w:val="auto"/>
        </w:rPr>
        <w:t>L =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314960</wp:posOffset>
            </wp:positionV>
            <wp:extent cx="7620" cy="132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462" w:hanging="445"/>
        <w:spacing w:after="0"/>
        <w:tabs>
          <w:tab w:leader="none" w:pos="462" w:val="left"/>
        </w:tabs>
        <w:numPr>
          <w:ilvl w:val="0"/>
          <w:numId w:val="33"/>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217805</wp:posOffset>
            </wp:positionV>
            <wp:extent cx="7169785"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2"/>
          </w:cols>
          <w:pgMar w:left="318" w:top="124" w:right="339" w:bottom="1440" w:gutter="0" w:footer="0" w:header="0"/>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8"/>
          <w:szCs w:val="28"/>
          <w:b w:val="1"/>
          <w:bCs w:val="1"/>
          <w:color w:val="191769"/>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161290</wp:posOffset>
            </wp:positionV>
            <wp:extent cx="1985645" cy="45415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85645" cy="4541520"/>
                    </a:xfrm>
                    <a:prstGeom prst="rect">
                      <a:avLst/>
                    </a:prstGeom>
                    <a:noFill/>
                  </pic:spPr>
                </pic:pic>
              </a:graphicData>
            </a:graphic>
          </wp:anchor>
        </w:drawing>
      </w:r>
    </w:p>
    <w:p>
      <w:pPr>
        <w:spacing w:after="0" w:line="384" w:lineRule="exact"/>
        <w:rPr>
          <w:sz w:val="20"/>
          <w:szCs w:val="20"/>
          <w:color w:val="auto"/>
        </w:rPr>
      </w:pPr>
    </w:p>
    <w:p>
      <w:pPr>
        <w:ind w:left="140" w:right="1000"/>
        <w:spacing w:after="0" w:line="294" w:lineRule="auto"/>
        <w:rPr>
          <w:sz w:val="20"/>
          <w:szCs w:val="20"/>
          <w:color w:val="auto"/>
        </w:rPr>
      </w:pPr>
      <w:r>
        <w:rPr>
          <w:rFonts w:ascii="Arial" w:cs="Arial" w:eastAsia="Arial" w:hAnsi="Arial"/>
          <w:sz w:val="23"/>
          <w:szCs w:val="23"/>
          <w:b w:val="1"/>
          <w:bCs w:val="1"/>
          <w:color w:val="0076A8"/>
        </w:rPr>
        <w:t>Steven M. Klein (Chair)</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191769"/>
        </w:rPr>
        <w:t>Members in 2025:</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23"/>
          <w:szCs w:val="23"/>
          <w:color w:val="auto"/>
        </w:rPr>
        <w:t>Joshua Bershad, M.D.</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23"/>
          <w:szCs w:val="23"/>
          <w:color w:val="auto"/>
        </w:rPr>
        <w:t>Ann L. Noble</w:t>
      </w:r>
    </w:p>
    <w:p>
      <w:pPr>
        <w:spacing w:after="0" w:line="200" w:lineRule="exact"/>
        <w:rPr>
          <w:sz w:val="20"/>
          <w:szCs w:val="20"/>
          <w:color w:val="auto"/>
        </w:rPr>
      </w:pPr>
    </w:p>
    <w:p>
      <w:pPr>
        <w:spacing w:after="0" w:line="264"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91769"/>
        </w:rPr>
        <w:t xml:space="preserve">Independent Members: </w:t>
      </w:r>
      <w:r>
        <w:rPr>
          <w:rFonts w:ascii="Arial" w:cs="Arial" w:eastAsia="Arial" w:hAnsi="Arial"/>
          <w:sz w:val="22"/>
          <w:szCs w:val="22"/>
          <w:color w:val="000000"/>
        </w:rPr>
        <w:t>3</w:t>
      </w:r>
    </w:p>
    <w:p>
      <w:pPr>
        <w:spacing w:after="0" w:line="289"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191769"/>
        </w:rPr>
        <w:t xml:space="preserve">Meetings Held in 2025: </w:t>
      </w:r>
      <w:r>
        <w:rPr>
          <w:rFonts w:ascii="Arial" w:cs="Arial" w:eastAsia="Arial" w:hAnsi="Arial"/>
          <w:sz w:val="23"/>
          <w:szCs w:val="23"/>
          <w:color w:val="000000"/>
        </w:rPr>
        <w:t>5</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b w:val="1"/>
          <w:bCs w:val="1"/>
          <w:color w:val="191769"/>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-2099945</wp:posOffset>
            </wp:positionH>
            <wp:positionV relativeFrom="paragraph">
              <wp:posOffset>751840</wp:posOffset>
            </wp:positionV>
            <wp:extent cx="5252720"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5272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191769"/>
        </w:rPr>
        <w:t>Audit Committee Responsibilities</w:t>
      </w:r>
    </w:p>
    <w:p>
      <w:pPr>
        <w:spacing w:after="0" w:line="99" w:lineRule="exact"/>
        <w:rPr>
          <w:sz w:val="20"/>
          <w:szCs w:val="20"/>
          <w:color w:val="auto"/>
        </w:rPr>
      </w:pPr>
    </w:p>
    <w:p>
      <w:pPr>
        <w:ind w:left="1" w:right="400"/>
        <w:spacing w:after="0" w:line="263" w:lineRule="auto"/>
        <w:rPr>
          <w:sz w:val="20"/>
          <w:szCs w:val="20"/>
          <w:color w:val="auto"/>
        </w:rPr>
      </w:pPr>
      <w:r>
        <w:rPr>
          <w:rFonts w:ascii="Arial" w:cs="Arial" w:eastAsia="Arial" w:hAnsi="Arial"/>
          <w:sz w:val="16"/>
          <w:szCs w:val="16"/>
          <w:color w:val="auto"/>
        </w:rPr>
        <w:t>The Audit Committee is responsible for oversight of the audit of the Company’s financial statements and internal controls over financial reporting. It is also assigned the responsibilities of (i) oversight of the Company’s internal audit functions; (ii) review of related party transactions with the Company; (iii) determining whether to grant waivers if any, with respect to the Company’s Code of Conduct; and (iv) investigation of “whistleblower” complaints. In all its actions, the Committee shall comply with the requirements, rules and regulations of the Sarbanes-Oxley Act of 2002, Nasdaq Global Select Marketplace listing standards and all other applicable federal and state laws, rules and regulations.</w:t>
      </w:r>
    </w:p>
    <w:p>
      <w:pPr>
        <w:spacing w:after="0" w:line="90" w:lineRule="exact"/>
        <w:rPr>
          <w:sz w:val="20"/>
          <w:szCs w:val="20"/>
          <w:color w:val="auto"/>
        </w:rPr>
      </w:pPr>
    </w:p>
    <w:p>
      <w:pPr>
        <w:ind w:left="1" w:right="780"/>
        <w:spacing w:after="0" w:line="299" w:lineRule="auto"/>
        <w:rPr>
          <w:sz w:val="20"/>
          <w:szCs w:val="20"/>
          <w:color w:val="auto"/>
        </w:rPr>
      </w:pPr>
      <w:r>
        <w:rPr>
          <w:rFonts w:ascii="Arial" w:cs="Arial" w:eastAsia="Arial" w:hAnsi="Arial"/>
          <w:sz w:val="16"/>
          <w:szCs w:val="16"/>
          <w:color w:val="auto"/>
        </w:rPr>
        <w:t>In the course of performing its functions, the Audit Committee, as provided by the Audit Committee Charter:</w:t>
      </w:r>
    </w:p>
    <w:p>
      <w:pPr>
        <w:spacing w:after="0" w:line="71" w:lineRule="exact"/>
        <w:rPr>
          <w:sz w:val="20"/>
          <w:szCs w:val="20"/>
          <w:color w:val="auto"/>
        </w:rPr>
      </w:pPr>
    </w:p>
    <w:p>
      <w:pPr>
        <w:ind w:left="181" w:right="560" w:hanging="181"/>
        <w:spacing w:after="0" w:line="297" w:lineRule="auto"/>
        <w:tabs>
          <w:tab w:leader="none" w:pos="172"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Reviews with the independent registered public accounting firm the scope and results of the annual audit and quarterly reviews;</w:t>
      </w:r>
    </w:p>
    <w:p>
      <w:pPr>
        <w:ind w:left="161" w:hanging="161"/>
        <w:spacing w:after="0"/>
        <w:tabs>
          <w:tab w:leader="none" w:pos="161"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Receives and reviews the independent registered public accounting firm’s annual report;</w:t>
      </w:r>
    </w:p>
    <w:p>
      <w:pPr>
        <w:spacing w:after="0" w:line="74" w:lineRule="exact"/>
        <w:rPr>
          <w:rFonts w:ascii="Arial" w:cs="Arial" w:eastAsia="Arial" w:hAnsi="Arial"/>
          <w:sz w:val="16"/>
          <w:szCs w:val="16"/>
          <w:b w:val="1"/>
          <w:bCs w:val="1"/>
          <w:color w:val="auto"/>
        </w:rPr>
      </w:pPr>
    </w:p>
    <w:p>
      <w:pPr>
        <w:ind w:left="181" w:right="320" w:hanging="181"/>
        <w:spacing w:after="0" w:line="299" w:lineRule="auto"/>
        <w:tabs>
          <w:tab w:leader="none" w:pos="172"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Reviews the independence of the independent registered public accounting firm and services provided by them and their fees;</w:t>
      </w:r>
    </w:p>
    <w:p>
      <w:pPr>
        <w:spacing w:after="0" w:line="9" w:lineRule="exact"/>
        <w:rPr>
          <w:rFonts w:ascii="Arial" w:cs="Arial" w:eastAsia="Arial" w:hAnsi="Arial"/>
          <w:sz w:val="16"/>
          <w:szCs w:val="16"/>
          <w:b w:val="1"/>
          <w:bCs w:val="1"/>
          <w:color w:val="auto"/>
        </w:rPr>
      </w:pPr>
    </w:p>
    <w:p>
      <w:pPr>
        <w:ind w:left="181" w:right="440" w:hanging="181"/>
        <w:spacing w:after="0" w:line="297" w:lineRule="auto"/>
        <w:tabs>
          <w:tab w:leader="none" w:pos="172"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Recommends to the Board the inclusion of the audited financial statements in the Company’s Annual Report to the SEC on Form 10-K;</w:t>
      </w:r>
    </w:p>
    <w:p>
      <w:pPr>
        <w:ind w:left="161" w:hanging="161"/>
        <w:spacing w:after="0"/>
        <w:tabs>
          <w:tab w:leader="none" w:pos="161"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Directly responsible for the annual appointment of an independent registered public accounting firm.</w:t>
      </w:r>
    </w:p>
    <w:p>
      <w:pPr>
        <w:spacing w:after="0" w:line="74" w:lineRule="exact"/>
        <w:rPr>
          <w:rFonts w:ascii="Arial" w:cs="Arial" w:eastAsia="Arial" w:hAnsi="Arial"/>
          <w:sz w:val="16"/>
          <w:szCs w:val="16"/>
          <w:b w:val="1"/>
          <w:bCs w:val="1"/>
          <w:color w:val="auto"/>
        </w:rPr>
      </w:pPr>
    </w:p>
    <w:p>
      <w:pPr>
        <w:ind w:left="181" w:right="760" w:hanging="181"/>
        <w:spacing w:after="0" w:line="299" w:lineRule="auto"/>
        <w:tabs>
          <w:tab w:leader="none" w:pos="172"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Manages the risk oversight responsibilities of this Committee as delegated to it by the Board and described in further detail above under the heading "Board Role in Risk Oversight.”</w:t>
      </w:r>
    </w:p>
    <w:p>
      <w:pPr>
        <w:spacing w:after="0" w:line="9" w:lineRule="exact"/>
        <w:rPr>
          <w:rFonts w:ascii="Arial" w:cs="Arial" w:eastAsia="Arial" w:hAnsi="Arial"/>
          <w:sz w:val="16"/>
          <w:szCs w:val="16"/>
          <w:b w:val="1"/>
          <w:bCs w:val="1"/>
          <w:color w:val="auto"/>
        </w:rPr>
      </w:pPr>
    </w:p>
    <w:p>
      <w:pPr>
        <w:ind w:left="181" w:right="300" w:hanging="181"/>
        <w:spacing w:after="0" w:line="299" w:lineRule="auto"/>
        <w:tabs>
          <w:tab w:leader="none" w:pos="172"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Performs such other duties and responsibilities as may be required by applicable law, regulation, listing standards, or as delegated by the Board.</w:t>
      </w:r>
    </w:p>
    <w:p>
      <w:pPr>
        <w:spacing w:after="0" w:line="5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191769"/>
        </w:rPr>
        <w:t>Independence</w:t>
      </w:r>
    </w:p>
    <w:p>
      <w:pPr>
        <w:spacing w:after="0" w:line="62" w:lineRule="exact"/>
        <w:rPr>
          <w:sz w:val="20"/>
          <w:szCs w:val="20"/>
          <w:color w:val="auto"/>
        </w:rPr>
      </w:pPr>
    </w:p>
    <w:p>
      <w:pPr>
        <w:jc w:val="both"/>
        <w:ind w:left="1" w:right="900"/>
        <w:spacing w:after="0" w:line="299" w:lineRule="auto"/>
        <w:rPr>
          <w:sz w:val="20"/>
          <w:szCs w:val="20"/>
          <w:color w:val="auto"/>
        </w:rPr>
      </w:pPr>
      <w:r>
        <w:rPr>
          <w:rFonts w:ascii="Arial" w:cs="Arial" w:eastAsia="Arial" w:hAnsi="Arial"/>
          <w:sz w:val="16"/>
          <w:szCs w:val="16"/>
          <w:color w:val="auto"/>
        </w:rPr>
        <w:t>The Board has determined that under current Nasdaq listing standards, all members of the Audit Committee are Independent Directors. The Audit Committee reports to the Board on its activities.</w:t>
      </w:r>
    </w:p>
    <w:p>
      <w:pPr>
        <w:spacing w:after="0" w:line="7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191769"/>
        </w:rPr>
        <w:t>Committee Charter</w:t>
      </w:r>
    </w:p>
    <w:p>
      <w:pPr>
        <w:spacing w:after="0" w:line="62" w:lineRule="exact"/>
        <w:rPr>
          <w:sz w:val="20"/>
          <w:szCs w:val="20"/>
          <w:color w:val="auto"/>
        </w:rPr>
      </w:pPr>
    </w:p>
    <w:p>
      <w:pPr>
        <w:jc w:val="both"/>
        <w:ind w:left="1" w:right="460"/>
        <w:spacing w:after="0" w:line="278" w:lineRule="auto"/>
        <w:rPr>
          <w:sz w:val="20"/>
          <w:szCs w:val="20"/>
          <w:color w:val="auto"/>
        </w:rPr>
      </w:pPr>
      <w:r>
        <w:rPr>
          <w:rFonts w:ascii="Arial" w:cs="Arial" w:eastAsia="Arial" w:hAnsi="Arial"/>
          <w:sz w:val="16"/>
          <w:szCs w:val="16"/>
          <w:color w:val="auto"/>
        </w:rPr>
        <w:t xml:space="preserve">In March 2026, the Board of Directors re-approved the written Charter for the Audit Committee which is available in the Investors section of our website </w:t>
      </w:r>
      <w:r>
        <w:rPr>
          <w:rFonts w:ascii="Arial" w:cs="Arial" w:eastAsia="Arial" w:hAnsi="Arial"/>
          <w:sz w:val="16"/>
          <w:szCs w:val="16"/>
          <w:u w:val="single" w:color="auto"/>
          <w:color w:val="0076A8"/>
        </w:rPr>
        <w:t>www.MiddlesexWater.com</w:t>
      </w:r>
      <w:r>
        <w:rPr>
          <w:rFonts w:ascii="Arial" w:cs="Arial" w:eastAsia="Arial" w:hAnsi="Arial"/>
          <w:sz w:val="16"/>
          <w:szCs w:val="16"/>
          <w:color w:val="auto"/>
        </w:rPr>
        <w:t xml:space="preserve"> under Governance. Please refer to this Charter for a full listing of Audit Committee responsibilities.</w:t>
      </w:r>
    </w:p>
    <w:p>
      <w:pPr>
        <w:spacing w:after="0" w:line="200" w:lineRule="exact"/>
        <w:rPr>
          <w:sz w:val="20"/>
          <w:szCs w:val="20"/>
          <w:color w:val="auto"/>
        </w:rPr>
      </w:pPr>
    </w:p>
    <w:p>
      <w:pPr>
        <w:spacing w:after="0" w:line="335" w:lineRule="exact"/>
        <w:rPr>
          <w:sz w:val="20"/>
          <w:szCs w:val="20"/>
          <w:color w:val="auto"/>
        </w:rPr>
      </w:pPr>
    </w:p>
    <w:tbl>
      <w:tblPr>
        <w:tblLayout w:type="fixed"/>
        <w:tblInd w:w="6101" w:type="dxa"/>
        <w:tblCellMar>
          <w:top w:w="0" w:type="dxa"/>
          <w:left w:w="0" w:type="dxa"/>
          <w:bottom w:w="0" w:type="dxa"/>
          <w:right w:w="0" w:type="dxa"/>
        </w:tblCellMar>
      </w:tblPr>
      <w:tr>
        <w:trPr>
          <w:trHeight w:val="209"/>
        </w:trPr>
        <w:tc>
          <w:tcPr>
            <w:tcW w:w="1440" w:type="dxa"/>
            <w:vAlign w:val="bottom"/>
            <w:tcBorders>
              <w:right w:val="single" w:sz="8" w:color="00AEEF"/>
            </w:tcBorders>
          </w:tcPr>
          <w:p>
            <w:pPr>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60" w:type="dxa"/>
            <w:vAlign w:val="bottom"/>
          </w:tcPr>
          <w:p>
            <w:pPr>
              <w:jc w:val="right"/>
              <w:spacing w:after="0"/>
              <w:rPr>
                <w:sz w:val="20"/>
                <w:szCs w:val="20"/>
                <w:color w:val="auto"/>
              </w:rPr>
            </w:pPr>
            <w:r>
              <w:rPr>
                <w:rFonts w:ascii="Arial" w:cs="Arial" w:eastAsia="Arial" w:hAnsi="Arial"/>
                <w:sz w:val="13"/>
                <w:szCs w:val="13"/>
                <w:b w:val="1"/>
                <w:bCs w:val="1"/>
                <w:color w:val="191769"/>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190500</wp:posOffset>
            </wp:positionV>
            <wp:extent cx="7169785"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2">
            <w:col w:w="2840" w:space="479"/>
            <w:col w:w="7921"/>
          </w:cols>
          <w:pgMar w:left="320" w:top="124"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color w:val="191769"/>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7"/>
          <w:szCs w:val="27"/>
          <w:b w:val="1"/>
          <w:bCs w:val="1"/>
          <w:color w:val="191769"/>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98425</wp:posOffset>
            </wp:positionV>
            <wp:extent cx="5260340" cy="51904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60340" cy="5190490"/>
                    </a:xfrm>
                    <a:prstGeom prst="rect">
                      <a:avLst/>
                    </a:prstGeom>
                    <a:noFill/>
                  </pic:spPr>
                </pic:pic>
              </a:graphicData>
            </a:graphic>
          </wp:anchor>
        </w:drawing>
      </w:r>
    </w:p>
    <w:p>
      <w:pPr>
        <w:sectPr>
          <w:pgSz w:w="11900" w:h="16838" w:orient="portrait"/>
          <w:cols w:equalWidth="0" w:num="1">
            <w:col w:w="11020"/>
          </w:cols>
          <w:pgMar w:left="320" w:top="124" w:right="55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0076A8"/>
        </w:rPr>
        <w:t>Joshua Bershad, M.D.</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0076A8"/>
        </w:rPr>
        <w:t>(Chair)</w:t>
      </w:r>
    </w:p>
    <w:p>
      <w:pPr>
        <w:spacing w:after="0" w:line="253"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191769"/>
        </w:rPr>
        <w:t>Members in 2025:</w:t>
      </w:r>
    </w:p>
    <w:p>
      <w:pPr>
        <w:spacing w:after="0" w:line="30" w:lineRule="exact"/>
        <w:rPr>
          <w:sz w:val="20"/>
          <w:szCs w:val="20"/>
          <w:color w:val="auto"/>
        </w:rPr>
      </w:pPr>
    </w:p>
    <w:p>
      <w:pPr>
        <w:ind w:left="140" w:right="360"/>
        <w:spacing w:after="0" w:line="259" w:lineRule="auto"/>
        <w:rPr>
          <w:sz w:val="20"/>
          <w:szCs w:val="20"/>
          <w:color w:val="auto"/>
        </w:rPr>
      </w:pPr>
      <w:r>
        <w:rPr>
          <w:rFonts w:ascii="Arial" w:cs="Arial" w:eastAsia="Arial" w:hAnsi="Arial"/>
          <w:sz w:val="23"/>
          <w:szCs w:val="23"/>
          <w:color w:val="auto"/>
        </w:rPr>
        <w:t>James F. Cosgrove, Jr. Kim C. Hanemann Amy B. Mansue</w:t>
      </w:r>
    </w:p>
    <w:p>
      <w:pPr>
        <w:spacing w:after="0" w:line="21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91769"/>
        </w:rPr>
        <w:t xml:space="preserve">Independent Members: </w:t>
      </w:r>
      <w:r>
        <w:rPr>
          <w:rFonts w:ascii="Arial" w:cs="Arial" w:eastAsia="Arial" w:hAnsi="Arial"/>
          <w:sz w:val="22"/>
          <w:szCs w:val="22"/>
          <w:color w:val="000000"/>
        </w:rPr>
        <w:t>3</w:t>
      </w:r>
    </w:p>
    <w:p>
      <w:pPr>
        <w:spacing w:after="0" w:line="289"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191769"/>
        </w:rPr>
        <w:t xml:space="preserve">Meetings Held in 2025: </w:t>
      </w:r>
      <w:r>
        <w:rPr>
          <w:rFonts w:ascii="Arial" w:cs="Arial" w:eastAsia="Arial" w:hAnsi="Arial"/>
          <w:sz w:val="23"/>
          <w:szCs w:val="23"/>
          <w:color w:val="00000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3379470</wp:posOffset>
            </wp:positionV>
            <wp:extent cx="7620" cy="132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Compensation Committee Responsibilities</w:t>
      </w:r>
    </w:p>
    <w:p>
      <w:pPr>
        <w:spacing w:after="0" w:line="99"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Compensation Committee has oversight of human capital risk and is focused on succession planning efforts at the executive levels of company management. The Compensation Committee oversees the administration of the compensation and benefits program for Executive Officers of the Company. In addition, the Committee administers the Compensation program relative to the Board in consultation with the Corporate Governance and Nominating Committee. In all its actions, the Committee shall comply with the requirements, rules and regulations of the Nasdaq listing standards and all other applicable federal and state laws and regulations.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w:t>
      </w:r>
    </w:p>
    <w:p>
      <w:pPr>
        <w:spacing w:after="0" w:line="148" w:lineRule="exact"/>
        <w:rPr>
          <w:sz w:val="20"/>
          <w:szCs w:val="20"/>
          <w:color w:val="auto"/>
        </w:rPr>
      </w:pPr>
    </w:p>
    <w:p>
      <w:pPr>
        <w:ind w:left="180" w:right="440" w:hanging="178"/>
        <w:spacing w:after="0" w:line="297" w:lineRule="auto"/>
        <w:tabs>
          <w:tab w:leader="none" w:pos="171"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Reviews and makes recommendations to the Board as to the base salaries, benefits and incentive compensation of the Executive Officers;</w:t>
      </w:r>
    </w:p>
    <w:p>
      <w:pPr>
        <w:ind w:left="180" w:right="260" w:hanging="178"/>
        <w:spacing w:after="0" w:line="297" w:lineRule="auto"/>
        <w:tabs>
          <w:tab w:leader="none" w:pos="171"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Meets with the Chief Executive Officer to evaluate her performance and the performance of the other Executive Officers;</w:t>
      </w:r>
    </w:p>
    <w:p>
      <w:pPr>
        <w:ind w:left="180" w:right="140" w:hanging="178"/>
        <w:spacing w:after="0" w:line="299" w:lineRule="auto"/>
        <w:tabs>
          <w:tab w:leader="none" w:pos="171"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Approves the Compensation, Discussion and Analysis and Report of the Compensation Committee for inclusion in the Proxy Statement.</w:t>
      </w:r>
    </w:p>
    <w:p>
      <w:pPr>
        <w:spacing w:after="0" w:line="9" w:lineRule="exact"/>
        <w:rPr>
          <w:rFonts w:ascii="Arial" w:cs="Arial" w:eastAsia="Arial" w:hAnsi="Arial"/>
          <w:sz w:val="16"/>
          <w:szCs w:val="16"/>
          <w:b w:val="1"/>
          <w:bCs w:val="1"/>
          <w:color w:val="auto"/>
        </w:rPr>
      </w:pPr>
    </w:p>
    <w:p>
      <w:pPr>
        <w:ind w:left="180" w:right="580" w:hanging="178"/>
        <w:spacing w:after="0" w:line="297" w:lineRule="auto"/>
        <w:tabs>
          <w:tab w:leader="none" w:pos="171"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Manages the risk oversight responsibilities of this Committee as delegated to it by the Board and described in further detail above under the heading "Board Role in Risk Oversight.”</w:t>
      </w:r>
    </w:p>
    <w:p>
      <w:pPr>
        <w:ind w:left="180" w:right="120" w:hanging="178"/>
        <w:spacing w:after="0" w:line="299" w:lineRule="auto"/>
        <w:tabs>
          <w:tab w:leader="none" w:pos="171"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Performs such other duties and responsibilities as may be required by applicable law, regulation, listing standards, or as delegated by the Board.</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Independence</w:t>
      </w:r>
    </w:p>
    <w:p>
      <w:pPr>
        <w:spacing w:after="0" w:line="62" w:lineRule="exact"/>
        <w:rPr>
          <w:sz w:val="20"/>
          <w:szCs w:val="20"/>
          <w:color w:val="auto"/>
        </w:rPr>
      </w:pPr>
    </w:p>
    <w:p>
      <w:pPr>
        <w:jc w:val="both"/>
        <w:ind w:right="40"/>
        <w:spacing w:after="0" w:line="299" w:lineRule="auto"/>
        <w:rPr>
          <w:sz w:val="20"/>
          <w:szCs w:val="20"/>
          <w:color w:val="auto"/>
        </w:rPr>
      </w:pPr>
      <w:r>
        <w:rPr>
          <w:rFonts w:ascii="Arial" w:cs="Arial" w:eastAsia="Arial" w:hAnsi="Arial"/>
          <w:sz w:val="16"/>
          <w:szCs w:val="16"/>
          <w:color w:val="auto"/>
        </w:rPr>
        <w:t>The Board has determined that under current Nasdaq listing standards, all members of the Compensation Committee are Independent Directors. The Compensation Committee reports to the Board on its activities.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Committee Charter</w:t>
      </w:r>
    </w:p>
    <w:p>
      <w:pPr>
        <w:spacing w:after="0" w:line="62"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color w:val="auto"/>
        </w:rPr>
        <w:t xml:space="preserve">In March 2026, the Board of Directors re-approved a written Charter for the Compensation Committee which is available in the Investors section of our website </w:t>
      </w:r>
      <w:r>
        <w:rPr>
          <w:rFonts w:ascii="Arial" w:cs="Arial" w:eastAsia="Arial" w:hAnsi="Arial"/>
          <w:sz w:val="16"/>
          <w:szCs w:val="16"/>
          <w:u w:val="single" w:color="auto"/>
          <w:color w:val="0076A8"/>
        </w:rPr>
        <w:t>www.MiddlesexWater.com</w:t>
      </w:r>
      <w:r>
        <w:rPr>
          <w:rFonts w:ascii="Arial" w:cs="Arial" w:eastAsia="Arial" w:hAnsi="Arial"/>
          <w:sz w:val="16"/>
          <w:szCs w:val="16"/>
          <w:color w:val="auto"/>
        </w:rPr>
        <w:t xml:space="preserve"> under Governance. Please refer to this Charter for a full listing of Compensation Committee responsibilities.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Compensation Committee Interlocks and Insider Participation</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members of the 2025 Compensation Committee were Joshua Bershad, M.D., James F. Cosgrove, Jr., Kim C. Hanemann and Amy B. Mansue. During 2025, no member of the Compensation Committee was at any time an officer or employee of the Company or its subsidiaries. No current member is related to any other member of the Compensation Committee, any other member of the Board or any Executive Officer of the Company.</w:t>
      </w:r>
    </w:p>
    <w:p>
      <w:pPr>
        <w:spacing w:after="0" w:line="200" w:lineRule="exact"/>
        <w:rPr>
          <w:sz w:val="20"/>
          <w:szCs w:val="20"/>
          <w:color w:val="auto"/>
        </w:rPr>
      </w:pPr>
    </w:p>
    <w:p>
      <w:pPr>
        <w:sectPr>
          <w:pgSz w:w="11900" w:h="16838" w:orient="portrait"/>
          <w:cols w:equalWidth="0" w:num="2">
            <w:col w:w="2840" w:space="440"/>
            <w:col w:w="7740"/>
          </w:cols>
          <w:pgMar w:left="320" w:top="124"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60" w:hanging="445"/>
        <w:spacing w:after="0"/>
        <w:tabs>
          <w:tab w:leader="none" w:pos="460" w:val="left"/>
        </w:tabs>
        <w:numPr>
          <w:ilvl w:val="0"/>
          <w:numId w:val="36"/>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217805</wp:posOffset>
            </wp:positionV>
            <wp:extent cx="7169785" cy="41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020"/>
          </w:cols>
          <w:pgMar w:left="320" w:top="124" w:right="55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4"/>
          <w:szCs w:val="14"/>
          <w:b w:val="1"/>
          <w:bCs w:val="1"/>
          <w:color w:val="191769"/>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8"/>
          <w:szCs w:val="28"/>
          <w:b w:val="1"/>
          <w:bCs w:val="1"/>
          <w:color w:val="191769"/>
        </w:rPr>
        <w:t>Corporate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260340" cy="5479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60340" cy="547941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391"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0076A8"/>
        </w:rPr>
        <w:t>Ann L. Noble</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0076A8"/>
        </w:rPr>
        <w:t>(Chair)</w:t>
      </w:r>
    </w:p>
    <w:p>
      <w:pPr>
        <w:spacing w:after="0" w:line="253"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191769"/>
        </w:rPr>
        <w:t>Corporate Governance</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191769"/>
        </w:rPr>
        <w:t>and Nominating</w:t>
      </w:r>
    </w:p>
    <w:p>
      <w:pPr>
        <w:spacing w:after="0" w:line="6"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191769"/>
        </w:rPr>
        <w:t>Committee</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191769"/>
        </w:rPr>
        <w:t>Members in 2025:</w:t>
      </w:r>
    </w:p>
    <w:p>
      <w:pPr>
        <w:spacing w:after="0" w:line="6" w:lineRule="exact"/>
        <w:rPr>
          <w:sz w:val="20"/>
          <w:szCs w:val="20"/>
          <w:color w:val="auto"/>
        </w:rPr>
      </w:pPr>
    </w:p>
    <w:p>
      <w:pPr>
        <w:ind w:left="140" w:right="740"/>
        <w:spacing w:after="0" w:line="276" w:lineRule="auto"/>
        <w:rPr>
          <w:sz w:val="20"/>
          <w:szCs w:val="20"/>
          <w:color w:val="auto"/>
        </w:rPr>
      </w:pPr>
      <w:r>
        <w:rPr>
          <w:rFonts w:ascii="Arial" w:cs="Arial" w:eastAsia="Arial" w:hAnsi="Arial"/>
          <w:sz w:val="22"/>
          <w:szCs w:val="22"/>
          <w:color w:val="auto"/>
        </w:rPr>
        <w:t>Steven L. Klein Vaughn L. McKoy Walter G. Reinhard</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91769"/>
        </w:rPr>
        <w:t xml:space="preserve">Independent Members: </w:t>
      </w:r>
      <w:r>
        <w:rPr>
          <w:rFonts w:ascii="Arial" w:cs="Arial" w:eastAsia="Arial" w:hAnsi="Arial"/>
          <w:sz w:val="22"/>
          <w:szCs w:val="22"/>
          <w:color w:val="000000"/>
        </w:rPr>
        <w:t>4</w:t>
      </w:r>
    </w:p>
    <w:p>
      <w:pPr>
        <w:spacing w:after="0" w:line="276"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191769"/>
        </w:rPr>
        <w:t xml:space="preserve">Meetings Held in 2025: </w:t>
      </w:r>
      <w:r>
        <w:rPr>
          <w:rFonts w:ascii="Arial" w:cs="Arial" w:eastAsia="Arial" w:hAnsi="Arial"/>
          <w:sz w:val="23"/>
          <w:szCs w:val="23"/>
          <w:color w:val="000000"/>
        </w:rPr>
        <w:t>4</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Corporate Governance and Nominating Committee Responsibilities</w:t>
      </w:r>
    </w:p>
    <w:p>
      <w:pPr>
        <w:spacing w:after="0" w:line="99"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The Corporate Governance and Nominating Committee shall provide assistance to the Board in fulfilling the responsibility for matters relating to the organization of the Board and governance of the Company. This Committee shall identify, evaluate and propose new nominees to the Board; and make recommendation to the Board on all such matters and for other issues relating to the Company’s corporate governance. In so doing, the Corporate Governance and Nominating Committee shall maintain free and open means of communication between the Directors and Executive Officers of the Company. In carrying out its responsibilities, the Corporate Governance and Nominating Committee strives to ensure to the Directors and shareholders that the corporate governance practices of the Company are in accordance with applicable laws and regulations and reflect the highest ethical standards.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Among its various responsibilities, the Corporate Governance and Nominating Committee:</w:t>
      </w:r>
    </w:p>
    <w:p>
      <w:pPr>
        <w:spacing w:after="0" w:line="148" w:lineRule="exact"/>
        <w:rPr>
          <w:sz w:val="20"/>
          <w:szCs w:val="20"/>
          <w:color w:val="auto"/>
        </w:rPr>
      </w:pPr>
    </w:p>
    <w:p>
      <w:pPr>
        <w:ind w:left="180" w:right="700" w:hanging="178"/>
        <w:spacing w:after="0" w:line="297" w:lineRule="auto"/>
        <w:tabs>
          <w:tab w:leader="none" w:pos="171"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Reviews and makes recommendations relating to the performance of the Board, Board committee structures and the composition of the Board;</w:t>
      </w:r>
    </w:p>
    <w:p>
      <w:pPr>
        <w:ind w:left="180" w:hanging="178"/>
        <w:spacing w:after="0"/>
        <w:tabs>
          <w:tab w:leader="none" w:pos="180"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Reviews and makes recommendations on matters related to Directors’ compensation;</w:t>
      </w:r>
    </w:p>
    <w:p>
      <w:pPr>
        <w:spacing w:after="0" w:line="74" w:lineRule="exact"/>
        <w:rPr>
          <w:rFonts w:ascii="Arial" w:cs="Arial" w:eastAsia="Arial" w:hAnsi="Arial"/>
          <w:sz w:val="16"/>
          <w:szCs w:val="16"/>
          <w:b w:val="1"/>
          <w:bCs w:val="1"/>
          <w:color w:val="auto"/>
        </w:rPr>
      </w:pPr>
    </w:p>
    <w:p>
      <w:pPr>
        <w:ind w:left="180" w:right="760" w:hanging="178"/>
        <w:spacing w:after="0" w:line="299" w:lineRule="auto"/>
        <w:tabs>
          <w:tab w:leader="none" w:pos="171"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Reviews and makes recommendations related to any management proposals to make significant organizational changes to the Company;</w:t>
      </w:r>
    </w:p>
    <w:p>
      <w:pPr>
        <w:spacing w:after="0" w:line="9" w:lineRule="exact"/>
        <w:rPr>
          <w:rFonts w:ascii="Arial" w:cs="Arial" w:eastAsia="Arial" w:hAnsi="Arial"/>
          <w:sz w:val="16"/>
          <w:szCs w:val="16"/>
          <w:b w:val="1"/>
          <w:bCs w:val="1"/>
          <w:color w:val="auto"/>
        </w:rPr>
      </w:pPr>
    </w:p>
    <w:p>
      <w:pPr>
        <w:ind w:left="180" w:right="240" w:hanging="178"/>
        <w:spacing w:after="0" w:line="271" w:lineRule="auto"/>
        <w:tabs>
          <w:tab w:leader="none" w:pos="171"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Seeks and identifies qualified candidates for Board membership and recommends to the Board candidates for nomination and election to the Board. In this capacity, the Committee focuses on the composition of the Board with respect to depth of experience, balance of professional interests, required expertise and other factors;</w:t>
      </w:r>
    </w:p>
    <w:p>
      <w:pPr>
        <w:spacing w:after="0" w:line="18" w:lineRule="exact"/>
        <w:rPr>
          <w:rFonts w:ascii="Arial" w:cs="Arial" w:eastAsia="Arial" w:hAnsi="Arial"/>
          <w:sz w:val="16"/>
          <w:szCs w:val="16"/>
          <w:b w:val="1"/>
          <w:bCs w:val="1"/>
          <w:color w:val="auto"/>
        </w:rPr>
      </w:pPr>
    </w:p>
    <w:p>
      <w:pPr>
        <w:ind w:left="180" w:right="360" w:hanging="178"/>
        <w:spacing w:after="0" w:line="297" w:lineRule="auto"/>
        <w:tabs>
          <w:tab w:leader="none" w:pos="171"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Establishes and manages the process by which recommendations for Board membership are received and evaluated from shareholders and other sources;</w:t>
      </w:r>
    </w:p>
    <w:p>
      <w:pPr>
        <w:ind w:left="180" w:hanging="178"/>
        <w:spacing w:after="0"/>
        <w:tabs>
          <w:tab w:leader="none" w:pos="180"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Oversees the Company’s efforts to implement, measure and report on sustainability-related initiatives.</w:t>
      </w:r>
    </w:p>
    <w:p>
      <w:pPr>
        <w:spacing w:after="0" w:line="86" w:lineRule="exact"/>
        <w:rPr>
          <w:rFonts w:ascii="Arial" w:cs="Arial" w:eastAsia="Arial" w:hAnsi="Arial"/>
          <w:sz w:val="16"/>
          <w:szCs w:val="16"/>
          <w:b w:val="1"/>
          <w:bCs w:val="1"/>
          <w:color w:val="auto"/>
        </w:rPr>
      </w:pPr>
    </w:p>
    <w:p>
      <w:pPr>
        <w:ind w:left="180" w:right="800" w:hanging="178"/>
        <w:spacing w:after="0" w:line="297" w:lineRule="auto"/>
        <w:tabs>
          <w:tab w:leader="none" w:pos="171"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Manages the risk oversight responsibilities of this Committee as delegated to it by the Board and described in further detail above under the heading "Board Role in Risk Oversight.”</w:t>
      </w:r>
    </w:p>
    <w:p>
      <w:pPr>
        <w:ind w:left="180" w:right="340" w:hanging="178"/>
        <w:spacing w:after="0" w:line="299" w:lineRule="auto"/>
        <w:tabs>
          <w:tab w:leader="none" w:pos="171"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Performs such other duties and responsibilities as may be required by applicable law, regulation, listing standards, or as delegated by the Board."</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Independence</w:t>
      </w:r>
    </w:p>
    <w:p>
      <w:pPr>
        <w:spacing w:after="0" w:line="62" w:lineRule="exact"/>
        <w:rPr>
          <w:sz w:val="20"/>
          <w:szCs w:val="20"/>
          <w:color w:val="auto"/>
        </w:rPr>
      </w:pPr>
    </w:p>
    <w:p>
      <w:pPr>
        <w:ind w:right="620"/>
        <w:spacing w:after="0" w:line="299" w:lineRule="auto"/>
        <w:rPr>
          <w:sz w:val="20"/>
          <w:szCs w:val="20"/>
          <w:color w:val="auto"/>
        </w:rPr>
      </w:pPr>
      <w:r>
        <w:rPr>
          <w:rFonts w:ascii="Arial" w:cs="Arial" w:eastAsia="Arial" w:hAnsi="Arial"/>
          <w:sz w:val="16"/>
          <w:szCs w:val="16"/>
          <w:color w:val="auto"/>
        </w:rPr>
        <w:t>The Board has determined that under current Nasdaq listing standards, all members of the Corporate Governance and Nominating Committee are independent Directors.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Committee Charter</w:t>
      </w:r>
    </w:p>
    <w:p>
      <w:pPr>
        <w:spacing w:after="0" w:line="62"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 xml:space="preserve">A revised charter for the Corporate Governance and Nominating Committee was approved by the Board of Directors in March 2026, and is available in the Investors section of our website </w:t>
      </w:r>
      <w:r>
        <w:rPr>
          <w:rFonts w:ascii="Arial" w:cs="Arial" w:eastAsia="Arial" w:hAnsi="Arial"/>
          <w:sz w:val="16"/>
          <w:szCs w:val="16"/>
          <w:u w:val="single" w:color="auto"/>
          <w:color w:val="0076A8"/>
        </w:rPr>
        <w:t>www.MiddlesexWater.com</w:t>
      </w:r>
      <w:r>
        <w:rPr>
          <w:rFonts w:ascii="Arial" w:cs="Arial" w:eastAsia="Arial" w:hAnsi="Arial"/>
          <w:sz w:val="16"/>
          <w:szCs w:val="16"/>
          <w:color w:val="auto"/>
        </w:rPr>
        <w:t xml:space="preserve"> under Governance. Please refer to this Charter for a full listing of Corporate Governance and Nominating Committee responsibilities.</w:t>
      </w:r>
    </w:p>
    <w:p>
      <w:pPr>
        <w:spacing w:after="0" w:line="200" w:lineRule="exact"/>
        <w:rPr>
          <w:sz w:val="20"/>
          <w:szCs w:val="20"/>
          <w:color w:val="auto"/>
        </w:rPr>
      </w:pPr>
    </w:p>
    <w:p>
      <w:pPr>
        <w:sectPr>
          <w:pgSz w:w="11900" w:h="16838" w:orient="portrait"/>
          <w:cols w:equalWidth="0" w:num="2">
            <w:col w:w="2840" w:space="440"/>
            <w:col w:w="7960"/>
          </w:cols>
          <w:pgMar w:left="320" w:top="124" w:right="33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860" w:type="dxa"/>
            <w:vAlign w:val="bottom"/>
            <w:tcBorders>
              <w:right w:val="single" w:sz="8" w:color="00AEEF"/>
            </w:tcBorders>
          </w:tcPr>
          <w:p>
            <w:pPr>
              <w:ind w:left="94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27</w:t>
            </w:r>
          </w:p>
        </w:tc>
      </w:tr>
      <w:tr>
        <w:trPr>
          <w:trHeight w:val="312"/>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b w:val="1"/>
          <w:bCs w:val="1"/>
          <w:color w:val="191769"/>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8"/>
          <w:szCs w:val="28"/>
          <w:b w:val="1"/>
          <w:bCs w:val="1"/>
          <w:color w:val="191769"/>
        </w:rPr>
        <w:t>Corporate Governance and Nominating Committee,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90805</wp:posOffset>
            </wp:positionV>
            <wp:extent cx="5260340" cy="4728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60340" cy="4728845"/>
                    </a:xfrm>
                    <a:prstGeom prst="rect">
                      <a:avLst/>
                    </a:prstGeom>
                    <a:noFill/>
                  </pic:spPr>
                </pic:pic>
              </a:graphicData>
            </a:graphic>
          </wp:anchor>
        </w:drawing>
      </w:r>
    </w:p>
    <w:p>
      <w:pPr>
        <w:spacing w:after="0" w:line="389"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191769"/>
        </w:rPr>
        <w:t>Process for Identifying and Evaluating Director Candidates</w:t>
      </w:r>
    </w:p>
    <w:p>
      <w:pPr>
        <w:spacing w:after="0" w:line="99" w:lineRule="exact"/>
        <w:rPr>
          <w:sz w:val="20"/>
          <w:szCs w:val="20"/>
          <w:color w:val="auto"/>
        </w:rPr>
      </w:pPr>
    </w:p>
    <w:p>
      <w:pPr>
        <w:ind w:left="3260" w:right="40"/>
        <w:spacing w:after="0" w:line="278" w:lineRule="auto"/>
        <w:rPr>
          <w:sz w:val="20"/>
          <w:szCs w:val="20"/>
          <w:color w:val="auto"/>
        </w:rPr>
      </w:pPr>
      <w:r>
        <w:rPr>
          <w:rFonts w:ascii="Arial" w:cs="Arial" w:eastAsia="Arial" w:hAnsi="Arial"/>
          <w:sz w:val="16"/>
          <w:szCs w:val="16"/>
          <w:color w:val="auto"/>
        </w:rPr>
        <w:t>The Corporate Governance and Nominating Committee identifies Director nominees from a variety of sources which may include recommendations from management, Board members, shareholders and other sources.</w:t>
      </w:r>
    </w:p>
    <w:p>
      <w:pPr>
        <w:spacing w:after="0" w:line="75"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The Committee recommends to the Board nominees that:</w:t>
      </w:r>
    </w:p>
    <w:p>
      <w:pPr>
        <w:spacing w:after="0" w:line="148" w:lineRule="exact"/>
        <w:rPr>
          <w:sz w:val="20"/>
          <w:szCs w:val="20"/>
          <w:color w:val="auto"/>
        </w:rPr>
      </w:pPr>
    </w:p>
    <w:p>
      <w:pPr>
        <w:ind w:left="3440" w:hanging="170"/>
        <w:spacing w:after="0"/>
        <w:tabs>
          <w:tab w:leader="none" w:pos="3440"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Are independent of management;</w:t>
      </w:r>
    </w:p>
    <w:p>
      <w:pPr>
        <w:spacing w:after="0" w:line="74" w:lineRule="exact"/>
        <w:rPr>
          <w:rFonts w:ascii="Arial" w:cs="Arial" w:eastAsia="Arial" w:hAnsi="Arial"/>
          <w:sz w:val="16"/>
          <w:szCs w:val="16"/>
          <w:b w:val="1"/>
          <w:bCs w:val="1"/>
          <w:color w:val="auto"/>
        </w:rPr>
      </w:pPr>
    </w:p>
    <w:p>
      <w:pPr>
        <w:ind w:left="3440" w:hanging="170"/>
        <w:spacing w:after="0"/>
        <w:tabs>
          <w:tab w:leader="none" w:pos="3440"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Satisfy SEC and Nasdaq requirements; and</w:t>
      </w:r>
    </w:p>
    <w:p>
      <w:pPr>
        <w:spacing w:after="0" w:line="74" w:lineRule="exact"/>
        <w:rPr>
          <w:rFonts w:ascii="Arial" w:cs="Arial" w:eastAsia="Arial" w:hAnsi="Arial"/>
          <w:sz w:val="16"/>
          <w:szCs w:val="16"/>
          <w:b w:val="1"/>
          <w:bCs w:val="1"/>
          <w:color w:val="auto"/>
        </w:rPr>
      </w:pPr>
    </w:p>
    <w:p>
      <w:pPr>
        <w:ind w:left="3440" w:right="20" w:hanging="170"/>
        <w:spacing w:after="0" w:line="299" w:lineRule="auto"/>
        <w:tabs>
          <w:tab w:leader="none" w:pos="3431"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Possess qualities such as personal and professional integrity, sound business judgment, utility expertise, technical, financial or other relevant expertise.</w:t>
      </w:r>
    </w:p>
    <w:p>
      <w:pPr>
        <w:spacing w:after="0" w:line="71" w:lineRule="exact"/>
        <w:rPr>
          <w:sz w:val="20"/>
          <w:szCs w:val="20"/>
          <w:color w:val="auto"/>
        </w:rPr>
      </w:pPr>
    </w:p>
    <w:p>
      <w:pPr>
        <w:ind w:left="3260" w:right="320"/>
        <w:spacing w:after="0" w:line="278" w:lineRule="auto"/>
        <w:rPr>
          <w:sz w:val="20"/>
          <w:szCs w:val="20"/>
          <w:color w:val="auto"/>
        </w:rPr>
      </w:pPr>
      <w:r>
        <w:rPr>
          <w:rFonts w:ascii="Arial" w:cs="Arial" w:eastAsia="Arial" w:hAnsi="Arial"/>
          <w:sz w:val="16"/>
          <w:szCs w:val="16"/>
          <w:color w:val="auto"/>
        </w:rPr>
        <w:t>The Committee also considers age and geographic diversity. The Committee has the authority to retain assistance from independent third parties in identifying and evaluating prospective candidates for nomination and election to the Board.</w:t>
      </w:r>
    </w:p>
    <w:p>
      <w:pPr>
        <w:spacing w:after="0" w:line="87"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191769"/>
        </w:rPr>
        <w:t>Director Candidate Recommendations and Nominations by Shareholders</w:t>
      </w:r>
    </w:p>
    <w:p>
      <w:pPr>
        <w:spacing w:after="0" w:line="87" w:lineRule="exact"/>
        <w:rPr>
          <w:sz w:val="20"/>
          <w:szCs w:val="20"/>
          <w:color w:val="auto"/>
        </w:rPr>
      </w:pPr>
    </w:p>
    <w:p>
      <w:pPr>
        <w:ind w:left="3260" w:right="320"/>
        <w:spacing w:after="0" w:line="265" w:lineRule="auto"/>
        <w:rPr>
          <w:sz w:val="20"/>
          <w:szCs w:val="20"/>
          <w:color w:val="auto"/>
        </w:rPr>
      </w:pPr>
      <w:r>
        <w:rPr>
          <w:rFonts w:ascii="Arial" w:cs="Arial" w:eastAsia="Arial" w:hAnsi="Arial"/>
          <w:sz w:val="16"/>
          <w:szCs w:val="16"/>
          <w:color w:val="auto"/>
        </w:rPr>
        <w:t>The Corporate Governance and Nominating Committee considers shareholders’ recommendations for nominees for election to the Board. Shareholder nominees are evaluated under the same standards as nominees ultimately recommended by the non-management members of the Board. Nominations must be accompanied by the written consent of any such person to serve if nominated and elected, and by biographical material, to permit evaluation of the individual recommended, including appropriate references.</w:t>
      </w:r>
    </w:p>
    <w:p>
      <w:pPr>
        <w:spacing w:after="0" w:line="98"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Recommendations may be mailed to:</w:t>
      </w:r>
    </w:p>
    <w:p>
      <w:pPr>
        <w:spacing w:after="0" w:line="2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Middlesex Water Company</w:t>
      </w:r>
    </w:p>
    <w:p>
      <w:pPr>
        <w:spacing w:after="0" w:line="13"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Office of the Corporate Secretary</w:t>
      </w:r>
    </w:p>
    <w:p>
      <w:pPr>
        <w:spacing w:after="0" w:line="13"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485C Route 1 South</w:t>
      </w:r>
    </w:p>
    <w:p>
      <w:pPr>
        <w:spacing w:after="0" w:line="13"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Suite 400</w:t>
      </w:r>
    </w:p>
    <w:p>
      <w:pPr>
        <w:spacing w:after="0" w:line="13"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Iselin, New Jersey 08830-0452</w:t>
      </w:r>
    </w:p>
    <w:p>
      <w:pPr>
        <w:spacing w:after="0" w:line="132" w:lineRule="exact"/>
        <w:rPr>
          <w:sz w:val="20"/>
          <w:szCs w:val="20"/>
          <w:color w:val="auto"/>
        </w:rPr>
      </w:pPr>
    </w:p>
    <w:p>
      <w:pPr>
        <w:ind w:left="3260"/>
        <w:spacing w:after="0" w:line="267" w:lineRule="auto"/>
        <w:rPr>
          <w:sz w:val="20"/>
          <w:szCs w:val="20"/>
          <w:color w:val="auto"/>
        </w:rPr>
      </w:pPr>
      <w:r>
        <w:rPr>
          <w:rFonts w:ascii="Arial" w:cs="Arial" w:eastAsia="Arial" w:hAnsi="Arial"/>
          <w:sz w:val="16"/>
          <w:szCs w:val="16"/>
          <w:color w:val="auto"/>
        </w:rPr>
        <w:t>In order to be considered for inclusion in the Company’s Proxy Statement and form of proxy relating to the 2026 Annual Meeting, nominations for Director must have been received by the Company by the close of business on December 13, 2025. In order to be considered for inclusion in the Company’s Proxy Statement and form of proxy relating to the 2027 Annual Meeting nominations for Director must be received by the close of business on December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533400</wp:posOffset>
            </wp:positionV>
            <wp:extent cx="7620" cy="132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60" w:hanging="445"/>
        <w:spacing w:after="0"/>
        <w:tabs>
          <w:tab w:leader="none" w:pos="460" w:val="left"/>
        </w:tabs>
        <w:numPr>
          <w:ilvl w:val="0"/>
          <w:numId w:val="39"/>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217805</wp:posOffset>
            </wp:positionV>
            <wp:extent cx="7169785" cy="4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040"/>
          </w:cols>
          <w:pgMar w:left="320" w:top="124" w:right="539" w:bottom="1440" w:gutter="0" w:footer="0" w:header="0"/>
        </w:sectPr>
      </w:pPr>
    </w:p>
    <w:bookmarkStart w:id="30" w:name="page31"/>
    <w:bookmarkEnd w:id="30"/>
    <w:p>
      <w:pPr>
        <w:jc w:val="right"/>
        <w:spacing w:after="0"/>
        <w:rPr>
          <w:sz w:val="20"/>
          <w:szCs w:val="20"/>
          <w:color w:val="auto"/>
        </w:rPr>
      </w:pPr>
      <w:r>
        <w:rPr>
          <w:rFonts w:ascii="Arial" w:cs="Arial" w:eastAsia="Arial" w:hAnsi="Arial"/>
          <w:sz w:val="14"/>
          <w:szCs w:val="14"/>
          <w:b w:val="1"/>
          <w:bCs w:val="1"/>
          <w:color w:val="191769"/>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8"/>
          <w:szCs w:val="28"/>
          <w:b w:val="1"/>
          <w:bCs w:val="1"/>
          <w:color w:val="191769"/>
        </w:rPr>
        <w:t>Enterprise Risk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260340" cy="56984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60340" cy="56984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391" w:lineRule="exact"/>
        <w:rPr>
          <w:sz w:val="20"/>
          <w:szCs w:val="20"/>
          <w:color w:val="auto"/>
        </w:rPr>
      </w:pPr>
    </w:p>
    <w:p>
      <w:pPr>
        <w:ind w:left="140" w:right="740"/>
        <w:spacing w:after="0" w:line="318" w:lineRule="auto"/>
        <w:rPr>
          <w:sz w:val="20"/>
          <w:szCs w:val="20"/>
          <w:color w:val="auto"/>
        </w:rPr>
      </w:pPr>
      <w:r>
        <w:rPr>
          <w:rFonts w:ascii="Arial" w:cs="Arial" w:eastAsia="Arial" w:hAnsi="Arial"/>
          <w:sz w:val="22"/>
          <w:szCs w:val="22"/>
          <w:b w:val="1"/>
          <w:bCs w:val="1"/>
          <w:color w:val="0076A8"/>
        </w:rPr>
        <w:t>Kim C. Hanemann (Chair)</w:t>
      </w:r>
    </w:p>
    <w:p>
      <w:pPr>
        <w:spacing w:after="0" w:line="142"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191769"/>
        </w:rPr>
        <w:t>Members in 2025:</w:t>
      </w:r>
    </w:p>
    <w:p>
      <w:pPr>
        <w:spacing w:after="0" w:line="30" w:lineRule="exact"/>
        <w:rPr>
          <w:sz w:val="20"/>
          <w:szCs w:val="20"/>
          <w:color w:val="auto"/>
        </w:rPr>
      </w:pPr>
    </w:p>
    <w:p>
      <w:pPr>
        <w:ind w:left="140" w:right="900"/>
        <w:spacing w:after="0" w:line="296" w:lineRule="auto"/>
        <w:rPr>
          <w:sz w:val="20"/>
          <w:szCs w:val="20"/>
          <w:color w:val="auto"/>
        </w:rPr>
      </w:pPr>
      <w:r>
        <w:rPr>
          <w:rFonts w:ascii="Arial" w:cs="Arial" w:eastAsia="Arial" w:hAnsi="Arial"/>
          <w:sz w:val="22"/>
          <w:szCs w:val="22"/>
          <w:color w:val="auto"/>
        </w:rPr>
        <w:t>Amy B. Mansue Vaughn L. McKoy</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91769"/>
        </w:rPr>
        <w:t xml:space="preserve">Independent Members: </w:t>
      </w:r>
      <w:r>
        <w:rPr>
          <w:rFonts w:ascii="Arial" w:cs="Arial" w:eastAsia="Arial" w:hAnsi="Arial"/>
          <w:sz w:val="22"/>
          <w:szCs w:val="22"/>
          <w:color w:val="000000"/>
        </w:rPr>
        <w:t>3</w:t>
      </w:r>
    </w:p>
    <w:p>
      <w:pPr>
        <w:spacing w:after="0" w:line="289"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191769"/>
        </w:rPr>
        <w:t xml:space="preserve">Meetings Held in 2025: </w:t>
      </w:r>
      <w:r>
        <w:rPr>
          <w:rFonts w:ascii="Arial" w:cs="Arial" w:eastAsia="Arial" w:hAnsi="Arial"/>
          <w:sz w:val="23"/>
          <w:szCs w:val="23"/>
          <w:color w:val="000000"/>
        </w:rPr>
        <w:t>3</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Enterprise Risk Committee Responsibilities</w:t>
      </w:r>
    </w:p>
    <w:p>
      <w:pPr>
        <w:spacing w:after="0" w:line="87"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The Enterprise Risk Committee assists the Board in fulfilling its responsibility for matters relating to risk management oversight. The Committee oversees management’s identification, assessment, management, and mitigation of enterprise risks, including operational, financial, reputational and brand, cybersecurity, physical security, and legal and regulatory compliance risks. The Committee also reviews the effectiveness of the Company’s risk management policies, processes, and reporting and the allocation of risk oversight responsibilities among the Board and its Committees.</w:t>
      </w:r>
    </w:p>
    <w:p>
      <w:pPr>
        <w:spacing w:after="0" w:line="98" w:lineRule="exact"/>
        <w:rPr>
          <w:sz w:val="20"/>
          <w:szCs w:val="20"/>
          <w:color w:val="auto"/>
        </w:rPr>
      </w:pPr>
    </w:p>
    <w:p>
      <w:pPr>
        <w:ind w:right="460"/>
        <w:spacing w:after="0" w:line="299" w:lineRule="auto"/>
        <w:rPr>
          <w:sz w:val="20"/>
          <w:szCs w:val="20"/>
          <w:color w:val="auto"/>
        </w:rPr>
      </w:pPr>
      <w:r>
        <w:rPr>
          <w:rFonts w:ascii="Arial" w:cs="Arial" w:eastAsia="Arial" w:hAnsi="Arial"/>
          <w:sz w:val="16"/>
          <w:szCs w:val="16"/>
          <w:color w:val="auto"/>
        </w:rPr>
        <w:t>In all of its actions, the Committee complies with the requirements, rules, and regulations of the Nasdaq listing standards and all other applicable federal and state laws and regulations.</w:t>
      </w:r>
    </w:p>
    <w:p>
      <w:pPr>
        <w:spacing w:after="0" w:line="71"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The Enterprise Risk Committee reports regularly to the Board regarding significant risk matters and actions taken.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The Enterprise Risk Committee:</w:t>
      </w:r>
    </w:p>
    <w:p>
      <w:pPr>
        <w:spacing w:after="0" w:line="148" w:lineRule="exact"/>
        <w:rPr>
          <w:sz w:val="20"/>
          <w:szCs w:val="20"/>
          <w:color w:val="auto"/>
        </w:rPr>
      </w:pPr>
    </w:p>
    <w:p>
      <w:pPr>
        <w:ind w:left="180" w:right="440" w:hanging="178"/>
        <w:spacing w:after="0" w:line="297" w:lineRule="auto"/>
        <w:tabs>
          <w:tab w:leader="none" w:pos="171"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Oversees management’s identification and mitigation of operational, financial, reputational and brand, cybersecurity, physical security, and legal and regulatory compliance risks;</w:t>
      </w:r>
    </w:p>
    <w:p>
      <w:pPr>
        <w:ind w:left="180" w:right="340" w:hanging="178"/>
        <w:spacing w:after="0" w:line="299" w:lineRule="auto"/>
        <w:tabs>
          <w:tab w:leader="none" w:pos="171"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Assesses reviews its own performance against the requirements of its charter and reports to the Board on the results of such evaluation;</w:t>
      </w:r>
    </w:p>
    <w:p>
      <w:pPr>
        <w:spacing w:after="0" w:line="9" w:lineRule="exact"/>
        <w:rPr>
          <w:rFonts w:ascii="Arial" w:cs="Arial" w:eastAsia="Arial" w:hAnsi="Arial"/>
          <w:sz w:val="16"/>
          <w:szCs w:val="16"/>
          <w:b w:val="1"/>
          <w:bCs w:val="1"/>
          <w:color w:val="auto"/>
        </w:rPr>
      </w:pPr>
    </w:p>
    <w:p>
      <w:pPr>
        <w:ind w:left="180" w:right="560" w:hanging="178"/>
        <w:spacing w:after="0" w:line="297" w:lineRule="auto"/>
        <w:tabs>
          <w:tab w:leader="none" w:pos="171"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Reviews, at least annually, the assignment of risk oversight responsibilities among the Board and its committees and recommends changes, as appropriate;</w:t>
      </w:r>
    </w:p>
    <w:p>
      <w:pPr>
        <w:ind w:left="180" w:right="320" w:hanging="178"/>
        <w:spacing w:after="0" w:line="297" w:lineRule="auto"/>
        <w:tabs>
          <w:tab w:leader="none" w:pos="171"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Maps and assigns each risk to the appropriate Board Committee or, where appropriate the full Board of Directors; and</w:t>
      </w:r>
    </w:p>
    <w:p>
      <w:pPr>
        <w:ind w:left="180" w:right="340" w:hanging="178"/>
        <w:spacing w:after="0" w:line="299" w:lineRule="auto"/>
        <w:tabs>
          <w:tab w:leader="none" w:pos="171"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Performs such other duties and responsibilities as may be required by applicable law, regulation, listing standards, or as delegated by the Board.</w:t>
      </w:r>
    </w:p>
    <w:p>
      <w:pPr>
        <w:spacing w:after="0" w:line="9" w:lineRule="exact"/>
        <w:rPr>
          <w:rFonts w:ascii="Arial" w:cs="Arial" w:eastAsia="Arial" w:hAnsi="Arial"/>
          <w:sz w:val="16"/>
          <w:szCs w:val="16"/>
          <w:b w:val="1"/>
          <w:bCs w:val="1"/>
          <w:color w:val="auto"/>
        </w:rPr>
      </w:pPr>
    </w:p>
    <w:p>
      <w:pPr>
        <w:ind w:left="180" w:right="800" w:hanging="178"/>
        <w:spacing w:after="0" w:line="297" w:lineRule="auto"/>
        <w:tabs>
          <w:tab w:leader="none" w:pos="171"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Manages the risk oversight responsibilities of this Committee as delegated to it by the Board and described in further detail above under the heading "Board Role in Risk Oversight.”</w:t>
      </w:r>
    </w:p>
    <w:p>
      <w:pPr>
        <w:spacing w:after="0"/>
        <w:rPr>
          <w:sz w:val="20"/>
          <w:szCs w:val="20"/>
          <w:color w:val="auto"/>
        </w:rPr>
      </w:pPr>
      <w:r>
        <w:rPr>
          <w:rFonts w:ascii="Arial" w:cs="Arial" w:eastAsia="Arial" w:hAnsi="Arial"/>
          <w:sz w:val="16"/>
          <w:szCs w:val="16"/>
          <w:b w:val="1"/>
          <w:bCs w:val="1"/>
          <w:color w:val="191769"/>
        </w:rPr>
        <w:t>Independence</w:t>
      </w:r>
    </w:p>
    <w:p>
      <w:pPr>
        <w:spacing w:after="0" w:line="62" w:lineRule="exact"/>
        <w:rPr>
          <w:sz w:val="20"/>
          <w:szCs w:val="20"/>
          <w:color w:val="auto"/>
        </w:rPr>
      </w:pPr>
    </w:p>
    <w:p>
      <w:pPr>
        <w:jc w:val="both"/>
        <w:ind w:right="200"/>
        <w:spacing w:after="0" w:line="299" w:lineRule="auto"/>
        <w:rPr>
          <w:sz w:val="20"/>
          <w:szCs w:val="20"/>
          <w:color w:val="auto"/>
        </w:rPr>
      </w:pPr>
      <w:r>
        <w:rPr>
          <w:rFonts w:ascii="Arial" w:cs="Arial" w:eastAsia="Arial" w:hAnsi="Arial"/>
          <w:sz w:val="16"/>
          <w:szCs w:val="16"/>
          <w:color w:val="auto"/>
        </w:rPr>
        <w:t>The Board has determined that under current Nasdaq listing standards, all members of the Enterprise Risk Committee are Independent Directors. The Enterprise Risk Committee reports to the Board on its activities.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Committee Charter</w:t>
      </w:r>
    </w:p>
    <w:p>
      <w:pPr>
        <w:spacing w:after="0" w:line="62" w:lineRule="exact"/>
        <w:rPr>
          <w:sz w:val="20"/>
          <w:szCs w:val="20"/>
          <w:color w:val="auto"/>
        </w:rPr>
      </w:pPr>
    </w:p>
    <w:p>
      <w:pPr>
        <w:jc w:val="both"/>
        <w:ind w:right="480"/>
        <w:spacing w:after="0" w:line="278" w:lineRule="auto"/>
        <w:rPr>
          <w:sz w:val="20"/>
          <w:szCs w:val="20"/>
          <w:color w:val="auto"/>
        </w:rPr>
      </w:pPr>
      <w:r>
        <w:rPr>
          <w:rFonts w:ascii="Arial" w:cs="Arial" w:eastAsia="Arial" w:hAnsi="Arial"/>
          <w:sz w:val="16"/>
          <w:szCs w:val="16"/>
          <w:color w:val="auto"/>
        </w:rPr>
        <w:t xml:space="preserve">In March 2026, the Board of Directors re-approved a written Charter for the Enterprise Risk Committee which is available in the Investors section of our website </w:t>
      </w:r>
      <w:r>
        <w:rPr>
          <w:rFonts w:ascii="Arial" w:cs="Arial" w:eastAsia="Arial" w:hAnsi="Arial"/>
          <w:sz w:val="16"/>
          <w:szCs w:val="16"/>
          <w:u w:val="single" w:color="auto"/>
          <w:color w:val="0076A8"/>
        </w:rPr>
        <w:t>www.MiddlesexWater.com</w:t>
      </w:r>
      <w:r>
        <w:rPr>
          <w:rFonts w:ascii="Arial" w:cs="Arial" w:eastAsia="Arial" w:hAnsi="Arial"/>
          <w:sz w:val="16"/>
          <w:szCs w:val="16"/>
          <w:color w:val="auto"/>
        </w:rPr>
        <w:t xml:space="preserve"> under Governance. Please refer to this Charter for a full listing of Compensation Committee responsibilities.</w:t>
      </w:r>
    </w:p>
    <w:p>
      <w:pPr>
        <w:spacing w:after="0" w:line="75"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The members of the 2025 Enterprise Risk Committee were Kim C. Hanemann, Amy B. Mansue, and Vaughn L. McKoy. During 2025, no member of the Enterprise Risk Committee was at any time an officer or employee of the Company or its subsidiaries. No current member is related to any other member of the Enterprise Risk Committee, any other member of the Board or any Executive Officer of the Company.</w:t>
      </w:r>
    </w:p>
    <w:p>
      <w:pPr>
        <w:spacing w:after="0" w:line="200" w:lineRule="exact"/>
        <w:rPr>
          <w:sz w:val="20"/>
          <w:szCs w:val="20"/>
          <w:color w:val="auto"/>
        </w:rPr>
      </w:pPr>
    </w:p>
    <w:p>
      <w:pPr>
        <w:sectPr>
          <w:pgSz w:w="11900" w:h="16838" w:orient="portrait"/>
          <w:cols w:equalWidth="0" w:num="2">
            <w:col w:w="2840" w:space="440"/>
            <w:col w:w="7960"/>
          </w:cols>
          <w:pgMar w:left="320" w:top="1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860" w:type="dxa"/>
            <w:vAlign w:val="bottom"/>
            <w:tcBorders>
              <w:right w:val="single" w:sz="8" w:color="00AEEF"/>
            </w:tcBorders>
          </w:tcPr>
          <w:p>
            <w:pPr>
              <w:ind w:left="94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29</w:t>
            </w:r>
          </w:p>
        </w:tc>
      </w:tr>
      <w:tr>
        <w:trPr>
          <w:trHeight w:val="312"/>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b w:val="1"/>
          <w:bCs w:val="1"/>
          <w:color w:val="191769"/>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8"/>
          <w:szCs w:val="28"/>
          <w:b w:val="1"/>
          <w:bCs w:val="1"/>
          <w:color w:val="191769"/>
        </w:rPr>
        <w:t>Pension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161290</wp:posOffset>
            </wp:positionV>
            <wp:extent cx="1962150" cy="35020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962150" cy="3502025"/>
                    </a:xfrm>
                    <a:prstGeom prst="rect">
                      <a:avLst/>
                    </a:prstGeom>
                    <a:noFill/>
                  </pic:spPr>
                </pic:pic>
              </a:graphicData>
            </a:graphic>
          </wp:anchor>
        </w:drawing>
      </w:r>
    </w:p>
    <w:p>
      <w:pPr>
        <w:spacing w:after="0" w:line="384"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0076A8"/>
        </w:rPr>
        <w:t>James F. Cosgrove, Jr.</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0076A8"/>
        </w:rPr>
        <w:t>(Chair)</w:t>
      </w:r>
    </w:p>
    <w:p>
      <w:pPr>
        <w:spacing w:after="0" w:line="253"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191769"/>
        </w:rPr>
        <w:t>Members in 2025:</w:t>
      </w:r>
    </w:p>
    <w:p>
      <w:pPr>
        <w:spacing w:after="0" w:line="30" w:lineRule="exact"/>
        <w:rPr>
          <w:sz w:val="20"/>
          <w:szCs w:val="20"/>
          <w:color w:val="auto"/>
        </w:rPr>
      </w:pPr>
    </w:p>
    <w:p>
      <w:pPr>
        <w:ind w:left="140" w:right="740"/>
        <w:spacing w:after="0" w:line="276" w:lineRule="auto"/>
        <w:rPr>
          <w:sz w:val="20"/>
          <w:szCs w:val="20"/>
          <w:color w:val="auto"/>
        </w:rPr>
      </w:pPr>
      <w:r>
        <w:rPr>
          <w:rFonts w:ascii="Arial" w:cs="Arial" w:eastAsia="Arial" w:hAnsi="Arial"/>
          <w:sz w:val="22"/>
          <w:szCs w:val="22"/>
          <w:color w:val="auto"/>
        </w:rPr>
        <w:t>Steven M. Klein Vaughn L. McKoy Walter G. Reinhard</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91769"/>
        </w:rPr>
        <w:t xml:space="preserve">Independent Members: </w:t>
      </w:r>
      <w:r>
        <w:rPr>
          <w:rFonts w:ascii="Arial" w:cs="Arial" w:eastAsia="Arial" w:hAnsi="Arial"/>
          <w:sz w:val="22"/>
          <w:szCs w:val="22"/>
          <w:color w:val="000000"/>
        </w:rPr>
        <w:t>4</w:t>
      </w:r>
    </w:p>
    <w:p>
      <w:pPr>
        <w:spacing w:after="0" w:line="289"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191769"/>
        </w:rPr>
        <w:t xml:space="preserve">Meetings Held in 2025: </w:t>
      </w:r>
      <w:r>
        <w:rPr>
          <w:rFonts w:ascii="Arial" w:cs="Arial" w:eastAsia="Arial" w:hAnsi="Arial"/>
          <w:sz w:val="23"/>
          <w:szCs w:val="23"/>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1761490</wp:posOffset>
            </wp:positionV>
            <wp:extent cx="7620" cy="132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60" w:hanging="445"/>
        <w:spacing w:after="0"/>
        <w:tabs>
          <w:tab w:leader="none" w:pos="460" w:val="left"/>
        </w:tabs>
        <w:numPr>
          <w:ilvl w:val="0"/>
          <w:numId w:val="41"/>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Pension Committee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-285115</wp:posOffset>
            </wp:positionV>
            <wp:extent cx="5252720"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252720" cy="15875"/>
                    </a:xfrm>
                    <a:prstGeom prst="rect">
                      <a:avLst/>
                    </a:prstGeom>
                    <a:noFill/>
                  </pic:spPr>
                </pic:pic>
              </a:graphicData>
            </a:graphic>
          </wp:anchor>
        </w:drawing>
      </w:r>
    </w:p>
    <w:p>
      <w:pPr>
        <w:spacing w:after="0" w:line="91" w:lineRule="exact"/>
        <w:rPr>
          <w:sz w:val="20"/>
          <w:szCs w:val="20"/>
          <w:color w:val="auto"/>
        </w:rPr>
      </w:pPr>
    </w:p>
    <w:p>
      <w:pPr>
        <w:ind w:right="80"/>
        <w:spacing w:after="0" w:line="315" w:lineRule="auto"/>
        <w:rPr>
          <w:sz w:val="20"/>
          <w:szCs w:val="20"/>
          <w:color w:val="auto"/>
        </w:rPr>
      </w:pPr>
      <w:r>
        <w:rPr>
          <w:rFonts w:ascii="Arial" w:cs="Arial" w:eastAsia="Arial" w:hAnsi="Arial"/>
          <w:sz w:val="16"/>
          <w:szCs w:val="16"/>
          <w:color w:val="auto"/>
        </w:rPr>
        <w:t>The Pension Committee is responsible for matters relating to the investment and governance objectives of the Company’s retirement plans.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Pension Committee:</w:t>
      </w:r>
    </w:p>
    <w:p>
      <w:pPr>
        <w:spacing w:after="0" w:line="148" w:lineRule="exact"/>
        <w:rPr>
          <w:sz w:val="20"/>
          <w:szCs w:val="20"/>
          <w:color w:val="auto"/>
        </w:rPr>
      </w:pPr>
    </w:p>
    <w:p>
      <w:pPr>
        <w:ind w:left="180" w:right="460" w:hanging="178"/>
        <w:spacing w:after="0" w:line="297" w:lineRule="auto"/>
        <w:tabs>
          <w:tab w:leader="none" w:pos="171"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Reviews investment policies and determines recommended investment objectives for assets of the Company’s retiree benefit plans;</w:t>
      </w:r>
    </w:p>
    <w:p>
      <w:pPr>
        <w:ind w:left="180" w:hanging="178"/>
        <w:spacing w:after="0"/>
        <w:tabs>
          <w:tab w:leader="none" w:pos="180"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Reviews and makes recommendations to the Board with respect to changes in investment policies;</w:t>
      </w:r>
    </w:p>
    <w:p>
      <w:pPr>
        <w:spacing w:after="0" w:line="74" w:lineRule="exact"/>
        <w:rPr>
          <w:rFonts w:ascii="Arial" w:cs="Arial" w:eastAsia="Arial" w:hAnsi="Arial"/>
          <w:sz w:val="16"/>
          <w:szCs w:val="16"/>
          <w:b w:val="1"/>
          <w:bCs w:val="1"/>
          <w:color w:val="auto"/>
        </w:rPr>
      </w:pPr>
    </w:p>
    <w:p>
      <w:pPr>
        <w:ind w:left="180" w:right="320" w:hanging="178"/>
        <w:spacing w:after="0" w:line="299" w:lineRule="auto"/>
        <w:tabs>
          <w:tab w:leader="none" w:pos="171"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Reviews investment options in the Company’s 401(k) Plan and the performance and fees associated with the Plan investment options.</w:t>
      </w:r>
    </w:p>
    <w:p>
      <w:pPr>
        <w:spacing w:after="0" w:line="9" w:lineRule="exact"/>
        <w:rPr>
          <w:rFonts w:ascii="Arial" w:cs="Arial" w:eastAsia="Arial" w:hAnsi="Arial"/>
          <w:sz w:val="16"/>
          <w:szCs w:val="16"/>
          <w:b w:val="1"/>
          <w:bCs w:val="1"/>
          <w:color w:val="auto"/>
        </w:rPr>
      </w:pPr>
    </w:p>
    <w:p>
      <w:pPr>
        <w:ind w:left="180" w:right="620" w:hanging="178"/>
        <w:spacing w:after="0" w:line="297" w:lineRule="auto"/>
        <w:tabs>
          <w:tab w:leader="none" w:pos="171"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Manages the risk oversight responsibilities of this Committee as delegated to it by the Board and described in further detail above under the heading "Board Role in Risk Oversight.”</w:t>
      </w:r>
    </w:p>
    <w:p>
      <w:pPr>
        <w:ind w:left="180" w:right="160" w:hanging="178"/>
        <w:spacing w:after="0" w:line="299" w:lineRule="auto"/>
        <w:tabs>
          <w:tab w:leader="none" w:pos="171"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Performs such other duties and responsibilities as may be required by applicable law, regulation, listing standards, or as delegated by the Board.</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Independence</w:t>
      </w:r>
    </w:p>
    <w:p>
      <w:pPr>
        <w:spacing w:after="0" w:line="75" w:lineRule="exact"/>
        <w:rPr>
          <w:sz w:val="20"/>
          <w:szCs w:val="20"/>
          <w:color w:val="auto"/>
        </w:rPr>
      </w:pPr>
    </w:p>
    <w:p>
      <w:pPr>
        <w:jc w:val="both"/>
        <w:ind w:right="540"/>
        <w:spacing w:after="0" w:line="315" w:lineRule="auto"/>
        <w:rPr>
          <w:sz w:val="20"/>
          <w:szCs w:val="20"/>
          <w:color w:val="auto"/>
        </w:rPr>
      </w:pPr>
      <w:r>
        <w:rPr>
          <w:rFonts w:ascii="Arial" w:cs="Arial" w:eastAsia="Arial" w:hAnsi="Arial"/>
          <w:sz w:val="16"/>
          <w:szCs w:val="16"/>
          <w:color w:val="auto"/>
        </w:rPr>
        <w:t>The Board has determined that under current Nasdaq listing standards, all members of the Pension Committee are independent Directors. The Pension Committee reports to the Board on its activities.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Committee Charter</w:t>
      </w:r>
    </w:p>
    <w:p>
      <w:pPr>
        <w:spacing w:after="0" w:line="7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In March 2026, Board of Directors re-approved a written Charter for the Pension Committee which is available in the Investors section of our website </w:t>
      </w:r>
      <w:r>
        <w:rPr>
          <w:rFonts w:ascii="Arial" w:cs="Arial" w:eastAsia="Arial" w:hAnsi="Arial"/>
          <w:sz w:val="16"/>
          <w:szCs w:val="16"/>
          <w:u w:val="single" w:color="auto"/>
          <w:color w:val="0076A8"/>
        </w:rPr>
        <w:t>www.MiddlesexWater.com</w:t>
      </w:r>
      <w:r>
        <w:rPr>
          <w:rFonts w:ascii="Arial" w:cs="Arial" w:eastAsia="Arial" w:hAnsi="Arial"/>
          <w:sz w:val="16"/>
          <w:szCs w:val="16"/>
          <w:color w:val="auto"/>
        </w:rPr>
        <w:t xml:space="preserve"> under Governance. Please refer to this Charter for a full listing of Pension Committee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-2096135</wp:posOffset>
            </wp:positionH>
            <wp:positionV relativeFrom="paragraph">
              <wp:posOffset>737235</wp:posOffset>
            </wp:positionV>
            <wp:extent cx="7169785" cy="412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2">
            <w:col w:w="2840" w:space="440"/>
            <w:col w:w="7780"/>
          </w:cols>
          <w:pgMar w:left="320" w:top="124" w:right="519" w:bottom="1440" w:gutter="0" w:footer="0" w:header="0"/>
        </w:sectPr>
      </w:pPr>
    </w:p>
    <w:bookmarkStart w:id="32" w:name="page33"/>
    <w:bookmarkEnd w:id="32"/>
    <w:p>
      <w:pPr>
        <w:spacing w:after="0"/>
        <w:rPr>
          <w:sz w:val="20"/>
          <w:szCs w:val="20"/>
          <w:color w:val="auto"/>
        </w:rPr>
      </w:pPr>
      <w:r>
        <w:rPr>
          <w:rFonts w:ascii="Arial" w:cs="Arial" w:eastAsia="Arial" w:hAnsi="Arial"/>
          <w:sz w:val="46"/>
          <w:szCs w:val="46"/>
          <w:color w:val="191769"/>
        </w:rPr>
        <w:t>Corporate Sustainability</w:t>
      </w:r>
    </w:p>
    <w:p>
      <w:pPr>
        <w:spacing w:after="0" w:line="285"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color w:val="auto"/>
        </w:rPr>
        <w:t>Environmental, Social and Governance (ESG) priorities are central to how we deliver safe, reliable water and wastewater services to the communities we serve.</w:t>
      </w:r>
    </w:p>
    <w:p>
      <w:pPr>
        <w:spacing w:after="0" w:line="71"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color w:val="auto"/>
        </w:rPr>
        <w:t>Our strategy focuses on protecting water resources, strengthening resilient infrastructure, supporting our workforce and communities and maintaining the highest standard of corporate governance.</w:t>
      </w:r>
    </w:p>
    <w:p>
      <w:pPr>
        <w:spacing w:after="0" w:line="59"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In 2025, our ESG initiatives continue to support our long-term commitment to sustainability, operational excellence, affordability and protection of our water supply sources.</w:t>
      </w:r>
    </w:p>
    <w:p>
      <w:pPr>
        <w:spacing w:after="0" w:line="205" w:lineRule="exact"/>
        <w:rPr>
          <w:sz w:val="20"/>
          <w:szCs w:val="20"/>
          <w:color w:val="auto"/>
        </w:rPr>
      </w:pPr>
    </w:p>
    <w:p>
      <w:pPr>
        <w:spacing w:after="0"/>
        <w:rPr>
          <w:sz w:val="20"/>
          <w:szCs w:val="20"/>
          <w:color w:val="auto"/>
        </w:rPr>
      </w:pPr>
      <w:r>
        <w:rPr>
          <w:rFonts w:ascii="Arial" w:cs="Arial" w:eastAsia="Arial" w:hAnsi="Arial"/>
          <w:sz w:val="36"/>
          <w:szCs w:val="36"/>
          <w:b w:val="1"/>
          <w:bCs w:val="1"/>
          <w:color w:val="0076A8"/>
        </w:rPr>
        <w:t>Environmental Stewardship</w:t>
      </w:r>
    </w:p>
    <w:p>
      <w:pPr>
        <w:spacing w:after="0" w:line="173" w:lineRule="exact"/>
        <w:rPr>
          <w:sz w:val="20"/>
          <w:szCs w:val="20"/>
          <w:color w:val="auto"/>
        </w:rPr>
      </w:pPr>
    </w:p>
    <w:p>
      <w:pPr>
        <w:spacing w:after="0"/>
        <w:rPr>
          <w:sz w:val="20"/>
          <w:szCs w:val="20"/>
          <w:color w:val="auto"/>
        </w:rPr>
      </w:pPr>
      <w:r>
        <w:rPr>
          <w:rFonts w:ascii="Arial" w:cs="Arial" w:eastAsia="Arial" w:hAnsi="Arial"/>
          <w:sz w:val="28"/>
          <w:szCs w:val="28"/>
          <w:b w:val="1"/>
          <w:bCs w:val="1"/>
          <w:color w:val="191769"/>
        </w:rPr>
        <w:t>Key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90805</wp:posOffset>
            </wp:positionV>
            <wp:extent cx="7152005" cy="28841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2005" cy="2884170"/>
                    </a:xfrm>
                    <a:prstGeom prst="rect">
                      <a:avLst/>
                    </a:prstGeom>
                    <a:noFill/>
                  </pic:spPr>
                </pic:pic>
              </a:graphicData>
            </a:graphic>
          </wp:anchor>
        </w:drawing>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191769"/>
        </w:rPr>
        <w:t>Water Quality and Compliance</w:t>
      </w:r>
    </w:p>
    <w:p>
      <w:pPr>
        <w:spacing w:after="0" w:line="247" w:lineRule="exact"/>
        <w:rPr>
          <w:sz w:val="20"/>
          <w:szCs w:val="20"/>
          <w:color w:val="auto"/>
        </w:rPr>
      </w:pPr>
    </w:p>
    <w:p>
      <w:pPr>
        <w:ind w:left="240" w:right="600"/>
        <w:spacing w:after="0" w:line="283" w:lineRule="auto"/>
        <w:rPr>
          <w:sz w:val="20"/>
          <w:szCs w:val="20"/>
          <w:color w:val="auto"/>
        </w:rPr>
      </w:pPr>
      <w:r>
        <w:rPr>
          <w:rFonts w:ascii="Arial" w:cs="Arial" w:eastAsia="Arial" w:hAnsi="Arial"/>
          <w:sz w:val="16"/>
          <w:szCs w:val="16"/>
          <w:color w:val="auto"/>
        </w:rPr>
        <w:t>We maintained full compliance (100%) with state and federal regulations water standards while continuing proactive monitoring programs of our water supply sources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191769"/>
        </w:rPr>
        <w:t>Infrastructure Investment</w:t>
      </w:r>
    </w:p>
    <w:p>
      <w:pPr>
        <w:spacing w:after="0" w:line="247" w:lineRule="exact"/>
        <w:rPr>
          <w:sz w:val="20"/>
          <w:szCs w:val="20"/>
          <w:color w:val="auto"/>
        </w:rPr>
      </w:pPr>
    </w:p>
    <w:p>
      <w:pPr>
        <w:ind w:left="240" w:right="440"/>
        <w:spacing w:after="0" w:line="283" w:lineRule="auto"/>
        <w:rPr>
          <w:sz w:val="20"/>
          <w:szCs w:val="20"/>
          <w:color w:val="auto"/>
        </w:rPr>
      </w:pPr>
      <w:r>
        <w:rPr>
          <w:rFonts w:ascii="Arial" w:cs="Arial" w:eastAsia="Arial" w:hAnsi="Arial"/>
          <w:sz w:val="16"/>
          <w:szCs w:val="16"/>
          <w:color w:val="auto"/>
        </w:rPr>
        <w:t>Invested $96.4 million in water and wastewater infrastructure to modernize treatment facilities and replaced or rehabilitated 8.1 miles of pipeline in the distribution system</w:t>
      </w:r>
    </w:p>
    <w:p>
      <w:pPr>
        <w:spacing w:after="0" w:line="36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191769"/>
        </w:rPr>
        <w:t>Climate Resilience</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Implemented projects to strengthen system reliability and prepare for extreme weather events</w:t>
      </w:r>
    </w:p>
    <w:p>
      <w:pPr>
        <w:spacing w:after="0" w:line="200" w:lineRule="exact"/>
        <w:rPr>
          <w:sz w:val="20"/>
          <w:szCs w:val="20"/>
          <w:color w:val="auto"/>
        </w:rPr>
      </w:pPr>
    </w:p>
    <w:p>
      <w:pPr>
        <w:spacing w:after="0" w:line="231"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191769"/>
        </w:rPr>
        <w:t>Energy and Emissions</w:t>
      </w:r>
    </w:p>
    <w:p>
      <w:pPr>
        <w:spacing w:after="0" w:line="247" w:lineRule="exact"/>
        <w:rPr>
          <w:sz w:val="20"/>
          <w:szCs w:val="20"/>
          <w:color w:val="auto"/>
        </w:rPr>
      </w:pPr>
    </w:p>
    <w:p>
      <w:pPr>
        <w:ind w:left="240" w:right="560"/>
        <w:spacing w:after="0" w:line="283" w:lineRule="auto"/>
        <w:rPr>
          <w:sz w:val="20"/>
          <w:szCs w:val="20"/>
          <w:color w:val="auto"/>
        </w:rPr>
      </w:pPr>
      <w:r>
        <w:rPr>
          <w:rFonts w:ascii="Arial" w:cs="Arial" w:eastAsia="Arial" w:hAnsi="Arial"/>
          <w:sz w:val="16"/>
          <w:szCs w:val="16"/>
          <w:color w:val="auto"/>
        </w:rPr>
        <w:t>Expanded energy efficiency initiatives across treatment plants and pumping operations associated with the upgrade of our Carl J. Olsen Surface Water Treatment Plant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860" w:type="dxa"/>
            <w:vAlign w:val="bottom"/>
            <w:tcBorders>
              <w:right w:val="single" w:sz="8" w:color="00AEEF"/>
            </w:tcBorders>
          </w:tcPr>
          <w:p>
            <w:pPr>
              <w:ind w:left="94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31</w:t>
            </w:r>
          </w:p>
        </w:tc>
      </w:tr>
      <w:tr>
        <w:trPr>
          <w:trHeight w:val="312"/>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color w:val="191769"/>
        </w:rPr>
        <w:t>Corporate Sustainability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6"/>
          <w:szCs w:val="36"/>
          <w:b w:val="1"/>
          <w:bCs w:val="1"/>
          <w:color w:val="0076A8"/>
        </w:rPr>
        <w:t>Social Responsibility</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Our people and communities are at the center of our mission.</w:t>
      </w:r>
    </w:p>
    <w:p>
      <w:pPr>
        <w:spacing w:after="0" w:line="266" w:lineRule="exact"/>
        <w:rPr>
          <w:sz w:val="20"/>
          <w:szCs w:val="20"/>
          <w:color w:val="auto"/>
        </w:rPr>
      </w:pPr>
    </w:p>
    <w:p>
      <w:pPr>
        <w:spacing w:after="0"/>
        <w:rPr>
          <w:sz w:val="20"/>
          <w:szCs w:val="20"/>
          <w:color w:val="auto"/>
        </w:rPr>
      </w:pPr>
      <w:r>
        <w:rPr>
          <w:rFonts w:ascii="Arial" w:cs="Arial" w:eastAsia="Arial" w:hAnsi="Arial"/>
          <w:sz w:val="28"/>
          <w:szCs w:val="28"/>
          <w:b w:val="1"/>
          <w:bCs w:val="1"/>
          <w:color w:val="191769"/>
        </w:rPr>
        <w:t>Key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90805</wp:posOffset>
            </wp:positionV>
            <wp:extent cx="7152005" cy="29546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2005" cy="2954655"/>
                    </a:xfrm>
                    <a:prstGeom prst="rect">
                      <a:avLst/>
                    </a:prstGeom>
                    <a:noFill/>
                  </pic:spPr>
                </pic:pic>
              </a:graphicData>
            </a:graphic>
          </wp:anchor>
        </w:drawing>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191769"/>
        </w:rPr>
        <w:t>Employee Health and Safety</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Continued investment in safety training and a strong safety culture across the organization</w:t>
      </w:r>
    </w:p>
    <w:p>
      <w:pPr>
        <w:spacing w:after="0" w:line="136" w:lineRule="exact"/>
        <w:rPr>
          <w:sz w:val="20"/>
          <w:szCs w:val="20"/>
          <w:color w:val="auto"/>
        </w:rPr>
      </w:pPr>
    </w:p>
    <w:p>
      <w:pPr>
        <w:ind w:left="400" w:hanging="164"/>
        <w:spacing w:after="0"/>
        <w:tabs>
          <w:tab w:leader="none" w:pos="400" w:val="left"/>
        </w:tabs>
        <w:numPr>
          <w:ilvl w:val="0"/>
          <w:numId w:val="43"/>
        </w:numPr>
        <w:rPr>
          <w:rFonts w:ascii="Arial" w:cs="Arial" w:eastAsia="Arial" w:hAnsi="Arial"/>
          <w:sz w:val="16"/>
          <w:szCs w:val="16"/>
          <w:b w:val="1"/>
          <w:bCs w:val="1"/>
          <w:color w:val="auto"/>
        </w:rPr>
      </w:pPr>
      <w:r>
        <w:rPr>
          <w:rFonts w:ascii="Arial" w:cs="Arial" w:eastAsia="Arial" w:hAnsi="Arial"/>
          <w:sz w:val="16"/>
          <w:szCs w:val="16"/>
          <w:color w:val="auto"/>
        </w:rPr>
        <w:t>135+ Employees participated in semiannual Safety Practical Days</w:t>
      </w:r>
    </w:p>
    <w:p>
      <w:pPr>
        <w:spacing w:after="0" w:line="86" w:lineRule="exact"/>
        <w:rPr>
          <w:rFonts w:ascii="Arial" w:cs="Arial" w:eastAsia="Arial" w:hAnsi="Arial"/>
          <w:sz w:val="16"/>
          <w:szCs w:val="16"/>
          <w:b w:val="1"/>
          <w:bCs w:val="1"/>
          <w:color w:val="auto"/>
        </w:rPr>
      </w:pPr>
    </w:p>
    <w:p>
      <w:pPr>
        <w:ind w:left="400" w:hanging="164"/>
        <w:spacing w:after="0"/>
        <w:tabs>
          <w:tab w:leader="none" w:pos="400" w:val="left"/>
        </w:tabs>
        <w:numPr>
          <w:ilvl w:val="0"/>
          <w:numId w:val="43"/>
        </w:numPr>
        <w:rPr>
          <w:rFonts w:ascii="Arial" w:cs="Arial" w:eastAsia="Arial" w:hAnsi="Arial"/>
          <w:sz w:val="16"/>
          <w:szCs w:val="16"/>
          <w:b w:val="1"/>
          <w:bCs w:val="1"/>
          <w:color w:val="auto"/>
        </w:rPr>
      </w:pPr>
      <w:r>
        <w:rPr>
          <w:rFonts w:ascii="Arial" w:cs="Arial" w:eastAsia="Arial" w:hAnsi="Arial"/>
          <w:sz w:val="16"/>
          <w:szCs w:val="16"/>
          <w:color w:val="auto"/>
        </w:rPr>
        <w:t>1,960 Hours of enhanced operator skills training</w:t>
      </w:r>
    </w:p>
    <w:p>
      <w:pPr>
        <w:spacing w:after="0" w:line="74" w:lineRule="exact"/>
        <w:rPr>
          <w:rFonts w:ascii="Arial" w:cs="Arial" w:eastAsia="Arial" w:hAnsi="Arial"/>
          <w:sz w:val="16"/>
          <w:szCs w:val="16"/>
          <w:b w:val="1"/>
          <w:bCs w:val="1"/>
          <w:color w:val="auto"/>
        </w:rPr>
      </w:pPr>
    </w:p>
    <w:p>
      <w:pPr>
        <w:ind w:left="400" w:hanging="164"/>
        <w:spacing w:after="0"/>
        <w:tabs>
          <w:tab w:leader="none" w:pos="400" w:val="left"/>
        </w:tabs>
        <w:numPr>
          <w:ilvl w:val="0"/>
          <w:numId w:val="43"/>
        </w:numPr>
        <w:rPr>
          <w:rFonts w:ascii="Arial" w:cs="Arial" w:eastAsia="Arial" w:hAnsi="Arial"/>
          <w:sz w:val="16"/>
          <w:szCs w:val="16"/>
          <w:b w:val="1"/>
          <w:bCs w:val="1"/>
          <w:color w:val="auto"/>
        </w:rPr>
      </w:pPr>
      <w:r>
        <w:rPr>
          <w:rFonts w:ascii="Arial" w:cs="Arial" w:eastAsia="Arial" w:hAnsi="Arial"/>
          <w:sz w:val="16"/>
          <w:szCs w:val="16"/>
          <w:color w:val="auto"/>
        </w:rPr>
        <w:t>Achieved zero severe injuries</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191769"/>
        </w:rPr>
        <w:t>Workforce development</w:t>
      </w:r>
    </w:p>
    <w:p>
      <w:pPr>
        <w:spacing w:after="0" w:line="247" w:lineRule="exact"/>
        <w:rPr>
          <w:sz w:val="20"/>
          <w:szCs w:val="20"/>
          <w:color w:val="auto"/>
        </w:rPr>
      </w:pPr>
    </w:p>
    <w:p>
      <w:pPr>
        <w:ind w:left="240" w:right="80"/>
        <w:spacing w:after="0" w:line="283" w:lineRule="auto"/>
        <w:rPr>
          <w:sz w:val="20"/>
          <w:szCs w:val="20"/>
          <w:color w:val="auto"/>
        </w:rPr>
      </w:pPr>
      <w:r>
        <w:rPr>
          <w:rFonts w:ascii="Arial" w:cs="Arial" w:eastAsia="Arial" w:hAnsi="Arial"/>
          <w:sz w:val="16"/>
          <w:szCs w:val="16"/>
          <w:color w:val="auto"/>
        </w:rPr>
        <w:t>Created MWC Academy expanding technical training and leadership development programs delivering approximately 6,000 hours of employee training</w:t>
      </w:r>
    </w:p>
    <w:p>
      <w:pPr>
        <w:spacing w:after="0" w:line="36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191769"/>
        </w:rPr>
        <w:t>Community Engagement</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Partnered with local organizations to promote water conversation and environmental education</w:t>
      </w:r>
    </w:p>
    <w:p>
      <w:pPr>
        <w:spacing w:after="0" w:line="136" w:lineRule="exact"/>
        <w:rPr>
          <w:sz w:val="20"/>
          <w:szCs w:val="20"/>
          <w:color w:val="auto"/>
        </w:rPr>
      </w:pPr>
    </w:p>
    <w:p>
      <w:pPr>
        <w:ind w:left="400" w:hanging="164"/>
        <w:spacing w:after="0"/>
        <w:tabs>
          <w:tab w:leader="none" w:pos="400"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120+ Volunteer employee hours committed to local charitable causes and events</w:t>
      </w:r>
    </w:p>
    <w:p>
      <w:pPr>
        <w:spacing w:after="0" w:line="86" w:lineRule="exact"/>
        <w:rPr>
          <w:rFonts w:ascii="Arial" w:cs="Arial" w:eastAsia="Arial" w:hAnsi="Arial"/>
          <w:sz w:val="16"/>
          <w:szCs w:val="16"/>
          <w:b w:val="1"/>
          <w:bCs w:val="1"/>
          <w:color w:val="auto"/>
        </w:rPr>
      </w:pPr>
    </w:p>
    <w:p>
      <w:pPr>
        <w:ind w:left="400" w:hanging="164"/>
        <w:spacing w:after="0"/>
        <w:tabs>
          <w:tab w:leader="none" w:pos="400"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$50K+ Raised for local charities</w:t>
      </w:r>
    </w:p>
    <w:p>
      <w:pPr>
        <w:spacing w:after="0" w:line="74" w:lineRule="exact"/>
        <w:rPr>
          <w:rFonts w:ascii="Arial" w:cs="Arial" w:eastAsia="Arial" w:hAnsi="Arial"/>
          <w:sz w:val="16"/>
          <w:szCs w:val="16"/>
          <w:b w:val="1"/>
          <w:bCs w:val="1"/>
          <w:color w:val="auto"/>
        </w:rPr>
      </w:pPr>
    </w:p>
    <w:p>
      <w:pPr>
        <w:ind w:left="400" w:hanging="164"/>
        <w:spacing w:after="0"/>
        <w:tabs>
          <w:tab w:leader="none" w:pos="400"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6 Industry awards and recognitions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36"/>
          <w:szCs w:val="36"/>
          <w:b w:val="1"/>
          <w:bCs w:val="1"/>
          <w:color w:val="0076A8"/>
        </w:rPr>
        <w:t>Governance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Strong governance ensures accountability and responsible long-term management.</w:t>
      </w:r>
    </w:p>
    <w:p>
      <w:pPr>
        <w:spacing w:after="0" w:line="266" w:lineRule="exact"/>
        <w:rPr>
          <w:sz w:val="20"/>
          <w:szCs w:val="20"/>
          <w:color w:val="auto"/>
        </w:rPr>
      </w:pPr>
    </w:p>
    <w:p>
      <w:pPr>
        <w:spacing w:after="0"/>
        <w:rPr>
          <w:sz w:val="20"/>
          <w:szCs w:val="20"/>
          <w:color w:val="auto"/>
        </w:rPr>
      </w:pPr>
      <w:r>
        <w:rPr>
          <w:rFonts w:ascii="Arial" w:cs="Arial" w:eastAsia="Arial" w:hAnsi="Arial"/>
          <w:sz w:val="28"/>
          <w:szCs w:val="28"/>
          <w:b w:val="1"/>
          <w:bCs w:val="1"/>
          <w:color w:val="191769"/>
        </w:rPr>
        <w:t>Key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90805</wp:posOffset>
            </wp:positionV>
            <wp:extent cx="7152005" cy="23526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2005" cy="2352675"/>
                    </a:xfrm>
                    <a:prstGeom prst="rect">
                      <a:avLst/>
                    </a:prstGeom>
                    <a:noFill/>
                  </pic:spPr>
                </pic:pic>
              </a:graphicData>
            </a:graphic>
          </wp:anchor>
        </w:drawing>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191769"/>
        </w:rPr>
        <w:t>Board oversight</w:t>
      </w:r>
    </w:p>
    <w:p>
      <w:pPr>
        <w:spacing w:after="0" w:line="247" w:lineRule="exact"/>
        <w:rPr>
          <w:sz w:val="20"/>
          <w:szCs w:val="20"/>
          <w:color w:val="auto"/>
        </w:rPr>
      </w:pPr>
    </w:p>
    <w:p>
      <w:pPr>
        <w:ind w:left="240"/>
        <w:spacing w:after="0" w:line="299" w:lineRule="auto"/>
        <w:rPr>
          <w:sz w:val="20"/>
          <w:szCs w:val="20"/>
          <w:color w:val="auto"/>
        </w:rPr>
      </w:pPr>
      <w:r>
        <w:rPr>
          <w:rFonts w:ascii="Arial" w:cs="Arial" w:eastAsia="Arial" w:hAnsi="Arial"/>
          <w:sz w:val="16"/>
          <w:szCs w:val="16"/>
          <w:color w:val="auto"/>
        </w:rPr>
        <w:t>Board committees oversee key ESG topics including sustainability, safety and risk management. In addition, the Enterprise Risk Committee was established in 2025 to oversee risk in areas including:</w:t>
      </w:r>
    </w:p>
    <w:p>
      <w:pPr>
        <w:spacing w:after="0" w:line="59" w:lineRule="exact"/>
        <w:rPr>
          <w:sz w:val="20"/>
          <w:szCs w:val="20"/>
          <w:color w:val="auto"/>
        </w:rPr>
      </w:pPr>
    </w:p>
    <w:p>
      <w:pPr>
        <w:ind w:left="400" w:hanging="164"/>
        <w:spacing w:after="0"/>
        <w:tabs>
          <w:tab w:leader="none" w:pos="400"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Cybersecurity</w:t>
      </w:r>
    </w:p>
    <w:p>
      <w:pPr>
        <w:spacing w:after="0" w:line="86" w:lineRule="exact"/>
        <w:rPr>
          <w:rFonts w:ascii="Arial" w:cs="Arial" w:eastAsia="Arial" w:hAnsi="Arial"/>
          <w:sz w:val="16"/>
          <w:szCs w:val="16"/>
          <w:b w:val="1"/>
          <w:bCs w:val="1"/>
          <w:color w:val="auto"/>
        </w:rPr>
      </w:pPr>
    </w:p>
    <w:p>
      <w:pPr>
        <w:ind w:left="400" w:hanging="164"/>
        <w:spacing w:after="0"/>
        <w:tabs>
          <w:tab w:leader="none" w:pos="400"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Climate-related events</w:t>
      </w:r>
    </w:p>
    <w:p>
      <w:pPr>
        <w:spacing w:after="0" w:line="74" w:lineRule="exact"/>
        <w:rPr>
          <w:rFonts w:ascii="Arial" w:cs="Arial" w:eastAsia="Arial" w:hAnsi="Arial"/>
          <w:sz w:val="16"/>
          <w:szCs w:val="16"/>
          <w:b w:val="1"/>
          <w:bCs w:val="1"/>
          <w:color w:val="auto"/>
        </w:rPr>
      </w:pPr>
    </w:p>
    <w:p>
      <w:pPr>
        <w:ind w:left="400" w:hanging="164"/>
        <w:spacing w:after="0"/>
        <w:tabs>
          <w:tab w:leader="none" w:pos="400"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Infrastructure resiliency</w:t>
      </w:r>
    </w:p>
    <w:p>
      <w:pPr>
        <w:spacing w:after="0" w:line="74" w:lineRule="exact"/>
        <w:rPr>
          <w:rFonts w:ascii="Arial" w:cs="Arial" w:eastAsia="Arial" w:hAnsi="Arial"/>
          <w:sz w:val="16"/>
          <w:szCs w:val="16"/>
          <w:b w:val="1"/>
          <w:bCs w:val="1"/>
          <w:color w:val="auto"/>
        </w:rPr>
      </w:pPr>
    </w:p>
    <w:p>
      <w:pPr>
        <w:ind w:left="400" w:hanging="164"/>
        <w:spacing w:after="0"/>
        <w:tabs>
          <w:tab w:leader="none" w:pos="400"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Water supply</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191769"/>
        </w:rPr>
        <w:t>Ethics and Compliance</w:t>
      </w:r>
    </w:p>
    <w:p>
      <w:pPr>
        <w:spacing w:after="0" w:line="247" w:lineRule="exact"/>
        <w:rPr>
          <w:sz w:val="20"/>
          <w:szCs w:val="20"/>
          <w:color w:val="auto"/>
        </w:rPr>
      </w:pPr>
    </w:p>
    <w:p>
      <w:pPr>
        <w:ind w:left="420" w:right="300" w:hanging="184"/>
        <w:spacing w:after="0" w:line="283" w:lineRule="auto"/>
        <w:tabs>
          <w:tab w:leader="none" w:pos="411" w:val="left"/>
        </w:tabs>
        <w:numPr>
          <w:ilvl w:val="0"/>
          <w:numId w:val="46"/>
        </w:numPr>
        <w:rPr>
          <w:rFonts w:ascii="Arial" w:cs="Arial" w:eastAsia="Arial" w:hAnsi="Arial"/>
          <w:sz w:val="16"/>
          <w:szCs w:val="16"/>
          <w:b w:val="1"/>
          <w:bCs w:val="1"/>
          <w:color w:val="auto"/>
        </w:rPr>
      </w:pPr>
      <w:r>
        <w:rPr>
          <w:rFonts w:ascii="Arial" w:cs="Arial" w:eastAsia="Arial" w:hAnsi="Arial"/>
          <w:sz w:val="16"/>
          <w:szCs w:val="16"/>
          <w:color w:val="auto"/>
        </w:rPr>
        <w:t>Maintained ethics and compliance programs with mandatory employee training – 100% employees complete ethics and conflict of interest disclosure on an annual basis</w:t>
      </w:r>
    </w:p>
    <w:p>
      <w:pPr>
        <w:spacing w:after="0" w:line="9" w:lineRule="exact"/>
        <w:rPr>
          <w:rFonts w:ascii="Arial" w:cs="Arial" w:eastAsia="Arial" w:hAnsi="Arial"/>
          <w:sz w:val="16"/>
          <w:szCs w:val="16"/>
          <w:b w:val="1"/>
          <w:bCs w:val="1"/>
          <w:color w:val="auto"/>
        </w:rPr>
      </w:pPr>
    </w:p>
    <w:p>
      <w:pPr>
        <w:ind w:left="400" w:hanging="164"/>
        <w:spacing w:after="0"/>
        <w:tabs>
          <w:tab w:leader="none" w:pos="400" w:val="left"/>
        </w:tabs>
        <w:numPr>
          <w:ilvl w:val="0"/>
          <w:numId w:val="46"/>
        </w:numPr>
        <w:rPr>
          <w:rFonts w:ascii="Arial" w:cs="Arial" w:eastAsia="Arial" w:hAnsi="Arial"/>
          <w:sz w:val="16"/>
          <w:szCs w:val="16"/>
          <w:b w:val="1"/>
          <w:bCs w:val="1"/>
          <w:color w:val="auto"/>
        </w:rPr>
      </w:pPr>
      <w:r>
        <w:rPr>
          <w:rFonts w:ascii="Arial" w:cs="Arial" w:eastAsia="Arial" w:hAnsi="Arial"/>
          <w:sz w:val="16"/>
          <w:szCs w:val="16"/>
          <w:color w:val="auto"/>
        </w:rPr>
        <w:t>Independent directors represent 90% of the board</w:t>
      </w:r>
    </w:p>
    <w:p>
      <w:pPr>
        <w:spacing w:after="0" w:line="62" w:lineRule="exact"/>
        <w:rPr>
          <w:rFonts w:ascii="Arial" w:cs="Arial" w:eastAsia="Arial" w:hAnsi="Arial"/>
          <w:sz w:val="16"/>
          <w:szCs w:val="16"/>
          <w:b w:val="1"/>
          <w:bCs w:val="1"/>
          <w:color w:val="auto"/>
        </w:rPr>
      </w:pPr>
    </w:p>
    <w:p>
      <w:pPr>
        <w:ind w:left="400" w:hanging="164"/>
        <w:spacing w:after="0"/>
        <w:tabs>
          <w:tab w:leader="none" w:pos="400" w:val="left"/>
        </w:tabs>
        <w:numPr>
          <w:ilvl w:val="0"/>
          <w:numId w:val="46"/>
        </w:numPr>
        <w:rPr>
          <w:rFonts w:ascii="Arial" w:cs="Arial" w:eastAsia="Arial" w:hAnsi="Arial"/>
          <w:sz w:val="16"/>
          <w:szCs w:val="16"/>
          <w:b w:val="1"/>
          <w:bCs w:val="1"/>
          <w:color w:val="auto"/>
        </w:rPr>
      </w:pPr>
      <w:r>
        <w:rPr>
          <w:rFonts w:ascii="Arial" w:cs="Arial" w:eastAsia="Arial" w:hAnsi="Arial"/>
          <w:sz w:val="16"/>
          <w:szCs w:val="16"/>
          <w:color w:val="auto"/>
        </w:rPr>
        <w:t>Continued alignment with leading ESG reporting framework and enhanced stakeholder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565785</wp:posOffset>
            </wp:positionV>
            <wp:extent cx="7620" cy="132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ectPr>
          <w:pgSz w:w="11900" w:h="16838" w:orient="portrait"/>
          <w:cols w:equalWidth="0" w:num="1">
            <w:col w:w="10680"/>
          </w:cols>
          <w:pgMar w:left="320" w:top="12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60" w:hanging="445"/>
        <w:spacing w:after="0"/>
        <w:tabs>
          <w:tab w:leader="none" w:pos="460" w:val="left"/>
        </w:tabs>
        <w:numPr>
          <w:ilvl w:val="0"/>
          <w:numId w:val="47"/>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210185</wp:posOffset>
            </wp:positionV>
            <wp:extent cx="7169785" cy="41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0680"/>
          </w:cols>
          <w:pgMar w:left="320" w:top="124" w:right="899"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14"/>
          <w:szCs w:val="14"/>
          <w:b w:val="1"/>
          <w:bCs w:val="1"/>
          <w:color w:val="191769"/>
        </w:rPr>
        <w:t>Corporate Sustainability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These efforts reinforce disciplined capital deployment, measurable safety and reliability improvements, and governance aligned with investor and customer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149225</wp:posOffset>
            </wp:positionV>
            <wp:extent cx="7144385" cy="11410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4385" cy="1141095"/>
                    </a:xfrm>
                    <a:prstGeom prst="rect">
                      <a:avLst/>
                    </a:prstGeom>
                    <a:noFill/>
                  </pic:spPr>
                </pic:pic>
              </a:graphicData>
            </a:graphic>
          </wp:anchor>
        </w:drawing>
      </w:r>
    </w:p>
    <w:p>
      <w:pPr>
        <w:spacing w:after="0" w:line="365"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191769"/>
        </w:rPr>
        <w:t>Looking ahead</w:t>
      </w:r>
    </w:p>
    <w:p>
      <w:pPr>
        <w:spacing w:after="0" w:line="148" w:lineRule="exact"/>
        <w:rPr>
          <w:sz w:val="20"/>
          <w:szCs w:val="20"/>
          <w:color w:val="auto"/>
        </w:rPr>
      </w:pPr>
    </w:p>
    <w:p>
      <w:pPr>
        <w:ind w:left="280" w:right="620"/>
        <w:spacing w:after="0" w:line="299" w:lineRule="auto"/>
        <w:rPr>
          <w:sz w:val="20"/>
          <w:szCs w:val="20"/>
          <w:color w:val="auto"/>
        </w:rPr>
      </w:pPr>
      <w:r>
        <w:rPr>
          <w:rFonts w:ascii="Arial" w:cs="Arial" w:eastAsia="Arial" w:hAnsi="Arial"/>
          <w:sz w:val="16"/>
          <w:szCs w:val="16"/>
          <w:color w:val="auto"/>
        </w:rPr>
        <w:t>Our ESG strategy supports our mission to deliver safe, reliable water while protecting natural resources and strengthening the communities we serve.</w:t>
      </w:r>
    </w:p>
    <w:p>
      <w:pPr>
        <w:spacing w:after="0" w:line="71" w:lineRule="exact"/>
        <w:rPr>
          <w:sz w:val="20"/>
          <w:szCs w:val="20"/>
          <w:color w:val="auto"/>
        </w:rPr>
      </w:pPr>
    </w:p>
    <w:p>
      <w:pPr>
        <w:ind w:left="280" w:right="960"/>
        <w:spacing w:after="0" w:line="299" w:lineRule="auto"/>
        <w:rPr>
          <w:sz w:val="20"/>
          <w:szCs w:val="20"/>
          <w:color w:val="auto"/>
        </w:rPr>
      </w:pPr>
      <w:r>
        <w:rPr>
          <w:rFonts w:ascii="Arial" w:cs="Arial" w:eastAsia="Arial" w:hAnsi="Arial"/>
          <w:sz w:val="16"/>
          <w:szCs w:val="16"/>
          <w:color w:val="auto"/>
        </w:rPr>
        <w:t>We will continue investing in infrastructure, supporting our workforce and advancing sustainability initiatives that create long term value for customers, communities and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860" w:type="dxa"/>
            <w:vAlign w:val="bottom"/>
            <w:tcBorders>
              <w:right w:val="single" w:sz="8" w:color="00AEEF"/>
            </w:tcBorders>
          </w:tcPr>
          <w:p>
            <w:pPr>
              <w:ind w:left="94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33</w:t>
            </w:r>
          </w:p>
        </w:tc>
      </w:tr>
      <w:tr>
        <w:trPr>
          <w:trHeight w:val="312"/>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5" w:name="page36"/>
    <w:bookmarkEnd w:id="35"/>
    <w:p>
      <w:pPr>
        <w:ind w:left="2"/>
        <w:spacing w:after="0"/>
        <w:rPr>
          <w:sz w:val="20"/>
          <w:szCs w:val="20"/>
          <w:color w:val="auto"/>
        </w:rPr>
      </w:pPr>
      <w:r>
        <w:rPr>
          <w:rFonts w:ascii="Arial" w:cs="Arial" w:eastAsia="Arial" w:hAnsi="Arial"/>
          <w:sz w:val="46"/>
          <w:szCs w:val="46"/>
          <w:color w:val="191769"/>
        </w:rPr>
        <w:t>Executive Compensation</w:t>
      </w:r>
    </w:p>
    <w:p>
      <w:pPr>
        <w:spacing w:after="0" w:line="284" w:lineRule="exact"/>
        <w:rPr>
          <w:sz w:val="20"/>
          <w:szCs w:val="20"/>
          <w:color w:val="auto"/>
        </w:rPr>
      </w:pPr>
    </w:p>
    <w:p>
      <w:pPr>
        <w:ind w:left="2"/>
        <w:spacing w:after="0"/>
        <w:rPr>
          <w:sz w:val="20"/>
          <w:szCs w:val="20"/>
          <w:color w:val="auto"/>
        </w:rPr>
      </w:pPr>
      <w:r>
        <w:rPr>
          <w:rFonts w:ascii="Arial" w:cs="Arial" w:eastAsia="Arial" w:hAnsi="Arial"/>
          <w:sz w:val="36"/>
          <w:szCs w:val="36"/>
          <w:b w:val="1"/>
          <w:bCs w:val="1"/>
          <w:color w:val="0076A8"/>
        </w:rPr>
        <w:t>Compensation Discussion and Analysis</w:t>
      </w:r>
    </w:p>
    <w:p>
      <w:pPr>
        <w:spacing w:after="0" w:line="191" w:lineRule="exact"/>
        <w:rPr>
          <w:sz w:val="20"/>
          <w:szCs w:val="20"/>
          <w:color w:val="auto"/>
        </w:rPr>
      </w:pPr>
    </w:p>
    <w:p>
      <w:pPr>
        <w:jc w:val="both"/>
        <w:ind w:left="2" w:right="480"/>
        <w:spacing w:after="0" w:line="278" w:lineRule="auto"/>
        <w:rPr>
          <w:sz w:val="20"/>
          <w:szCs w:val="20"/>
          <w:color w:val="auto"/>
        </w:rPr>
      </w:pPr>
      <w:r>
        <w:rPr>
          <w:rFonts w:ascii="Arial" w:cs="Arial" w:eastAsia="Arial" w:hAnsi="Arial"/>
          <w:sz w:val="16"/>
          <w:szCs w:val="16"/>
          <w:color w:val="auto"/>
        </w:rPr>
        <w:t>This compensation discussion and analysis (“CD&amp;A”) describes the philosophy, objectives, process, components and additional aspects of our 2025 executive compensation program. This CD&amp;A is intended to be read in conjunction with the tables that immediately follow this section, which provide further historical compensation information for the following named executive officers (“NEOs”) of the Company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4438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116" w:lineRule="exact"/>
        <w:rPr>
          <w:sz w:val="20"/>
          <w:szCs w:val="20"/>
          <w:color w:val="auto"/>
        </w:rPr>
      </w:pPr>
    </w:p>
    <w:tbl>
      <w:tblPr>
        <w:tblLayout w:type="fixed"/>
        <w:tblInd w:w="2" w:type="dxa"/>
        <w:tblCellMar>
          <w:top w:w="0" w:type="dxa"/>
          <w:left w:w="0" w:type="dxa"/>
          <w:bottom w:w="0" w:type="dxa"/>
          <w:right w:w="0" w:type="dxa"/>
        </w:tblCellMar>
      </w:tblPr>
      <w:tr>
        <w:trPr>
          <w:trHeight w:val="231"/>
        </w:trPr>
        <w:tc>
          <w:tcPr>
            <w:tcW w:w="228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Nadine Leslie</w:t>
            </w:r>
          </w:p>
        </w:tc>
        <w:tc>
          <w:tcPr>
            <w:tcW w:w="8960" w:type="dxa"/>
            <w:vAlign w:val="bottom"/>
            <w:tcBorders>
              <w:bottom w:val="single" w:sz="8" w:color="D9D9D9"/>
            </w:tcBorders>
          </w:tcPr>
          <w:p>
            <w:pPr>
              <w:ind w:left="400"/>
              <w:spacing w:after="0"/>
              <w:rPr>
                <w:sz w:val="20"/>
                <w:szCs w:val="20"/>
                <w:color w:val="auto"/>
              </w:rPr>
            </w:pPr>
            <w:r>
              <w:rPr>
                <w:rFonts w:ascii="Arial" w:cs="Arial" w:eastAsia="Arial" w:hAnsi="Arial"/>
                <w:sz w:val="16"/>
                <w:szCs w:val="16"/>
                <w:color w:val="auto"/>
              </w:rPr>
              <w:t>President and Chief Executive Officer</w:t>
            </w:r>
          </w:p>
        </w:tc>
      </w:tr>
      <w:tr>
        <w:trPr>
          <w:trHeight w:val="239"/>
        </w:trPr>
        <w:tc>
          <w:tcPr>
            <w:tcW w:w="228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Mohammed G. Zerhouni</w:t>
            </w:r>
          </w:p>
        </w:tc>
        <w:tc>
          <w:tcPr>
            <w:tcW w:w="8960" w:type="dxa"/>
            <w:vAlign w:val="bottom"/>
            <w:tcBorders>
              <w:bottom w:val="single" w:sz="8" w:color="D9D9D9"/>
            </w:tcBorders>
          </w:tcPr>
          <w:p>
            <w:pPr>
              <w:ind w:left="400"/>
              <w:spacing w:after="0"/>
              <w:rPr>
                <w:sz w:val="20"/>
                <w:szCs w:val="20"/>
                <w:color w:val="auto"/>
              </w:rPr>
            </w:pPr>
            <w:r>
              <w:rPr>
                <w:rFonts w:ascii="Arial" w:cs="Arial" w:eastAsia="Arial" w:hAnsi="Arial"/>
                <w:sz w:val="16"/>
                <w:szCs w:val="16"/>
                <w:color w:val="auto"/>
              </w:rPr>
              <w:t>Senior Vice President, Chief Financial Officer and Treasurer</w:t>
            </w:r>
          </w:p>
        </w:tc>
      </w:tr>
      <w:tr>
        <w:trPr>
          <w:trHeight w:val="239"/>
        </w:trPr>
        <w:tc>
          <w:tcPr>
            <w:tcW w:w="228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Gregory S. Sorensen</w:t>
            </w:r>
          </w:p>
        </w:tc>
        <w:tc>
          <w:tcPr>
            <w:tcW w:w="8960" w:type="dxa"/>
            <w:vAlign w:val="bottom"/>
            <w:tcBorders>
              <w:bottom w:val="single" w:sz="8" w:color="D9D9D9"/>
            </w:tcBorders>
          </w:tcPr>
          <w:p>
            <w:pPr>
              <w:ind w:left="400"/>
              <w:spacing w:after="0"/>
              <w:rPr>
                <w:sz w:val="20"/>
                <w:szCs w:val="20"/>
                <w:color w:val="auto"/>
              </w:rPr>
            </w:pPr>
            <w:r>
              <w:rPr>
                <w:rFonts w:ascii="Arial" w:cs="Arial" w:eastAsia="Arial" w:hAnsi="Arial"/>
                <w:sz w:val="16"/>
                <w:szCs w:val="16"/>
                <w:color w:val="auto"/>
              </w:rPr>
              <w:t>Vice President, Chief Operating Officer</w:t>
            </w:r>
          </w:p>
        </w:tc>
      </w:tr>
      <w:tr>
        <w:trPr>
          <w:trHeight w:val="239"/>
        </w:trPr>
        <w:tc>
          <w:tcPr>
            <w:tcW w:w="228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Jay L. Kooper</w:t>
            </w:r>
          </w:p>
        </w:tc>
        <w:tc>
          <w:tcPr>
            <w:tcW w:w="8960" w:type="dxa"/>
            <w:vAlign w:val="bottom"/>
            <w:tcBorders>
              <w:bottom w:val="single" w:sz="8" w:color="D9D9D9"/>
            </w:tcBorders>
          </w:tcPr>
          <w:p>
            <w:pPr>
              <w:ind w:left="400"/>
              <w:spacing w:after="0"/>
              <w:rPr>
                <w:sz w:val="20"/>
                <w:szCs w:val="20"/>
                <w:color w:val="auto"/>
              </w:rPr>
            </w:pPr>
            <w:r>
              <w:rPr>
                <w:rFonts w:ascii="Arial" w:cs="Arial" w:eastAsia="Arial" w:hAnsi="Arial"/>
                <w:sz w:val="16"/>
                <w:szCs w:val="16"/>
                <w:color w:val="auto"/>
              </w:rPr>
              <w:t>Vice President, General Counsel and Secretary</w:t>
            </w:r>
          </w:p>
        </w:tc>
      </w:tr>
      <w:tr>
        <w:trPr>
          <w:trHeight w:val="239"/>
        </w:trPr>
        <w:tc>
          <w:tcPr>
            <w:tcW w:w="2280" w:type="dxa"/>
            <w:vAlign w:val="bottom"/>
            <w:tcBorders>
              <w:bottom w:val="single" w:sz="8" w:color="00AEEF"/>
            </w:tcBorders>
          </w:tcPr>
          <w:p>
            <w:pPr>
              <w:ind w:left="20"/>
              <w:spacing w:after="0"/>
              <w:rPr>
                <w:sz w:val="20"/>
                <w:szCs w:val="20"/>
                <w:color w:val="auto"/>
              </w:rPr>
            </w:pPr>
            <w:r>
              <w:rPr>
                <w:rFonts w:ascii="Arial" w:cs="Arial" w:eastAsia="Arial" w:hAnsi="Arial"/>
                <w:sz w:val="16"/>
                <w:szCs w:val="16"/>
                <w:b w:val="1"/>
                <w:bCs w:val="1"/>
                <w:color w:val="191769"/>
              </w:rPr>
              <w:t>Georgia M. Simpson</w:t>
            </w:r>
          </w:p>
        </w:tc>
        <w:tc>
          <w:tcPr>
            <w:tcW w:w="8960" w:type="dxa"/>
            <w:vAlign w:val="bottom"/>
            <w:tcBorders>
              <w:bottom w:val="single" w:sz="8" w:color="00AEEF"/>
            </w:tcBorders>
          </w:tcPr>
          <w:p>
            <w:pPr>
              <w:ind w:left="400"/>
              <w:spacing w:after="0"/>
              <w:rPr>
                <w:sz w:val="20"/>
                <w:szCs w:val="20"/>
                <w:color w:val="auto"/>
              </w:rPr>
            </w:pPr>
            <w:r>
              <w:rPr>
                <w:rFonts w:ascii="Arial" w:cs="Arial" w:eastAsia="Arial" w:hAnsi="Arial"/>
                <w:sz w:val="16"/>
                <w:szCs w:val="16"/>
                <w:color w:val="auto"/>
              </w:rPr>
              <w:t>Vice President, Information Technology and Chief Technology Officer</w:t>
            </w:r>
          </w:p>
        </w:tc>
      </w:tr>
    </w:tbl>
    <w:p>
      <w:pPr>
        <w:spacing w:after="0" w:line="331"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191769"/>
        </w:rPr>
        <w:t>CD&amp;A Reference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14438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128"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6720" w:type="dxa"/>
            <w:vAlign w:val="bottom"/>
          </w:tcPr>
          <w:p>
            <w:pPr>
              <w:ind w:left="20"/>
              <w:spacing w:after="0"/>
              <w:rPr>
                <w:sz w:val="20"/>
                <w:szCs w:val="20"/>
                <w:color w:val="auto"/>
              </w:rPr>
            </w:pPr>
            <w:r>
              <w:rPr>
                <w:rFonts w:ascii="Arial" w:cs="Arial" w:eastAsia="Arial" w:hAnsi="Arial"/>
                <w:sz w:val="16"/>
                <w:szCs w:val="16"/>
                <w:color w:val="auto"/>
              </w:rPr>
              <w:t>Executive Summary</w:t>
            </w:r>
          </w:p>
        </w:tc>
        <w:tc>
          <w:tcPr>
            <w:tcW w:w="4520" w:type="dxa"/>
            <w:vAlign w:val="bottom"/>
          </w:tcPr>
          <w:p>
            <w:pPr>
              <w:ind w:left="3540"/>
              <w:spacing w:after="0"/>
              <w:rPr>
                <w:sz w:val="20"/>
                <w:szCs w:val="20"/>
                <w:color w:val="auto"/>
              </w:rPr>
            </w:pPr>
            <w:r>
              <w:rPr>
                <w:rFonts w:ascii="Arial" w:cs="Arial" w:eastAsia="Arial" w:hAnsi="Arial"/>
                <w:sz w:val="16"/>
                <w:szCs w:val="16"/>
                <w:color w:val="auto"/>
              </w:rPr>
              <w:t>Section I</w:t>
            </w:r>
          </w:p>
        </w:tc>
      </w:tr>
      <w:tr>
        <w:trPr>
          <w:trHeight w:val="22"/>
        </w:trPr>
        <w:tc>
          <w:tcPr>
            <w:tcW w:w="6720" w:type="dxa"/>
            <w:vAlign w:val="bottom"/>
            <w:tcBorders>
              <w:bottom w:val="single" w:sz="8" w:color="D9D9D9"/>
            </w:tcBorders>
          </w:tcPr>
          <w:p>
            <w:pPr>
              <w:spacing w:after="0" w:line="20" w:lineRule="exact"/>
              <w:rPr>
                <w:sz w:val="1"/>
                <w:szCs w:val="1"/>
                <w:color w:val="auto"/>
              </w:rPr>
            </w:pPr>
          </w:p>
        </w:tc>
        <w:tc>
          <w:tcPr>
            <w:tcW w:w="4520" w:type="dxa"/>
            <w:vAlign w:val="bottom"/>
            <w:tcBorders>
              <w:bottom w:val="single" w:sz="8" w:color="D9D9D9"/>
            </w:tcBorders>
          </w:tcPr>
          <w:p>
            <w:pPr>
              <w:spacing w:after="0" w:line="20" w:lineRule="exact"/>
              <w:rPr>
                <w:sz w:val="1"/>
                <w:szCs w:val="1"/>
                <w:color w:val="auto"/>
              </w:rPr>
            </w:pP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Compensation Philosophy and Objectives</w:t>
            </w:r>
          </w:p>
        </w:tc>
        <w:tc>
          <w:tcPr>
            <w:tcW w:w="4520" w:type="dxa"/>
            <w:vAlign w:val="bottom"/>
          </w:tcPr>
          <w:p>
            <w:pPr>
              <w:ind w:left="3540"/>
              <w:spacing w:after="0"/>
              <w:rPr>
                <w:sz w:val="20"/>
                <w:szCs w:val="20"/>
                <w:color w:val="auto"/>
              </w:rPr>
            </w:pPr>
            <w:r>
              <w:rPr>
                <w:rFonts w:ascii="Arial" w:cs="Arial" w:eastAsia="Arial" w:hAnsi="Arial"/>
                <w:sz w:val="16"/>
                <w:szCs w:val="16"/>
                <w:color w:val="auto"/>
              </w:rPr>
              <w:t>Section II</w:t>
            </w:r>
          </w:p>
        </w:tc>
      </w:tr>
      <w:tr>
        <w:trPr>
          <w:trHeight w:val="22"/>
        </w:trPr>
        <w:tc>
          <w:tcPr>
            <w:tcW w:w="6720" w:type="dxa"/>
            <w:vAlign w:val="bottom"/>
            <w:tcBorders>
              <w:bottom w:val="single" w:sz="8" w:color="D9D9D9"/>
            </w:tcBorders>
          </w:tcPr>
          <w:p>
            <w:pPr>
              <w:spacing w:after="0" w:line="20" w:lineRule="exact"/>
              <w:rPr>
                <w:sz w:val="1"/>
                <w:szCs w:val="1"/>
                <w:color w:val="auto"/>
              </w:rPr>
            </w:pPr>
          </w:p>
        </w:tc>
        <w:tc>
          <w:tcPr>
            <w:tcW w:w="4520" w:type="dxa"/>
            <w:vAlign w:val="bottom"/>
            <w:tcBorders>
              <w:bottom w:val="single" w:sz="8" w:color="D9D9D9"/>
            </w:tcBorders>
          </w:tcPr>
          <w:p>
            <w:pPr>
              <w:spacing w:after="0" w:line="20" w:lineRule="exact"/>
              <w:rPr>
                <w:sz w:val="1"/>
                <w:szCs w:val="1"/>
                <w:color w:val="auto"/>
              </w:rPr>
            </w:pP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Compensation Determination Process</w:t>
            </w:r>
          </w:p>
        </w:tc>
        <w:tc>
          <w:tcPr>
            <w:tcW w:w="4520" w:type="dxa"/>
            <w:vAlign w:val="bottom"/>
          </w:tcPr>
          <w:p>
            <w:pPr>
              <w:ind w:left="3540"/>
              <w:spacing w:after="0"/>
              <w:rPr>
                <w:sz w:val="20"/>
                <w:szCs w:val="20"/>
                <w:color w:val="auto"/>
              </w:rPr>
            </w:pPr>
            <w:r>
              <w:rPr>
                <w:rFonts w:ascii="Arial" w:cs="Arial" w:eastAsia="Arial" w:hAnsi="Arial"/>
                <w:sz w:val="16"/>
                <w:szCs w:val="16"/>
                <w:color w:val="auto"/>
              </w:rPr>
              <w:t>Section III</w:t>
            </w:r>
          </w:p>
        </w:tc>
      </w:tr>
      <w:tr>
        <w:trPr>
          <w:trHeight w:val="22"/>
        </w:trPr>
        <w:tc>
          <w:tcPr>
            <w:tcW w:w="6720" w:type="dxa"/>
            <w:vAlign w:val="bottom"/>
            <w:tcBorders>
              <w:bottom w:val="single" w:sz="8" w:color="D9D9D9"/>
            </w:tcBorders>
          </w:tcPr>
          <w:p>
            <w:pPr>
              <w:spacing w:after="0" w:line="20" w:lineRule="exact"/>
              <w:rPr>
                <w:sz w:val="1"/>
                <w:szCs w:val="1"/>
                <w:color w:val="auto"/>
              </w:rPr>
            </w:pPr>
          </w:p>
        </w:tc>
        <w:tc>
          <w:tcPr>
            <w:tcW w:w="4520" w:type="dxa"/>
            <w:vAlign w:val="bottom"/>
            <w:tcBorders>
              <w:bottom w:val="single" w:sz="8" w:color="D9D9D9"/>
            </w:tcBorders>
          </w:tcPr>
          <w:p>
            <w:pPr>
              <w:spacing w:after="0" w:line="20" w:lineRule="exact"/>
              <w:rPr>
                <w:sz w:val="1"/>
                <w:szCs w:val="1"/>
                <w:color w:val="auto"/>
              </w:rPr>
            </w:pP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Compensation Program Components</w:t>
            </w:r>
          </w:p>
        </w:tc>
        <w:tc>
          <w:tcPr>
            <w:tcW w:w="4520" w:type="dxa"/>
            <w:vAlign w:val="bottom"/>
          </w:tcPr>
          <w:p>
            <w:pPr>
              <w:ind w:left="3540"/>
              <w:spacing w:after="0"/>
              <w:rPr>
                <w:sz w:val="20"/>
                <w:szCs w:val="20"/>
                <w:color w:val="auto"/>
              </w:rPr>
            </w:pPr>
            <w:r>
              <w:rPr>
                <w:rFonts w:ascii="Arial" w:cs="Arial" w:eastAsia="Arial" w:hAnsi="Arial"/>
                <w:sz w:val="16"/>
                <w:szCs w:val="16"/>
                <w:color w:val="auto"/>
              </w:rPr>
              <w:t>Section IV</w:t>
            </w:r>
          </w:p>
        </w:tc>
      </w:tr>
      <w:tr>
        <w:trPr>
          <w:trHeight w:val="22"/>
        </w:trPr>
        <w:tc>
          <w:tcPr>
            <w:tcW w:w="6720" w:type="dxa"/>
            <w:vAlign w:val="bottom"/>
            <w:tcBorders>
              <w:bottom w:val="single" w:sz="8" w:color="D9D9D9"/>
            </w:tcBorders>
          </w:tcPr>
          <w:p>
            <w:pPr>
              <w:spacing w:after="0" w:line="20" w:lineRule="exact"/>
              <w:rPr>
                <w:sz w:val="1"/>
                <w:szCs w:val="1"/>
                <w:color w:val="auto"/>
              </w:rPr>
            </w:pPr>
          </w:p>
        </w:tc>
        <w:tc>
          <w:tcPr>
            <w:tcW w:w="4520" w:type="dxa"/>
            <w:vAlign w:val="bottom"/>
            <w:tcBorders>
              <w:bottom w:val="single" w:sz="8" w:color="D9D9D9"/>
            </w:tcBorders>
          </w:tcPr>
          <w:p>
            <w:pPr>
              <w:spacing w:after="0" w:line="20" w:lineRule="exact"/>
              <w:rPr>
                <w:sz w:val="1"/>
                <w:szCs w:val="1"/>
                <w:color w:val="auto"/>
              </w:rPr>
            </w:pP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Other Compensation Policies and Practices</w:t>
            </w:r>
          </w:p>
        </w:tc>
        <w:tc>
          <w:tcPr>
            <w:tcW w:w="4520" w:type="dxa"/>
            <w:vAlign w:val="bottom"/>
          </w:tcPr>
          <w:p>
            <w:pPr>
              <w:ind w:left="3540"/>
              <w:spacing w:after="0"/>
              <w:rPr>
                <w:sz w:val="20"/>
                <w:szCs w:val="20"/>
                <w:color w:val="auto"/>
              </w:rPr>
            </w:pPr>
            <w:r>
              <w:rPr>
                <w:rFonts w:ascii="Arial" w:cs="Arial" w:eastAsia="Arial" w:hAnsi="Arial"/>
                <w:sz w:val="16"/>
                <w:szCs w:val="16"/>
                <w:color w:val="auto"/>
              </w:rPr>
              <w:t>Section V</w:t>
            </w:r>
          </w:p>
        </w:tc>
      </w:tr>
      <w:tr>
        <w:trPr>
          <w:trHeight w:val="22"/>
        </w:trPr>
        <w:tc>
          <w:tcPr>
            <w:tcW w:w="6720" w:type="dxa"/>
            <w:vAlign w:val="bottom"/>
            <w:tcBorders>
              <w:bottom w:val="single" w:sz="8" w:color="00AEEF"/>
            </w:tcBorders>
          </w:tcPr>
          <w:p>
            <w:pPr>
              <w:spacing w:after="0" w:line="20" w:lineRule="exact"/>
              <w:rPr>
                <w:sz w:val="1"/>
                <w:szCs w:val="1"/>
                <w:color w:val="auto"/>
              </w:rPr>
            </w:pPr>
          </w:p>
        </w:tc>
        <w:tc>
          <w:tcPr>
            <w:tcW w:w="4520" w:type="dxa"/>
            <w:vAlign w:val="bottom"/>
            <w:tcBorders>
              <w:bottom w:val="single" w:sz="8" w:color="00AEEF"/>
            </w:tcBorders>
          </w:tcPr>
          <w:p>
            <w:pPr>
              <w:spacing w:after="0" w:line="20" w:lineRule="exact"/>
              <w:rPr>
                <w:sz w:val="1"/>
                <w:szCs w:val="1"/>
                <w:color w:val="auto"/>
              </w:rPr>
            </w:pPr>
          </w:p>
        </w:tc>
      </w:tr>
    </w:tbl>
    <w:p>
      <w:pPr>
        <w:spacing w:after="0" w:line="323"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191769"/>
        </w:rPr>
        <w:t>I. Executive Summary</w:t>
      </w:r>
    </w:p>
    <w:p>
      <w:pPr>
        <w:spacing w:after="0" w:line="96" w:lineRule="exact"/>
        <w:rPr>
          <w:sz w:val="20"/>
          <w:szCs w:val="20"/>
          <w:color w:val="auto"/>
        </w:rPr>
      </w:pPr>
    </w:p>
    <w:p>
      <w:pPr>
        <w:ind w:left="2"/>
        <w:spacing w:after="0"/>
        <w:rPr>
          <w:sz w:val="20"/>
          <w:szCs w:val="20"/>
          <w:color w:val="auto"/>
        </w:rPr>
      </w:pPr>
      <w:r>
        <w:rPr>
          <w:rFonts w:ascii="Arial" w:cs="Arial" w:eastAsia="Arial" w:hAnsi="Arial"/>
          <w:sz w:val="23"/>
          <w:szCs w:val="23"/>
          <w:b w:val="1"/>
          <w:bCs w:val="1"/>
          <w:color w:val="0076A8"/>
        </w:rPr>
        <w:t>Middlesex Water Background</w:t>
      </w:r>
    </w:p>
    <w:p>
      <w:pPr>
        <w:spacing w:after="0" w:line="98" w:lineRule="exact"/>
        <w:rPr>
          <w:sz w:val="20"/>
          <w:szCs w:val="20"/>
          <w:color w:val="auto"/>
        </w:rPr>
      </w:pPr>
    </w:p>
    <w:p>
      <w:pPr>
        <w:ind w:left="2" w:right="100"/>
        <w:spacing w:after="0" w:line="278" w:lineRule="auto"/>
        <w:rPr>
          <w:sz w:val="20"/>
          <w:szCs w:val="20"/>
          <w:color w:val="auto"/>
        </w:rPr>
      </w:pPr>
      <w:r>
        <w:rPr>
          <w:rFonts w:ascii="Arial" w:cs="Arial" w:eastAsia="Arial" w:hAnsi="Arial"/>
          <w:sz w:val="16"/>
          <w:szCs w:val="16"/>
          <w:color w:val="auto"/>
        </w:rPr>
        <w:t>Middlesex Water Company, established in 1897, is a trusted provider of life-sustaining services to more than half a million people in New Jersey and Delaware. The company’s business strategies and objectives are rooted in employee engagement, operational excellence, superior customer experience, investment in infrastructure, and selective and sustainable growth to deliver value to our customers, investors, and the communities we serve.</w:t>
      </w:r>
    </w:p>
    <w:p>
      <w:pPr>
        <w:spacing w:after="0" w:line="204" w:lineRule="exact"/>
        <w:rPr>
          <w:sz w:val="20"/>
          <w:szCs w:val="20"/>
          <w:color w:val="auto"/>
        </w:rPr>
      </w:pPr>
    </w:p>
    <w:p>
      <w:pPr>
        <w:ind w:left="2"/>
        <w:spacing w:after="0"/>
        <w:rPr>
          <w:sz w:val="20"/>
          <w:szCs w:val="20"/>
          <w:color w:val="auto"/>
        </w:rPr>
      </w:pPr>
      <w:r>
        <w:rPr>
          <w:rFonts w:ascii="Arial" w:cs="Arial" w:eastAsia="Arial" w:hAnsi="Arial"/>
          <w:sz w:val="23"/>
          <w:szCs w:val="23"/>
          <w:b w:val="1"/>
          <w:bCs w:val="1"/>
          <w:color w:val="0076A8"/>
        </w:rPr>
        <w:t>Executive Compensation Program Objectives</w:t>
      </w:r>
    </w:p>
    <w:p>
      <w:pPr>
        <w:spacing w:after="0" w:line="98"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primary objectives of our executive compensation program are to:</w:t>
      </w:r>
    </w:p>
    <w:p>
      <w:pPr>
        <w:spacing w:after="0" w:line="148" w:lineRule="exact"/>
        <w:rPr>
          <w:sz w:val="20"/>
          <w:szCs w:val="20"/>
          <w:color w:val="auto"/>
        </w:rPr>
      </w:pPr>
    </w:p>
    <w:p>
      <w:pPr>
        <w:ind w:left="182" w:hanging="182"/>
        <w:spacing w:after="0" w:line="297" w:lineRule="auto"/>
        <w:tabs>
          <w:tab w:leader="none" w:pos="173"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Link pay to performance over short-term and long-term horizons, to promote accountability and drive successful execution of our business strategies and objectives;</w:t>
      </w:r>
    </w:p>
    <w:p>
      <w:pPr>
        <w:ind w:left="182" w:right="440" w:hanging="182"/>
        <w:spacing w:after="0" w:line="299" w:lineRule="auto"/>
        <w:tabs>
          <w:tab w:leader="none" w:pos="173"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Align executive officers’ interests with those of the Company, customers and our shareholders over the long term, including by rewarding long-term sustainable growth and performance;</w:t>
      </w:r>
    </w:p>
    <w:p>
      <w:pPr>
        <w:spacing w:after="0" w:line="9" w:lineRule="exact"/>
        <w:rPr>
          <w:rFonts w:ascii="Arial" w:cs="Arial" w:eastAsia="Arial" w:hAnsi="Arial"/>
          <w:sz w:val="16"/>
          <w:szCs w:val="16"/>
          <w:b w:val="1"/>
          <w:bCs w:val="1"/>
          <w:color w:val="auto"/>
        </w:rPr>
      </w:pPr>
    </w:p>
    <w:p>
      <w:pPr>
        <w:ind w:left="182" w:right="460" w:hanging="182"/>
        <w:spacing w:after="0" w:line="297" w:lineRule="auto"/>
        <w:tabs>
          <w:tab w:leader="none" w:pos="173"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Provide market compensation to attract, motivate and retain executive talent, including through the use of equity as a key element of our executive compensation program; and</w:t>
      </w:r>
    </w:p>
    <w:p>
      <w:pPr>
        <w:ind w:left="162" w:hanging="162"/>
        <w:spacing w:after="0"/>
        <w:tabs>
          <w:tab w:leader="none" w:pos="162"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Establish components of the program that are consistent with our business strategy and objectives.</w:t>
      </w:r>
    </w:p>
    <w:p>
      <w:pPr>
        <w:spacing w:after="0" w:line="148" w:lineRule="exact"/>
        <w:rPr>
          <w:sz w:val="20"/>
          <w:szCs w:val="20"/>
          <w:color w:val="auto"/>
        </w:rPr>
      </w:pPr>
    </w:p>
    <w:p>
      <w:pPr>
        <w:jc w:val="both"/>
        <w:ind w:left="2" w:right="320"/>
        <w:spacing w:after="0" w:line="278" w:lineRule="auto"/>
        <w:rPr>
          <w:sz w:val="20"/>
          <w:szCs w:val="20"/>
          <w:color w:val="auto"/>
        </w:rPr>
      </w:pPr>
      <w:r>
        <w:rPr>
          <w:rFonts w:ascii="Arial" w:cs="Arial" w:eastAsia="Arial" w:hAnsi="Arial"/>
          <w:sz w:val="16"/>
          <w:szCs w:val="16"/>
          <w:color w:val="auto"/>
        </w:rPr>
        <w:t>In light of these objectives, our compensation program is designed to reward our executive officers for generating performance that achieves Company goals of providing our customers with safe, reliable, and sustainable water service in compliance with environmental requirements, and increasing our shareholder returns. When we fall short of achieving Company goals, our executive officers’ compensation reflects that performance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260985</wp:posOffset>
            </wp:positionV>
            <wp:extent cx="7620" cy="132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62" w:hanging="445"/>
        <w:spacing w:after="0"/>
        <w:tabs>
          <w:tab w:leader="none" w:pos="462" w:val="left"/>
        </w:tabs>
        <w:numPr>
          <w:ilvl w:val="0"/>
          <w:numId w:val="49"/>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210185</wp:posOffset>
            </wp:positionV>
            <wp:extent cx="7169785" cy="4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2"/>
          </w:cols>
          <w:pgMar w:left="318" w:top="1093"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4"/>
          <w:szCs w:val="14"/>
          <w:b w:val="1"/>
          <w:bCs w:val="1"/>
          <w:color w:val="191769"/>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
        <w:spacing w:after="0"/>
        <w:rPr>
          <w:sz w:val="20"/>
          <w:szCs w:val="20"/>
          <w:color w:val="auto"/>
        </w:rPr>
      </w:pPr>
      <w:r>
        <w:rPr>
          <w:rFonts w:ascii="Arial" w:cs="Arial" w:eastAsia="Arial" w:hAnsi="Arial"/>
          <w:sz w:val="23"/>
          <w:szCs w:val="23"/>
          <w:b w:val="1"/>
          <w:bCs w:val="1"/>
          <w:color w:val="0076A8"/>
        </w:rPr>
        <w:t>Highlights of Our 2025 Executive Compensation Program</w:t>
      </w:r>
    </w:p>
    <w:p>
      <w:pPr>
        <w:spacing w:after="0" w:line="98" w:lineRule="exact"/>
        <w:rPr>
          <w:sz w:val="20"/>
          <w:szCs w:val="20"/>
          <w:color w:val="auto"/>
        </w:rPr>
      </w:pPr>
    </w:p>
    <w:p>
      <w:pPr>
        <w:ind w:left="2" w:right="60"/>
        <w:spacing w:after="0" w:line="271" w:lineRule="auto"/>
        <w:rPr>
          <w:sz w:val="20"/>
          <w:szCs w:val="20"/>
          <w:color w:val="auto"/>
        </w:rPr>
      </w:pPr>
      <w:r>
        <w:rPr>
          <w:rFonts w:ascii="Arial" w:cs="Arial" w:eastAsia="Arial" w:hAnsi="Arial"/>
          <w:sz w:val="16"/>
          <w:szCs w:val="16"/>
          <w:color w:val="auto"/>
        </w:rPr>
        <w:t>We seek to attract, reward and retain our NEOs with competitive compensation packages that directly align pay with performance. Our Compensation Committee (“Committee”) regularly examines our compensation program both from a design and pay outcome perspective, reviews our current compensation policies and practices to ensure that they are aligned with our business goals and the interests of our customers and shareholders, and that the total compensation paid to our executives is fair and competitive.</w:t>
      </w:r>
    </w:p>
    <w:p>
      <w:pPr>
        <w:spacing w:after="0" w:line="92" w:lineRule="exact"/>
        <w:rPr>
          <w:sz w:val="20"/>
          <w:szCs w:val="20"/>
          <w:color w:val="auto"/>
        </w:rPr>
      </w:pPr>
    </w:p>
    <w:p>
      <w:pPr>
        <w:ind w:left="2" w:right="1000"/>
        <w:spacing w:after="0" w:line="299" w:lineRule="auto"/>
        <w:rPr>
          <w:sz w:val="20"/>
          <w:szCs w:val="20"/>
          <w:color w:val="auto"/>
        </w:rPr>
      </w:pPr>
      <w:r>
        <w:rPr>
          <w:rFonts w:ascii="Arial" w:cs="Arial" w:eastAsia="Arial" w:hAnsi="Arial"/>
          <w:sz w:val="16"/>
          <w:szCs w:val="16"/>
          <w:color w:val="auto"/>
        </w:rPr>
        <w:t>With respect to compensation decisions for 2025, the Committee considered how our incentives are designed to provide appropriate levels of compensation given our performance. Key decisions included:</w:t>
      </w:r>
    </w:p>
    <w:p>
      <w:pPr>
        <w:spacing w:after="0" w:line="59" w:lineRule="exact"/>
        <w:rPr>
          <w:sz w:val="20"/>
          <w:szCs w:val="20"/>
          <w:color w:val="auto"/>
        </w:rPr>
      </w:pPr>
    </w:p>
    <w:p>
      <w:pPr>
        <w:ind w:left="182" w:right="320" w:hanging="182"/>
        <w:spacing w:after="0" w:line="299" w:lineRule="auto"/>
        <w:tabs>
          <w:tab w:leader="none" w:pos="173" w:val="left"/>
        </w:tabs>
        <w:numPr>
          <w:ilvl w:val="0"/>
          <w:numId w:val="50"/>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Modest Base Salary Increases - </w:t>
      </w:r>
      <w:r>
        <w:rPr>
          <w:rFonts w:ascii="Arial" w:cs="Arial" w:eastAsia="Arial" w:hAnsi="Arial"/>
          <w:sz w:val="16"/>
          <w:szCs w:val="16"/>
          <w:color w:val="auto"/>
        </w:rPr>
        <w:t>The Committee made a 4% adjustment to the annual base salary for each of our NEOs. The Committee determined</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these salary increases were appropriate to maintain market competitiveness.</w:t>
      </w:r>
    </w:p>
    <w:p>
      <w:pPr>
        <w:spacing w:after="0" w:line="9" w:lineRule="exact"/>
        <w:rPr>
          <w:rFonts w:ascii="Arial" w:cs="Arial" w:eastAsia="Arial" w:hAnsi="Arial"/>
          <w:sz w:val="16"/>
          <w:szCs w:val="16"/>
          <w:b w:val="1"/>
          <w:bCs w:val="1"/>
          <w:color w:val="auto"/>
        </w:rPr>
      </w:pPr>
    </w:p>
    <w:p>
      <w:pPr>
        <w:ind w:left="182" w:right="80" w:hanging="182"/>
        <w:spacing w:after="0" w:line="267" w:lineRule="auto"/>
        <w:tabs>
          <w:tab w:leader="none" w:pos="173" w:val="left"/>
        </w:tabs>
        <w:numPr>
          <w:ilvl w:val="0"/>
          <w:numId w:val="50"/>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Annual Short Term Incentive - </w:t>
      </w:r>
      <w:r>
        <w:rPr>
          <w:rFonts w:ascii="Arial" w:cs="Arial" w:eastAsia="Arial" w:hAnsi="Arial"/>
          <w:sz w:val="16"/>
          <w:szCs w:val="16"/>
          <w:color w:val="auto"/>
        </w:rPr>
        <w:t>In addition to the long-term equity awards the Company has historically relied on, in 2025 the Committee introduced a</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annual short-term incentive. The annual short-term incentive is designed to further align the interests of our executive team with our performance and the interests of our shareholders. The annual short-term incentive is cash-based and comprised of three components: 50% based on financial performance as measured by net income, 30% assigned to six different corporate non-financial performance goals, and the remaining 20% based on various individual performance goals.</w:t>
      </w:r>
    </w:p>
    <w:p>
      <w:pPr>
        <w:spacing w:after="0" w:line="22" w:lineRule="exact"/>
        <w:rPr>
          <w:rFonts w:ascii="Arial" w:cs="Arial" w:eastAsia="Arial" w:hAnsi="Arial"/>
          <w:sz w:val="16"/>
          <w:szCs w:val="16"/>
          <w:b w:val="1"/>
          <w:bCs w:val="1"/>
          <w:color w:val="auto"/>
        </w:rPr>
      </w:pPr>
    </w:p>
    <w:p>
      <w:pPr>
        <w:ind w:left="182" w:right="20" w:hanging="182"/>
        <w:spacing w:after="0" w:line="265" w:lineRule="auto"/>
        <w:tabs>
          <w:tab w:leader="none" w:pos="173"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After the end of the year, the Committee determined that the Company achieved a weighted 2025 financial performance of 73.4% based on achieving net income of $42.8 million versus a target of $40.2 million. The Committee evaluated the corporate goals and determined that performance was achieved at 15% for the six corporate non-financial performance goals. The Committee also evaluated individual performance of each of the NEOs other than the CEO; while the targets, achievement and payouts of the NEOs varied, they were generally earned at a weighted rating of between 22% and 25%. Based on the Committee’s evaluation, 2025 annual incentives were paid to our CEO at 113.4% of target, and to other NEOs in the range of 110.4% to 113.4% of target as a result of strong achievement of goals.</w:t>
      </w:r>
    </w:p>
    <w:p>
      <w:pPr>
        <w:spacing w:after="0" w:line="24" w:lineRule="exact"/>
        <w:rPr>
          <w:rFonts w:ascii="Arial" w:cs="Arial" w:eastAsia="Arial" w:hAnsi="Arial"/>
          <w:sz w:val="16"/>
          <w:szCs w:val="16"/>
          <w:b w:val="1"/>
          <w:bCs w:val="1"/>
          <w:color w:val="auto"/>
        </w:rPr>
      </w:pPr>
    </w:p>
    <w:p>
      <w:pPr>
        <w:ind w:left="182" w:right="140" w:hanging="182"/>
        <w:spacing w:after="0" w:line="267" w:lineRule="auto"/>
        <w:tabs>
          <w:tab w:leader="none" w:pos="173" w:val="left"/>
        </w:tabs>
        <w:numPr>
          <w:ilvl w:val="0"/>
          <w:numId w:val="50"/>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Long-Term Incentive - </w:t>
      </w:r>
      <w:r>
        <w:rPr>
          <w:rFonts w:ascii="Arial" w:cs="Arial" w:eastAsia="Arial" w:hAnsi="Arial"/>
          <w:sz w:val="16"/>
          <w:szCs w:val="16"/>
          <w:color w:val="auto"/>
        </w:rPr>
        <w:t>Equity grants for our NEOs for fiscal year 2025 consisted of restricted stock under the Company’s Restricted Stock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award amounts were determined based on two equally weighted financial metrics, each determined based on 2025 performance: diluted earnings per share and capital investment delivery. These restricted stock awards vest ratably in annual installments over a three-year period, provided such executive maintains continuous service to the Company during the vesting period. The long-term incentive equity awards are prospective in nature and intended to tie a portion of an executive’s pay to creating long-term shareholder value.</w:t>
      </w:r>
    </w:p>
    <w:p>
      <w:pPr>
        <w:spacing w:after="0" w:line="226" w:lineRule="exact"/>
        <w:rPr>
          <w:sz w:val="20"/>
          <w:szCs w:val="20"/>
          <w:color w:val="auto"/>
        </w:rPr>
      </w:pPr>
    </w:p>
    <w:p>
      <w:pPr>
        <w:ind w:left="2"/>
        <w:spacing w:after="0"/>
        <w:rPr>
          <w:sz w:val="20"/>
          <w:szCs w:val="20"/>
          <w:color w:val="auto"/>
        </w:rPr>
      </w:pPr>
      <w:r>
        <w:rPr>
          <w:rFonts w:ascii="Arial" w:cs="Arial" w:eastAsia="Arial" w:hAnsi="Arial"/>
          <w:sz w:val="23"/>
          <w:szCs w:val="23"/>
          <w:b w:val="1"/>
          <w:bCs w:val="1"/>
          <w:color w:val="0076A8"/>
        </w:rPr>
        <w:t>2025 Compensation Mix</w:t>
      </w:r>
    </w:p>
    <w:p>
      <w:pPr>
        <w:spacing w:after="0" w:line="98" w:lineRule="exact"/>
        <w:rPr>
          <w:sz w:val="20"/>
          <w:szCs w:val="20"/>
          <w:color w:val="auto"/>
        </w:rPr>
      </w:pPr>
    </w:p>
    <w:p>
      <w:pPr>
        <w:ind w:left="2"/>
        <w:spacing w:after="0"/>
        <w:rPr>
          <w:sz w:val="20"/>
          <w:szCs w:val="20"/>
          <w:color w:val="auto"/>
        </w:rPr>
      </w:pPr>
      <w:r>
        <w:rPr>
          <w:rFonts w:ascii="Arial" w:cs="Arial" w:eastAsia="Arial" w:hAnsi="Arial"/>
          <w:sz w:val="16"/>
          <w:szCs w:val="16"/>
          <w:color w:val="auto"/>
        </w:rPr>
        <w:t>Consistent with the Committee’s pay-for-performance philosophy, a meaningful percentage of each NEO’s target total compensation is variable, at-risk pay.</w:t>
      </w:r>
    </w:p>
    <w:p>
      <w:pPr>
        <w:spacing w:after="0" w:line="29"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Committee considers compensation to be “at-risk” if it is subject to operating performance or if its value depends on our stock price.</w:t>
      </w:r>
    </w:p>
    <w:p>
      <w:pPr>
        <w:spacing w:after="0" w:line="120" w:lineRule="exact"/>
        <w:rPr>
          <w:sz w:val="20"/>
          <w:szCs w:val="20"/>
          <w:color w:val="auto"/>
        </w:rPr>
      </w:pPr>
    </w:p>
    <w:p>
      <w:pPr>
        <w:ind w:left="2" w:right="40"/>
        <w:spacing w:after="0" w:line="263" w:lineRule="auto"/>
        <w:rPr>
          <w:sz w:val="20"/>
          <w:szCs w:val="20"/>
          <w:color w:val="auto"/>
        </w:rPr>
      </w:pPr>
      <w:r>
        <w:rPr>
          <w:rFonts w:ascii="Arial" w:cs="Arial" w:eastAsia="Arial" w:hAnsi="Arial"/>
          <w:sz w:val="16"/>
          <w:szCs w:val="16"/>
          <w:color w:val="auto"/>
        </w:rPr>
        <w:t>The following graphs depict 2025 total direct target compensation mix for our CEO and, on an average basis, for all of our other NEOs as a group, assuming short-term and long-term incentive awards are paid at target levels. For the CEO, the allocations exclude the supplemental restricted stock grant that is required to be made under the terms of her employment agreement, as the Committee does not consider that award to be part of the annual target pay mix, and it is not included when comparing her compensation to that of the CEO’s of the companies in our compensation peer group. We consider the long-term incentive grants made under the Restricted Stock Plan based on the prior year’s performance to be part of the prior year’s total pay opportunity. Thus, the target awards under the Restricted Stock Plan made for 2026 based on the Company’s 2025 performance are part of each officer’s 2025 target pay opportunity.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2" w:type="dxa"/>
        <w:tblCellMar>
          <w:top w:w="0" w:type="dxa"/>
          <w:left w:w="0" w:type="dxa"/>
          <w:bottom w:w="0" w:type="dxa"/>
          <w:right w:w="0" w:type="dxa"/>
        </w:tblCellMar>
      </w:tblPr>
      <w:tr>
        <w:trPr>
          <w:trHeight w:val="209"/>
        </w:trPr>
        <w:tc>
          <w:tcPr>
            <w:tcW w:w="10860" w:type="dxa"/>
            <w:vAlign w:val="bottom"/>
            <w:tcBorders>
              <w:right w:val="single" w:sz="8" w:color="00AEEF"/>
            </w:tcBorders>
          </w:tcPr>
          <w:p>
            <w:pPr>
              <w:ind w:left="94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35</w:t>
            </w:r>
          </w:p>
        </w:tc>
      </w:tr>
      <w:tr>
        <w:trPr>
          <w:trHeight w:val="325"/>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-27940</wp:posOffset>
            </wp:positionV>
            <wp:extent cx="33020" cy="41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2"/>
          </w:cols>
          <w:pgMar w:left="318" w:top="124" w:right="339" w:bottom="1440" w:gutter="0" w:footer="0" w:header="0"/>
        </w:sectPr>
      </w:pPr>
    </w:p>
    <w:bookmarkStart w:id="37" w:name="page38"/>
    <w:bookmarkEnd w:id="37"/>
    <w:p>
      <w:pPr>
        <w:ind w:left="2"/>
        <w:spacing w:after="0"/>
        <w:rPr>
          <w:sz w:val="20"/>
          <w:szCs w:val="20"/>
          <w:color w:val="auto"/>
        </w:rPr>
      </w:pPr>
      <w:r>
        <w:rPr>
          <w:rFonts w:ascii="Arial" w:cs="Arial" w:eastAsia="Arial" w:hAnsi="Arial"/>
          <w:sz w:val="14"/>
          <w:szCs w:val="14"/>
          <w:b w:val="1"/>
          <w:bCs w:val="1"/>
          <w:color w:val="191769"/>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02"/>
        <w:spacing w:after="0"/>
        <w:tabs>
          <w:tab w:leader="none" w:pos="6901" w:val="left"/>
        </w:tabs>
        <w:rPr>
          <w:sz w:val="20"/>
          <w:szCs w:val="20"/>
          <w:color w:val="auto"/>
        </w:rPr>
      </w:pPr>
      <w:r>
        <w:rPr>
          <w:rFonts w:ascii="Arial" w:cs="Arial" w:eastAsia="Arial" w:hAnsi="Arial"/>
          <w:sz w:val="16"/>
          <w:szCs w:val="16"/>
          <w:b w:val="1"/>
          <w:bCs w:val="1"/>
          <w:color w:val="191769"/>
        </w:rPr>
        <w:t>CEO TARGET PAY</w:t>
      </w:r>
      <w:r>
        <w:rPr>
          <w:sz w:val="20"/>
          <w:szCs w:val="20"/>
          <w:color w:val="auto"/>
        </w:rPr>
        <w:tab/>
      </w:r>
      <w:r>
        <w:rPr>
          <w:rFonts w:ascii="Arial" w:cs="Arial" w:eastAsia="Arial" w:hAnsi="Arial"/>
          <w:sz w:val="16"/>
          <w:szCs w:val="16"/>
          <w:b w:val="1"/>
          <w:bCs w:val="1"/>
          <w:color w:val="191769"/>
        </w:rPr>
        <w:t>AVERAGE OTHER NEOS TARGET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73660</wp:posOffset>
            </wp:positionV>
            <wp:extent cx="1500505" cy="15005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00505" cy="1500505"/>
                    </a:xfrm>
                    <a:prstGeom prst="rect">
                      <a:avLst/>
                    </a:prstGeom>
                    <a:noFill/>
                  </pic:spPr>
                </pic:pic>
              </a:graphicData>
            </a:graphic>
          </wp:anchor>
        </w:drawing>
        <w:drawing>
          <wp:anchor simplePos="0" relativeHeight="251657728" behindDoc="1" locked="0" layoutInCell="0" allowOverlap="1">
            <wp:simplePos x="0" y="0"/>
            <wp:positionH relativeFrom="column">
              <wp:posOffset>4596130</wp:posOffset>
            </wp:positionH>
            <wp:positionV relativeFrom="paragraph">
              <wp:posOffset>73660</wp:posOffset>
            </wp:positionV>
            <wp:extent cx="1500505" cy="15005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00505" cy="1500505"/>
                    </a:xfrm>
                    <a:prstGeom prst="rect">
                      <a:avLst/>
                    </a:prstGeom>
                    <a:noFill/>
                  </pic:spPr>
                </pic:pic>
              </a:graphicData>
            </a:graphic>
          </wp:anchor>
        </w:drawing>
      </w:r>
    </w:p>
    <w:p>
      <w:pPr>
        <w:sectPr>
          <w:pgSz w:w="11900" w:h="16838" w:orient="portrait"/>
          <w:cols w:equalWidth="0" w:num="1">
            <w:col w:w="11222"/>
          </w:cols>
          <w:pgMar w:left="318" w:top="12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42"/>
        <w:spacing w:after="0"/>
        <w:rPr>
          <w:sz w:val="20"/>
          <w:szCs w:val="20"/>
          <w:color w:val="auto"/>
        </w:rPr>
      </w:pPr>
      <w:r>
        <w:rPr>
          <w:rFonts w:ascii="Arial" w:cs="Arial" w:eastAsia="Arial" w:hAnsi="Arial"/>
          <w:sz w:val="13"/>
          <w:szCs w:val="13"/>
          <w:b w:val="1"/>
          <w:bCs w:val="1"/>
          <w:color w:val="191769"/>
        </w:rPr>
        <w:t xml:space="preserve">¢ </w:t>
      </w:r>
      <w:r>
        <w:rPr>
          <w:rFonts w:ascii="Arial" w:cs="Arial" w:eastAsia="Arial" w:hAnsi="Arial"/>
          <w:sz w:val="16"/>
          <w:szCs w:val="16"/>
          <w:color w:val="000000"/>
        </w:rPr>
        <w:t>Base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b w:val="1"/>
          <w:bCs w:val="1"/>
          <w:color w:val="191769"/>
        </w:rPr>
        <w:t xml:space="preserve">¢ </w:t>
      </w:r>
      <w:r>
        <w:rPr>
          <w:rFonts w:ascii="Arial" w:cs="Arial" w:eastAsia="Arial" w:hAnsi="Arial"/>
          <w:sz w:val="16"/>
          <w:szCs w:val="16"/>
          <w:color w:val="000000"/>
        </w:rPr>
        <w:t>Base</w:t>
      </w:r>
    </w:p>
    <w:p>
      <w:pPr>
        <w:spacing w:after="0" w:line="136" w:lineRule="exact"/>
        <w:rPr>
          <w:sz w:val="20"/>
          <w:szCs w:val="20"/>
          <w:color w:val="auto"/>
        </w:rPr>
      </w:pPr>
    </w:p>
    <w:p>
      <w:pPr>
        <w:sectPr>
          <w:pgSz w:w="11900" w:h="16838" w:orient="portrait"/>
          <w:cols w:equalWidth="0" w:num="2">
            <w:col w:w="6022" w:space="720"/>
            <w:col w:w="4480"/>
          </w:cols>
          <w:pgMar w:left="318" w:top="124" w:right="359" w:bottom="1440" w:gutter="0" w:footer="0" w:header="0"/>
          <w:type w:val="continuous"/>
        </w:sectPr>
      </w:pPr>
    </w:p>
    <w:p>
      <w:pPr>
        <w:ind w:left="1042"/>
        <w:spacing w:after="0"/>
        <w:rPr>
          <w:sz w:val="20"/>
          <w:szCs w:val="20"/>
          <w:color w:val="auto"/>
        </w:rPr>
      </w:pPr>
      <w:r>
        <w:rPr>
          <w:rFonts w:ascii="Arial" w:cs="Arial" w:eastAsia="Arial" w:hAnsi="Arial"/>
          <w:sz w:val="13"/>
          <w:szCs w:val="13"/>
          <w:b w:val="1"/>
          <w:bCs w:val="1"/>
          <w:color w:val="00AEEF"/>
        </w:rPr>
        <w:t xml:space="preserve">¢ </w:t>
      </w:r>
      <w:r>
        <w:rPr>
          <w:rFonts w:ascii="Arial" w:cs="Arial" w:eastAsia="Arial" w:hAnsi="Arial"/>
          <w:sz w:val="16"/>
          <w:szCs w:val="16"/>
          <w:color w:val="000000"/>
        </w:rPr>
        <w:t>Annual Incentive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00AEEF"/>
        </w:rPr>
        <w:t xml:space="preserve">¢ </w:t>
      </w:r>
      <w:r>
        <w:rPr>
          <w:rFonts w:ascii="Arial" w:cs="Arial" w:eastAsia="Arial" w:hAnsi="Arial"/>
          <w:sz w:val="16"/>
          <w:szCs w:val="16"/>
          <w:color w:val="000000"/>
        </w:rPr>
        <w:t>Annual Incentive</w:t>
      </w:r>
    </w:p>
    <w:p>
      <w:pPr>
        <w:spacing w:after="0" w:line="136" w:lineRule="exact"/>
        <w:rPr>
          <w:sz w:val="20"/>
          <w:szCs w:val="20"/>
          <w:color w:val="auto"/>
        </w:rPr>
      </w:pPr>
    </w:p>
    <w:p>
      <w:pPr>
        <w:sectPr>
          <w:pgSz w:w="11900" w:h="16838" w:orient="portrait"/>
          <w:cols w:equalWidth="0" w:num="2">
            <w:col w:w="6022" w:space="720"/>
            <w:col w:w="4480"/>
          </w:cols>
          <w:pgMar w:left="318" w:top="124" w:right="359" w:bottom="1440" w:gutter="0" w:footer="0" w:header="0"/>
          <w:type w:val="continuous"/>
        </w:sectPr>
      </w:pPr>
    </w:p>
    <w:p>
      <w:pPr>
        <w:ind w:left="1042"/>
        <w:spacing w:after="0"/>
        <w:rPr>
          <w:sz w:val="20"/>
          <w:szCs w:val="20"/>
          <w:color w:val="auto"/>
        </w:rPr>
      </w:pPr>
      <w:r>
        <w:rPr>
          <w:rFonts w:ascii="Arial" w:cs="Arial" w:eastAsia="Arial" w:hAnsi="Arial"/>
          <w:sz w:val="13"/>
          <w:szCs w:val="13"/>
          <w:b w:val="1"/>
          <w:bCs w:val="1"/>
          <w:color w:val="00838D"/>
        </w:rPr>
        <w:t xml:space="preserve">¢ </w:t>
      </w:r>
      <w:r>
        <w:rPr>
          <w:rFonts w:ascii="Arial" w:cs="Arial" w:eastAsia="Arial" w:hAnsi="Arial"/>
          <w:sz w:val="16"/>
          <w:szCs w:val="16"/>
          <w:color w:val="000000"/>
        </w:rPr>
        <w:t>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00838D"/>
        </w:rPr>
        <w:t xml:space="preserve">¢ </w:t>
      </w:r>
      <w:r>
        <w:rPr>
          <w:rFonts w:ascii="Arial" w:cs="Arial" w:eastAsia="Arial" w:hAnsi="Arial"/>
          <w:sz w:val="16"/>
          <w:szCs w:val="16"/>
          <w:color w:val="000000"/>
        </w:rPr>
        <w:t>Restricted Stock</w:t>
      </w:r>
    </w:p>
    <w:p>
      <w:pPr>
        <w:spacing w:after="0" w:line="200" w:lineRule="exact"/>
        <w:rPr>
          <w:sz w:val="20"/>
          <w:szCs w:val="20"/>
          <w:color w:val="auto"/>
        </w:rPr>
      </w:pPr>
    </w:p>
    <w:p>
      <w:pPr>
        <w:sectPr>
          <w:pgSz w:w="11900" w:h="16838" w:orient="portrait"/>
          <w:cols w:equalWidth="0" w:num="2">
            <w:col w:w="6022" w:space="720"/>
            <w:col w:w="4480"/>
          </w:cols>
          <w:pgMar w:left="318" w:top="124" w:right="359" w:bottom="1440" w:gutter="0" w:footer="0" w:header="0"/>
          <w:type w:val="continuous"/>
        </w:sectPr>
      </w:pPr>
    </w:p>
    <w:p>
      <w:pPr>
        <w:spacing w:after="0" w:line="47" w:lineRule="exact"/>
        <w:rPr>
          <w:sz w:val="20"/>
          <w:szCs w:val="20"/>
          <w:color w:val="auto"/>
        </w:rPr>
      </w:pPr>
    </w:p>
    <w:p>
      <w:pPr>
        <w:ind w:left="2" w:right="140"/>
        <w:spacing w:after="0" w:line="299" w:lineRule="auto"/>
        <w:rPr>
          <w:sz w:val="20"/>
          <w:szCs w:val="20"/>
          <w:color w:val="auto"/>
        </w:rPr>
      </w:pPr>
      <w:r>
        <w:rPr>
          <w:rFonts w:ascii="Arial" w:cs="Arial" w:eastAsia="Arial" w:hAnsi="Arial"/>
          <w:sz w:val="16"/>
          <w:szCs w:val="16"/>
          <w:color w:val="auto"/>
        </w:rPr>
        <w:t>The target pay mix supports the key principles of our executive compensation philosophy of pay for performance and aligning executive officers’ interests with those of the Company and its shareholders, by emphasizing short-term and long-term incentives that support our corporate strategy and goals.</w:t>
      </w:r>
    </w:p>
    <w:p>
      <w:pPr>
        <w:spacing w:after="0" w:line="71" w:lineRule="exact"/>
        <w:rPr>
          <w:sz w:val="20"/>
          <w:szCs w:val="20"/>
          <w:color w:val="auto"/>
        </w:rPr>
      </w:pPr>
    </w:p>
    <w:p>
      <w:pPr>
        <w:ind w:left="2" w:right="220"/>
        <w:spacing w:after="0" w:line="278" w:lineRule="auto"/>
        <w:rPr>
          <w:sz w:val="20"/>
          <w:szCs w:val="20"/>
          <w:color w:val="auto"/>
        </w:rPr>
      </w:pPr>
      <w:r>
        <w:rPr>
          <w:rFonts w:ascii="Arial" w:cs="Arial" w:eastAsia="Arial" w:hAnsi="Arial"/>
          <w:sz w:val="16"/>
          <w:szCs w:val="16"/>
          <w:color w:val="auto"/>
        </w:rPr>
        <w:t>The Committee believes its 2025 compensation decisions and our executive compensation programs align the interests of shareholders, customers and executives by emphasizing variable, at-risk compensation largely tied to measurable performance goals through the use short-term and long-term incentives that support our corporate strategy and goals.</w:t>
      </w:r>
    </w:p>
    <w:p>
      <w:pPr>
        <w:spacing w:after="0" w:line="204" w:lineRule="exact"/>
        <w:rPr>
          <w:sz w:val="20"/>
          <w:szCs w:val="20"/>
          <w:color w:val="auto"/>
        </w:rPr>
      </w:pPr>
    </w:p>
    <w:p>
      <w:pPr>
        <w:ind w:left="2"/>
        <w:spacing w:after="0"/>
        <w:rPr>
          <w:sz w:val="20"/>
          <w:szCs w:val="20"/>
          <w:color w:val="auto"/>
        </w:rPr>
      </w:pPr>
      <w:r>
        <w:rPr>
          <w:rFonts w:ascii="Arial" w:cs="Arial" w:eastAsia="Arial" w:hAnsi="Arial"/>
          <w:sz w:val="23"/>
          <w:szCs w:val="23"/>
          <w:b w:val="1"/>
          <w:bCs w:val="1"/>
          <w:color w:val="0076A8"/>
        </w:rPr>
        <w:t>2025 Performance Highlights</w:t>
      </w:r>
    </w:p>
    <w:p>
      <w:pPr>
        <w:spacing w:after="0" w:line="98" w:lineRule="exact"/>
        <w:rPr>
          <w:sz w:val="20"/>
          <w:szCs w:val="20"/>
          <w:color w:val="auto"/>
        </w:rPr>
      </w:pPr>
    </w:p>
    <w:p>
      <w:pPr>
        <w:ind w:left="2" w:right="40"/>
        <w:spacing w:after="0" w:line="299" w:lineRule="auto"/>
        <w:rPr>
          <w:sz w:val="20"/>
          <w:szCs w:val="20"/>
          <w:color w:val="auto"/>
        </w:rPr>
      </w:pPr>
      <w:r>
        <w:rPr>
          <w:rFonts w:ascii="Arial" w:cs="Arial" w:eastAsia="Arial" w:hAnsi="Arial"/>
          <w:sz w:val="16"/>
          <w:szCs w:val="16"/>
          <w:color w:val="auto"/>
        </w:rPr>
        <w:t>We strive to strengthen our reputation as a trusted service provider to our customers, and as a valued employer, while we work to further enhance value to our shareholders. Some of our performance highlights for 2025 and key accomplishments during the year include the following:</w:t>
      </w:r>
    </w:p>
    <w:p>
      <w:pPr>
        <w:spacing w:after="0" w:line="71" w:lineRule="exact"/>
        <w:rPr>
          <w:sz w:val="20"/>
          <w:szCs w:val="20"/>
          <w:color w:val="auto"/>
        </w:rPr>
      </w:pPr>
    </w:p>
    <w:p>
      <w:pPr>
        <w:ind w:left="162" w:hanging="162"/>
        <w:spacing w:after="0"/>
        <w:tabs>
          <w:tab w:leader="none" w:pos="162"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Invested $96.4 million in our utility infrastructure to upgrade replace and enhance the resiliency of our water and wastewater utility infrastructure.</w:t>
      </w:r>
    </w:p>
    <w:p>
      <w:pPr>
        <w:spacing w:after="0" w:line="74" w:lineRule="exact"/>
        <w:rPr>
          <w:rFonts w:ascii="Arial" w:cs="Arial" w:eastAsia="Arial" w:hAnsi="Arial"/>
          <w:sz w:val="16"/>
          <w:szCs w:val="16"/>
          <w:b w:val="1"/>
          <w:bCs w:val="1"/>
          <w:color w:val="auto"/>
        </w:rPr>
      </w:pPr>
    </w:p>
    <w:p>
      <w:pPr>
        <w:ind w:left="182" w:right="200" w:hanging="182"/>
        <w:spacing w:after="0" w:line="297" w:lineRule="auto"/>
        <w:tabs>
          <w:tab w:leader="none" w:pos="173"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Continued work on the implementation of the Company’s “MWC2030 Vision” comprised of five pillars, which include employee engagement, customer experience, operational excellence, selective and sustainable growth, and stakeholder management.</w:t>
      </w:r>
    </w:p>
    <w:p>
      <w:pPr>
        <w:ind w:left="162" w:hanging="162"/>
        <w:spacing w:after="0"/>
        <w:tabs>
          <w:tab w:leader="none" w:pos="162"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Achieved 53 consecutive years of dividend increases with a 5.88% raise in 2025.</w:t>
      </w:r>
    </w:p>
    <w:p>
      <w:pPr>
        <w:spacing w:after="0" w:line="86" w:lineRule="exact"/>
        <w:rPr>
          <w:rFonts w:ascii="Arial" w:cs="Arial" w:eastAsia="Arial" w:hAnsi="Arial"/>
          <w:sz w:val="16"/>
          <w:szCs w:val="16"/>
          <w:b w:val="1"/>
          <w:bCs w:val="1"/>
          <w:color w:val="auto"/>
        </w:rPr>
      </w:pPr>
    </w:p>
    <w:p>
      <w:pPr>
        <w:ind w:left="162" w:hanging="162"/>
        <w:spacing w:after="0"/>
        <w:tabs>
          <w:tab w:leader="none" w:pos="162"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Achieved net income of $42.8 million and diluted earnings per share of $2.36 in 2025.</w:t>
      </w:r>
    </w:p>
    <w:p>
      <w:pPr>
        <w:spacing w:after="0" w:line="74" w:lineRule="exact"/>
        <w:rPr>
          <w:rFonts w:ascii="Arial" w:cs="Arial" w:eastAsia="Arial" w:hAnsi="Arial"/>
          <w:sz w:val="16"/>
          <w:szCs w:val="16"/>
          <w:b w:val="1"/>
          <w:bCs w:val="1"/>
          <w:color w:val="auto"/>
        </w:rPr>
      </w:pPr>
    </w:p>
    <w:p>
      <w:pPr>
        <w:ind w:left="162" w:hanging="162"/>
        <w:spacing w:after="0"/>
        <w:tabs>
          <w:tab w:leader="none" w:pos="162"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Added approximately 3,000 new regulated customers through acquisitions and organic growth.</w:t>
      </w:r>
    </w:p>
    <w:p>
      <w:pPr>
        <w:spacing w:after="0" w:line="364" w:lineRule="exact"/>
        <w:rPr>
          <w:sz w:val="20"/>
          <w:szCs w:val="20"/>
          <w:color w:val="auto"/>
        </w:rPr>
      </w:pPr>
    </w:p>
    <w:p>
      <w:pPr>
        <w:ind w:left="2"/>
        <w:spacing w:after="0"/>
        <w:rPr>
          <w:sz w:val="20"/>
          <w:szCs w:val="20"/>
          <w:color w:val="auto"/>
        </w:rPr>
      </w:pPr>
      <w:r>
        <w:rPr>
          <w:rFonts w:ascii="Arial" w:cs="Arial" w:eastAsia="Arial" w:hAnsi="Arial"/>
          <w:sz w:val="23"/>
          <w:szCs w:val="23"/>
          <w:b w:val="1"/>
          <w:bCs w:val="1"/>
          <w:color w:val="0076A8"/>
        </w:rPr>
        <w:t>Consideration of The Say-On-Pay Vote</w:t>
      </w:r>
    </w:p>
    <w:p>
      <w:pPr>
        <w:spacing w:after="0" w:line="98" w:lineRule="exact"/>
        <w:rPr>
          <w:sz w:val="20"/>
          <w:szCs w:val="20"/>
          <w:color w:val="auto"/>
        </w:rPr>
      </w:pPr>
    </w:p>
    <w:p>
      <w:pPr>
        <w:ind w:left="2"/>
        <w:spacing w:after="0" w:line="270" w:lineRule="auto"/>
        <w:rPr>
          <w:sz w:val="20"/>
          <w:szCs w:val="20"/>
          <w:color w:val="auto"/>
        </w:rPr>
      </w:pPr>
      <w:r>
        <w:rPr>
          <w:rFonts w:ascii="Arial" w:cs="Arial" w:eastAsia="Arial" w:hAnsi="Arial"/>
          <w:sz w:val="16"/>
          <w:szCs w:val="16"/>
          <w:color w:val="auto"/>
        </w:rPr>
        <w:t>At the 2025 annual meeting of shareholders, our shareholders approved the compensation of our NEOs on an advisory basis (commonly known as a “Say-on-Pay” vote) with approximately 86.4% of the votes cast “For” such approval. The Committee considered this vote to be an indication that our shareholders supported our 2024 executive compensation program.</w:t>
      </w:r>
    </w:p>
    <w:p>
      <w:pPr>
        <w:spacing w:after="0" w:line="93" w:lineRule="exact"/>
        <w:rPr>
          <w:sz w:val="20"/>
          <w:szCs w:val="20"/>
          <w:color w:val="auto"/>
        </w:rPr>
      </w:pPr>
    </w:p>
    <w:p>
      <w:pPr>
        <w:ind w:left="2" w:right="600"/>
        <w:spacing w:after="0" w:line="283" w:lineRule="auto"/>
        <w:rPr>
          <w:sz w:val="20"/>
          <w:szCs w:val="20"/>
          <w:color w:val="auto"/>
        </w:rPr>
      </w:pPr>
      <w:r>
        <w:rPr>
          <w:rFonts w:ascii="Arial" w:cs="Arial" w:eastAsia="Arial" w:hAnsi="Arial"/>
          <w:sz w:val="16"/>
          <w:szCs w:val="16"/>
          <w:color w:val="auto"/>
        </w:rPr>
        <w:t>Engagement with our shareholders is important to us. We welcome opportunities to engage with shareholders year-round and receive feedback on compensation and other matters important to shareholders either at scheduled group meetings or on an individual basis.</w:t>
      </w:r>
    </w:p>
    <w:p>
      <w:pPr>
        <w:spacing w:after="0" w:line="83" w:lineRule="exact"/>
        <w:rPr>
          <w:sz w:val="20"/>
          <w:szCs w:val="20"/>
          <w:color w:val="auto"/>
        </w:rPr>
      </w:pPr>
    </w:p>
    <w:p>
      <w:pPr>
        <w:ind w:left="2" w:right="320"/>
        <w:spacing w:after="0" w:line="283" w:lineRule="auto"/>
        <w:rPr>
          <w:sz w:val="20"/>
          <w:szCs w:val="20"/>
          <w:color w:val="auto"/>
        </w:rPr>
      </w:pPr>
      <w:r>
        <w:rPr>
          <w:rFonts w:ascii="Arial" w:cs="Arial" w:eastAsia="Arial" w:hAnsi="Arial"/>
          <w:sz w:val="16"/>
          <w:szCs w:val="16"/>
          <w:color w:val="auto"/>
        </w:rPr>
        <w:t>At our upcoming annual meeting, we will again hold our Say-on-Pay vote. In making executive compensation decisions, the Committee will continue to consider the results of the Say-on-Pay vote, as well as feedback obtained from our shareholders throughout the course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344805</wp:posOffset>
            </wp:positionV>
            <wp:extent cx="7620" cy="132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462" w:hanging="445"/>
        <w:spacing w:after="0"/>
        <w:tabs>
          <w:tab w:leader="none" w:pos="462" w:val="left"/>
        </w:tabs>
        <w:numPr>
          <w:ilvl w:val="0"/>
          <w:numId w:val="52"/>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210185</wp:posOffset>
            </wp:positionV>
            <wp:extent cx="7169785" cy="412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22"/>
          </w:cols>
          <w:pgMar w:left="318" w:top="124" w:right="35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4"/>
          <w:szCs w:val="14"/>
          <w:b w:val="1"/>
          <w:bCs w:val="1"/>
          <w:color w:val="191769"/>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191769"/>
        </w:rPr>
        <w:t>II. Compensation Philosophy and Objectives</w:t>
      </w:r>
    </w:p>
    <w:p>
      <w:pPr>
        <w:spacing w:after="0" w:line="102" w:lineRule="exact"/>
        <w:rPr>
          <w:sz w:val="20"/>
          <w:szCs w:val="20"/>
          <w:color w:val="auto"/>
        </w:rPr>
      </w:pPr>
    </w:p>
    <w:p>
      <w:pPr>
        <w:ind w:left="2" w:right="140"/>
        <w:spacing w:after="0" w:line="265" w:lineRule="auto"/>
        <w:rPr>
          <w:sz w:val="20"/>
          <w:szCs w:val="20"/>
          <w:color w:val="auto"/>
        </w:rPr>
      </w:pPr>
      <w:r>
        <w:rPr>
          <w:rFonts w:ascii="Arial" w:cs="Arial" w:eastAsia="Arial" w:hAnsi="Arial"/>
          <w:sz w:val="16"/>
          <w:szCs w:val="16"/>
          <w:color w:val="auto"/>
        </w:rPr>
        <w:t>Our executive compensation program reflects our pay-for-performance philosophy. We are committed to a compensation philosophy that is market-competitive and provides for our NEOs and other employees to share in our success. Our 2025 executive compensation program is designed to reward our NEOs for delivering results and building long-term sustainable value for our shareholders and customers. The structure of our program is intended to align the interests of our executives with our shareholders and customers by correlating their compensation to our short-term and long-term performance.</w:t>
      </w:r>
    </w:p>
    <w:p>
      <w:pPr>
        <w:spacing w:after="0" w:line="86"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primary objectives of the Company’s 2025 executive compensation program are to:</w:t>
      </w:r>
    </w:p>
    <w:p>
      <w:pPr>
        <w:spacing w:after="0" w:line="148" w:lineRule="exact"/>
        <w:rPr>
          <w:sz w:val="20"/>
          <w:szCs w:val="20"/>
          <w:color w:val="auto"/>
        </w:rPr>
      </w:pPr>
    </w:p>
    <w:p>
      <w:pPr>
        <w:ind w:left="162" w:hanging="162"/>
        <w:spacing w:after="0"/>
        <w:tabs>
          <w:tab w:leader="none" w:pos="162" w:val="left"/>
        </w:tabs>
        <w:numPr>
          <w:ilvl w:val="0"/>
          <w:numId w:val="53"/>
        </w:numPr>
        <w:rPr>
          <w:rFonts w:ascii="Arial" w:cs="Arial" w:eastAsia="Arial" w:hAnsi="Arial"/>
          <w:sz w:val="16"/>
          <w:szCs w:val="16"/>
          <w:b w:val="1"/>
          <w:bCs w:val="1"/>
          <w:color w:val="auto"/>
        </w:rPr>
      </w:pPr>
      <w:r>
        <w:rPr>
          <w:rFonts w:ascii="Arial" w:cs="Arial" w:eastAsia="Arial" w:hAnsi="Arial"/>
          <w:sz w:val="16"/>
          <w:szCs w:val="16"/>
          <w:color w:val="auto"/>
        </w:rPr>
        <w:t>Link pay to performance over short-term and long-term time horizons to support the attainment of short and long-term financial and strategic objectives;</w:t>
      </w:r>
    </w:p>
    <w:p>
      <w:pPr>
        <w:spacing w:after="0" w:line="74" w:lineRule="exact"/>
        <w:rPr>
          <w:rFonts w:ascii="Arial" w:cs="Arial" w:eastAsia="Arial" w:hAnsi="Arial"/>
          <w:sz w:val="16"/>
          <w:szCs w:val="16"/>
          <w:b w:val="1"/>
          <w:bCs w:val="1"/>
          <w:color w:val="auto"/>
        </w:rPr>
      </w:pPr>
    </w:p>
    <w:p>
      <w:pPr>
        <w:ind w:left="182" w:right="180" w:hanging="182"/>
        <w:spacing w:after="0" w:line="297" w:lineRule="auto"/>
        <w:tabs>
          <w:tab w:leader="none" w:pos="173" w:val="left"/>
        </w:tabs>
        <w:numPr>
          <w:ilvl w:val="0"/>
          <w:numId w:val="53"/>
        </w:numPr>
        <w:rPr>
          <w:rFonts w:ascii="Arial" w:cs="Arial" w:eastAsia="Arial" w:hAnsi="Arial"/>
          <w:sz w:val="16"/>
          <w:szCs w:val="16"/>
          <w:b w:val="1"/>
          <w:bCs w:val="1"/>
          <w:color w:val="auto"/>
        </w:rPr>
      </w:pPr>
      <w:r>
        <w:rPr>
          <w:rFonts w:ascii="Arial" w:cs="Arial" w:eastAsia="Arial" w:hAnsi="Arial"/>
          <w:sz w:val="16"/>
          <w:szCs w:val="16"/>
          <w:color w:val="auto"/>
        </w:rPr>
        <w:t>Align executive officers’ interests with those of the Company, our customers, and our shareholders over the long term, to deliver results and build long-term sustainable value;</w:t>
      </w:r>
    </w:p>
    <w:p>
      <w:pPr>
        <w:ind w:left="182" w:right="20" w:hanging="182"/>
        <w:spacing w:after="0" w:line="283" w:lineRule="auto"/>
        <w:tabs>
          <w:tab w:leader="none" w:pos="173" w:val="left"/>
        </w:tabs>
        <w:numPr>
          <w:ilvl w:val="0"/>
          <w:numId w:val="53"/>
        </w:numPr>
        <w:rPr>
          <w:rFonts w:ascii="Arial" w:cs="Arial" w:eastAsia="Arial" w:hAnsi="Arial"/>
          <w:sz w:val="16"/>
          <w:szCs w:val="16"/>
          <w:b w:val="1"/>
          <w:bCs w:val="1"/>
          <w:color w:val="auto"/>
        </w:rPr>
      </w:pPr>
      <w:r>
        <w:rPr>
          <w:rFonts w:ascii="Arial" w:cs="Arial" w:eastAsia="Arial" w:hAnsi="Arial"/>
          <w:sz w:val="16"/>
          <w:szCs w:val="16"/>
          <w:color w:val="auto"/>
        </w:rPr>
        <w:t>Attract, retain and motivate executive talent by delivering competitive market compensation, including through the use of equity which provides executive officers with a common interest with shareholders in stock price performance and fosters an ownership culture among executive officers; and</w:t>
      </w:r>
    </w:p>
    <w:p>
      <w:pPr>
        <w:spacing w:after="0" w:line="9" w:lineRule="exact"/>
        <w:rPr>
          <w:rFonts w:ascii="Arial" w:cs="Arial" w:eastAsia="Arial" w:hAnsi="Arial"/>
          <w:sz w:val="16"/>
          <w:szCs w:val="16"/>
          <w:b w:val="1"/>
          <w:bCs w:val="1"/>
          <w:color w:val="auto"/>
        </w:rPr>
      </w:pPr>
    </w:p>
    <w:p>
      <w:pPr>
        <w:ind w:left="182" w:right="740" w:hanging="182"/>
        <w:spacing w:after="0" w:line="299" w:lineRule="auto"/>
        <w:tabs>
          <w:tab w:leader="none" w:pos="173" w:val="left"/>
        </w:tabs>
        <w:numPr>
          <w:ilvl w:val="0"/>
          <w:numId w:val="53"/>
        </w:numPr>
        <w:rPr>
          <w:rFonts w:ascii="Arial" w:cs="Arial" w:eastAsia="Arial" w:hAnsi="Arial"/>
          <w:sz w:val="16"/>
          <w:szCs w:val="16"/>
          <w:b w:val="1"/>
          <w:bCs w:val="1"/>
          <w:color w:val="auto"/>
        </w:rPr>
      </w:pPr>
      <w:r>
        <w:rPr>
          <w:rFonts w:ascii="Arial" w:cs="Arial" w:eastAsia="Arial" w:hAnsi="Arial"/>
          <w:sz w:val="16"/>
          <w:szCs w:val="16"/>
          <w:color w:val="auto"/>
        </w:rPr>
        <w:t>Establish components of our short-term and long-term incentive compensation program that have goals aligned with our business strategy and objectives, and support increases in shareholder value.</w:t>
      </w:r>
    </w:p>
    <w:p>
      <w:pPr>
        <w:spacing w:after="0" w:line="59" w:lineRule="exact"/>
        <w:rPr>
          <w:sz w:val="20"/>
          <w:szCs w:val="20"/>
          <w:color w:val="auto"/>
        </w:rPr>
      </w:pPr>
    </w:p>
    <w:p>
      <w:pPr>
        <w:ind w:left="2" w:right="260"/>
        <w:spacing w:after="0" w:line="278" w:lineRule="auto"/>
        <w:rPr>
          <w:sz w:val="20"/>
          <w:szCs w:val="20"/>
          <w:color w:val="auto"/>
        </w:rPr>
      </w:pPr>
      <w:r>
        <w:rPr>
          <w:rFonts w:ascii="Arial" w:cs="Arial" w:eastAsia="Arial" w:hAnsi="Arial"/>
          <w:sz w:val="16"/>
          <w:szCs w:val="16"/>
          <w:color w:val="auto"/>
        </w:rPr>
        <w:t>The methods used to achieve the compensation program objectives for our NEOs are influenced by the compensation and employment practices of the peer group of companies. Other considerations include each officer’s individual performance in achieving both financial and non-financial corporate objectives.</w:t>
      </w:r>
    </w:p>
    <w:p>
      <w:pPr>
        <w:spacing w:after="0" w:line="75" w:lineRule="exact"/>
        <w:rPr>
          <w:sz w:val="20"/>
          <w:szCs w:val="20"/>
          <w:color w:val="auto"/>
        </w:rPr>
      </w:pPr>
    </w:p>
    <w:p>
      <w:pPr>
        <w:ind w:left="2" w:right="100"/>
        <w:spacing w:after="0" w:line="278" w:lineRule="auto"/>
        <w:rPr>
          <w:sz w:val="20"/>
          <w:szCs w:val="20"/>
          <w:color w:val="auto"/>
        </w:rPr>
      </w:pPr>
      <w:r>
        <w:rPr>
          <w:rFonts w:ascii="Arial" w:cs="Arial" w:eastAsia="Arial" w:hAnsi="Arial"/>
          <w:sz w:val="16"/>
          <w:szCs w:val="16"/>
          <w:color w:val="auto"/>
        </w:rPr>
        <w:t>Our program is designed to compensate the officers based on their level of assigned responsibilities, individual experience and performance levels and their knowledge and management of the Company’s operations. The creation of long-term value for shareholders is highly dependent on the development and effective execution by our NEOs of our business strategy.</w:t>
      </w:r>
    </w:p>
    <w:p>
      <w:pPr>
        <w:spacing w:after="0" w:line="75" w:lineRule="exact"/>
        <w:rPr>
          <w:sz w:val="20"/>
          <w:szCs w:val="20"/>
          <w:color w:val="auto"/>
        </w:rPr>
      </w:pPr>
    </w:p>
    <w:p>
      <w:pPr>
        <w:ind w:left="2"/>
        <w:spacing w:after="0"/>
        <w:rPr>
          <w:sz w:val="20"/>
          <w:szCs w:val="20"/>
          <w:color w:val="auto"/>
        </w:rPr>
      </w:pPr>
      <w:r>
        <w:rPr>
          <w:rFonts w:ascii="Arial" w:cs="Arial" w:eastAsia="Arial" w:hAnsi="Arial"/>
          <w:sz w:val="16"/>
          <w:szCs w:val="16"/>
          <w:color w:val="auto"/>
        </w:rPr>
        <w:t>Factors that influence the design of our 2025 executive compensation program and compensation decisions include, among other things, the following:</w:t>
      </w:r>
    </w:p>
    <w:p>
      <w:pPr>
        <w:spacing w:after="0" w:line="136" w:lineRule="exact"/>
        <w:rPr>
          <w:sz w:val="20"/>
          <w:szCs w:val="20"/>
          <w:color w:val="auto"/>
        </w:rPr>
      </w:pPr>
    </w:p>
    <w:p>
      <w:pPr>
        <w:ind w:left="182" w:right="300" w:hanging="182"/>
        <w:spacing w:after="0" w:line="297" w:lineRule="auto"/>
        <w:tabs>
          <w:tab w:leader="none" w:pos="173"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t>Considering our regulatory environment, given that our operations primarily occur in a highly regulated utility industry with regard to public health and safety, the environment, service levels to our customers and the rates for utility services charged to our customers;</w:t>
      </w:r>
    </w:p>
    <w:p>
      <w:pPr>
        <w:ind w:left="162" w:hanging="162"/>
        <w:spacing w:after="0"/>
        <w:tabs>
          <w:tab w:leader="none" w:pos="162"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t>Recognizing industry-specific experience that promotes safe, proper and reliable life-sustaining utility services for our customers;</w:t>
      </w:r>
    </w:p>
    <w:p>
      <w:pPr>
        <w:spacing w:after="0" w:line="74" w:lineRule="exact"/>
        <w:rPr>
          <w:rFonts w:ascii="Arial" w:cs="Arial" w:eastAsia="Arial" w:hAnsi="Arial"/>
          <w:sz w:val="16"/>
          <w:szCs w:val="16"/>
          <w:b w:val="1"/>
          <w:bCs w:val="1"/>
          <w:color w:val="auto"/>
        </w:rPr>
      </w:pPr>
    </w:p>
    <w:p>
      <w:pPr>
        <w:ind w:left="182" w:right="20" w:hanging="182"/>
        <w:spacing w:after="0" w:line="265" w:lineRule="auto"/>
        <w:tabs>
          <w:tab w:leader="none" w:pos="173"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t>Valuing our executives’ ability to appropriately balance the short- and long-term needs of our customers and the communities we serve, our employees and our shareholders. We seek to not only provide safe and reliable utility services for our customers, but we also plan and execute strategies that promote the sustainability of critical utility services into the future. In addition, we simultaneously seek to provide financial returns for our shareholders that appropriately reflect the risks and opportunities inherent in meeting the short- and long-term needs of our customers, and inherent in the provision of our utility services;</w:t>
      </w:r>
    </w:p>
    <w:p>
      <w:pPr>
        <w:spacing w:after="0" w:line="221" w:lineRule="exact"/>
        <w:rPr>
          <w:rFonts w:ascii="Arial" w:cs="Arial" w:eastAsia="Arial" w:hAnsi="Arial"/>
          <w:sz w:val="16"/>
          <w:szCs w:val="16"/>
          <w:b w:val="1"/>
          <w:bCs w:val="1"/>
          <w:color w:val="auto"/>
        </w:rPr>
      </w:pPr>
    </w:p>
    <w:p>
      <w:pPr>
        <w:ind w:left="182" w:hanging="182"/>
        <w:spacing w:after="0" w:line="290" w:lineRule="auto"/>
        <w:tabs>
          <w:tab w:leader="none" w:pos="173"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t>Rewarding appropriately further contributions to shareholder value achieved through contract operations and other complementary business opportunities which are not traditional regulated public utilities and therefore, not regulated by a state public utility commission as to customers’ rates and service; and</w:t>
      </w:r>
    </w:p>
    <w:p>
      <w:pPr>
        <w:spacing w:after="0" w:line="207" w:lineRule="exact"/>
        <w:rPr>
          <w:rFonts w:ascii="Arial" w:cs="Arial" w:eastAsia="Arial" w:hAnsi="Arial"/>
          <w:sz w:val="16"/>
          <w:szCs w:val="16"/>
          <w:b w:val="1"/>
          <w:bCs w:val="1"/>
          <w:color w:val="auto"/>
        </w:rPr>
      </w:pPr>
    </w:p>
    <w:p>
      <w:pPr>
        <w:ind w:left="182" w:right="260" w:hanging="182"/>
        <w:spacing w:after="0" w:line="283" w:lineRule="auto"/>
        <w:tabs>
          <w:tab w:leader="none" w:pos="173"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t>Recognizing our executives’ ability to attract, retain and continually develop and motivate a workforce that ensures critical technical and management skills are maintained in sufficient quantity and quality.</w:t>
      </w:r>
    </w:p>
    <w:p>
      <w:pPr>
        <w:spacing w:after="0" w:line="346" w:lineRule="exact"/>
        <w:rPr>
          <w:sz w:val="20"/>
          <w:szCs w:val="20"/>
          <w:color w:val="auto"/>
        </w:rPr>
      </w:pPr>
    </w:p>
    <w:tbl>
      <w:tblPr>
        <w:tblLayout w:type="fixed"/>
        <w:tblInd w:w="2" w:type="dxa"/>
        <w:tblCellMar>
          <w:top w:w="0" w:type="dxa"/>
          <w:left w:w="0" w:type="dxa"/>
          <w:bottom w:w="0" w:type="dxa"/>
          <w:right w:w="0" w:type="dxa"/>
        </w:tblCellMar>
      </w:tblPr>
      <w:tr>
        <w:trPr>
          <w:trHeight w:val="209"/>
        </w:trPr>
        <w:tc>
          <w:tcPr>
            <w:tcW w:w="10860" w:type="dxa"/>
            <w:vAlign w:val="bottom"/>
            <w:tcBorders>
              <w:right w:val="single" w:sz="8" w:color="00AEEF"/>
            </w:tcBorders>
          </w:tcPr>
          <w:p>
            <w:pPr>
              <w:ind w:left="94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37</w:t>
            </w:r>
          </w:p>
        </w:tc>
      </w:tr>
      <w:tr>
        <w:trPr>
          <w:trHeight w:val="312"/>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-27940</wp:posOffset>
            </wp:positionV>
            <wp:extent cx="33020" cy="41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2"/>
          </w:cols>
          <w:pgMar w:left="318" w:top="124"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color w:val="191769"/>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Generally, our compensation program for NEOs includes three components: (1) base salary, (2) a short-term cash incentive, and (3) an equity-based long-term incentive in the form of restricted stock. The incentive-based component of our compensation program is designed to be clear, transparent and understandable to investors and recipients. This is intended to simplify analysis by our shareholders of the relationship of pay to performance as well as to emphasize the critical importance of a long-term focus in the water and wastewater utility industry on financial and operational performance.</w:t>
      </w:r>
    </w:p>
    <w:p>
      <w:pPr>
        <w:spacing w:after="0" w:line="120" w:lineRule="exact"/>
        <w:rPr>
          <w:sz w:val="20"/>
          <w:szCs w:val="20"/>
          <w:color w:val="auto"/>
        </w:rPr>
      </w:pPr>
    </w:p>
    <w:p>
      <w:pPr>
        <w:spacing w:after="0"/>
        <w:rPr>
          <w:sz w:val="20"/>
          <w:szCs w:val="20"/>
          <w:color w:val="auto"/>
        </w:rPr>
      </w:pPr>
      <w:r>
        <w:rPr>
          <w:rFonts w:ascii="Arial" w:cs="Arial" w:eastAsia="Arial" w:hAnsi="Arial"/>
          <w:sz w:val="23"/>
          <w:szCs w:val="23"/>
          <w:b w:val="1"/>
          <w:bCs w:val="1"/>
          <w:color w:val="0076A8"/>
        </w:rPr>
        <w:t>Executive Compensation Governance</w:t>
      </w:r>
    </w:p>
    <w:p>
      <w:pPr>
        <w:spacing w:after="0" w:line="9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believe our executive compensation program should be simple, transparent and easily understood by shareholders, analysts, regulators and other key constituencies, including our customers and employees. The Committee and the Board evaluate our executive compensation program to ensure it fulfills the key objectives of our executive compensation philosophy, aligns with key operational and sustainability objectives and serves the overall best interests of our customers and our shareholders. The Committee assesses the effectiveness of the Company’s executive compensation program, including the review of the risk mitigation and governance matters, which include maintaining the following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7152005" cy="3110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2005" cy="3110865"/>
                    </a:xfrm>
                    <a:prstGeom prst="rect">
                      <a:avLst/>
                    </a:prstGeom>
                    <a:noFill/>
                  </pic:spPr>
                </pic:pic>
              </a:graphicData>
            </a:graphic>
          </wp:anchor>
        </w:drawing>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191769"/>
        </w:rPr>
        <w:t>WHAT WE DO</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Balanced Executive Compensation Philosophy</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balance our need to appropriately serve our customers against our need to deliver long-term shareholder value.</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Cap Bonuses; Fixed Equity Grants</w:t>
      </w:r>
    </w:p>
    <w:p>
      <w:pPr>
        <w:spacing w:after="0" w:line="75" w:lineRule="exact"/>
        <w:rPr>
          <w:sz w:val="20"/>
          <w:szCs w:val="20"/>
          <w:color w:val="auto"/>
        </w:rPr>
      </w:pPr>
    </w:p>
    <w:p>
      <w:pPr>
        <w:ind w:left="480" w:right="320"/>
        <w:spacing w:after="0" w:line="283" w:lineRule="auto"/>
        <w:rPr>
          <w:sz w:val="20"/>
          <w:szCs w:val="20"/>
          <w:color w:val="auto"/>
        </w:rPr>
      </w:pPr>
      <w:r>
        <w:rPr>
          <w:rFonts w:ascii="Arial" w:cs="Arial" w:eastAsia="Arial" w:hAnsi="Arial"/>
          <w:sz w:val="16"/>
          <w:szCs w:val="16"/>
          <w:color w:val="auto"/>
        </w:rPr>
        <w:t>Our short-term incentive has an upper limit on the amount of cash that may be earned. The restricted stock that might be earned after a vesting period is fixed at the grant.</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Clawback</w:t>
      </w:r>
    </w:p>
    <w:p>
      <w:pPr>
        <w:spacing w:after="0" w:line="75" w:lineRule="exact"/>
        <w:rPr>
          <w:sz w:val="20"/>
          <w:szCs w:val="20"/>
          <w:color w:val="auto"/>
        </w:rPr>
      </w:pPr>
    </w:p>
    <w:p>
      <w:pPr>
        <w:ind w:left="480" w:right="840"/>
        <w:spacing w:after="0" w:line="283" w:lineRule="auto"/>
        <w:rPr>
          <w:sz w:val="20"/>
          <w:szCs w:val="20"/>
          <w:color w:val="auto"/>
        </w:rPr>
      </w:pPr>
      <w:r>
        <w:rPr>
          <w:rFonts w:ascii="Arial" w:cs="Arial" w:eastAsia="Arial" w:hAnsi="Arial"/>
          <w:sz w:val="16"/>
          <w:szCs w:val="16"/>
          <w:color w:val="auto"/>
        </w:rPr>
        <w:t>Incentive compensation is subject to clawback if we are required to restate our financials due to material non-compliance with a financial reporting requirement.</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Stock Ownership Guidelines</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have adopted guidelines for our NEOs to maintain meaningful levels of share ownership equal to a multiple of their base salary.</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Combination of Rigorous Performance Metrics</w:t>
      </w:r>
    </w:p>
    <w:p>
      <w:pPr>
        <w:spacing w:after="0" w:line="75" w:lineRule="exact"/>
        <w:rPr>
          <w:sz w:val="20"/>
          <w:szCs w:val="20"/>
          <w:color w:val="auto"/>
        </w:rPr>
      </w:pPr>
    </w:p>
    <w:p>
      <w:pPr>
        <w:jc w:val="both"/>
        <w:ind w:left="480" w:right="460"/>
        <w:spacing w:after="0" w:line="262" w:lineRule="auto"/>
        <w:rPr>
          <w:sz w:val="20"/>
          <w:szCs w:val="20"/>
          <w:color w:val="auto"/>
        </w:rPr>
      </w:pPr>
      <w:r>
        <w:rPr>
          <w:rFonts w:ascii="Arial" w:cs="Arial" w:eastAsia="Arial" w:hAnsi="Arial"/>
          <w:sz w:val="16"/>
          <w:szCs w:val="16"/>
          <w:color w:val="auto"/>
        </w:rPr>
        <w:t>We use a diverse set of financial, operational and individual performance metrics in our annual performance-based cash short-term incentive, and in our long-term incentive restricted stock plan. Therefore, no single measure affects compensation disproportionately and our NEOs are focused on achievement of short-term and long-term performance.</w:t>
      </w:r>
    </w:p>
    <w:p>
      <w:pPr>
        <w:spacing w:after="0" w:line="25"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Regularly Review our Peer Group</w:t>
      </w:r>
    </w:p>
    <w:p>
      <w:pPr>
        <w:spacing w:after="0" w:line="75" w:lineRule="exact"/>
        <w:rPr>
          <w:sz w:val="20"/>
          <w:szCs w:val="20"/>
          <w:color w:val="auto"/>
        </w:rPr>
      </w:pPr>
    </w:p>
    <w:p>
      <w:pPr>
        <w:ind w:left="480" w:right="240"/>
        <w:spacing w:after="0" w:line="283" w:lineRule="auto"/>
        <w:rPr>
          <w:sz w:val="20"/>
          <w:szCs w:val="20"/>
          <w:color w:val="auto"/>
        </w:rPr>
      </w:pPr>
      <w:r>
        <w:rPr>
          <w:rFonts w:ascii="Arial" w:cs="Arial" w:eastAsia="Arial" w:hAnsi="Arial"/>
          <w:sz w:val="16"/>
          <w:szCs w:val="16"/>
          <w:color w:val="auto"/>
        </w:rPr>
        <w:t>We regularly review our peer group of companies as a reference for our compensation decisions to ensure our compensation program is aligned with the peers of comparable size, operations, regulatory requirements and other relevant characteristics.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Annual Say-on-Pay Vote</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give shareholders an annual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198755</wp:posOffset>
            </wp:positionV>
            <wp:extent cx="7152005" cy="18446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2005" cy="1844675"/>
                    </a:xfrm>
                    <a:prstGeom prst="rect">
                      <a:avLst/>
                    </a:prstGeom>
                    <a:noFill/>
                  </pic:spPr>
                </pic:pic>
              </a:graphicData>
            </a:graphic>
          </wp:anchor>
        </w:drawing>
      </w: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WHAT WE DO NOT DO</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No Single Trigger Change in Control Benefits</w:t>
      </w:r>
    </w:p>
    <w:p>
      <w:pPr>
        <w:spacing w:after="0" w:line="75" w:lineRule="exact"/>
        <w:rPr>
          <w:sz w:val="20"/>
          <w:szCs w:val="20"/>
          <w:color w:val="auto"/>
        </w:rPr>
      </w:pPr>
    </w:p>
    <w:p>
      <w:pPr>
        <w:ind w:left="480" w:right="220"/>
        <w:spacing w:after="0" w:line="283" w:lineRule="auto"/>
        <w:rPr>
          <w:sz w:val="20"/>
          <w:szCs w:val="20"/>
          <w:color w:val="auto"/>
        </w:rPr>
      </w:pPr>
      <w:r>
        <w:rPr>
          <w:rFonts w:ascii="Arial" w:cs="Arial" w:eastAsia="Arial" w:hAnsi="Arial"/>
          <w:sz w:val="16"/>
          <w:szCs w:val="16"/>
          <w:color w:val="auto"/>
        </w:rPr>
        <w:t>Change in Control arrangements with each NEO provide certain cash benefits if there is both a change in control and an involuntary employment termination (a "double trigger") and not solely upon a change in control.</w:t>
      </w:r>
    </w:p>
    <w:p>
      <w:pPr>
        <w:spacing w:after="0" w:line="22"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No Excessive Perks</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do not provide large perquisites to executive officers.</w:t>
      </w:r>
    </w:p>
    <w:p>
      <w:pPr>
        <w:spacing w:after="0" w:line="87"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No Excise Tax Gross-Ups</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do not provide excise tax gross-ups or other tax gross-ups on change-in-control payments.</w:t>
      </w:r>
    </w:p>
    <w:p>
      <w:pPr>
        <w:spacing w:after="0" w:line="87"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No Hedging or Pledging of Company Shares</w:t>
      </w:r>
    </w:p>
    <w:p>
      <w:pPr>
        <w:spacing w:after="0" w:line="62" w:lineRule="exact"/>
        <w:rPr>
          <w:sz w:val="20"/>
          <w:szCs w:val="20"/>
          <w:color w:val="auto"/>
        </w:rPr>
      </w:pPr>
    </w:p>
    <w:p>
      <w:pPr>
        <w:ind w:left="480" w:right="320"/>
        <w:spacing w:after="0" w:line="299" w:lineRule="auto"/>
        <w:rPr>
          <w:sz w:val="20"/>
          <w:szCs w:val="20"/>
          <w:color w:val="auto"/>
        </w:rPr>
      </w:pPr>
      <w:r>
        <w:rPr>
          <w:rFonts w:ascii="Arial" w:cs="Arial" w:eastAsia="Arial" w:hAnsi="Arial"/>
          <w:sz w:val="16"/>
          <w:szCs w:val="16"/>
          <w:color w:val="auto"/>
        </w:rPr>
        <w:t>We prohibit hedging, pledging and short sales of shares of our common stock or other equity interest of the Company and the holding of shares in margin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375920</wp:posOffset>
            </wp:positionV>
            <wp:extent cx="7620" cy="132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460" w:hanging="445"/>
        <w:spacing w:after="0"/>
        <w:tabs>
          <w:tab w:leader="none" w:pos="460" w:val="left"/>
        </w:tabs>
        <w:numPr>
          <w:ilvl w:val="0"/>
          <w:numId w:val="55"/>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217805</wp:posOffset>
            </wp:positionV>
            <wp:extent cx="7169785" cy="412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40" w:name="page41"/>
    <w:bookmarkEnd w:id="40"/>
    <w:p>
      <w:pPr>
        <w:jc w:val="right"/>
        <w:spacing w:after="0"/>
        <w:rPr>
          <w:sz w:val="20"/>
          <w:szCs w:val="20"/>
          <w:color w:val="auto"/>
        </w:rPr>
      </w:pPr>
      <w:r>
        <w:rPr>
          <w:rFonts w:ascii="Arial" w:cs="Arial" w:eastAsia="Arial" w:hAnsi="Arial"/>
          <w:sz w:val="14"/>
          <w:szCs w:val="14"/>
          <w:b w:val="1"/>
          <w:bCs w:val="1"/>
          <w:color w:val="191769"/>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191769"/>
        </w:rPr>
        <w:t>III. Compensation Determination Process</w:t>
      </w:r>
    </w:p>
    <w:p>
      <w:pPr>
        <w:spacing w:after="0" w:line="84" w:lineRule="exact"/>
        <w:rPr>
          <w:sz w:val="20"/>
          <w:szCs w:val="20"/>
          <w:color w:val="auto"/>
        </w:rPr>
      </w:pPr>
    </w:p>
    <w:p>
      <w:pPr>
        <w:ind w:left="2"/>
        <w:spacing w:after="0"/>
        <w:rPr>
          <w:sz w:val="20"/>
          <w:szCs w:val="20"/>
          <w:color w:val="auto"/>
        </w:rPr>
      </w:pPr>
      <w:r>
        <w:rPr>
          <w:rFonts w:ascii="Arial" w:cs="Arial" w:eastAsia="Arial" w:hAnsi="Arial"/>
          <w:sz w:val="23"/>
          <w:szCs w:val="23"/>
          <w:b w:val="1"/>
          <w:bCs w:val="1"/>
          <w:color w:val="0076A8"/>
        </w:rPr>
        <w:t>Role of the Committee and the Board</w:t>
      </w:r>
    </w:p>
    <w:p>
      <w:pPr>
        <w:spacing w:after="0" w:line="98" w:lineRule="exact"/>
        <w:rPr>
          <w:sz w:val="20"/>
          <w:szCs w:val="20"/>
          <w:color w:val="auto"/>
        </w:rPr>
      </w:pPr>
    </w:p>
    <w:p>
      <w:pPr>
        <w:ind w:left="2" w:right="20"/>
        <w:spacing w:after="0" w:line="271" w:lineRule="auto"/>
        <w:rPr>
          <w:sz w:val="20"/>
          <w:szCs w:val="20"/>
          <w:color w:val="auto"/>
        </w:rPr>
      </w:pPr>
      <w:r>
        <w:rPr>
          <w:rFonts w:ascii="Arial" w:cs="Arial" w:eastAsia="Arial" w:hAnsi="Arial"/>
          <w:sz w:val="16"/>
          <w:szCs w:val="16"/>
          <w:color w:val="auto"/>
        </w:rPr>
        <w:t>The Committee establishes our compensation philosophy and objectives; determines the structure, components, and other elements of the executive compensation program; and reviews and approves the compensation of the NEOs and recommends it for approval by the Board of Directors. The Board of Directors has the ultimate authority to determine the compensation of the NEOs and our other executive officers. The Committee structures the executive compensation program to accomplish its articulated compensation objectives in light of the compensation philosophy described above.</w:t>
      </w:r>
    </w:p>
    <w:p>
      <w:pPr>
        <w:spacing w:after="0" w:line="92" w:lineRule="exact"/>
        <w:rPr>
          <w:sz w:val="20"/>
          <w:szCs w:val="20"/>
          <w:color w:val="auto"/>
        </w:rPr>
      </w:pPr>
    </w:p>
    <w:p>
      <w:pPr>
        <w:ind w:left="2" w:right="160"/>
        <w:spacing w:after="0" w:line="299" w:lineRule="auto"/>
        <w:rPr>
          <w:sz w:val="20"/>
          <w:szCs w:val="20"/>
          <w:color w:val="auto"/>
        </w:rPr>
      </w:pPr>
      <w:r>
        <w:rPr>
          <w:rFonts w:ascii="Arial" w:cs="Arial" w:eastAsia="Arial" w:hAnsi="Arial"/>
          <w:sz w:val="16"/>
          <w:szCs w:val="16"/>
          <w:color w:val="auto"/>
        </w:rPr>
        <w:t>The Board of Directors upon recommendation from the Committee, establishes the annual compensation, including salaries, bonuses and equity awards, for our CEO, the NEOs and our other executive officers. As part of the compensation review and determination process, the Committee:</w:t>
      </w:r>
    </w:p>
    <w:p>
      <w:pPr>
        <w:spacing w:after="0" w:line="71" w:lineRule="exact"/>
        <w:rPr>
          <w:sz w:val="20"/>
          <w:szCs w:val="20"/>
          <w:color w:val="auto"/>
        </w:rPr>
      </w:pPr>
    </w:p>
    <w:p>
      <w:pPr>
        <w:ind w:left="182" w:right="100" w:hanging="182"/>
        <w:spacing w:after="0" w:line="278" w:lineRule="auto"/>
        <w:tabs>
          <w:tab w:leader="none" w:pos="173"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Oversees the Company’s annual cash-based and equity-based incentive compensation, including establishing the performance objectives for the short-term and long-term incentives and, after the end of applicable performance periods, evaluating achievement relative to the performance targets and making recommendations on the payouts earned;</w:t>
      </w:r>
    </w:p>
    <w:p>
      <w:pPr>
        <w:spacing w:after="0" w:line="13" w:lineRule="exact"/>
        <w:rPr>
          <w:rFonts w:ascii="Arial" w:cs="Arial" w:eastAsia="Arial" w:hAnsi="Arial"/>
          <w:sz w:val="16"/>
          <w:szCs w:val="16"/>
          <w:b w:val="1"/>
          <w:bCs w:val="1"/>
          <w:color w:val="auto"/>
        </w:rPr>
      </w:pPr>
    </w:p>
    <w:p>
      <w:pPr>
        <w:ind w:left="182" w:right="260" w:hanging="182"/>
        <w:spacing w:after="0" w:line="297" w:lineRule="auto"/>
        <w:tabs>
          <w:tab w:leader="none" w:pos="173"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Conducts an annual formal performance evaluation of the CEO and develops recommendations regarding the base salary, annual cash incentive and long-term equity compensation (in terms of form and amount) to be paid to the CEO, and</w:t>
      </w:r>
    </w:p>
    <w:p>
      <w:pPr>
        <w:ind w:left="182" w:right="220" w:hanging="182"/>
        <w:spacing w:after="0" w:line="299" w:lineRule="auto"/>
        <w:tabs>
          <w:tab w:leader="none" w:pos="173"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Reviews the performance of the other NEOs and other officers of the Company, in consultation with the CEO, and makes recommendations regarding the compensation of these individuals to the non-employee members of the Board.</w:t>
      </w:r>
    </w:p>
    <w:p>
      <w:pPr>
        <w:spacing w:after="0" w:line="71" w:lineRule="exact"/>
        <w:rPr>
          <w:sz w:val="20"/>
          <w:szCs w:val="20"/>
          <w:color w:val="auto"/>
        </w:rPr>
      </w:pPr>
    </w:p>
    <w:p>
      <w:pPr>
        <w:ind w:left="2" w:right="180"/>
        <w:spacing w:after="0" w:line="267" w:lineRule="auto"/>
        <w:rPr>
          <w:sz w:val="20"/>
          <w:szCs w:val="20"/>
          <w:color w:val="auto"/>
        </w:rPr>
      </w:pPr>
      <w:r>
        <w:rPr>
          <w:rFonts w:ascii="Arial" w:cs="Arial" w:eastAsia="Arial" w:hAnsi="Arial"/>
          <w:sz w:val="16"/>
          <w:szCs w:val="16"/>
          <w:color w:val="auto"/>
        </w:rPr>
        <w:t>For the incentive portion of the executive compensation program, the Committee obtains input from executive officers regarding the operating budget, expected financial results, anticipated operating achievements and related risks. The Committee also communicates directly with the independent compensation consultant, providing the consultant with Company-specific information and obtaining market-based compensation information from the independent consultant. Based on this information, the Committee then determines financial and non-financial performance-based metrics for the annual short-term cash-based incentive and the long-term equity-based incentive.</w:t>
      </w:r>
    </w:p>
    <w:p>
      <w:pPr>
        <w:spacing w:after="0" w:line="97" w:lineRule="exact"/>
        <w:rPr>
          <w:sz w:val="20"/>
          <w:szCs w:val="20"/>
          <w:color w:val="auto"/>
        </w:rPr>
      </w:pPr>
    </w:p>
    <w:p>
      <w:pPr>
        <w:ind w:left="2" w:right="120"/>
        <w:spacing w:after="0" w:line="299" w:lineRule="auto"/>
        <w:rPr>
          <w:sz w:val="20"/>
          <w:szCs w:val="20"/>
          <w:color w:val="auto"/>
        </w:rPr>
      </w:pPr>
      <w:r>
        <w:rPr>
          <w:rFonts w:ascii="Arial" w:cs="Arial" w:eastAsia="Arial" w:hAnsi="Arial"/>
          <w:sz w:val="16"/>
          <w:szCs w:val="16"/>
          <w:color w:val="auto"/>
        </w:rPr>
        <w:t>The Committee and the non-employee members of the Board meet in executive session as they consider necessary or appropriate in connection with the compensation determination process. The Committee does not delegate authority to approve executive officer compensation.</w:t>
      </w:r>
    </w:p>
    <w:p>
      <w:pPr>
        <w:spacing w:after="0" w:line="59" w:lineRule="exact"/>
        <w:rPr>
          <w:sz w:val="20"/>
          <w:szCs w:val="20"/>
          <w:color w:val="auto"/>
        </w:rPr>
      </w:pPr>
    </w:p>
    <w:p>
      <w:pPr>
        <w:jc w:val="both"/>
        <w:ind w:left="2" w:right="60"/>
        <w:spacing w:after="0" w:line="299" w:lineRule="auto"/>
        <w:rPr>
          <w:sz w:val="20"/>
          <w:szCs w:val="20"/>
          <w:color w:val="auto"/>
        </w:rPr>
      </w:pPr>
      <w:r>
        <w:rPr>
          <w:rFonts w:ascii="Arial" w:cs="Arial" w:eastAsia="Arial" w:hAnsi="Arial"/>
          <w:sz w:val="16"/>
          <w:szCs w:val="16"/>
          <w:color w:val="auto"/>
        </w:rPr>
        <w:t>Toward the end of each year, the Committee reviews the elements of our executive compensation program to verify the alignment of the program with our business strategy and with the items that we believe drive the creation of shareholder value, and to determine whether any changes would be appropriate.</w:t>
      </w:r>
    </w:p>
    <w:p>
      <w:pPr>
        <w:spacing w:after="0" w:line="200" w:lineRule="exact"/>
        <w:rPr>
          <w:sz w:val="20"/>
          <w:szCs w:val="20"/>
          <w:color w:val="auto"/>
        </w:rPr>
      </w:pPr>
    </w:p>
    <w:p>
      <w:pPr>
        <w:ind w:left="2"/>
        <w:spacing w:after="0"/>
        <w:rPr>
          <w:sz w:val="20"/>
          <w:szCs w:val="20"/>
          <w:color w:val="auto"/>
        </w:rPr>
      </w:pPr>
      <w:r>
        <w:rPr>
          <w:rFonts w:ascii="Arial" w:cs="Arial" w:eastAsia="Arial" w:hAnsi="Arial"/>
          <w:sz w:val="23"/>
          <w:szCs w:val="23"/>
          <w:b w:val="1"/>
          <w:bCs w:val="1"/>
          <w:color w:val="0076A8"/>
        </w:rPr>
        <w:t>Role of the CEO and Other Executives in the Compensation Process</w:t>
      </w:r>
    </w:p>
    <w:p>
      <w:pPr>
        <w:spacing w:after="0" w:line="98" w:lineRule="exact"/>
        <w:rPr>
          <w:sz w:val="20"/>
          <w:szCs w:val="20"/>
          <w:color w:val="auto"/>
        </w:rPr>
      </w:pPr>
    </w:p>
    <w:p>
      <w:pPr>
        <w:ind w:left="2"/>
        <w:spacing w:after="0" w:line="264" w:lineRule="auto"/>
        <w:rPr>
          <w:sz w:val="20"/>
          <w:szCs w:val="20"/>
          <w:color w:val="auto"/>
        </w:rPr>
      </w:pPr>
      <w:r>
        <w:rPr>
          <w:rFonts w:ascii="Arial" w:cs="Arial" w:eastAsia="Arial" w:hAnsi="Arial"/>
          <w:sz w:val="16"/>
          <w:szCs w:val="16"/>
          <w:color w:val="auto"/>
        </w:rPr>
        <w:t>The Committee values the input of the CEO, Chief Financial Officer and the Vice President, Human Resources in the compensation determination process. These executives provide the Committee with information about compensation philosophy, processes and practices related to human capital management including developing, attracting and retaining personnel, succession planning, company culture and employment practices. This communication assists the Committee in the design and implementation of the Company’s compensation programs. In addition to providing factual information, such as Company-wide performance on relevant measures, these executives also articulate management’s views and results on current compensation programs and processes, recommend relevant performance measures to be used for future evaluations and otherwise supply additional information requested by the Committee.</w:t>
      </w:r>
    </w:p>
    <w:p>
      <w:pPr>
        <w:spacing w:after="0" w:line="287" w:lineRule="exact"/>
        <w:rPr>
          <w:sz w:val="20"/>
          <w:szCs w:val="20"/>
          <w:color w:val="auto"/>
        </w:rPr>
      </w:pPr>
    </w:p>
    <w:p>
      <w:pPr>
        <w:ind w:left="2" w:right="180"/>
        <w:spacing w:after="0" w:line="271" w:lineRule="auto"/>
        <w:rPr>
          <w:sz w:val="20"/>
          <w:szCs w:val="20"/>
          <w:color w:val="auto"/>
        </w:rPr>
      </w:pPr>
      <w:r>
        <w:rPr>
          <w:rFonts w:ascii="Arial" w:cs="Arial" w:eastAsia="Arial" w:hAnsi="Arial"/>
          <w:sz w:val="16"/>
          <w:szCs w:val="16"/>
          <w:color w:val="auto"/>
        </w:rPr>
        <w:t>The CEO also provides individual performance assessments for the other NEOs and makes recommendations to the Committee regarding changes in compensation for all officers of the Company, other than herself, based on individual performance. Certain compensation and other information may be provided to the Committee by the Vice President - Human Resources or the CEO, in assisting in the evaluation of the estimated effect on the Company’s results of operations regarding any proposed changes to the various elements of compensation.</w:t>
      </w:r>
    </w:p>
    <w:p>
      <w:pPr>
        <w:spacing w:after="0" w:line="92" w:lineRule="exact"/>
        <w:rPr>
          <w:sz w:val="20"/>
          <w:szCs w:val="20"/>
          <w:color w:val="auto"/>
        </w:rPr>
      </w:pPr>
    </w:p>
    <w:p>
      <w:pPr>
        <w:ind w:left="2"/>
        <w:spacing w:after="0" w:line="271" w:lineRule="auto"/>
        <w:rPr>
          <w:sz w:val="20"/>
          <w:szCs w:val="20"/>
          <w:color w:val="auto"/>
        </w:rPr>
      </w:pPr>
      <w:r>
        <w:rPr>
          <w:rFonts w:ascii="Arial" w:cs="Arial" w:eastAsia="Arial" w:hAnsi="Arial"/>
          <w:sz w:val="16"/>
          <w:szCs w:val="16"/>
          <w:color w:val="auto"/>
        </w:rPr>
        <w:t>Executives participate in Committee meetings solely in an advisory capacity and have no vote in the Committee’s decision-making process. The CEO, Chief Financial Officer and Vice President - Human Resources typically attend meetings of the Committee but do not attend those portions of these meetings during which their performance is evaluated or their compensation is determined. No executive officer, other than the CEO and Chief Financial Officer, attends those portions of Committee meetings during which the performance of the other officers, other than themselves, is discussed or evaluated.</w:t>
      </w:r>
    </w:p>
    <w:p>
      <w:pPr>
        <w:spacing w:after="0" w:line="200" w:lineRule="exact"/>
        <w:rPr>
          <w:sz w:val="20"/>
          <w:szCs w:val="20"/>
          <w:color w:val="auto"/>
        </w:rPr>
      </w:pPr>
    </w:p>
    <w:p>
      <w:pPr>
        <w:spacing w:after="0" w:line="217" w:lineRule="exact"/>
        <w:rPr>
          <w:sz w:val="20"/>
          <w:szCs w:val="20"/>
          <w:color w:val="auto"/>
        </w:rPr>
      </w:pPr>
    </w:p>
    <w:tbl>
      <w:tblPr>
        <w:tblLayout w:type="fixed"/>
        <w:tblInd w:w="2" w:type="dxa"/>
        <w:tblCellMar>
          <w:top w:w="0" w:type="dxa"/>
          <w:left w:w="0" w:type="dxa"/>
          <w:bottom w:w="0" w:type="dxa"/>
          <w:right w:w="0" w:type="dxa"/>
        </w:tblCellMar>
      </w:tblPr>
      <w:tr>
        <w:trPr>
          <w:trHeight w:val="209"/>
        </w:trPr>
        <w:tc>
          <w:tcPr>
            <w:tcW w:w="10860" w:type="dxa"/>
            <w:vAlign w:val="bottom"/>
            <w:tcBorders>
              <w:right w:val="single" w:sz="8" w:color="00AEEF"/>
            </w:tcBorders>
          </w:tcPr>
          <w:p>
            <w:pPr>
              <w:ind w:left="94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39</w:t>
            </w:r>
          </w:p>
        </w:tc>
      </w:tr>
      <w:tr>
        <w:trPr>
          <w:trHeight w:val="325"/>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-27940</wp:posOffset>
            </wp:positionV>
            <wp:extent cx="33020" cy="41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2"/>
          </w:cols>
          <w:pgMar w:left="318" w:top="124"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color w:val="191769"/>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3"/>
          <w:szCs w:val="23"/>
          <w:b w:val="1"/>
          <w:bCs w:val="1"/>
          <w:color w:val="0076A8"/>
        </w:rPr>
        <w:t>Role of the Independent Compensation Consultant</w:t>
      </w:r>
    </w:p>
    <w:p>
      <w:pPr>
        <w:spacing w:after="0" w:line="98"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Committee recognizes the importance of obtaining objective, independent expertise and advice in carrying out its responsibilities. As provided in its charter, the Committee has the authority to retain an independent compensation consultant to assist it in the performance of its duties and responsibilities. The Committee periodically engages an independent compensation consultant to assist in the compensation determination process for officers, and such independent compensation consultants are not engaged by management for any purpose.</w:t>
      </w:r>
    </w:p>
    <w:p>
      <w:pPr>
        <w:spacing w:after="0" w:line="92"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In November 2024, the Committee engaged Aon’s Talent Solutions practice, a division of Aon, plc (“Aon”), as its independent compensation consultant to advise on executive compensation matters. Aon reports directly to the Committee, and the Committee has the sole authority to retain, terminate and obtain the advice of Aon at the Company’s expense. Upon engagement, the Committee assessed the independence of Aon and concluded that Aon was independent as determined under the Securities and Exchange Commission and Nasdaq rules.</w:t>
      </w:r>
    </w:p>
    <w:p>
      <w:pPr>
        <w:spacing w:after="0" w:line="80"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Aon provides expertise and market data regarding competitive market, including established and emerging compensation practices at other companies both inside and outside the Company’s selected peer group. Aon also provides market and survey data and assists in recommending relevant companies to be included in the Company’s compensation peer group. In addition, Aon also assists in establishing benchmarks for base salary and equity incentives from the peer group.</w:t>
      </w:r>
    </w:p>
    <w:p>
      <w:pPr>
        <w:spacing w:after="0" w:line="92"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While the Committee considers the review and recommendations of its compensation consultant when making decisions about our executive compensation program and contextualizes those decisions, ultimately, the Committee makes its own independent decisions about compensation matters, and provides those recommendations to the Board.</w:t>
      </w:r>
    </w:p>
    <w:p>
      <w:pPr>
        <w:spacing w:after="0" w:line="204" w:lineRule="exact"/>
        <w:rPr>
          <w:sz w:val="20"/>
          <w:szCs w:val="20"/>
          <w:color w:val="auto"/>
        </w:rPr>
      </w:pPr>
    </w:p>
    <w:p>
      <w:pPr>
        <w:spacing w:after="0"/>
        <w:rPr>
          <w:sz w:val="20"/>
          <w:szCs w:val="20"/>
          <w:color w:val="auto"/>
        </w:rPr>
      </w:pPr>
      <w:r>
        <w:rPr>
          <w:rFonts w:ascii="Arial" w:cs="Arial" w:eastAsia="Arial" w:hAnsi="Arial"/>
          <w:sz w:val="23"/>
          <w:szCs w:val="23"/>
          <w:b w:val="1"/>
          <w:bCs w:val="1"/>
          <w:color w:val="0076A8"/>
        </w:rPr>
        <w:t>Compensation Peer Group and Peer Selection Process</w:t>
      </w:r>
    </w:p>
    <w:p>
      <w:pPr>
        <w:spacing w:after="0" w:line="98"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In making determinations about executive compensation, the Committee believes that obtaining relevant market data regarding the competitive market for executive talent is important, because it serves as a reference point for making decisions and provides very helpful context. When making decisions about the structure and component mix of our executive compensation program, the Committee takes into consideration the structure and components of, and the amounts paid under, the executive compensation programs of other comparable peer companies, as derived from public filings and other sources.</w:t>
      </w:r>
    </w:p>
    <w:p>
      <w:pPr>
        <w:spacing w:after="0" w:line="92"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In November 2024, the Committee, with the assistance of its independent compensation consultant, Aon, reviewed and revised the compensation peer group for use in connection with 2025 executive compensation decisions. The primary criteria used to determine the peer group included: U.S. companies in the utility industry with assets, market capitalization and revenues of one-third to three times that of the Company. Based on these criteria and considerations, the Committee approved a peer group for decisions relating to 2025 executive compensation that consisted of the following 14 companies: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2025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89535</wp:posOffset>
            </wp:positionV>
            <wp:extent cx="714438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ind w:left="20"/>
              <w:spacing w:after="0"/>
              <w:rPr>
                <w:sz w:val="20"/>
                <w:szCs w:val="20"/>
                <w:color w:val="auto"/>
              </w:rPr>
            </w:pPr>
            <w:r>
              <w:rPr>
                <w:rFonts w:ascii="Arial" w:cs="Arial" w:eastAsia="Arial" w:hAnsi="Arial"/>
                <w:sz w:val="16"/>
                <w:szCs w:val="16"/>
                <w:color w:val="auto"/>
              </w:rPr>
              <w:t>Altus Power, Inc.</w:t>
            </w:r>
          </w:p>
        </w:tc>
        <w:tc>
          <w:tcPr>
            <w:tcW w:w="3840" w:type="dxa"/>
            <w:vAlign w:val="bottom"/>
          </w:tcPr>
          <w:p>
            <w:pPr>
              <w:ind w:left="660"/>
              <w:spacing w:after="0"/>
              <w:rPr>
                <w:sz w:val="20"/>
                <w:szCs w:val="20"/>
                <w:color w:val="auto"/>
              </w:rPr>
            </w:pPr>
            <w:r>
              <w:rPr>
                <w:rFonts w:ascii="Arial" w:cs="Arial" w:eastAsia="Arial" w:hAnsi="Arial"/>
                <w:sz w:val="16"/>
                <w:szCs w:val="16"/>
                <w:color w:val="auto"/>
              </w:rPr>
              <w:t>Genie Energy Ltd.</w:t>
            </w:r>
          </w:p>
        </w:tc>
        <w:tc>
          <w:tcPr>
            <w:tcW w:w="4300" w:type="dxa"/>
            <w:vAlign w:val="bottom"/>
          </w:tcPr>
          <w:p>
            <w:pPr>
              <w:ind w:left="580"/>
              <w:spacing w:after="0"/>
              <w:rPr>
                <w:sz w:val="20"/>
                <w:szCs w:val="20"/>
                <w:color w:val="auto"/>
              </w:rPr>
            </w:pPr>
            <w:r>
              <w:rPr>
                <w:rFonts w:ascii="Arial" w:cs="Arial" w:eastAsia="Arial" w:hAnsi="Arial"/>
                <w:sz w:val="16"/>
                <w:szCs w:val="16"/>
                <w:color w:val="auto"/>
              </w:rPr>
              <w:t>Northwest Natural Holding Company</w:t>
            </w:r>
          </w:p>
        </w:tc>
      </w:tr>
      <w:tr>
        <w:trPr>
          <w:trHeight w:val="22"/>
        </w:trPr>
        <w:tc>
          <w:tcPr>
            <w:tcW w:w="3100" w:type="dxa"/>
            <w:vAlign w:val="bottom"/>
            <w:tcBorders>
              <w:bottom w:val="single" w:sz="8" w:color="D9D9D9"/>
            </w:tcBorders>
          </w:tcPr>
          <w:p>
            <w:pPr>
              <w:spacing w:after="0" w:line="20" w:lineRule="exact"/>
              <w:rPr>
                <w:sz w:val="1"/>
                <w:szCs w:val="1"/>
                <w:color w:val="auto"/>
              </w:rPr>
            </w:pPr>
          </w:p>
        </w:tc>
        <w:tc>
          <w:tcPr>
            <w:tcW w:w="3840" w:type="dxa"/>
            <w:vAlign w:val="bottom"/>
            <w:tcBorders>
              <w:bottom w:val="single" w:sz="8" w:color="D9D9D9"/>
            </w:tcBorders>
          </w:tcPr>
          <w:p>
            <w:pPr>
              <w:spacing w:after="0" w:line="20" w:lineRule="exact"/>
              <w:rPr>
                <w:sz w:val="1"/>
                <w:szCs w:val="1"/>
                <w:color w:val="auto"/>
              </w:rPr>
            </w:pPr>
          </w:p>
        </w:tc>
        <w:tc>
          <w:tcPr>
            <w:tcW w:w="4300" w:type="dxa"/>
            <w:vAlign w:val="bottom"/>
            <w:tcBorders>
              <w:bottom w:val="single" w:sz="8" w:color="D9D9D9"/>
            </w:tcBorders>
          </w:tcPr>
          <w:p>
            <w:pPr>
              <w:spacing w:after="0" w:line="20" w:lineRule="exact"/>
              <w:rPr>
                <w:sz w:val="1"/>
                <w:szCs w:val="1"/>
                <w:color w:val="auto"/>
              </w:rPr>
            </w:pPr>
          </w:p>
        </w:tc>
      </w:tr>
      <w:tr>
        <w:trPr>
          <w:trHeight w:val="217"/>
        </w:trPr>
        <w:tc>
          <w:tcPr>
            <w:tcW w:w="3100" w:type="dxa"/>
            <w:vAlign w:val="bottom"/>
          </w:tcPr>
          <w:p>
            <w:pPr>
              <w:ind w:left="20"/>
              <w:spacing w:after="0"/>
              <w:rPr>
                <w:sz w:val="20"/>
                <w:szCs w:val="20"/>
                <w:color w:val="auto"/>
              </w:rPr>
            </w:pPr>
            <w:r>
              <w:rPr>
                <w:rFonts w:ascii="Arial" w:cs="Arial" w:eastAsia="Arial" w:hAnsi="Arial"/>
                <w:sz w:val="16"/>
                <w:szCs w:val="16"/>
                <w:color w:val="auto"/>
              </w:rPr>
              <w:t>American States Water Company</w:t>
            </w:r>
          </w:p>
        </w:tc>
        <w:tc>
          <w:tcPr>
            <w:tcW w:w="3840" w:type="dxa"/>
            <w:vAlign w:val="bottom"/>
          </w:tcPr>
          <w:p>
            <w:pPr>
              <w:ind w:left="660"/>
              <w:spacing w:after="0"/>
              <w:rPr>
                <w:sz w:val="20"/>
                <w:szCs w:val="20"/>
                <w:color w:val="auto"/>
              </w:rPr>
            </w:pPr>
            <w:r>
              <w:rPr>
                <w:rFonts w:ascii="Arial" w:cs="Arial" w:eastAsia="Arial" w:hAnsi="Arial"/>
                <w:sz w:val="16"/>
                <w:szCs w:val="16"/>
                <w:color w:val="auto"/>
              </w:rPr>
              <w:t>Global Water Resources, Inc.</w:t>
            </w:r>
          </w:p>
        </w:tc>
        <w:tc>
          <w:tcPr>
            <w:tcW w:w="4300" w:type="dxa"/>
            <w:vAlign w:val="bottom"/>
          </w:tcPr>
          <w:p>
            <w:pPr>
              <w:ind w:left="580"/>
              <w:spacing w:after="0"/>
              <w:rPr>
                <w:sz w:val="20"/>
                <w:szCs w:val="20"/>
                <w:color w:val="auto"/>
              </w:rPr>
            </w:pPr>
            <w:r>
              <w:rPr>
                <w:rFonts w:ascii="Arial" w:cs="Arial" w:eastAsia="Arial" w:hAnsi="Arial"/>
                <w:sz w:val="16"/>
                <w:szCs w:val="16"/>
                <w:color w:val="auto"/>
              </w:rPr>
              <w:t>RGC Resources, Inc.</w:t>
            </w:r>
          </w:p>
        </w:tc>
      </w:tr>
      <w:tr>
        <w:trPr>
          <w:trHeight w:val="22"/>
        </w:trPr>
        <w:tc>
          <w:tcPr>
            <w:tcW w:w="3100" w:type="dxa"/>
            <w:vAlign w:val="bottom"/>
            <w:tcBorders>
              <w:bottom w:val="single" w:sz="8" w:color="D9D9D9"/>
            </w:tcBorders>
          </w:tcPr>
          <w:p>
            <w:pPr>
              <w:spacing w:after="0" w:line="20" w:lineRule="exact"/>
              <w:rPr>
                <w:sz w:val="1"/>
                <w:szCs w:val="1"/>
                <w:color w:val="auto"/>
              </w:rPr>
            </w:pPr>
          </w:p>
        </w:tc>
        <w:tc>
          <w:tcPr>
            <w:tcW w:w="3840" w:type="dxa"/>
            <w:vAlign w:val="bottom"/>
            <w:tcBorders>
              <w:bottom w:val="single" w:sz="8" w:color="D9D9D9"/>
            </w:tcBorders>
          </w:tcPr>
          <w:p>
            <w:pPr>
              <w:spacing w:after="0" w:line="20" w:lineRule="exact"/>
              <w:rPr>
                <w:sz w:val="1"/>
                <w:szCs w:val="1"/>
                <w:color w:val="auto"/>
              </w:rPr>
            </w:pPr>
          </w:p>
        </w:tc>
        <w:tc>
          <w:tcPr>
            <w:tcW w:w="4300" w:type="dxa"/>
            <w:vAlign w:val="bottom"/>
            <w:tcBorders>
              <w:bottom w:val="single" w:sz="8" w:color="D9D9D9"/>
            </w:tcBorders>
          </w:tcPr>
          <w:p>
            <w:pPr>
              <w:spacing w:after="0" w:line="20" w:lineRule="exact"/>
              <w:rPr>
                <w:sz w:val="1"/>
                <w:szCs w:val="1"/>
                <w:color w:val="auto"/>
              </w:rPr>
            </w:pPr>
          </w:p>
        </w:tc>
      </w:tr>
      <w:tr>
        <w:trPr>
          <w:trHeight w:val="217"/>
        </w:trPr>
        <w:tc>
          <w:tcPr>
            <w:tcW w:w="3100" w:type="dxa"/>
            <w:vAlign w:val="bottom"/>
          </w:tcPr>
          <w:p>
            <w:pPr>
              <w:ind w:left="20"/>
              <w:spacing w:after="0"/>
              <w:rPr>
                <w:sz w:val="20"/>
                <w:szCs w:val="20"/>
                <w:color w:val="auto"/>
              </w:rPr>
            </w:pPr>
            <w:r>
              <w:rPr>
                <w:rFonts w:ascii="Arial" w:cs="Arial" w:eastAsia="Arial" w:hAnsi="Arial"/>
                <w:sz w:val="16"/>
                <w:szCs w:val="16"/>
                <w:color w:val="auto"/>
              </w:rPr>
              <w:t>Artesian Resources Corporation</w:t>
            </w:r>
          </w:p>
        </w:tc>
        <w:tc>
          <w:tcPr>
            <w:tcW w:w="3840" w:type="dxa"/>
            <w:vAlign w:val="bottom"/>
          </w:tcPr>
          <w:p>
            <w:pPr>
              <w:ind w:left="660"/>
              <w:spacing w:after="0"/>
              <w:rPr>
                <w:sz w:val="20"/>
                <w:szCs w:val="20"/>
                <w:color w:val="auto"/>
              </w:rPr>
            </w:pPr>
            <w:r>
              <w:rPr>
                <w:rFonts w:ascii="Arial" w:cs="Arial" w:eastAsia="Arial" w:hAnsi="Arial"/>
                <w:sz w:val="16"/>
                <w:szCs w:val="16"/>
                <w:color w:val="auto"/>
              </w:rPr>
              <w:t>H2O America (formerly SJW Group)</w:t>
            </w:r>
          </w:p>
        </w:tc>
        <w:tc>
          <w:tcPr>
            <w:tcW w:w="4300" w:type="dxa"/>
            <w:vAlign w:val="bottom"/>
          </w:tcPr>
          <w:p>
            <w:pPr>
              <w:ind w:left="580"/>
              <w:spacing w:after="0"/>
              <w:rPr>
                <w:sz w:val="20"/>
                <w:szCs w:val="20"/>
                <w:color w:val="auto"/>
              </w:rPr>
            </w:pPr>
            <w:r>
              <w:rPr>
                <w:rFonts w:ascii="Arial" w:cs="Arial" w:eastAsia="Arial" w:hAnsi="Arial"/>
                <w:sz w:val="16"/>
                <w:szCs w:val="16"/>
                <w:color w:val="auto"/>
              </w:rPr>
              <w:t>The York Water Company</w:t>
            </w:r>
          </w:p>
        </w:tc>
      </w:tr>
      <w:tr>
        <w:trPr>
          <w:trHeight w:val="22"/>
        </w:trPr>
        <w:tc>
          <w:tcPr>
            <w:tcW w:w="3100" w:type="dxa"/>
            <w:vAlign w:val="bottom"/>
            <w:tcBorders>
              <w:bottom w:val="single" w:sz="8" w:color="D9D9D9"/>
            </w:tcBorders>
          </w:tcPr>
          <w:p>
            <w:pPr>
              <w:spacing w:after="0" w:line="20" w:lineRule="exact"/>
              <w:rPr>
                <w:sz w:val="1"/>
                <w:szCs w:val="1"/>
                <w:color w:val="auto"/>
              </w:rPr>
            </w:pPr>
          </w:p>
        </w:tc>
        <w:tc>
          <w:tcPr>
            <w:tcW w:w="3840" w:type="dxa"/>
            <w:vAlign w:val="bottom"/>
            <w:tcBorders>
              <w:bottom w:val="single" w:sz="8" w:color="D9D9D9"/>
            </w:tcBorders>
          </w:tcPr>
          <w:p>
            <w:pPr>
              <w:spacing w:after="0" w:line="20" w:lineRule="exact"/>
              <w:rPr>
                <w:sz w:val="1"/>
                <w:szCs w:val="1"/>
                <w:color w:val="auto"/>
              </w:rPr>
            </w:pPr>
          </w:p>
        </w:tc>
        <w:tc>
          <w:tcPr>
            <w:tcW w:w="4300" w:type="dxa"/>
            <w:vAlign w:val="bottom"/>
            <w:tcBorders>
              <w:bottom w:val="single" w:sz="8" w:color="D9D9D9"/>
            </w:tcBorders>
          </w:tcPr>
          <w:p>
            <w:pPr>
              <w:spacing w:after="0" w:line="20" w:lineRule="exact"/>
              <w:rPr>
                <w:sz w:val="1"/>
                <w:szCs w:val="1"/>
                <w:color w:val="auto"/>
              </w:rPr>
            </w:pPr>
          </w:p>
        </w:tc>
      </w:tr>
      <w:tr>
        <w:trPr>
          <w:trHeight w:val="217"/>
        </w:trPr>
        <w:tc>
          <w:tcPr>
            <w:tcW w:w="3100" w:type="dxa"/>
            <w:vAlign w:val="bottom"/>
          </w:tcPr>
          <w:p>
            <w:pPr>
              <w:ind w:left="20"/>
              <w:spacing w:after="0"/>
              <w:rPr>
                <w:sz w:val="20"/>
                <w:szCs w:val="20"/>
                <w:color w:val="auto"/>
              </w:rPr>
            </w:pPr>
            <w:r>
              <w:rPr>
                <w:rFonts w:ascii="Arial" w:cs="Arial" w:eastAsia="Arial" w:hAnsi="Arial"/>
                <w:sz w:val="16"/>
                <w:szCs w:val="16"/>
                <w:color w:val="auto"/>
              </w:rPr>
              <w:t>Chesapeake Utilities Corporation</w:t>
            </w:r>
          </w:p>
        </w:tc>
        <w:tc>
          <w:tcPr>
            <w:tcW w:w="3840" w:type="dxa"/>
            <w:vAlign w:val="bottom"/>
          </w:tcPr>
          <w:p>
            <w:pPr>
              <w:ind w:left="660"/>
              <w:spacing w:after="0"/>
              <w:rPr>
                <w:sz w:val="20"/>
                <w:szCs w:val="20"/>
                <w:color w:val="auto"/>
              </w:rPr>
            </w:pPr>
            <w:r>
              <w:rPr>
                <w:rFonts w:ascii="Arial" w:cs="Arial" w:eastAsia="Arial" w:hAnsi="Arial"/>
                <w:sz w:val="16"/>
                <w:szCs w:val="16"/>
                <w:color w:val="auto"/>
              </w:rPr>
              <w:t>MGE Energy, Inc.</w:t>
            </w:r>
          </w:p>
        </w:tc>
        <w:tc>
          <w:tcPr>
            <w:tcW w:w="4300" w:type="dxa"/>
            <w:vAlign w:val="bottom"/>
          </w:tcPr>
          <w:p>
            <w:pPr>
              <w:ind w:left="580"/>
              <w:spacing w:after="0"/>
              <w:rPr>
                <w:sz w:val="20"/>
                <w:szCs w:val="20"/>
                <w:color w:val="auto"/>
              </w:rPr>
            </w:pPr>
            <w:r>
              <w:rPr>
                <w:rFonts w:ascii="Arial" w:cs="Arial" w:eastAsia="Arial" w:hAnsi="Arial"/>
                <w:sz w:val="16"/>
                <w:szCs w:val="16"/>
                <w:color w:val="auto"/>
              </w:rPr>
              <w:t>Unitil Corporation</w:t>
            </w:r>
          </w:p>
        </w:tc>
      </w:tr>
      <w:tr>
        <w:trPr>
          <w:trHeight w:val="22"/>
        </w:trPr>
        <w:tc>
          <w:tcPr>
            <w:tcW w:w="3100" w:type="dxa"/>
            <w:vAlign w:val="bottom"/>
            <w:tcBorders>
              <w:bottom w:val="single" w:sz="8" w:color="D9D9D9"/>
            </w:tcBorders>
          </w:tcPr>
          <w:p>
            <w:pPr>
              <w:spacing w:after="0" w:line="20" w:lineRule="exact"/>
              <w:rPr>
                <w:sz w:val="1"/>
                <w:szCs w:val="1"/>
                <w:color w:val="auto"/>
              </w:rPr>
            </w:pPr>
          </w:p>
        </w:tc>
        <w:tc>
          <w:tcPr>
            <w:tcW w:w="3840" w:type="dxa"/>
            <w:vAlign w:val="bottom"/>
            <w:tcBorders>
              <w:bottom w:val="single" w:sz="8" w:color="D9D9D9"/>
            </w:tcBorders>
          </w:tcPr>
          <w:p>
            <w:pPr>
              <w:spacing w:after="0" w:line="20" w:lineRule="exact"/>
              <w:rPr>
                <w:sz w:val="1"/>
                <w:szCs w:val="1"/>
                <w:color w:val="auto"/>
              </w:rPr>
            </w:pPr>
          </w:p>
        </w:tc>
        <w:tc>
          <w:tcPr>
            <w:tcW w:w="4300" w:type="dxa"/>
            <w:vAlign w:val="bottom"/>
            <w:tcBorders>
              <w:bottom w:val="single" w:sz="8" w:color="D9D9D9"/>
            </w:tcBorders>
          </w:tcPr>
          <w:p>
            <w:pPr>
              <w:spacing w:after="0" w:line="20" w:lineRule="exact"/>
              <w:rPr>
                <w:sz w:val="1"/>
                <w:szCs w:val="1"/>
                <w:color w:val="auto"/>
              </w:rPr>
            </w:pPr>
          </w:p>
        </w:tc>
      </w:tr>
      <w:tr>
        <w:trPr>
          <w:trHeight w:val="217"/>
        </w:trPr>
        <w:tc>
          <w:tcPr>
            <w:tcW w:w="3100" w:type="dxa"/>
            <w:vAlign w:val="bottom"/>
          </w:tcPr>
          <w:p>
            <w:pPr>
              <w:ind w:left="20"/>
              <w:spacing w:after="0"/>
              <w:rPr>
                <w:sz w:val="20"/>
                <w:szCs w:val="20"/>
                <w:color w:val="auto"/>
              </w:rPr>
            </w:pPr>
            <w:r>
              <w:rPr>
                <w:rFonts w:ascii="Arial" w:cs="Arial" w:eastAsia="Arial" w:hAnsi="Arial"/>
                <w:sz w:val="16"/>
                <w:szCs w:val="16"/>
                <w:color w:val="auto"/>
              </w:rPr>
              <w:t>Consolidated Water Co. Ltd.</w:t>
            </w:r>
          </w:p>
        </w:tc>
        <w:tc>
          <w:tcPr>
            <w:tcW w:w="3840" w:type="dxa"/>
            <w:vAlign w:val="bottom"/>
          </w:tcPr>
          <w:p>
            <w:pPr>
              <w:ind w:left="660"/>
              <w:spacing w:after="0"/>
              <w:rPr>
                <w:sz w:val="20"/>
                <w:szCs w:val="20"/>
                <w:color w:val="auto"/>
              </w:rPr>
            </w:pPr>
            <w:r>
              <w:rPr>
                <w:rFonts w:ascii="Arial" w:cs="Arial" w:eastAsia="Arial" w:hAnsi="Arial"/>
                <w:sz w:val="16"/>
                <w:szCs w:val="16"/>
                <w:color w:val="auto"/>
              </w:rPr>
              <w:t>Montauk Renewables, Inc.</w:t>
            </w:r>
          </w:p>
        </w:tc>
        <w:tc>
          <w:tcPr>
            <w:tcW w:w="4300" w:type="dxa"/>
            <w:vAlign w:val="bottom"/>
          </w:tcPr>
          <w:p>
            <w:pPr>
              <w:spacing w:after="0"/>
              <w:rPr>
                <w:sz w:val="18"/>
                <w:szCs w:val="18"/>
                <w:color w:val="auto"/>
              </w:rPr>
            </w:pPr>
          </w:p>
        </w:tc>
      </w:tr>
      <w:tr>
        <w:trPr>
          <w:trHeight w:val="22"/>
        </w:trPr>
        <w:tc>
          <w:tcPr>
            <w:tcW w:w="3100" w:type="dxa"/>
            <w:vAlign w:val="bottom"/>
            <w:tcBorders>
              <w:bottom w:val="single" w:sz="8" w:color="00AEEF"/>
            </w:tcBorders>
          </w:tcPr>
          <w:p>
            <w:pPr>
              <w:spacing w:after="0" w:line="20" w:lineRule="exact"/>
              <w:rPr>
                <w:sz w:val="1"/>
                <w:szCs w:val="1"/>
                <w:color w:val="auto"/>
              </w:rPr>
            </w:pPr>
          </w:p>
        </w:tc>
        <w:tc>
          <w:tcPr>
            <w:tcW w:w="3840" w:type="dxa"/>
            <w:vAlign w:val="bottom"/>
            <w:tcBorders>
              <w:bottom w:val="single" w:sz="8" w:color="00AEEF"/>
            </w:tcBorders>
          </w:tcPr>
          <w:p>
            <w:pPr>
              <w:spacing w:after="0" w:line="20" w:lineRule="exact"/>
              <w:rPr>
                <w:sz w:val="1"/>
                <w:szCs w:val="1"/>
                <w:color w:val="auto"/>
              </w:rPr>
            </w:pPr>
          </w:p>
        </w:tc>
        <w:tc>
          <w:tcPr>
            <w:tcW w:w="4300" w:type="dxa"/>
            <w:vAlign w:val="bottom"/>
            <w:tcBorders>
              <w:bottom w:val="single" w:sz="8" w:color="00AEEF"/>
            </w:tcBorders>
          </w:tcPr>
          <w:p>
            <w:pPr>
              <w:spacing w:after="0" w:line="20" w:lineRule="exact"/>
              <w:rPr>
                <w:sz w:val="1"/>
                <w:szCs w:val="1"/>
                <w:color w:val="auto"/>
              </w:rPr>
            </w:pPr>
          </w:p>
        </w:tc>
      </w:tr>
    </w:tbl>
    <w:p>
      <w:pPr>
        <w:spacing w:after="0" w:line="192"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following companies were added to the peer group for 2025: Altus Power, Inc., Genie Energy Ltd., and RGC Resources as these companies resemble the Company in terms of asset size and annual revenue and the Committee believe these additions would better position the Company at the median of the peer group range. At the time that the peer group was developed, the Company was at the 45th percentile of the peer group for revenue, the 50th percentile for assets, and 64th percentile for market capitalization.</w:t>
      </w:r>
    </w:p>
    <w:p>
      <w:pPr>
        <w:spacing w:after="0" w:line="92" w:lineRule="exact"/>
        <w:rPr>
          <w:sz w:val="20"/>
          <w:szCs w:val="20"/>
          <w:color w:val="auto"/>
        </w:rPr>
      </w:pPr>
    </w:p>
    <w:p>
      <w:pPr>
        <w:ind w:right="180"/>
        <w:spacing w:after="0" w:line="299" w:lineRule="auto"/>
        <w:rPr>
          <w:sz w:val="20"/>
          <w:szCs w:val="20"/>
          <w:color w:val="auto"/>
        </w:rPr>
      </w:pPr>
      <w:r>
        <w:rPr>
          <w:rFonts w:ascii="Arial" w:cs="Arial" w:eastAsia="Arial" w:hAnsi="Arial"/>
          <w:sz w:val="16"/>
          <w:szCs w:val="16"/>
          <w:color w:val="auto"/>
        </w:rPr>
        <w:t>In addition to the criteria above, the Committee also referenced general and specific industry surveys from other sources. The market data are used as a reference point and to provide information on the range of competitive pay levels and current compensation practices in our industry.</w:t>
      </w:r>
    </w:p>
    <w:p>
      <w:pPr>
        <w:spacing w:after="0" w:line="71" w:lineRule="exact"/>
        <w:rPr>
          <w:sz w:val="20"/>
          <w:szCs w:val="20"/>
          <w:color w:val="auto"/>
        </w:rPr>
      </w:pPr>
    </w:p>
    <w:p>
      <w:pPr>
        <w:ind w:right="120"/>
        <w:spacing w:after="0" w:line="299" w:lineRule="auto"/>
        <w:rPr>
          <w:sz w:val="20"/>
          <w:szCs w:val="20"/>
          <w:color w:val="auto"/>
        </w:rPr>
      </w:pPr>
      <w:r>
        <w:rPr>
          <w:rFonts w:ascii="Arial" w:cs="Arial" w:eastAsia="Arial" w:hAnsi="Arial"/>
          <w:sz w:val="16"/>
          <w:szCs w:val="16"/>
          <w:color w:val="auto"/>
        </w:rPr>
        <w:t>We believe that the compensation practices of our peer group provided us with appropriate compensation reference points for evaluating and determining the compensation of our NEOs during 2025. Consistent with best practices for corporate governance, the Committee will review our peer group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250825</wp:posOffset>
            </wp:positionV>
            <wp:extent cx="7620" cy="132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392" w:lineRule="exact"/>
        <w:rPr>
          <w:sz w:val="20"/>
          <w:szCs w:val="20"/>
          <w:color w:val="auto"/>
        </w:rPr>
      </w:pPr>
    </w:p>
    <w:p>
      <w:pPr>
        <w:ind w:left="460" w:hanging="445"/>
        <w:spacing w:after="0"/>
        <w:tabs>
          <w:tab w:leader="none" w:pos="460" w:val="left"/>
        </w:tabs>
        <w:numPr>
          <w:ilvl w:val="0"/>
          <w:numId w:val="57"/>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210185</wp:posOffset>
            </wp:positionV>
            <wp:extent cx="7169785" cy="412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4"/>
          <w:szCs w:val="14"/>
          <w:b w:val="1"/>
          <w:bCs w:val="1"/>
          <w:color w:val="191769"/>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8"/>
          <w:szCs w:val="28"/>
          <w:b w:val="1"/>
          <w:bCs w:val="1"/>
          <w:color w:val="191769"/>
        </w:rPr>
        <w:t>IV. Compensation Program Components</w:t>
      </w:r>
    </w:p>
    <w:p>
      <w:pPr>
        <w:spacing w:after="0" w:line="84" w:lineRule="exact"/>
        <w:rPr>
          <w:sz w:val="20"/>
          <w:szCs w:val="20"/>
          <w:color w:val="auto"/>
        </w:rPr>
      </w:pPr>
    </w:p>
    <w:p>
      <w:pPr>
        <w:spacing w:after="0"/>
        <w:rPr>
          <w:sz w:val="20"/>
          <w:szCs w:val="20"/>
          <w:color w:val="auto"/>
        </w:rPr>
      </w:pPr>
      <w:r>
        <w:rPr>
          <w:rFonts w:ascii="Arial" w:cs="Arial" w:eastAsia="Arial" w:hAnsi="Arial"/>
          <w:sz w:val="23"/>
          <w:szCs w:val="23"/>
          <w:b w:val="1"/>
          <w:bCs w:val="1"/>
          <w:color w:val="0076A8"/>
        </w:rPr>
        <w:t>2025 Components in General</w:t>
      </w:r>
    </w:p>
    <w:p>
      <w:pPr>
        <w:spacing w:after="0" w:line="98" w:lineRule="exact"/>
        <w:rPr>
          <w:sz w:val="20"/>
          <w:szCs w:val="20"/>
          <w:color w:val="auto"/>
        </w:rPr>
      </w:pPr>
    </w:p>
    <w:p>
      <w:pPr>
        <w:ind w:right="240"/>
        <w:spacing w:after="0" w:line="299" w:lineRule="auto"/>
        <w:rPr>
          <w:sz w:val="20"/>
          <w:szCs w:val="20"/>
          <w:color w:val="auto"/>
        </w:rPr>
      </w:pPr>
      <w:r>
        <w:rPr>
          <w:rFonts w:ascii="Arial" w:cs="Arial" w:eastAsia="Arial" w:hAnsi="Arial"/>
          <w:sz w:val="16"/>
          <w:szCs w:val="16"/>
          <w:color w:val="auto"/>
        </w:rPr>
        <w:t>The Committee has structured our executive compensation program to compensate our executives in a manner consistent with balancing customer and shareholder interests, market competitive pay practices in our industry, and regulatory considerations.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 consists of the following key components:</w:t>
      </w:r>
    </w:p>
    <w:p>
      <w:pPr>
        <w:spacing w:after="0" w:line="207" w:lineRule="exact"/>
        <w:rPr>
          <w:sz w:val="20"/>
          <w:szCs w:val="20"/>
          <w:color w:val="auto"/>
        </w:rPr>
      </w:pPr>
    </w:p>
    <w:p>
      <w:pPr>
        <w:ind w:left="20"/>
        <w:spacing w:after="0"/>
        <w:tabs>
          <w:tab w:leader="none" w:pos="2940" w:val="left"/>
          <w:tab w:leader="none" w:pos="7080" w:val="left"/>
        </w:tabs>
        <w:rPr>
          <w:sz w:val="20"/>
          <w:szCs w:val="20"/>
          <w:color w:val="auto"/>
        </w:rPr>
      </w:pPr>
      <w:r>
        <w:rPr>
          <w:rFonts w:ascii="Arial" w:cs="Arial" w:eastAsia="Arial" w:hAnsi="Arial"/>
          <w:sz w:val="13"/>
          <w:szCs w:val="13"/>
          <w:b w:val="1"/>
          <w:bCs w:val="1"/>
          <w:color w:val="191769"/>
        </w:rPr>
        <w:t>Component</w:t>
      </w:r>
      <w:r>
        <w:rPr>
          <w:sz w:val="20"/>
          <w:szCs w:val="20"/>
          <w:color w:val="auto"/>
        </w:rPr>
        <w:tab/>
      </w:r>
      <w:r>
        <w:rPr>
          <w:rFonts w:ascii="Arial" w:cs="Arial" w:eastAsia="Arial" w:hAnsi="Arial"/>
          <w:sz w:val="13"/>
          <w:szCs w:val="13"/>
          <w:b w:val="1"/>
          <w:bCs w:val="1"/>
          <w:color w:val="191769"/>
        </w:rPr>
        <w:t>Description</w:t>
      </w:r>
      <w:r>
        <w:rPr>
          <w:sz w:val="20"/>
          <w:szCs w:val="20"/>
          <w:color w:val="auto"/>
        </w:rPr>
        <w:tab/>
      </w:r>
      <w:r>
        <w:rPr>
          <w:rFonts w:ascii="Arial" w:cs="Arial" w:eastAsia="Arial" w:hAnsi="Arial"/>
          <w:sz w:val="13"/>
          <w:szCs w:val="13"/>
          <w:b w:val="1"/>
          <w:bCs w:val="1"/>
          <w:color w:val="191769"/>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4438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63" w:lineRule="exact"/>
        <w:rPr>
          <w:sz w:val="20"/>
          <w:szCs w:val="20"/>
          <w:color w:val="auto"/>
        </w:rPr>
      </w:pPr>
    </w:p>
    <w:p>
      <w:pPr>
        <w:ind w:left="20"/>
        <w:spacing w:after="0"/>
        <w:tabs>
          <w:tab w:leader="none" w:pos="2940" w:val="left"/>
        </w:tabs>
        <w:rPr>
          <w:sz w:val="20"/>
          <w:szCs w:val="20"/>
          <w:color w:val="auto"/>
        </w:rPr>
      </w:pPr>
      <w:r>
        <w:rPr>
          <w:rFonts w:ascii="Arial" w:cs="Arial" w:eastAsia="Arial" w:hAnsi="Arial"/>
          <w:sz w:val="16"/>
          <w:szCs w:val="16"/>
          <w:color w:val="auto"/>
        </w:rPr>
        <w:t>Base Salary</w:t>
      </w:r>
      <w:r>
        <w:rPr>
          <w:sz w:val="20"/>
          <w:szCs w:val="20"/>
          <w:color w:val="auto"/>
        </w:rPr>
        <w:tab/>
      </w:r>
      <w:r>
        <w:rPr>
          <w:rFonts w:ascii="Arial" w:cs="Arial" w:eastAsia="Arial" w:hAnsi="Arial"/>
          <w:sz w:val="16"/>
          <w:szCs w:val="16"/>
          <w:color w:val="auto"/>
        </w:rPr>
        <w:t>Fixed cash compensation based on each executive</w:t>
      </w:r>
    </w:p>
    <w:p>
      <w:pPr>
        <w:spacing w:after="0" w:line="29" w:lineRule="exact"/>
        <w:rPr>
          <w:sz w:val="20"/>
          <w:szCs w:val="20"/>
          <w:color w:val="auto"/>
        </w:rPr>
      </w:pPr>
    </w:p>
    <w:p>
      <w:pPr>
        <w:ind w:left="2960"/>
        <w:spacing w:after="0" w:line="267" w:lineRule="auto"/>
        <w:rPr>
          <w:sz w:val="20"/>
          <w:szCs w:val="20"/>
          <w:color w:val="auto"/>
        </w:rPr>
      </w:pPr>
      <w:r>
        <w:rPr>
          <w:rFonts w:ascii="Arial" w:cs="Arial" w:eastAsia="Arial" w:hAnsi="Arial"/>
          <w:sz w:val="16"/>
          <w:szCs w:val="16"/>
          <w:color w:val="auto"/>
        </w:rPr>
        <w:t>officer’s role and responsibilities, skill set, experience, individual performance, relevant benchmarking data and positioning relative to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251460</wp:posOffset>
            </wp:positionV>
            <wp:extent cx="714438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Provides a foundational element of compensation that is relatively secure and that reflects the skills and experience that an executive brings to us; we seek to pay base salaries that are competitive with those paid to executive officers in comparable positions at our peer companies.</w:t>
      </w:r>
    </w:p>
    <w:p>
      <w:pPr>
        <w:spacing w:after="0" w:line="24" w:lineRule="exact"/>
        <w:rPr>
          <w:sz w:val="20"/>
          <w:szCs w:val="20"/>
          <w:color w:val="auto"/>
        </w:rPr>
      </w:pPr>
    </w:p>
    <w:p>
      <w:pPr>
        <w:sectPr>
          <w:pgSz w:w="11900" w:h="16838" w:orient="portrait"/>
          <w:cols w:equalWidth="0" w:num="2">
            <w:col w:w="7040" w:space="60"/>
            <w:col w:w="4140"/>
          </w:cols>
          <w:pgMar w:left="320" w:top="124" w:right="339" w:bottom="1440" w:gutter="0" w:footer="0" w:header="0"/>
          <w:type w:val="continuous"/>
        </w:sectPr>
      </w:pPr>
    </w:p>
    <w:p>
      <w:pPr>
        <w:ind w:left="20"/>
        <w:spacing w:after="0"/>
        <w:tabs>
          <w:tab w:leader="none" w:pos="2940" w:val="left"/>
        </w:tabs>
        <w:rPr>
          <w:sz w:val="20"/>
          <w:szCs w:val="20"/>
          <w:color w:val="auto"/>
        </w:rPr>
      </w:pPr>
      <w:r>
        <w:rPr>
          <w:rFonts w:ascii="Arial" w:cs="Arial" w:eastAsia="Arial" w:hAnsi="Arial"/>
          <w:sz w:val="16"/>
          <w:szCs w:val="16"/>
          <w:color w:val="auto"/>
        </w:rPr>
        <w:t>Short-Term Incentive (STI)</w:t>
      </w:r>
      <w:r>
        <w:rPr>
          <w:sz w:val="20"/>
          <w:szCs w:val="20"/>
          <w:color w:val="auto"/>
        </w:rPr>
        <w:tab/>
      </w:r>
      <w:r>
        <w:rPr>
          <w:rFonts w:ascii="Arial" w:cs="Arial" w:eastAsia="Arial" w:hAnsi="Arial"/>
          <w:sz w:val="16"/>
          <w:szCs w:val="16"/>
          <w:color w:val="auto"/>
        </w:rPr>
        <w:t>Variable cash compensation based on the level of</w:t>
      </w:r>
    </w:p>
    <w:p>
      <w:pPr>
        <w:spacing w:after="0" w:line="29" w:lineRule="exact"/>
        <w:rPr>
          <w:sz w:val="20"/>
          <w:szCs w:val="20"/>
          <w:color w:val="auto"/>
        </w:rPr>
      </w:pPr>
    </w:p>
    <w:p>
      <w:pPr>
        <w:ind w:left="20"/>
        <w:spacing w:after="0"/>
        <w:tabs>
          <w:tab w:leader="none" w:pos="2940" w:val="left"/>
        </w:tabs>
        <w:rPr>
          <w:sz w:val="20"/>
          <w:szCs w:val="20"/>
          <w:color w:val="auto"/>
        </w:rPr>
      </w:pPr>
      <w:r>
        <w:rPr>
          <w:rFonts w:ascii="Arial" w:cs="Arial" w:eastAsia="Arial" w:hAnsi="Arial"/>
          <w:sz w:val="16"/>
          <w:szCs w:val="16"/>
          <w:color w:val="auto"/>
        </w:rPr>
        <w:t>Compensation: Annual Cash Award</w:t>
      </w:r>
      <w:r>
        <w:rPr>
          <w:sz w:val="20"/>
          <w:szCs w:val="20"/>
          <w:color w:val="auto"/>
        </w:rPr>
        <w:tab/>
      </w:r>
      <w:r>
        <w:rPr>
          <w:rFonts w:ascii="Arial" w:cs="Arial" w:eastAsia="Arial" w:hAnsi="Arial"/>
          <w:sz w:val="16"/>
          <w:szCs w:val="16"/>
          <w:color w:val="auto"/>
        </w:rPr>
        <w:t>achievement of a pre-defined financial goal, six</w:t>
      </w:r>
    </w:p>
    <w:p>
      <w:pPr>
        <w:spacing w:after="0" w:line="13" w:lineRule="exact"/>
        <w:rPr>
          <w:sz w:val="20"/>
          <w:szCs w:val="20"/>
          <w:color w:val="auto"/>
        </w:rPr>
      </w:pPr>
    </w:p>
    <w:p>
      <w:pPr>
        <w:ind w:left="2960" w:right="280"/>
        <w:spacing w:after="0" w:line="278" w:lineRule="auto"/>
        <w:rPr>
          <w:sz w:val="20"/>
          <w:szCs w:val="20"/>
          <w:color w:val="auto"/>
        </w:rPr>
      </w:pPr>
      <w:r>
        <w:rPr>
          <w:rFonts w:ascii="Arial" w:cs="Arial" w:eastAsia="Arial" w:hAnsi="Arial"/>
          <w:sz w:val="16"/>
          <w:szCs w:val="16"/>
          <w:color w:val="auto"/>
        </w:rPr>
        <w:t>corporate non-financial goals, and individual NEO performance goals.</w:t>
      </w:r>
    </w:p>
    <w:p>
      <w:pPr>
        <w:spacing w:after="0" w:line="75" w:lineRule="exact"/>
        <w:rPr>
          <w:sz w:val="20"/>
          <w:szCs w:val="20"/>
          <w:color w:val="auto"/>
        </w:rPr>
      </w:pPr>
    </w:p>
    <w:p>
      <w:pPr>
        <w:ind w:left="2960" w:right="220"/>
        <w:spacing w:after="0" w:line="299" w:lineRule="auto"/>
        <w:rPr>
          <w:sz w:val="20"/>
          <w:szCs w:val="20"/>
          <w:color w:val="auto"/>
        </w:rPr>
      </w:pPr>
      <w:r>
        <w:rPr>
          <w:rFonts w:ascii="Arial" w:cs="Arial" w:eastAsia="Arial" w:hAnsi="Arial"/>
          <w:sz w:val="16"/>
          <w:szCs w:val="16"/>
          <w:color w:val="auto"/>
        </w:rPr>
        <w:t>Annual cash incentives are capped at maximum of 135% of each NEO’s target opportunity.</w:t>
      </w:r>
    </w:p>
    <w:p>
      <w:pPr>
        <w:spacing w:after="0" w:line="71" w:lineRule="exact"/>
        <w:rPr>
          <w:sz w:val="20"/>
          <w:szCs w:val="20"/>
          <w:color w:val="auto"/>
        </w:rPr>
      </w:pPr>
    </w:p>
    <w:p>
      <w:pPr>
        <w:ind w:left="2960"/>
        <w:spacing w:after="0" w:line="271" w:lineRule="auto"/>
        <w:rPr>
          <w:sz w:val="20"/>
          <w:szCs w:val="20"/>
          <w:color w:val="auto"/>
        </w:rPr>
      </w:pPr>
      <w:r>
        <w:rPr>
          <w:rFonts w:ascii="Arial" w:cs="Arial" w:eastAsia="Arial" w:hAnsi="Arial"/>
          <w:sz w:val="16"/>
          <w:szCs w:val="16"/>
          <w:color w:val="auto"/>
        </w:rPr>
        <w:t>Performance against the pre-defined financial goal, which is weighted 50% of the total annual incentive, must exceed a threshold level of performance to earn any credit toward a payout with respect to that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14438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20"/>
        <w:spacing w:after="0" w:line="263" w:lineRule="auto"/>
        <w:rPr>
          <w:sz w:val="20"/>
          <w:szCs w:val="20"/>
          <w:color w:val="auto"/>
        </w:rPr>
      </w:pPr>
      <w:r>
        <w:rPr>
          <w:rFonts w:ascii="Arial" w:cs="Arial" w:eastAsia="Arial" w:hAnsi="Arial"/>
          <w:sz w:val="16"/>
          <w:szCs w:val="16"/>
          <w:color w:val="auto"/>
        </w:rPr>
        <w:t>Designed to align our executive officers in achieving short-term financial goals, corporate objectives and individual performance objectives; payout levels are generally determined based on actual financial results and the degree of achievement of Company and individual performance and reward exceptional individual performance.</w:t>
      </w:r>
    </w:p>
    <w:p>
      <w:pPr>
        <w:spacing w:after="0" w:line="1013" w:lineRule="exact"/>
        <w:rPr>
          <w:sz w:val="20"/>
          <w:szCs w:val="20"/>
          <w:color w:val="auto"/>
        </w:rPr>
      </w:pPr>
    </w:p>
    <w:p>
      <w:pPr>
        <w:sectPr>
          <w:pgSz w:w="11900" w:h="16838" w:orient="portrait"/>
          <w:cols w:equalWidth="0" w:num="2">
            <w:col w:w="6840" w:space="260"/>
            <w:col w:w="4140"/>
          </w:cols>
          <w:pgMar w:left="320" w:top="124" w:right="339" w:bottom="1440" w:gutter="0" w:footer="0" w:header="0"/>
          <w:type w:val="continuous"/>
        </w:sectPr>
      </w:pPr>
    </w:p>
    <w:tbl>
      <w:tblPr>
        <w:tblLayout w:type="fixed"/>
        <w:tblInd w:w="20" w:type="dxa"/>
        <w:tblCellMar>
          <w:top w:w="0" w:type="dxa"/>
          <w:left w:w="0" w:type="dxa"/>
          <w:bottom w:w="0" w:type="dxa"/>
          <w:right w:w="0" w:type="dxa"/>
        </w:tblCellMar>
      </w:tblPr>
      <w:tr>
        <w:trPr>
          <w:trHeight w:val="197"/>
        </w:trPr>
        <w:tc>
          <w:tcPr>
            <w:tcW w:w="2780" w:type="dxa"/>
            <w:vAlign w:val="bottom"/>
          </w:tcPr>
          <w:p>
            <w:pPr>
              <w:spacing w:after="0"/>
              <w:rPr>
                <w:sz w:val="20"/>
                <w:szCs w:val="20"/>
                <w:color w:val="auto"/>
              </w:rPr>
            </w:pPr>
            <w:r>
              <w:rPr>
                <w:rFonts w:ascii="Arial" w:cs="Arial" w:eastAsia="Arial" w:hAnsi="Arial"/>
                <w:sz w:val="16"/>
                <w:szCs w:val="16"/>
                <w:color w:val="auto"/>
              </w:rPr>
              <w:t>Long-Term Incentive Compensation:</w:t>
            </w:r>
          </w:p>
        </w:tc>
        <w:tc>
          <w:tcPr>
            <w:tcW w:w="4060" w:type="dxa"/>
            <w:vAlign w:val="bottom"/>
          </w:tcPr>
          <w:p>
            <w:pPr>
              <w:ind w:left="160"/>
              <w:spacing w:after="0"/>
              <w:rPr>
                <w:sz w:val="20"/>
                <w:szCs w:val="20"/>
                <w:color w:val="auto"/>
              </w:rPr>
            </w:pPr>
            <w:r>
              <w:rPr>
                <w:rFonts w:ascii="Arial" w:cs="Arial" w:eastAsia="Arial" w:hAnsi="Arial"/>
                <w:sz w:val="16"/>
                <w:szCs w:val="16"/>
                <w:color w:val="auto"/>
              </w:rPr>
              <w:t>Variable, equity element determined based on the</w:t>
            </w:r>
          </w:p>
        </w:tc>
        <w:tc>
          <w:tcPr>
            <w:tcW w:w="4340" w:type="dxa"/>
            <w:vAlign w:val="bottom"/>
          </w:tcPr>
          <w:p>
            <w:pPr>
              <w:ind w:left="240"/>
              <w:spacing w:after="0"/>
              <w:rPr>
                <w:sz w:val="20"/>
                <w:szCs w:val="20"/>
                <w:color w:val="auto"/>
              </w:rPr>
            </w:pPr>
            <w:r>
              <w:rPr>
                <w:rFonts w:ascii="Arial" w:cs="Arial" w:eastAsia="Arial" w:hAnsi="Arial"/>
                <w:sz w:val="16"/>
                <w:szCs w:val="16"/>
                <w:color w:val="auto"/>
              </w:rPr>
              <w:t>Designed to motivate and reward executives to achieve</w:t>
            </w:r>
          </w:p>
        </w:tc>
      </w:tr>
      <w:tr>
        <w:trPr>
          <w:trHeight w:val="197"/>
        </w:trPr>
        <w:tc>
          <w:tcPr>
            <w:tcW w:w="2780" w:type="dxa"/>
            <w:vAlign w:val="bottom"/>
          </w:tcPr>
          <w:p>
            <w:pPr>
              <w:spacing w:after="0"/>
              <w:rPr>
                <w:sz w:val="20"/>
                <w:szCs w:val="20"/>
                <w:color w:val="auto"/>
              </w:rPr>
            </w:pPr>
            <w:r>
              <w:rPr>
                <w:rFonts w:ascii="Arial" w:cs="Arial" w:eastAsia="Arial" w:hAnsi="Arial"/>
                <w:sz w:val="16"/>
                <w:szCs w:val="16"/>
                <w:color w:val="auto"/>
              </w:rPr>
              <w:t>Equity-Based Compensation</w:t>
            </w:r>
          </w:p>
        </w:tc>
        <w:tc>
          <w:tcPr>
            <w:tcW w:w="4060" w:type="dxa"/>
            <w:vAlign w:val="bottom"/>
          </w:tcPr>
          <w:p>
            <w:pPr>
              <w:ind w:left="160"/>
              <w:spacing w:after="0"/>
              <w:rPr>
                <w:sz w:val="20"/>
                <w:szCs w:val="20"/>
                <w:color w:val="auto"/>
              </w:rPr>
            </w:pPr>
            <w:r>
              <w:rPr>
                <w:rFonts w:ascii="Arial" w:cs="Arial" w:eastAsia="Arial" w:hAnsi="Arial"/>
                <w:sz w:val="16"/>
                <w:szCs w:val="16"/>
                <w:color w:val="auto"/>
              </w:rPr>
              <w:t>achievement of two financial performance metrics,</w:t>
            </w:r>
          </w:p>
        </w:tc>
        <w:tc>
          <w:tcPr>
            <w:tcW w:w="4340" w:type="dxa"/>
            <w:vAlign w:val="bottom"/>
          </w:tcPr>
          <w:p>
            <w:pPr>
              <w:ind w:left="240"/>
              <w:spacing w:after="0"/>
              <w:rPr>
                <w:sz w:val="20"/>
                <w:szCs w:val="20"/>
                <w:color w:val="auto"/>
              </w:rPr>
            </w:pPr>
            <w:r>
              <w:rPr>
                <w:rFonts w:ascii="Arial" w:cs="Arial" w:eastAsia="Arial" w:hAnsi="Arial"/>
                <w:sz w:val="16"/>
                <w:szCs w:val="16"/>
                <w:color w:val="auto"/>
              </w:rPr>
              <w:t>performance goals tied to financial and strategic</w:t>
            </w:r>
          </w:p>
        </w:tc>
      </w:tr>
      <w:tr>
        <w:trPr>
          <w:trHeight w:val="197"/>
        </w:trPr>
        <w:tc>
          <w:tcPr>
            <w:tcW w:w="2780" w:type="dxa"/>
            <w:vAlign w:val="bottom"/>
          </w:tcPr>
          <w:p>
            <w:pPr>
              <w:spacing w:after="0"/>
              <w:rPr>
                <w:sz w:val="17"/>
                <w:szCs w:val="17"/>
                <w:color w:val="auto"/>
              </w:rPr>
            </w:pPr>
          </w:p>
        </w:tc>
        <w:tc>
          <w:tcPr>
            <w:tcW w:w="4060" w:type="dxa"/>
            <w:vAlign w:val="bottom"/>
          </w:tcPr>
          <w:p>
            <w:pPr>
              <w:ind w:left="160"/>
              <w:spacing w:after="0"/>
              <w:rPr>
                <w:sz w:val="20"/>
                <w:szCs w:val="20"/>
                <w:color w:val="auto"/>
              </w:rPr>
            </w:pPr>
            <w:r>
              <w:rPr>
                <w:rFonts w:ascii="Arial" w:cs="Arial" w:eastAsia="Arial" w:hAnsi="Arial"/>
                <w:sz w:val="16"/>
                <w:szCs w:val="16"/>
                <w:color w:val="auto"/>
              </w:rPr>
              <w:t>diluted earnings per share and capital investment</w:t>
            </w:r>
          </w:p>
        </w:tc>
        <w:tc>
          <w:tcPr>
            <w:tcW w:w="4340" w:type="dxa"/>
            <w:vAlign w:val="bottom"/>
          </w:tcPr>
          <w:p>
            <w:pPr>
              <w:ind w:left="240"/>
              <w:spacing w:after="0"/>
              <w:rPr>
                <w:sz w:val="20"/>
                <w:szCs w:val="20"/>
                <w:color w:val="auto"/>
              </w:rPr>
            </w:pPr>
            <w:r>
              <w:rPr>
                <w:rFonts w:ascii="Arial" w:cs="Arial" w:eastAsia="Arial" w:hAnsi="Arial"/>
                <w:sz w:val="16"/>
                <w:szCs w:val="16"/>
                <w:color w:val="auto"/>
              </w:rPr>
              <w:t>initiatives, encourage sustained share price</w:t>
            </w:r>
          </w:p>
        </w:tc>
      </w:tr>
      <w:tr>
        <w:trPr>
          <w:trHeight w:val="197"/>
        </w:trPr>
        <w:tc>
          <w:tcPr>
            <w:tcW w:w="2780" w:type="dxa"/>
            <w:vAlign w:val="bottom"/>
          </w:tcPr>
          <w:p>
            <w:pPr>
              <w:spacing w:after="0"/>
              <w:rPr>
                <w:sz w:val="17"/>
                <w:szCs w:val="17"/>
                <w:color w:val="auto"/>
              </w:rPr>
            </w:pPr>
          </w:p>
        </w:tc>
        <w:tc>
          <w:tcPr>
            <w:tcW w:w="8400" w:type="dxa"/>
            <w:vAlign w:val="bottom"/>
            <w:gridSpan w:val="2"/>
          </w:tcPr>
          <w:p>
            <w:pPr>
              <w:ind w:left="160"/>
              <w:spacing w:after="0"/>
              <w:rPr>
                <w:sz w:val="20"/>
                <w:szCs w:val="20"/>
                <w:color w:val="auto"/>
              </w:rPr>
            </w:pPr>
            <w:r>
              <w:rPr>
                <w:rFonts w:ascii="Arial" w:cs="Arial" w:eastAsia="Arial" w:hAnsi="Arial"/>
                <w:sz w:val="16"/>
                <w:szCs w:val="16"/>
                <w:color w:val="auto"/>
              </w:rPr>
              <w:t>delivery. The incentive is capped at a maximum of 175% performance, align with shareholder interests, as well as</w:t>
            </w:r>
          </w:p>
        </w:tc>
      </w:tr>
      <w:tr>
        <w:trPr>
          <w:trHeight w:val="213"/>
        </w:trPr>
        <w:tc>
          <w:tcPr>
            <w:tcW w:w="278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6"/>
                <w:szCs w:val="16"/>
                <w:color w:val="auto"/>
              </w:rPr>
              <w:t>of each individual’s target opportunity.</w:t>
            </w:r>
          </w:p>
        </w:tc>
        <w:tc>
          <w:tcPr>
            <w:tcW w:w="4340" w:type="dxa"/>
            <w:vAlign w:val="bottom"/>
          </w:tcPr>
          <w:p>
            <w:pPr>
              <w:ind w:left="240"/>
              <w:spacing w:after="0"/>
              <w:rPr>
                <w:sz w:val="20"/>
                <w:szCs w:val="20"/>
                <w:color w:val="auto"/>
              </w:rPr>
            </w:pPr>
            <w:r>
              <w:rPr>
                <w:rFonts w:ascii="Arial" w:cs="Arial" w:eastAsia="Arial" w:hAnsi="Arial"/>
                <w:sz w:val="16"/>
                <w:szCs w:val="16"/>
                <w:color w:val="auto"/>
              </w:rPr>
              <w:t>to attract, retain and motivate our executives over the</w:t>
            </w:r>
          </w:p>
        </w:tc>
      </w:tr>
    </w:tbl>
    <w:p>
      <w:pPr>
        <w:ind w:left="7100"/>
        <w:spacing w:after="0" w:line="183" w:lineRule="auto"/>
        <w:rPr>
          <w:sz w:val="20"/>
          <w:szCs w:val="20"/>
          <w:color w:val="auto"/>
        </w:rPr>
      </w:pPr>
      <w:r>
        <w:rPr>
          <w:rFonts w:ascii="Arial" w:cs="Arial" w:eastAsia="Arial" w:hAnsi="Arial"/>
          <w:sz w:val="14"/>
          <w:szCs w:val="14"/>
          <w:color w:val="auto"/>
        </w:rPr>
        <w:t>long-term.</w:t>
      </w:r>
    </w:p>
    <w:p>
      <w:pPr>
        <w:ind w:left="2960"/>
        <w:spacing w:after="0"/>
        <w:rPr>
          <w:sz w:val="20"/>
          <w:szCs w:val="20"/>
          <w:color w:val="auto"/>
        </w:rPr>
      </w:pPr>
      <w:r>
        <w:rPr>
          <w:rFonts w:ascii="Arial" w:cs="Arial" w:eastAsia="Arial" w:hAnsi="Arial"/>
          <w:sz w:val="16"/>
          <w:szCs w:val="16"/>
          <w:color w:val="auto"/>
        </w:rPr>
        <w:t>Awards are in the form of restricted stock are earned</w:t>
      </w:r>
    </w:p>
    <w:p>
      <w:pPr>
        <w:spacing w:after="0" w:line="13"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based on achievement of pre-defined financial</w:t>
      </w:r>
    </w:p>
    <w:p>
      <w:pPr>
        <w:spacing w:after="0" w:line="13"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objectives and vest ratably over a</w:t>
      </w:r>
    </w:p>
    <w:p>
      <w:pPr>
        <w:spacing w:after="0" w:line="13"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three-year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14438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35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Committee analyzes the level and relative mix of the elements of executive compensation by component (base salary, cash and equity incentives) and in the aggregate as related to total compensation. The Committee has generally established the 50th percentile of peer group companies and survey data as the target for total compensation. Based on this analysis, the Committee reviews, challenges and recommends each NEO’s compensation, subject to approval by the non-employee members of the Board.</w:t>
      </w:r>
    </w:p>
    <w:p>
      <w:pPr>
        <w:spacing w:after="0" w:line="9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When evaluating the components comprising total compensation, the Committee considers general market practices and the alignment of incentive awards with strategic objectives and Company operational and financial performance. The Committee seeks to create appropriate incentives to promote service quality and shareholder value without encouraging behaviors which may result in inappropriate risk taking.</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860" w:type="dxa"/>
            <w:vAlign w:val="bottom"/>
            <w:tcBorders>
              <w:right w:val="single" w:sz="8" w:color="00AEEF"/>
            </w:tcBorders>
          </w:tcPr>
          <w:p>
            <w:pPr>
              <w:ind w:left="94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41</w:t>
            </w:r>
          </w:p>
        </w:tc>
      </w:tr>
      <w:tr>
        <w:trPr>
          <w:trHeight w:val="312"/>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4"/>
          <w:szCs w:val="14"/>
          <w:b w:val="1"/>
          <w:bCs w:val="1"/>
          <w:color w:val="191769"/>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191769"/>
        </w:rPr>
        <w:t>Base Salary</w:t>
      </w:r>
    </w:p>
    <w:p>
      <w:pPr>
        <w:spacing w:after="0" w:line="87"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Base salaries provide fixed compensation to executive officers and help to attract and retain the executive talent needed to lead the business and maintain a stable leadership team. Base salaries are individually determined and periodically adjusted according to each executive officer’s areas of responsibility, role and experience, and vary among executive officers based on a variety of considerations, including skills, experience, achievements and the competitive market for the position.</w:t>
      </w:r>
    </w:p>
    <w:p>
      <w:pPr>
        <w:spacing w:after="0" w:line="92"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Committee reviews and recommends to the non-employee members of the Board any base salary changes for NEOs, including the CEO. For 2025, the Committee recommended, and the non-employee directors of the Board approved an increase in base salaries of 4% for each of the NEOs which was consistent with the average salary increase awarded to all our employees, and to maintain market-competitive pay as determined by reference to comparable positions at the peer group companies.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base salaries for each of our NEOs in effect for 2025, and the percentage change from 2024,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3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b w:val="1"/>
                <w:bCs w:val="1"/>
                <w:color w:val="191769"/>
              </w:rPr>
              <w:t>Increase from</w:t>
            </w:r>
          </w:p>
        </w:tc>
      </w:tr>
      <w:tr>
        <w:trPr>
          <w:trHeight w:val="148"/>
        </w:trPr>
        <w:tc>
          <w:tcPr>
            <w:tcW w:w="5340" w:type="dxa"/>
            <w:vAlign w:val="bottom"/>
          </w:tcPr>
          <w:p>
            <w:pPr>
              <w:spacing w:after="0"/>
              <w:rPr>
                <w:sz w:val="12"/>
                <w:szCs w:val="12"/>
                <w:color w:val="auto"/>
              </w:rPr>
            </w:pPr>
          </w:p>
        </w:tc>
        <w:tc>
          <w:tcPr>
            <w:tcW w:w="4580" w:type="dxa"/>
            <w:vAlign w:val="bottom"/>
          </w:tcPr>
          <w:p>
            <w:pPr>
              <w:jc w:val="right"/>
              <w:ind w:right="364"/>
              <w:spacing w:after="0" w:line="148" w:lineRule="exact"/>
              <w:rPr>
                <w:sz w:val="20"/>
                <w:szCs w:val="20"/>
                <w:color w:val="auto"/>
              </w:rPr>
            </w:pPr>
            <w:r>
              <w:rPr>
                <w:rFonts w:ascii="Arial" w:cs="Arial" w:eastAsia="Arial" w:hAnsi="Arial"/>
                <w:sz w:val="13"/>
                <w:szCs w:val="13"/>
                <w:b w:val="1"/>
                <w:bCs w:val="1"/>
                <w:color w:val="191769"/>
              </w:rPr>
              <w:t>2025 Base</w:t>
            </w:r>
          </w:p>
        </w:tc>
        <w:tc>
          <w:tcPr>
            <w:tcW w:w="1320" w:type="dxa"/>
            <w:vAlign w:val="bottom"/>
          </w:tcPr>
          <w:p>
            <w:pPr>
              <w:jc w:val="right"/>
              <w:spacing w:after="0" w:line="148" w:lineRule="exact"/>
              <w:rPr>
                <w:sz w:val="20"/>
                <w:szCs w:val="20"/>
                <w:color w:val="auto"/>
              </w:rPr>
            </w:pPr>
            <w:r>
              <w:rPr>
                <w:rFonts w:ascii="Arial" w:cs="Arial" w:eastAsia="Arial" w:hAnsi="Arial"/>
                <w:sz w:val="13"/>
                <w:szCs w:val="13"/>
                <w:b w:val="1"/>
                <w:bCs w:val="1"/>
                <w:color w:val="191769"/>
              </w:rPr>
              <w:t>2024 Base</w:t>
            </w:r>
          </w:p>
        </w:tc>
      </w:tr>
      <w:tr>
        <w:trPr>
          <w:trHeight w:val="160"/>
        </w:trPr>
        <w:tc>
          <w:tcPr>
            <w:tcW w:w="5340" w:type="dxa"/>
            <w:vAlign w:val="bottom"/>
          </w:tcPr>
          <w:p>
            <w:pPr>
              <w:spacing w:after="0"/>
              <w:rPr>
                <w:sz w:val="13"/>
                <w:szCs w:val="13"/>
                <w:color w:val="auto"/>
              </w:rPr>
            </w:pPr>
          </w:p>
        </w:tc>
        <w:tc>
          <w:tcPr>
            <w:tcW w:w="4580" w:type="dxa"/>
            <w:vAlign w:val="bottom"/>
          </w:tcPr>
          <w:p>
            <w:pPr>
              <w:jc w:val="right"/>
              <w:ind w:right="364"/>
              <w:spacing w:after="0"/>
              <w:rPr>
                <w:sz w:val="20"/>
                <w:szCs w:val="20"/>
                <w:color w:val="auto"/>
              </w:rPr>
            </w:pPr>
            <w:r>
              <w:rPr>
                <w:rFonts w:ascii="Arial" w:cs="Arial" w:eastAsia="Arial" w:hAnsi="Arial"/>
                <w:sz w:val="13"/>
                <w:szCs w:val="13"/>
                <w:b w:val="1"/>
                <w:bCs w:val="1"/>
                <w:color w:val="191769"/>
              </w:rPr>
              <w:t>Salary Rate</w:t>
            </w:r>
          </w:p>
        </w:tc>
        <w:tc>
          <w:tcPr>
            <w:tcW w:w="1320" w:type="dxa"/>
            <w:vAlign w:val="bottom"/>
          </w:tcPr>
          <w:p>
            <w:pPr>
              <w:jc w:val="right"/>
              <w:spacing w:after="0"/>
              <w:rPr>
                <w:sz w:val="20"/>
                <w:szCs w:val="20"/>
                <w:color w:val="auto"/>
              </w:rPr>
            </w:pPr>
            <w:r>
              <w:rPr>
                <w:rFonts w:ascii="Arial" w:cs="Arial" w:eastAsia="Arial" w:hAnsi="Arial"/>
                <w:sz w:val="13"/>
                <w:szCs w:val="13"/>
                <w:b w:val="1"/>
                <w:bCs w:val="1"/>
                <w:color w:val="191769"/>
              </w:rPr>
              <w:t>Salary Rate</w:t>
            </w:r>
          </w:p>
        </w:tc>
      </w:tr>
      <w:tr>
        <w:trPr>
          <w:trHeight w:val="186"/>
        </w:trPr>
        <w:tc>
          <w:tcPr>
            <w:tcW w:w="5340" w:type="dxa"/>
            <w:vAlign w:val="bottom"/>
            <w:tcBorders>
              <w:bottom w:val="single" w:sz="8" w:color="00AEEF"/>
            </w:tcBorders>
          </w:tcPr>
          <w:p>
            <w:pPr>
              <w:ind w:left="20"/>
              <w:spacing w:after="0"/>
              <w:rPr>
                <w:sz w:val="20"/>
                <w:szCs w:val="20"/>
                <w:color w:val="auto"/>
              </w:rPr>
            </w:pPr>
            <w:r>
              <w:rPr>
                <w:rFonts w:ascii="Arial" w:cs="Arial" w:eastAsia="Arial" w:hAnsi="Arial"/>
                <w:sz w:val="13"/>
                <w:szCs w:val="13"/>
                <w:b w:val="1"/>
                <w:bCs w:val="1"/>
                <w:color w:val="191769"/>
              </w:rPr>
              <w:t>Name</w:t>
            </w:r>
          </w:p>
        </w:tc>
        <w:tc>
          <w:tcPr>
            <w:tcW w:w="4580" w:type="dxa"/>
            <w:vAlign w:val="bottom"/>
            <w:tcBorders>
              <w:bottom w:val="single" w:sz="8" w:color="00AEEF"/>
            </w:tcBorders>
          </w:tcPr>
          <w:p>
            <w:pPr>
              <w:jc w:val="right"/>
              <w:ind w:right="364"/>
              <w:spacing w:after="0"/>
              <w:rPr>
                <w:sz w:val="20"/>
                <w:szCs w:val="20"/>
                <w:color w:val="auto"/>
              </w:rPr>
            </w:pPr>
            <w:r>
              <w:rPr>
                <w:rFonts w:ascii="Arial" w:cs="Arial" w:eastAsia="Arial" w:hAnsi="Arial"/>
                <w:sz w:val="13"/>
                <w:szCs w:val="13"/>
                <w:b w:val="1"/>
                <w:bCs w:val="1"/>
                <w:color w:val="191769"/>
              </w:rPr>
              <w:t>($)</w:t>
            </w:r>
          </w:p>
        </w:tc>
        <w:tc>
          <w:tcPr>
            <w:tcW w:w="1320" w:type="dxa"/>
            <w:vAlign w:val="bottom"/>
            <w:tcBorders>
              <w:bottom w:val="single" w:sz="8" w:color="00AEEF"/>
            </w:tcBorders>
          </w:tcPr>
          <w:p>
            <w:pPr>
              <w:jc w:val="right"/>
              <w:spacing w:after="0"/>
              <w:rPr>
                <w:sz w:val="20"/>
                <w:szCs w:val="20"/>
                <w:color w:val="auto"/>
              </w:rPr>
            </w:pPr>
            <w:r>
              <w:rPr>
                <w:rFonts w:ascii="Arial" w:cs="Arial" w:eastAsia="Arial" w:hAnsi="Arial"/>
                <w:sz w:val="13"/>
                <w:szCs w:val="13"/>
                <w:b w:val="1"/>
                <w:bCs w:val="1"/>
                <w:color w:val="191769"/>
              </w:rPr>
              <w:t>(%)</w:t>
            </w:r>
          </w:p>
        </w:tc>
      </w:tr>
      <w:tr>
        <w:trPr>
          <w:trHeight w:val="238"/>
        </w:trPr>
        <w:tc>
          <w:tcPr>
            <w:tcW w:w="534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Nadine Leslie</w:t>
            </w:r>
          </w:p>
        </w:tc>
        <w:tc>
          <w:tcPr>
            <w:tcW w:w="4580" w:type="dxa"/>
            <w:vAlign w:val="bottom"/>
            <w:tcBorders>
              <w:bottom w:val="single" w:sz="8" w:color="D9D9D9"/>
            </w:tcBorders>
          </w:tcPr>
          <w:p>
            <w:pPr>
              <w:jc w:val="right"/>
              <w:ind w:right="364"/>
              <w:spacing w:after="0"/>
              <w:rPr>
                <w:sz w:val="20"/>
                <w:szCs w:val="20"/>
                <w:color w:val="auto"/>
              </w:rPr>
            </w:pPr>
            <w:r>
              <w:rPr>
                <w:rFonts w:ascii="Arial" w:cs="Arial" w:eastAsia="Arial" w:hAnsi="Arial"/>
                <w:sz w:val="16"/>
                <w:szCs w:val="16"/>
                <w:color w:val="auto"/>
              </w:rPr>
              <w:t>754,000</w:t>
            </w:r>
          </w:p>
        </w:tc>
        <w:tc>
          <w:tcPr>
            <w:tcW w:w="13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4.0</w:t>
            </w:r>
          </w:p>
        </w:tc>
      </w:tr>
      <w:tr>
        <w:trPr>
          <w:trHeight w:val="239"/>
        </w:trPr>
        <w:tc>
          <w:tcPr>
            <w:tcW w:w="534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Mohammed G. Zerhouni</w:t>
            </w:r>
          </w:p>
        </w:tc>
        <w:tc>
          <w:tcPr>
            <w:tcW w:w="4580" w:type="dxa"/>
            <w:vAlign w:val="bottom"/>
            <w:tcBorders>
              <w:bottom w:val="single" w:sz="8" w:color="D9D9D9"/>
            </w:tcBorders>
          </w:tcPr>
          <w:p>
            <w:pPr>
              <w:jc w:val="right"/>
              <w:ind w:right="364"/>
              <w:spacing w:after="0"/>
              <w:rPr>
                <w:sz w:val="20"/>
                <w:szCs w:val="20"/>
                <w:color w:val="auto"/>
              </w:rPr>
            </w:pPr>
            <w:r>
              <w:rPr>
                <w:rFonts w:ascii="Arial" w:cs="Arial" w:eastAsia="Arial" w:hAnsi="Arial"/>
                <w:sz w:val="16"/>
                <w:szCs w:val="16"/>
                <w:color w:val="auto"/>
              </w:rPr>
              <w:t>587,600</w:t>
            </w:r>
          </w:p>
        </w:tc>
        <w:tc>
          <w:tcPr>
            <w:tcW w:w="13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4.0</w:t>
            </w:r>
          </w:p>
        </w:tc>
      </w:tr>
      <w:tr>
        <w:trPr>
          <w:trHeight w:val="239"/>
        </w:trPr>
        <w:tc>
          <w:tcPr>
            <w:tcW w:w="534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Gregory S. Sorensen</w:t>
            </w:r>
          </w:p>
        </w:tc>
        <w:tc>
          <w:tcPr>
            <w:tcW w:w="4580" w:type="dxa"/>
            <w:vAlign w:val="bottom"/>
            <w:tcBorders>
              <w:bottom w:val="single" w:sz="8" w:color="D9D9D9"/>
            </w:tcBorders>
          </w:tcPr>
          <w:p>
            <w:pPr>
              <w:jc w:val="right"/>
              <w:ind w:right="364"/>
              <w:spacing w:after="0"/>
              <w:rPr>
                <w:sz w:val="20"/>
                <w:szCs w:val="20"/>
                <w:color w:val="auto"/>
              </w:rPr>
            </w:pPr>
            <w:r>
              <w:rPr>
                <w:rFonts w:ascii="Arial" w:cs="Arial" w:eastAsia="Arial" w:hAnsi="Arial"/>
                <w:sz w:val="16"/>
                <w:szCs w:val="16"/>
                <w:color w:val="auto"/>
              </w:rPr>
              <w:t>494,000</w:t>
            </w:r>
          </w:p>
        </w:tc>
        <w:tc>
          <w:tcPr>
            <w:tcW w:w="13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4.0</w:t>
            </w:r>
          </w:p>
        </w:tc>
      </w:tr>
      <w:tr>
        <w:trPr>
          <w:trHeight w:val="239"/>
        </w:trPr>
        <w:tc>
          <w:tcPr>
            <w:tcW w:w="534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Jay L. Kooper</w:t>
            </w:r>
          </w:p>
        </w:tc>
        <w:tc>
          <w:tcPr>
            <w:tcW w:w="4580" w:type="dxa"/>
            <w:vAlign w:val="bottom"/>
            <w:tcBorders>
              <w:bottom w:val="single" w:sz="8" w:color="D9D9D9"/>
            </w:tcBorders>
          </w:tcPr>
          <w:p>
            <w:pPr>
              <w:jc w:val="right"/>
              <w:ind w:right="364"/>
              <w:spacing w:after="0"/>
              <w:rPr>
                <w:sz w:val="20"/>
                <w:szCs w:val="20"/>
                <w:color w:val="auto"/>
              </w:rPr>
            </w:pPr>
            <w:r>
              <w:rPr>
                <w:rFonts w:ascii="Arial" w:cs="Arial" w:eastAsia="Arial" w:hAnsi="Arial"/>
                <w:sz w:val="16"/>
                <w:szCs w:val="16"/>
                <w:color w:val="auto"/>
              </w:rPr>
              <w:t>386,227</w:t>
            </w:r>
          </w:p>
        </w:tc>
        <w:tc>
          <w:tcPr>
            <w:tcW w:w="13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4.0</w:t>
            </w:r>
          </w:p>
        </w:tc>
      </w:tr>
      <w:tr>
        <w:trPr>
          <w:trHeight w:val="239"/>
        </w:trPr>
        <w:tc>
          <w:tcPr>
            <w:tcW w:w="5340" w:type="dxa"/>
            <w:vAlign w:val="bottom"/>
            <w:tcBorders>
              <w:bottom w:val="single" w:sz="8" w:color="00AEEF"/>
            </w:tcBorders>
          </w:tcPr>
          <w:p>
            <w:pPr>
              <w:ind w:left="20"/>
              <w:spacing w:after="0"/>
              <w:rPr>
                <w:sz w:val="20"/>
                <w:szCs w:val="20"/>
                <w:color w:val="auto"/>
              </w:rPr>
            </w:pPr>
            <w:r>
              <w:rPr>
                <w:rFonts w:ascii="Arial" w:cs="Arial" w:eastAsia="Arial" w:hAnsi="Arial"/>
                <w:sz w:val="16"/>
                <w:szCs w:val="16"/>
                <w:b w:val="1"/>
                <w:bCs w:val="1"/>
                <w:color w:val="191769"/>
              </w:rPr>
              <w:t>Georgia M. Simpson</w:t>
            </w:r>
          </w:p>
        </w:tc>
        <w:tc>
          <w:tcPr>
            <w:tcW w:w="4580" w:type="dxa"/>
            <w:vAlign w:val="bottom"/>
            <w:tcBorders>
              <w:bottom w:val="single" w:sz="8" w:color="00AEEF"/>
            </w:tcBorders>
          </w:tcPr>
          <w:p>
            <w:pPr>
              <w:jc w:val="right"/>
              <w:ind w:right="364"/>
              <w:spacing w:after="0"/>
              <w:rPr>
                <w:sz w:val="20"/>
                <w:szCs w:val="20"/>
                <w:color w:val="auto"/>
              </w:rPr>
            </w:pPr>
            <w:r>
              <w:rPr>
                <w:rFonts w:ascii="Arial" w:cs="Arial" w:eastAsia="Arial" w:hAnsi="Arial"/>
                <w:sz w:val="16"/>
                <w:szCs w:val="16"/>
                <w:color w:val="auto"/>
              </w:rPr>
              <w:t>318,210</w:t>
            </w:r>
          </w:p>
        </w:tc>
        <w:tc>
          <w:tcPr>
            <w:tcW w:w="1320" w:type="dxa"/>
            <w:vAlign w:val="bottom"/>
            <w:tcBorders>
              <w:bottom w:val="single" w:sz="8" w:color="00AEEF"/>
            </w:tcBorders>
          </w:tcPr>
          <w:p>
            <w:pPr>
              <w:jc w:val="right"/>
              <w:spacing w:after="0"/>
              <w:rPr>
                <w:sz w:val="20"/>
                <w:szCs w:val="20"/>
                <w:color w:val="auto"/>
              </w:rPr>
            </w:pPr>
            <w:r>
              <w:rPr>
                <w:rFonts w:ascii="Arial" w:cs="Arial" w:eastAsia="Arial" w:hAnsi="Arial"/>
                <w:sz w:val="16"/>
                <w:szCs w:val="16"/>
                <w:color w:val="auto"/>
              </w:rPr>
              <w:t>4.0</w:t>
            </w:r>
          </w:p>
        </w:tc>
      </w:tr>
    </w:tbl>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191769"/>
        </w:rPr>
        <w:t>Short-Term Incentive</w:t>
      </w:r>
    </w:p>
    <w:p>
      <w:pPr>
        <w:spacing w:after="0" w:line="87"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Before 2025, the Company did not use a short-term cash incentive program for its executives. Beginning in 2025, with the assistance and input from Aon, the Committee recommended, and the Board approved an annual short-term incentive program (the “STI”) for the Company’s NEOs. The STI has the potential to reward NEOs for the achievement of key short-term objectives.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TARGET OPPORTUNITIES</w:t>
      </w:r>
    </w:p>
    <w:p>
      <w:pPr>
        <w:spacing w:after="0" w:line="99"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Committee determines the target annual incentive opportunity available to each NEO by taking the individual’s annual base salary in effect at year end and multiplying it by the individual’s target incentive percentage. Among other factors, the target incentive percentages are determined with reference to the peer group target incentive percentages and the proportion of total direct compensation represented by the annual incentive, and internal parity.</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The annual target bonus percentages under the STI set by the Committee and approved by the non-employee members of the Board, multiplied by each</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NEO’s base salary, provide the total annual target bonus opportunities for each of our NEOs. For 2025, these annual target bonuses percentages were:</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880" w:type="dxa"/>
            <w:vAlign w:val="bottom"/>
            <w:gridSpan w:val="2"/>
          </w:tcPr>
          <w:p>
            <w:pPr>
              <w:ind w:left="760"/>
              <w:spacing w:after="0"/>
              <w:rPr>
                <w:sz w:val="20"/>
                <w:szCs w:val="20"/>
                <w:color w:val="auto"/>
              </w:rPr>
            </w:pPr>
            <w:r>
              <w:rPr>
                <w:rFonts w:ascii="Arial" w:cs="Arial" w:eastAsia="Arial" w:hAnsi="Arial"/>
                <w:sz w:val="13"/>
                <w:szCs w:val="13"/>
                <w:b w:val="1"/>
                <w:bCs w:val="1"/>
                <w:color w:val="191769"/>
              </w:rPr>
              <w:t>Base Salary</w:t>
            </w:r>
          </w:p>
        </w:tc>
        <w:tc>
          <w:tcPr>
            <w:tcW w:w="1520" w:type="dxa"/>
            <w:vAlign w:val="bottom"/>
          </w:tcPr>
          <w:p>
            <w:pPr>
              <w:jc w:val="right"/>
              <w:spacing w:after="0"/>
              <w:rPr>
                <w:sz w:val="20"/>
                <w:szCs w:val="20"/>
                <w:color w:val="auto"/>
              </w:rPr>
            </w:pPr>
            <w:r>
              <w:rPr>
                <w:rFonts w:ascii="Arial" w:cs="Arial" w:eastAsia="Arial" w:hAnsi="Arial"/>
                <w:sz w:val="13"/>
                <w:szCs w:val="13"/>
                <w:b w:val="1"/>
                <w:bCs w:val="1"/>
                <w:color w:val="191769"/>
              </w:rPr>
              <w:t>Percent of Base Salary</w:t>
            </w:r>
          </w:p>
        </w:tc>
        <w:tc>
          <w:tcPr>
            <w:tcW w:w="16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26"/>
        </w:trPr>
        <w:tc>
          <w:tcPr>
            <w:tcW w:w="4740" w:type="dxa"/>
            <w:vAlign w:val="bottom"/>
            <w:tcBorders>
              <w:bottom w:val="single" w:sz="8" w:color="00AEEF"/>
            </w:tcBorders>
          </w:tcPr>
          <w:p>
            <w:pPr>
              <w:ind w:left="20"/>
              <w:spacing w:after="0"/>
              <w:rPr>
                <w:sz w:val="20"/>
                <w:szCs w:val="20"/>
                <w:color w:val="auto"/>
              </w:rPr>
            </w:pPr>
            <w:r>
              <w:rPr>
                <w:rFonts w:ascii="Arial" w:cs="Arial" w:eastAsia="Arial" w:hAnsi="Arial"/>
                <w:sz w:val="13"/>
                <w:szCs w:val="13"/>
                <w:b w:val="1"/>
                <w:bCs w:val="1"/>
                <w:color w:val="191769"/>
              </w:rPr>
              <w:t>Named Executive Officer</w:t>
            </w:r>
          </w:p>
        </w:tc>
        <w:tc>
          <w:tcPr>
            <w:tcW w:w="1520" w:type="dxa"/>
            <w:vAlign w:val="bottom"/>
            <w:tcBorders>
              <w:top w:val="single" w:sz="8" w:color="00AEEF"/>
              <w:bottom w:val="single" w:sz="8" w:color="00AEEF"/>
            </w:tcBorders>
          </w:tcPr>
          <w:p>
            <w:pPr>
              <w:jc w:val="right"/>
              <w:spacing w:after="0"/>
              <w:rPr>
                <w:sz w:val="20"/>
                <w:szCs w:val="20"/>
                <w:color w:val="auto"/>
              </w:rPr>
            </w:pPr>
            <w:r>
              <w:rPr>
                <w:rFonts w:ascii="Arial" w:cs="Arial" w:eastAsia="Arial" w:hAnsi="Arial"/>
                <w:sz w:val="13"/>
                <w:szCs w:val="13"/>
                <w:b w:val="1"/>
                <w:bCs w:val="1"/>
                <w:color w:val="191769"/>
              </w:rPr>
              <w:t>2025 ($)</w:t>
            </w:r>
          </w:p>
        </w:tc>
        <w:tc>
          <w:tcPr>
            <w:tcW w:w="360" w:type="dxa"/>
            <w:vAlign w:val="bottom"/>
            <w:tcBorders>
              <w:bottom w:val="single" w:sz="8" w:color="00AEEF"/>
            </w:tcBorders>
          </w:tcPr>
          <w:p>
            <w:pPr>
              <w:spacing w:after="0"/>
              <w:rPr>
                <w:sz w:val="19"/>
                <w:szCs w:val="19"/>
                <w:color w:val="auto"/>
              </w:rPr>
            </w:pPr>
          </w:p>
        </w:tc>
        <w:tc>
          <w:tcPr>
            <w:tcW w:w="1520" w:type="dxa"/>
            <w:vAlign w:val="bottom"/>
            <w:tcBorders>
              <w:top w:val="single" w:sz="8" w:color="00AEEF"/>
              <w:bottom w:val="single" w:sz="8" w:color="00AEEF"/>
            </w:tcBorders>
          </w:tcPr>
          <w:p>
            <w:pPr>
              <w:jc w:val="right"/>
              <w:spacing w:after="0"/>
              <w:rPr>
                <w:sz w:val="20"/>
                <w:szCs w:val="20"/>
                <w:color w:val="auto"/>
              </w:rPr>
            </w:pPr>
            <w:r>
              <w:rPr>
                <w:rFonts w:ascii="Arial" w:cs="Arial" w:eastAsia="Arial" w:hAnsi="Arial"/>
                <w:sz w:val="13"/>
                <w:szCs w:val="13"/>
                <w:b w:val="1"/>
                <w:bCs w:val="1"/>
                <w:color w:val="191769"/>
              </w:rPr>
              <w:t>2025 (%)</w:t>
            </w:r>
          </w:p>
        </w:tc>
        <w:tc>
          <w:tcPr>
            <w:tcW w:w="1680" w:type="dxa"/>
            <w:vAlign w:val="bottom"/>
            <w:tcBorders>
              <w:bottom w:val="single" w:sz="8" w:color="00AEEF"/>
            </w:tcBorders>
          </w:tcPr>
          <w:p>
            <w:pPr>
              <w:jc w:val="right"/>
              <w:ind w:right="61"/>
              <w:spacing w:after="0"/>
              <w:rPr>
                <w:sz w:val="20"/>
                <w:szCs w:val="20"/>
                <w:color w:val="auto"/>
              </w:rPr>
            </w:pPr>
            <w:r>
              <w:rPr>
                <w:rFonts w:ascii="Arial" w:cs="Arial" w:eastAsia="Arial" w:hAnsi="Arial"/>
                <w:sz w:val="13"/>
                <w:szCs w:val="13"/>
                <w:b w:val="1"/>
                <w:bCs w:val="1"/>
                <w:color w:val="191769"/>
              </w:rPr>
              <w:t>Target Bonus 2025 ($)</w:t>
            </w:r>
          </w:p>
        </w:tc>
        <w:tc>
          <w:tcPr>
            <w:tcW w:w="1420" w:type="dxa"/>
            <w:vAlign w:val="bottom"/>
            <w:tcBorders>
              <w:bottom w:val="single" w:sz="8" w:color="00AEEF"/>
            </w:tcBorders>
          </w:tcPr>
          <w:p>
            <w:pPr>
              <w:jc w:val="right"/>
              <w:spacing w:after="0"/>
              <w:rPr>
                <w:sz w:val="20"/>
                <w:szCs w:val="20"/>
                <w:color w:val="auto"/>
              </w:rPr>
            </w:pPr>
            <w:r>
              <w:rPr>
                <w:rFonts w:ascii="Arial" w:cs="Arial" w:eastAsia="Arial" w:hAnsi="Arial"/>
                <w:sz w:val="13"/>
                <w:szCs w:val="13"/>
                <w:b w:val="1"/>
                <w:bCs w:val="1"/>
                <w:color w:val="191769"/>
              </w:rPr>
              <w:t>Max. Bonus 2025 ($)</w:t>
            </w:r>
          </w:p>
        </w:tc>
      </w:tr>
      <w:tr>
        <w:trPr>
          <w:trHeight w:val="238"/>
        </w:trPr>
        <w:tc>
          <w:tcPr>
            <w:tcW w:w="474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Nadine Leslie</w:t>
            </w:r>
          </w:p>
        </w:tc>
        <w:tc>
          <w:tcPr>
            <w:tcW w:w="15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754,000</w:t>
            </w:r>
          </w:p>
        </w:tc>
        <w:tc>
          <w:tcPr>
            <w:tcW w:w="360" w:type="dxa"/>
            <w:vAlign w:val="bottom"/>
            <w:tcBorders>
              <w:bottom w:val="single" w:sz="8" w:color="D9D9D9"/>
            </w:tcBorders>
          </w:tcPr>
          <w:p>
            <w:pPr>
              <w:spacing w:after="0"/>
              <w:rPr>
                <w:sz w:val="20"/>
                <w:szCs w:val="20"/>
                <w:color w:val="auto"/>
              </w:rPr>
            </w:pPr>
          </w:p>
        </w:tc>
        <w:tc>
          <w:tcPr>
            <w:tcW w:w="15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50</w:t>
            </w:r>
          </w:p>
        </w:tc>
        <w:tc>
          <w:tcPr>
            <w:tcW w:w="1680" w:type="dxa"/>
            <w:vAlign w:val="bottom"/>
            <w:tcBorders>
              <w:bottom w:val="single" w:sz="8" w:color="D9D9D9"/>
            </w:tcBorders>
          </w:tcPr>
          <w:p>
            <w:pPr>
              <w:jc w:val="right"/>
              <w:ind w:right="61"/>
              <w:spacing w:after="0"/>
              <w:rPr>
                <w:sz w:val="20"/>
                <w:szCs w:val="20"/>
                <w:color w:val="auto"/>
              </w:rPr>
            </w:pPr>
            <w:r>
              <w:rPr>
                <w:rFonts w:ascii="Arial" w:cs="Arial" w:eastAsia="Arial" w:hAnsi="Arial"/>
                <w:sz w:val="16"/>
                <w:szCs w:val="16"/>
                <w:color w:val="auto"/>
              </w:rPr>
              <w:t>377,000</w:t>
            </w:r>
          </w:p>
        </w:tc>
        <w:tc>
          <w:tcPr>
            <w:tcW w:w="14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508,950</w:t>
            </w:r>
          </w:p>
        </w:tc>
      </w:tr>
      <w:tr>
        <w:trPr>
          <w:trHeight w:val="239"/>
        </w:trPr>
        <w:tc>
          <w:tcPr>
            <w:tcW w:w="474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Mohammed G. Zerhouni</w:t>
            </w:r>
          </w:p>
        </w:tc>
        <w:tc>
          <w:tcPr>
            <w:tcW w:w="15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587,600</w:t>
            </w:r>
          </w:p>
        </w:tc>
        <w:tc>
          <w:tcPr>
            <w:tcW w:w="360" w:type="dxa"/>
            <w:vAlign w:val="bottom"/>
            <w:tcBorders>
              <w:bottom w:val="single" w:sz="8" w:color="D9D9D9"/>
            </w:tcBorders>
          </w:tcPr>
          <w:p>
            <w:pPr>
              <w:spacing w:after="0"/>
              <w:rPr>
                <w:sz w:val="20"/>
                <w:szCs w:val="20"/>
                <w:color w:val="auto"/>
              </w:rPr>
            </w:pPr>
          </w:p>
        </w:tc>
        <w:tc>
          <w:tcPr>
            <w:tcW w:w="15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30</w:t>
            </w:r>
          </w:p>
        </w:tc>
        <w:tc>
          <w:tcPr>
            <w:tcW w:w="1680" w:type="dxa"/>
            <w:vAlign w:val="bottom"/>
            <w:tcBorders>
              <w:bottom w:val="single" w:sz="8" w:color="D9D9D9"/>
            </w:tcBorders>
          </w:tcPr>
          <w:p>
            <w:pPr>
              <w:jc w:val="right"/>
              <w:ind w:right="61"/>
              <w:spacing w:after="0"/>
              <w:rPr>
                <w:sz w:val="20"/>
                <w:szCs w:val="20"/>
                <w:color w:val="auto"/>
              </w:rPr>
            </w:pPr>
            <w:r>
              <w:rPr>
                <w:rFonts w:ascii="Arial" w:cs="Arial" w:eastAsia="Arial" w:hAnsi="Arial"/>
                <w:sz w:val="16"/>
                <w:szCs w:val="16"/>
                <w:color w:val="auto"/>
              </w:rPr>
              <w:t>176,280</w:t>
            </w:r>
          </w:p>
        </w:tc>
        <w:tc>
          <w:tcPr>
            <w:tcW w:w="14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237,978</w:t>
            </w:r>
          </w:p>
        </w:tc>
      </w:tr>
      <w:tr>
        <w:trPr>
          <w:trHeight w:val="239"/>
        </w:trPr>
        <w:tc>
          <w:tcPr>
            <w:tcW w:w="474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Gregory S. Sorensen</w:t>
            </w:r>
          </w:p>
        </w:tc>
        <w:tc>
          <w:tcPr>
            <w:tcW w:w="15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494,000</w:t>
            </w:r>
          </w:p>
        </w:tc>
        <w:tc>
          <w:tcPr>
            <w:tcW w:w="360" w:type="dxa"/>
            <w:vAlign w:val="bottom"/>
            <w:tcBorders>
              <w:bottom w:val="single" w:sz="8" w:color="D9D9D9"/>
            </w:tcBorders>
          </w:tcPr>
          <w:p>
            <w:pPr>
              <w:spacing w:after="0"/>
              <w:rPr>
                <w:sz w:val="20"/>
                <w:szCs w:val="20"/>
                <w:color w:val="auto"/>
              </w:rPr>
            </w:pPr>
          </w:p>
        </w:tc>
        <w:tc>
          <w:tcPr>
            <w:tcW w:w="15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30</w:t>
            </w:r>
          </w:p>
        </w:tc>
        <w:tc>
          <w:tcPr>
            <w:tcW w:w="1680" w:type="dxa"/>
            <w:vAlign w:val="bottom"/>
            <w:tcBorders>
              <w:bottom w:val="single" w:sz="8" w:color="D9D9D9"/>
            </w:tcBorders>
          </w:tcPr>
          <w:p>
            <w:pPr>
              <w:jc w:val="right"/>
              <w:ind w:right="61"/>
              <w:spacing w:after="0"/>
              <w:rPr>
                <w:sz w:val="20"/>
                <w:szCs w:val="20"/>
                <w:color w:val="auto"/>
              </w:rPr>
            </w:pPr>
            <w:r>
              <w:rPr>
                <w:rFonts w:ascii="Arial" w:cs="Arial" w:eastAsia="Arial" w:hAnsi="Arial"/>
                <w:sz w:val="16"/>
                <w:szCs w:val="16"/>
                <w:color w:val="auto"/>
              </w:rPr>
              <w:t>148,200</w:t>
            </w:r>
          </w:p>
        </w:tc>
        <w:tc>
          <w:tcPr>
            <w:tcW w:w="14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200,070</w:t>
            </w:r>
          </w:p>
        </w:tc>
      </w:tr>
      <w:tr>
        <w:trPr>
          <w:trHeight w:val="239"/>
        </w:trPr>
        <w:tc>
          <w:tcPr>
            <w:tcW w:w="474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Jay L. Kooper</w:t>
            </w:r>
          </w:p>
        </w:tc>
        <w:tc>
          <w:tcPr>
            <w:tcW w:w="15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386,227</w:t>
            </w:r>
          </w:p>
        </w:tc>
        <w:tc>
          <w:tcPr>
            <w:tcW w:w="360" w:type="dxa"/>
            <w:vAlign w:val="bottom"/>
            <w:tcBorders>
              <w:bottom w:val="single" w:sz="8" w:color="D9D9D9"/>
            </w:tcBorders>
          </w:tcPr>
          <w:p>
            <w:pPr>
              <w:spacing w:after="0"/>
              <w:rPr>
                <w:sz w:val="20"/>
                <w:szCs w:val="20"/>
                <w:color w:val="auto"/>
              </w:rPr>
            </w:pPr>
          </w:p>
        </w:tc>
        <w:tc>
          <w:tcPr>
            <w:tcW w:w="15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15</w:t>
            </w:r>
          </w:p>
        </w:tc>
        <w:tc>
          <w:tcPr>
            <w:tcW w:w="1680" w:type="dxa"/>
            <w:vAlign w:val="bottom"/>
            <w:tcBorders>
              <w:bottom w:val="single" w:sz="8" w:color="D9D9D9"/>
            </w:tcBorders>
          </w:tcPr>
          <w:p>
            <w:pPr>
              <w:jc w:val="right"/>
              <w:ind w:right="61"/>
              <w:spacing w:after="0"/>
              <w:rPr>
                <w:sz w:val="20"/>
                <w:szCs w:val="20"/>
                <w:color w:val="auto"/>
              </w:rPr>
            </w:pPr>
            <w:r>
              <w:rPr>
                <w:rFonts w:ascii="Arial" w:cs="Arial" w:eastAsia="Arial" w:hAnsi="Arial"/>
                <w:sz w:val="16"/>
                <w:szCs w:val="16"/>
                <w:color w:val="auto"/>
              </w:rPr>
              <w:t>57,934</w:t>
            </w:r>
          </w:p>
        </w:tc>
        <w:tc>
          <w:tcPr>
            <w:tcW w:w="14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78,211</w:t>
            </w:r>
          </w:p>
        </w:tc>
      </w:tr>
      <w:tr>
        <w:trPr>
          <w:trHeight w:val="239"/>
        </w:trPr>
        <w:tc>
          <w:tcPr>
            <w:tcW w:w="4740" w:type="dxa"/>
            <w:vAlign w:val="bottom"/>
            <w:tcBorders>
              <w:bottom w:val="single" w:sz="8" w:color="00AEEF"/>
            </w:tcBorders>
          </w:tcPr>
          <w:p>
            <w:pPr>
              <w:ind w:left="20"/>
              <w:spacing w:after="0"/>
              <w:rPr>
                <w:sz w:val="20"/>
                <w:szCs w:val="20"/>
                <w:color w:val="auto"/>
              </w:rPr>
            </w:pPr>
            <w:r>
              <w:rPr>
                <w:rFonts w:ascii="Arial" w:cs="Arial" w:eastAsia="Arial" w:hAnsi="Arial"/>
                <w:sz w:val="16"/>
                <w:szCs w:val="16"/>
                <w:b w:val="1"/>
                <w:bCs w:val="1"/>
                <w:color w:val="191769"/>
              </w:rPr>
              <w:t>Georgia M. Simpson</w:t>
            </w:r>
          </w:p>
        </w:tc>
        <w:tc>
          <w:tcPr>
            <w:tcW w:w="1520" w:type="dxa"/>
            <w:vAlign w:val="bottom"/>
            <w:tcBorders>
              <w:bottom w:val="single" w:sz="8" w:color="00AEEF"/>
            </w:tcBorders>
          </w:tcPr>
          <w:p>
            <w:pPr>
              <w:jc w:val="right"/>
              <w:spacing w:after="0"/>
              <w:rPr>
                <w:sz w:val="20"/>
                <w:szCs w:val="20"/>
                <w:color w:val="auto"/>
              </w:rPr>
            </w:pPr>
            <w:r>
              <w:rPr>
                <w:rFonts w:ascii="Arial" w:cs="Arial" w:eastAsia="Arial" w:hAnsi="Arial"/>
                <w:sz w:val="16"/>
                <w:szCs w:val="16"/>
                <w:color w:val="auto"/>
              </w:rPr>
              <w:t>318,210</w:t>
            </w:r>
          </w:p>
        </w:tc>
        <w:tc>
          <w:tcPr>
            <w:tcW w:w="360" w:type="dxa"/>
            <w:vAlign w:val="bottom"/>
            <w:tcBorders>
              <w:bottom w:val="single" w:sz="8" w:color="00AEEF"/>
            </w:tcBorders>
          </w:tcPr>
          <w:p>
            <w:pPr>
              <w:spacing w:after="0"/>
              <w:rPr>
                <w:sz w:val="20"/>
                <w:szCs w:val="20"/>
                <w:color w:val="auto"/>
              </w:rPr>
            </w:pPr>
          </w:p>
        </w:tc>
        <w:tc>
          <w:tcPr>
            <w:tcW w:w="1520" w:type="dxa"/>
            <w:vAlign w:val="bottom"/>
            <w:tcBorders>
              <w:bottom w:val="single" w:sz="8" w:color="00AEEF"/>
            </w:tcBorders>
          </w:tcPr>
          <w:p>
            <w:pPr>
              <w:jc w:val="right"/>
              <w:spacing w:after="0"/>
              <w:rPr>
                <w:sz w:val="20"/>
                <w:szCs w:val="20"/>
                <w:color w:val="auto"/>
              </w:rPr>
            </w:pPr>
            <w:r>
              <w:rPr>
                <w:rFonts w:ascii="Arial" w:cs="Arial" w:eastAsia="Arial" w:hAnsi="Arial"/>
                <w:sz w:val="16"/>
                <w:szCs w:val="16"/>
                <w:color w:val="auto"/>
              </w:rPr>
              <w:t>15</w:t>
            </w:r>
          </w:p>
        </w:tc>
        <w:tc>
          <w:tcPr>
            <w:tcW w:w="1680" w:type="dxa"/>
            <w:vAlign w:val="bottom"/>
            <w:tcBorders>
              <w:bottom w:val="single" w:sz="8" w:color="00AEEF"/>
            </w:tcBorders>
          </w:tcPr>
          <w:p>
            <w:pPr>
              <w:jc w:val="right"/>
              <w:ind w:right="121"/>
              <w:spacing w:after="0"/>
              <w:rPr>
                <w:sz w:val="20"/>
                <w:szCs w:val="20"/>
                <w:color w:val="auto"/>
              </w:rPr>
            </w:pPr>
            <w:r>
              <w:rPr>
                <w:rFonts w:ascii="Arial" w:cs="Arial" w:eastAsia="Arial" w:hAnsi="Arial"/>
                <w:sz w:val="16"/>
                <w:szCs w:val="16"/>
                <w:color w:val="auto"/>
              </w:rPr>
              <w:t>47,731</w:t>
            </w:r>
          </w:p>
        </w:tc>
        <w:tc>
          <w:tcPr>
            <w:tcW w:w="1420" w:type="dxa"/>
            <w:vAlign w:val="bottom"/>
            <w:tcBorders>
              <w:bottom w:val="single" w:sz="8" w:color="00AEEF"/>
            </w:tcBorders>
          </w:tcPr>
          <w:p>
            <w:pPr>
              <w:jc w:val="right"/>
              <w:spacing w:after="0"/>
              <w:rPr>
                <w:sz w:val="20"/>
                <w:szCs w:val="20"/>
                <w:color w:val="auto"/>
              </w:rPr>
            </w:pPr>
            <w:r>
              <w:rPr>
                <w:rFonts w:ascii="Arial" w:cs="Arial" w:eastAsia="Arial" w:hAnsi="Arial"/>
                <w:sz w:val="16"/>
                <w:szCs w:val="16"/>
                <w:color w:val="auto"/>
              </w:rPr>
              <w:t>64,437</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annual cash incentive for each NEO is capped at maximum of 135% of the NEO’s target bonus opportunity.</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PERFORMANCE MEASURES</w:t>
      </w:r>
    </w:p>
    <w:p>
      <w:pPr>
        <w:spacing w:after="0" w:line="87" w:lineRule="exact"/>
        <w:rPr>
          <w:sz w:val="20"/>
          <w:szCs w:val="20"/>
          <w:color w:val="auto"/>
        </w:rPr>
      </w:pPr>
    </w:p>
    <w:p>
      <w:pPr>
        <w:ind w:right="940"/>
        <w:spacing w:after="0" w:line="299" w:lineRule="auto"/>
        <w:rPr>
          <w:sz w:val="20"/>
          <w:szCs w:val="20"/>
          <w:color w:val="auto"/>
        </w:rPr>
      </w:pPr>
      <w:r>
        <w:rPr>
          <w:rFonts w:ascii="Arial" w:cs="Arial" w:eastAsia="Arial" w:hAnsi="Arial"/>
          <w:sz w:val="16"/>
          <w:szCs w:val="16"/>
          <w:color w:val="auto"/>
        </w:rPr>
        <w:t>The STI was based on the following performance measures, which include a financial performance goal, six corporate goals, and an individual performance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259080</wp:posOffset>
            </wp:positionV>
            <wp:extent cx="7620" cy="132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460" w:hanging="445"/>
        <w:spacing w:after="0"/>
        <w:tabs>
          <w:tab w:leader="none" w:pos="460" w:val="left"/>
        </w:tabs>
        <w:numPr>
          <w:ilvl w:val="0"/>
          <w:numId w:val="58"/>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210185</wp:posOffset>
            </wp:positionV>
            <wp:extent cx="7169785" cy="412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683260</wp:posOffset>
            </wp:positionV>
            <wp:extent cx="1962150" cy="2423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962150" cy="242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left="340"/>
        <w:spacing w:after="0"/>
        <w:rPr>
          <w:sz w:val="20"/>
          <w:szCs w:val="20"/>
          <w:color w:val="auto"/>
        </w:rPr>
      </w:pPr>
      <w:r>
        <w:rPr>
          <w:rFonts w:ascii="Arial" w:cs="Arial" w:eastAsia="Arial" w:hAnsi="Arial"/>
          <w:sz w:val="13"/>
          <w:szCs w:val="13"/>
          <w:b w:val="1"/>
          <w:bCs w:val="1"/>
          <w:color w:val="191769"/>
        </w:rPr>
        <w:t>50%</w:t>
      </w:r>
    </w:p>
    <w:p>
      <w:pPr>
        <w:spacing w:after="0" w:line="134" w:lineRule="exact"/>
        <w:rPr>
          <w:sz w:val="20"/>
          <w:szCs w:val="20"/>
          <w:color w:val="auto"/>
        </w:rPr>
      </w:pPr>
    </w:p>
    <w:p>
      <w:pPr>
        <w:jc w:val="center"/>
        <w:ind w:left="340"/>
        <w:spacing w:after="0"/>
        <w:rPr>
          <w:sz w:val="20"/>
          <w:szCs w:val="20"/>
          <w:color w:val="auto"/>
        </w:rPr>
      </w:pPr>
      <w:r>
        <w:rPr>
          <w:rFonts w:ascii="Arial" w:cs="Arial" w:eastAsia="Arial" w:hAnsi="Arial"/>
          <w:sz w:val="13"/>
          <w:szCs w:val="13"/>
          <w:b w:val="1"/>
          <w:bCs w:val="1"/>
          <w:color w:val="191769"/>
        </w:rPr>
        <w:t>Financial Performance Component</w:t>
      </w:r>
    </w:p>
    <w:p>
      <w:pPr>
        <w:spacing w:after="0" w:line="223" w:lineRule="exact"/>
        <w:rPr>
          <w:sz w:val="20"/>
          <w:szCs w:val="20"/>
          <w:color w:val="auto"/>
        </w:rPr>
      </w:pPr>
    </w:p>
    <w:p>
      <w:pPr>
        <w:ind w:left="400" w:hanging="164"/>
        <w:spacing w:after="0"/>
        <w:tabs>
          <w:tab w:leader="none" w:pos="400" w:val="left"/>
        </w:tabs>
        <w:numPr>
          <w:ilvl w:val="0"/>
          <w:numId w:val="59"/>
        </w:numPr>
        <w:rPr>
          <w:rFonts w:ascii="Arial" w:cs="Arial" w:eastAsia="Arial" w:hAnsi="Arial"/>
          <w:sz w:val="16"/>
          <w:szCs w:val="16"/>
          <w:b w:val="1"/>
          <w:bCs w:val="1"/>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b w:val="1"/>
          <w:bCs w:val="1"/>
          <w:color w:val="19176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501650</wp:posOffset>
            </wp:positionV>
            <wp:extent cx="4971415" cy="2423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971415" cy="242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20" w:type="dxa"/>
            <w:vAlign w:val="bottom"/>
            <w:shd w:val="clear" w:color="auto" w:fill="E6F7FE"/>
          </w:tcPr>
          <w:p>
            <w:pPr>
              <w:spacing w:after="0"/>
              <w:rPr>
                <w:sz w:val="12"/>
                <w:szCs w:val="12"/>
                <w:color w:val="auto"/>
              </w:rPr>
            </w:pPr>
          </w:p>
        </w:tc>
        <w:tc>
          <w:tcPr>
            <w:tcW w:w="4100" w:type="dxa"/>
            <w:vAlign w:val="bottom"/>
            <w:vMerge w:val="restart"/>
            <w:shd w:val="clear" w:color="auto" w:fill="E6F7FE"/>
          </w:tcPr>
          <w:p>
            <w:pPr>
              <w:jc w:val="center"/>
              <w:ind w:right="148"/>
              <w:spacing w:after="0"/>
              <w:rPr>
                <w:sz w:val="20"/>
                <w:szCs w:val="20"/>
                <w:color w:val="auto"/>
              </w:rPr>
            </w:pPr>
            <w:r>
              <w:rPr>
                <w:rFonts w:ascii="Arial" w:cs="Arial" w:eastAsia="Arial" w:hAnsi="Arial"/>
                <w:sz w:val="13"/>
                <w:szCs w:val="13"/>
                <w:b w:val="1"/>
                <w:bCs w:val="1"/>
                <w:color w:val="191769"/>
              </w:rPr>
              <w:t>30%</w:t>
            </w:r>
          </w:p>
        </w:tc>
        <w:tc>
          <w:tcPr>
            <w:tcW w:w="360" w:type="dxa"/>
            <w:vAlign w:val="bottom"/>
          </w:tcPr>
          <w:p>
            <w:pPr>
              <w:spacing w:after="0"/>
              <w:rPr>
                <w:sz w:val="12"/>
                <w:szCs w:val="12"/>
                <w:color w:val="auto"/>
              </w:rPr>
            </w:pPr>
          </w:p>
        </w:tc>
        <w:tc>
          <w:tcPr>
            <w:tcW w:w="240" w:type="dxa"/>
            <w:vAlign w:val="bottom"/>
            <w:shd w:val="clear" w:color="auto" w:fill="E6F7FE"/>
          </w:tcPr>
          <w:p>
            <w:pPr>
              <w:spacing w:after="0"/>
              <w:rPr>
                <w:sz w:val="12"/>
                <w:szCs w:val="12"/>
                <w:color w:val="auto"/>
              </w:rPr>
            </w:pPr>
          </w:p>
        </w:tc>
        <w:tc>
          <w:tcPr>
            <w:tcW w:w="2880" w:type="dxa"/>
            <w:vAlign w:val="bottom"/>
            <w:vMerge w:val="restart"/>
            <w:shd w:val="clear" w:color="auto" w:fill="E6F7FE"/>
          </w:tcPr>
          <w:p>
            <w:pPr>
              <w:jc w:val="center"/>
              <w:ind w:right="148"/>
              <w:spacing w:after="0"/>
              <w:rPr>
                <w:sz w:val="20"/>
                <w:szCs w:val="20"/>
                <w:color w:val="auto"/>
              </w:rPr>
            </w:pPr>
            <w:r>
              <w:rPr>
                <w:rFonts w:ascii="Arial" w:cs="Arial" w:eastAsia="Arial" w:hAnsi="Arial"/>
                <w:sz w:val="13"/>
                <w:szCs w:val="13"/>
                <w:b w:val="1"/>
                <w:bCs w:val="1"/>
                <w:color w:val="191769"/>
                <w:w w:val="99"/>
              </w:rPr>
              <w:t>20%</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4100" w:type="dxa"/>
            <w:vAlign w:val="bottom"/>
            <w:vMerge w:val="continue"/>
            <w:shd w:val="clear" w:color="auto" w:fill="E6F7FE"/>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vMerge w:val="continue"/>
            <w:shd w:val="clear" w:color="auto" w:fill="E6F7F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20" w:type="dxa"/>
            <w:vAlign w:val="bottom"/>
          </w:tcPr>
          <w:p>
            <w:pPr>
              <w:spacing w:after="0"/>
              <w:rPr>
                <w:sz w:val="15"/>
                <w:szCs w:val="15"/>
                <w:color w:val="auto"/>
              </w:rPr>
            </w:pPr>
          </w:p>
        </w:tc>
        <w:tc>
          <w:tcPr>
            <w:tcW w:w="4100" w:type="dxa"/>
            <w:vAlign w:val="bottom"/>
          </w:tcPr>
          <w:p>
            <w:pPr>
              <w:jc w:val="center"/>
              <w:ind w:right="148"/>
              <w:spacing w:after="0"/>
              <w:rPr>
                <w:sz w:val="20"/>
                <w:szCs w:val="20"/>
                <w:color w:val="auto"/>
              </w:rPr>
            </w:pPr>
            <w:r>
              <w:rPr>
                <w:rFonts w:ascii="Arial" w:cs="Arial" w:eastAsia="Arial" w:hAnsi="Arial"/>
                <w:sz w:val="13"/>
                <w:szCs w:val="13"/>
                <w:b w:val="1"/>
                <w:bCs w:val="1"/>
                <w:color w:val="191769"/>
              </w:rPr>
              <w:t>Corporate Goals Component (Weighting of Each Sub-</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80" w:type="dxa"/>
            <w:vAlign w:val="bottom"/>
          </w:tcPr>
          <w:p>
            <w:pPr>
              <w:jc w:val="center"/>
              <w:ind w:right="148"/>
              <w:spacing w:after="0"/>
              <w:rPr>
                <w:sz w:val="20"/>
                <w:szCs w:val="20"/>
                <w:color w:val="auto"/>
              </w:rPr>
            </w:pPr>
            <w:r>
              <w:rPr>
                <w:rFonts w:ascii="Arial" w:cs="Arial" w:eastAsia="Arial" w:hAnsi="Arial"/>
                <w:sz w:val="13"/>
                <w:szCs w:val="13"/>
                <w:b w:val="1"/>
                <w:bCs w:val="1"/>
                <w:color w:val="191769"/>
              </w:rPr>
              <w:t>Individual Performance</w:t>
            </w:r>
          </w:p>
        </w:tc>
        <w:tc>
          <w:tcPr>
            <w:tcW w:w="0" w:type="dxa"/>
            <w:vAlign w:val="bottom"/>
          </w:tcPr>
          <w:p>
            <w:pPr>
              <w:spacing w:after="0"/>
              <w:rPr>
                <w:sz w:val="1"/>
                <w:szCs w:val="1"/>
                <w:color w:val="auto"/>
              </w:rPr>
            </w:pPr>
          </w:p>
        </w:tc>
      </w:tr>
      <w:tr>
        <w:trPr>
          <w:trHeight w:val="179"/>
        </w:trPr>
        <w:tc>
          <w:tcPr>
            <w:tcW w:w="220" w:type="dxa"/>
            <w:vAlign w:val="bottom"/>
          </w:tcPr>
          <w:p>
            <w:pPr>
              <w:spacing w:after="0"/>
              <w:rPr>
                <w:sz w:val="15"/>
                <w:szCs w:val="15"/>
                <w:color w:val="auto"/>
              </w:rPr>
            </w:pPr>
          </w:p>
        </w:tc>
        <w:tc>
          <w:tcPr>
            <w:tcW w:w="4100" w:type="dxa"/>
            <w:vAlign w:val="bottom"/>
          </w:tcPr>
          <w:p>
            <w:pPr>
              <w:jc w:val="center"/>
              <w:ind w:right="148"/>
              <w:spacing w:after="0"/>
              <w:rPr>
                <w:sz w:val="20"/>
                <w:szCs w:val="20"/>
                <w:color w:val="auto"/>
              </w:rPr>
            </w:pPr>
            <w:r>
              <w:rPr>
                <w:rFonts w:ascii="Arial" w:cs="Arial" w:eastAsia="Arial" w:hAnsi="Arial"/>
                <w:sz w:val="13"/>
                <w:szCs w:val="13"/>
                <w:b w:val="1"/>
                <w:bCs w:val="1"/>
                <w:color w:val="191769"/>
                <w:w w:val="99"/>
              </w:rPr>
              <w:t>Component)</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80" w:type="dxa"/>
            <w:vAlign w:val="bottom"/>
          </w:tcPr>
          <w:p>
            <w:pPr>
              <w:jc w:val="center"/>
              <w:ind w:right="168"/>
              <w:spacing w:after="0"/>
              <w:rPr>
                <w:sz w:val="20"/>
                <w:szCs w:val="20"/>
                <w:color w:val="auto"/>
              </w:rPr>
            </w:pPr>
            <w:r>
              <w:rPr>
                <w:rFonts w:ascii="Arial" w:cs="Arial" w:eastAsia="Arial" w:hAnsi="Arial"/>
                <w:sz w:val="13"/>
                <w:szCs w:val="13"/>
                <w:b w:val="1"/>
                <w:bCs w:val="1"/>
                <w:color w:val="191769"/>
                <w:w w:val="99"/>
              </w:rPr>
              <w:t>Goals</w:t>
            </w:r>
          </w:p>
        </w:tc>
        <w:tc>
          <w:tcPr>
            <w:tcW w:w="0" w:type="dxa"/>
            <w:vAlign w:val="bottom"/>
          </w:tcPr>
          <w:p>
            <w:pPr>
              <w:spacing w:after="0"/>
              <w:rPr>
                <w:sz w:val="1"/>
                <w:szCs w:val="1"/>
                <w:color w:val="auto"/>
              </w:rPr>
            </w:pPr>
          </w:p>
        </w:tc>
      </w:tr>
      <w:tr>
        <w:trPr>
          <w:trHeight w:val="305"/>
        </w:trPr>
        <w:tc>
          <w:tcPr>
            <w:tcW w:w="220" w:type="dxa"/>
            <w:vAlign w:val="bottom"/>
          </w:tcPr>
          <w:p>
            <w:pPr>
              <w:spacing w:after="0"/>
              <w:rPr>
                <w:sz w:val="24"/>
                <w:szCs w:val="24"/>
                <w:color w:val="auto"/>
              </w:rPr>
            </w:pPr>
          </w:p>
        </w:tc>
        <w:tc>
          <w:tcPr>
            <w:tcW w:w="4100" w:type="dxa"/>
            <w:vAlign w:val="bottom"/>
          </w:tcPr>
          <w:p>
            <w:pPr>
              <w:ind w:left="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Safety - Lost time incident rate (5%)</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Goals specific to the individual</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Safety – Recordable incident rate (5%)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6"/>
                <w:szCs w:val="16"/>
                <w:color w:val="auto"/>
              </w:rPr>
              <w:t>NEO</w:t>
            </w:r>
          </w:p>
        </w:tc>
        <w:tc>
          <w:tcPr>
            <w:tcW w:w="0" w:type="dxa"/>
            <w:vAlign w:val="bottom"/>
          </w:tcPr>
          <w:p>
            <w:pPr>
              <w:spacing w:after="0"/>
              <w:rPr>
                <w:sz w:val="1"/>
                <w:szCs w:val="1"/>
                <w:color w:val="auto"/>
              </w:rPr>
            </w:pPr>
          </w:p>
        </w:tc>
      </w:tr>
      <w:tr>
        <w:trPr>
          <w:trHeight w:val="70"/>
        </w:trPr>
        <w:tc>
          <w:tcPr>
            <w:tcW w:w="220" w:type="dxa"/>
            <w:vAlign w:val="bottom"/>
          </w:tcPr>
          <w:p>
            <w:pPr>
              <w:spacing w:after="0"/>
              <w:rPr>
                <w:sz w:val="6"/>
                <w:szCs w:val="6"/>
                <w:color w:val="auto"/>
              </w:rPr>
            </w:pPr>
          </w:p>
        </w:tc>
        <w:tc>
          <w:tcPr>
            <w:tcW w:w="41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420" w:right="4660" w:hanging="177"/>
        <w:spacing w:after="0" w:line="297" w:lineRule="auto"/>
        <w:tabs>
          <w:tab w:leader="none" w:pos="411"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Safety – Water quality avoidable non-compliance (5%)</w:t>
      </w:r>
    </w:p>
    <w:p>
      <w:pPr>
        <w:ind w:left="420" w:hanging="177"/>
        <w:spacing w:after="0"/>
        <w:tabs>
          <w:tab w:leader="none" w:pos="420"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Employee Engagement and Satisfaction (5%)</w:t>
      </w:r>
    </w:p>
    <w:p>
      <w:pPr>
        <w:spacing w:after="0" w:line="74" w:lineRule="exact"/>
        <w:rPr>
          <w:rFonts w:ascii="Arial" w:cs="Arial" w:eastAsia="Arial" w:hAnsi="Arial"/>
          <w:sz w:val="16"/>
          <w:szCs w:val="16"/>
          <w:b w:val="1"/>
          <w:bCs w:val="1"/>
          <w:color w:val="auto"/>
        </w:rPr>
      </w:pPr>
    </w:p>
    <w:p>
      <w:pPr>
        <w:ind w:left="420" w:right="3800" w:hanging="177"/>
        <w:spacing w:after="0" w:line="299" w:lineRule="auto"/>
        <w:tabs>
          <w:tab w:leader="none" w:pos="411"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Customer Experience – Customer complaints per 1000 accounts (5%)</w:t>
      </w:r>
    </w:p>
    <w:p>
      <w:pPr>
        <w:spacing w:after="0" w:line="9" w:lineRule="exact"/>
        <w:rPr>
          <w:rFonts w:ascii="Arial" w:cs="Arial" w:eastAsia="Arial" w:hAnsi="Arial"/>
          <w:sz w:val="16"/>
          <w:szCs w:val="16"/>
          <w:b w:val="1"/>
          <w:bCs w:val="1"/>
          <w:color w:val="auto"/>
        </w:rPr>
      </w:pPr>
    </w:p>
    <w:p>
      <w:pPr>
        <w:ind w:left="420" w:right="4320" w:hanging="177"/>
        <w:spacing w:after="0" w:line="299" w:lineRule="auto"/>
        <w:tabs>
          <w:tab w:leader="none" w:pos="411"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Customer Experience – Average Speed to Answer Customer Calls (5%)</w:t>
      </w:r>
    </w:p>
    <w:p>
      <w:pPr>
        <w:spacing w:after="0" w:line="200" w:lineRule="exact"/>
        <w:rPr>
          <w:sz w:val="20"/>
          <w:szCs w:val="20"/>
          <w:color w:val="auto"/>
        </w:rPr>
      </w:pPr>
    </w:p>
    <w:p>
      <w:pPr>
        <w:sectPr>
          <w:pgSz w:w="11900" w:h="16838" w:orient="portrait"/>
          <w:cols w:equalWidth="0" w:num="2">
            <w:col w:w="2720" w:space="720"/>
            <w:col w:w="7800"/>
          </w:cols>
          <w:pgMar w:left="320" w:top="124" w:right="33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formula is used for calculating the total STI score, which is used to calculate the total STI payout for each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120650</wp:posOffset>
            </wp:positionV>
            <wp:extent cx="7152005" cy="9302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2005" cy="930275"/>
                    </a:xfrm>
                    <a:prstGeom prst="rect">
                      <a:avLst/>
                    </a:prstGeom>
                    <a:noFill/>
                  </pic:spPr>
                </pic:pic>
              </a:graphicData>
            </a:graphic>
          </wp:anchor>
        </w:drawing>
      </w:r>
    </w:p>
    <w:p>
      <w:pPr>
        <w:spacing w:after="0" w:line="298" w:lineRule="exact"/>
        <w:rPr>
          <w:sz w:val="20"/>
          <w:szCs w:val="20"/>
          <w:color w:val="auto"/>
        </w:rPr>
      </w:pPr>
    </w:p>
    <w:tbl>
      <w:tblPr>
        <w:tblLayout w:type="fixed"/>
        <w:tblInd w:w="300" w:type="dxa"/>
        <w:tblCellMar>
          <w:top w:w="0" w:type="dxa"/>
          <w:left w:w="0" w:type="dxa"/>
          <w:bottom w:w="0" w:type="dxa"/>
          <w:right w:w="0" w:type="dxa"/>
        </w:tblCellMar>
      </w:tblPr>
      <w:tr>
        <w:trPr>
          <w:trHeight w:val="160"/>
        </w:trPr>
        <w:tc>
          <w:tcPr>
            <w:tcW w:w="3060" w:type="dxa"/>
            <w:vAlign w:val="bottom"/>
            <w:vMerge w:val="restart"/>
          </w:tcPr>
          <w:p>
            <w:pPr>
              <w:spacing w:after="0"/>
              <w:rPr>
                <w:sz w:val="20"/>
                <w:szCs w:val="20"/>
                <w:color w:val="auto"/>
              </w:rPr>
            </w:pPr>
            <w:r>
              <w:rPr>
                <w:rFonts w:ascii="Arial" w:cs="Arial" w:eastAsia="Arial" w:hAnsi="Arial"/>
                <w:sz w:val="13"/>
                <w:szCs w:val="13"/>
                <w:b w:val="1"/>
                <w:bCs w:val="1"/>
                <w:color w:val="191769"/>
              </w:rPr>
              <w:t>Financial Performance Component</w:t>
            </w:r>
          </w:p>
        </w:tc>
        <w:tc>
          <w:tcPr>
            <w:tcW w:w="3100" w:type="dxa"/>
            <w:vAlign w:val="bottom"/>
          </w:tcPr>
          <w:p>
            <w:pPr>
              <w:jc w:val="center"/>
              <w:ind w:right="234"/>
              <w:spacing w:after="0"/>
              <w:rPr>
                <w:sz w:val="20"/>
                <w:szCs w:val="20"/>
                <w:color w:val="auto"/>
              </w:rPr>
            </w:pPr>
            <w:r>
              <w:rPr>
                <w:rFonts w:ascii="Arial" w:cs="Arial" w:eastAsia="Arial" w:hAnsi="Arial"/>
                <w:sz w:val="13"/>
                <w:szCs w:val="13"/>
                <w:b w:val="1"/>
                <w:bCs w:val="1"/>
                <w:color w:val="191769"/>
              </w:rPr>
              <w:t>Corporate Goals</w:t>
            </w:r>
          </w:p>
        </w:tc>
        <w:tc>
          <w:tcPr>
            <w:tcW w:w="2200" w:type="dxa"/>
            <w:vAlign w:val="bottom"/>
          </w:tcPr>
          <w:p>
            <w:pPr>
              <w:jc w:val="center"/>
              <w:ind w:left="1114"/>
              <w:spacing w:after="0"/>
              <w:rPr>
                <w:sz w:val="20"/>
                <w:szCs w:val="20"/>
                <w:color w:val="auto"/>
              </w:rPr>
            </w:pPr>
            <w:r>
              <w:rPr>
                <w:rFonts w:ascii="Arial" w:cs="Arial" w:eastAsia="Arial" w:hAnsi="Arial"/>
                <w:sz w:val="13"/>
                <w:szCs w:val="13"/>
                <w:b w:val="1"/>
                <w:bCs w:val="1"/>
                <w:color w:val="191769"/>
              </w:rPr>
              <w:t>Individual Goals</w:t>
            </w:r>
          </w:p>
        </w:tc>
        <w:tc>
          <w:tcPr>
            <w:tcW w:w="0" w:type="dxa"/>
            <w:vAlign w:val="bottom"/>
          </w:tcPr>
          <w:p>
            <w:pPr>
              <w:spacing w:after="0"/>
              <w:rPr>
                <w:sz w:val="1"/>
                <w:szCs w:val="1"/>
                <w:color w:val="auto"/>
              </w:rPr>
            </w:pPr>
          </w:p>
        </w:tc>
      </w:tr>
      <w:tr>
        <w:trPr>
          <w:trHeight w:val="93"/>
        </w:trPr>
        <w:tc>
          <w:tcPr>
            <w:tcW w:w="3060" w:type="dxa"/>
            <w:vAlign w:val="bottom"/>
            <w:vMerge w:val="continue"/>
          </w:tcPr>
          <w:p>
            <w:pPr>
              <w:spacing w:after="0"/>
              <w:rPr>
                <w:sz w:val="8"/>
                <w:szCs w:val="8"/>
                <w:color w:val="auto"/>
              </w:rPr>
            </w:pPr>
          </w:p>
        </w:tc>
        <w:tc>
          <w:tcPr>
            <w:tcW w:w="3100" w:type="dxa"/>
            <w:vAlign w:val="bottom"/>
            <w:vMerge w:val="restart"/>
          </w:tcPr>
          <w:p>
            <w:pPr>
              <w:jc w:val="center"/>
              <w:ind w:right="234"/>
              <w:spacing w:after="0"/>
              <w:rPr>
                <w:sz w:val="20"/>
                <w:szCs w:val="20"/>
                <w:color w:val="auto"/>
              </w:rPr>
            </w:pPr>
            <w:r>
              <w:rPr>
                <w:rFonts w:ascii="Arial" w:cs="Arial" w:eastAsia="Arial" w:hAnsi="Arial"/>
                <w:sz w:val="13"/>
                <w:szCs w:val="13"/>
                <w:b w:val="1"/>
                <w:bCs w:val="1"/>
                <w:color w:val="191769"/>
                <w:w w:val="99"/>
              </w:rPr>
              <w:t>Component</w:t>
            </w:r>
          </w:p>
        </w:tc>
        <w:tc>
          <w:tcPr>
            <w:tcW w:w="2200" w:type="dxa"/>
            <w:vAlign w:val="bottom"/>
            <w:vMerge w:val="restart"/>
          </w:tcPr>
          <w:p>
            <w:pPr>
              <w:jc w:val="center"/>
              <w:ind w:left="1114"/>
              <w:spacing w:after="0"/>
              <w:rPr>
                <w:sz w:val="20"/>
                <w:szCs w:val="20"/>
                <w:color w:val="auto"/>
              </w:rPr>
            </w:pPr>
            <w:r>
              <w:rPr>
                <w:rFonts w:ascii="Arial" w:cs="Arial" w:eastAsia="Arial" w:hAnsi="Arial"/>
                <w:sz w:val="13"/>
                <w:szCs w:val="13"/>
                <w:b w:val="1"/>
                <w:bCs w:val="1"/>
                <w:color w:val="191769"/>
              </w:rPr>
              <w:t>Component</w:t>
            </w:r>
          </w:p>
        </w:tc>
        <w:tc>
          <w:tcPr>
            <w:tcW w:w="0" w:type="dxa"/>
            <w:vAlign w:val="bottom"/>
          </w:tcPr>
          <w:p>
            <w:pPr>
              <w:spacing w:after="0"/>
              <w:rPr>
                <w:sz w:val="1"/>
                <w:szCs w:val="1"/>
                <w:color w:val="auto"/>
              </w:rPr>
            </w:pPr>
          </w:p>
        </w:tc>
      </w:tr>
      <w:tr>
        <w:trPr>
          <w:trHeight w:val="86"/>
        </w:trPr>
        <w:tc>
          <w:tcPr>
            <w:tcW w:w="306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2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42"/>
        </w:trPr>
        <w:tc>
          <w:tcPr>
            <w:tcW w:w="860" w:type="dxa"/>
            <w:vAlign w:val="bottom"/>
            <w:tcBorders>
              <w:bottom w:val="single" w:sz="8" w:color="D9D9D9"/>
            </w:tcBorders>
          </w:tcPr>
          <w:p>
            <w:pPr>
              <w:spacing w:after="0"/>
              <w:rPr>
                <w:sz w:val="3"/>
                <w:szCs w:val="3"/>
                <w:color w:val="auto"/>
              </w:rPr>
            </w:pPr>
          </w:p>
        </w:tc>
        <w:tc>
          <w:tcPr>
            <w:tcW w:w="580" w:type="dxa"/>
            <w:vAlign w:val="bottom"/>
            <w:tcBorders>
              <w:bottom w:val="single" w:sz="8" w:color="D9D9D9"/>
            </w:tcBorders>
          </w:tcPr>
          <w:p>
            <w:pPr>
              <w:spacing w:after="0"/>
              <w:rPr>
                <w:sz w:val="3"/>
                <w:szCs w:val="3"/>
                <w:color w:val="auto"/>
              </w:rPr>
            </w:pPr>
          </w:p>
        </w:tc>
        <w:tc>
          <w:tcPr>
            <w:tcW w:w="1360" w:type="dxa"/>
            <w:vAlign w:val="bottom"/>
            <w:tcBorders>
              <w:bottom w:val="single" w:sz="8" w:color="D9D9D9"/>
            </w:tcBorders>
          </w:tcPr>
          <w:p>
            <w:pPr>
              <w:spacing w:after="0"/>
              <w:rPr>
                <w:sz w:val="3"/>
                <w:szCs w:val="3"/>
                <w:color w:val="auto"/>
              </w:rPr>
            </w:pPr>
          </w:p>
        </w:tc>
        <w:tc>
          <w:tcPr>
            <w:tcW w:w="440" w:type="dxa"/>
            <w:vAlign w:val="bottom"/>
            <w:vMerge w:val="restart"/>
          </w:tcPr>
          <w:p>
            <w:pPr>
              <w:jc w:val="right"/>
              <w:ind w:right="9"/>
              <w:spacing w:after="0"/>
              <w:rPr>
                <w:sz w:val="20"/>
                <w:szCs w:val="20"/>
                <w:color w:val="auto"/>
              </w:rPr>
            </w:pPr>
            <w:r>
              <w:rPr>
                <w:rFonts w:ascii="Arial" w:cs="Arial" w:eastAsia="Arial" w:hAnsi="Arial"/>
                <w:sz w:val="26"/>
                <w:szCs w:val="26"/>
                <w:b w:val="1"/>
                <w:bCs w:val="1"/>
                <w:color w:val="191769"/>
              </w:rPr>
              <w:t>+</w:t>
            </w:r>
          </w:p>
        </w:tc>
        <w:tc>
          <w:tcPr>
            <w:tcW w:w="880" w:type="dxa"/>
            <w:vAlign w:val="bottom"/>
            <w:tcBorders>
              <w:bottom w:val="single" w:sz="8" w:color="D9D9D9"/>
            </w:tcBorders>
          </w:tcPr>
          <w:p>
            <w:pPr>
              <w:spacing w:after="0"/>
              <w:rPr>
                <w:sz w:val="3"/>
                <w:szCs w:val="3"/>
                <w:color w:val="auto"/>
              </w:rPr>
            </w:pPr>
          </w:p>
        </w:tc>
        <w:tc>
          <w:tcPr>
            <w:tcW w:w="780" w:type="dxa"/>
            <w:vAlign w:val="bottom"/>
            <w:tcBorders>
              <w:bottom w:val="single" w:sz="8" w:color="D9D9D9"/>
            </w:tcBorders>
          </w:tcPr>
          <w:p>
            <w:pPr>
              <w:spacing w:after="0"/>
              <w:rPr>
                <w:sz w:val="3"/>
                <w:szCs w:val="3"/>
                <w:color w:val="auto"/>
              </w:rPr>
            </w:pPr>
          </w:p>
        </w:tc>
        <w:tc>
          <w:tcPr>
            <w:tcW w:w="1380" w:type="dxa"/>
            <w:vAlign w:val="bottom"/>
            <w:tcBorders>
              <w:bottom w:val="single" w:sz="8" w:color="D9D9D9"/>
            </w:tcBorders>
          </w:tcPr>
          <w:p>
            <w:pPr>
              <w:spacing w:after="0"/>
              <w:rPr>
                <w:sz w:val="3"/>
                <w:szCs w:val="3"/>
                <w:color w:val="auto"/>
              </w:rPr>
            </w:pPr>
          </w:p>
        </w:tc>
        <w:tc>
          <w:tcPr>
            <w:tcW w:w="440" w:type="dxa"/>
            <w:vAlign w:val="bottom"/>
            <w:vMerge w:val="restart"/>
          </w:tcPr>
          <w:p>
            <w:pPr>
              <w:jc w:val="right"/>
              <w:ind w:right="9"/>
              <w:spacing w:after="0"/>
              <w:rPr>
                <w:sz w:val="20"/>
                <w:szCs w:val="20"/>
                <w:color w:val="auto"/>
              </w:rPr>
            </w:pPr>
            <w:r>
              <w:rPr>
                <w:rFonts w:ascii="Arial" w:cs="Arial" w:eastAsia="Arial" w:hAnsi="Arial"/>
                <w:sz w:val="26"/>
                <w:szCs w:val="26"/>
                <w:b w:val="1"/>
                <w:bCs w:val="1"/>
                <w:color w:val="191769"/>
              </w:rPr>
              <w:t>+</w:t>
            </w:r>
          </w:p>
        </w:tc>
        <w:tc>
          <w:tcPr>
            <w:tcW w:w="900" w:type="dxa"/>
            <w:vAlign w:val="bottom"/>
            <w:tcBorders>
              <w:bottom w:val="single" w:sz="8" w:color="D9D9D9"/>
            </w:tcBorders>
          </w:tcPr>
          <w:p>
            <w:pPr>
              <w:spacing w:after="0"/>
              <w:rPr>
                <w:sz w:val="3"/>
                <w:szCs w:val="3"/>
                <w:color w:val="auto"/>
              </w:rPr>
            </w:pPr>
          </w:p>
        </w:tc>
        <w:tc>
          <w:tcPr>
            <w:tcW w:w="580" w:type="dxa"/>
            <w:vAlign w:val="bottom"/>
            <w:tcBorders>
              <w:bottom w:val="single" w:sz="8" w:color="D9D9D9"/>
            </w:tcBorders>
          </w:tcPr>
          <w:p>
            <w:pPr>
              <w:spacing w:after="0"/>
              <w:rPr>
                <w:sz w:val="3"/>
                <w:szCs w:val="3"/>
                <w:color w:val="auto"/>
              </w:rPr>
            </w:pPr>
          </w:p>
        </w:tc>
        <w:tc>
          <w:tcPr>
            <w:tcW w:w="1380" w:type="dxa"/>
            <w:vAlign w:val="bottom"/>
            <w:tcBorders>
              <w:bottom w:val="single" w:sz="8" w:color="D9D9D9"/>
            </w:tcBorders>
          </w:tcPr>
          <w:p>
            <w:pPr>
              <w:spacing w:after="0"/>
              <w:rPr>
                <w:sz w:val="3"/>
                <w:szCs w:val="3"/>
                <w:color w:val="auto"/>
              </w:rPr>
            </w:pPr>
          </w:p>
        </w:tc>
        <w:tc>
          <w:tcPr>
            <w:tcW w:w="1580" w:type="dxa"/>
            <w:vAlign w:val="bottom"/>
            <w:vMerge w:val="restart"/>
          </w:tcPr>
          <w:p>
            <w:pPr>
              <w:ind w:left="140"/>
              <w:spacing w:after="0"/>
              <w:rPr>
                <w:sz w:val="20"/>
                <w:szCs w:val="20"/>
                <w:color w:val="auto"/>
              </w:rPr>
            </w:pPr>
            <w:r>
              <w:rPr>
                <w:rFonts w:ascii="Arial" w:cs="Arial" w:eastAsia="Arial" w:hAnsi="Arial"/>
                <w:sz w:val="26"/>
                <w:szCs w:val="26"/>
                <w:b w:val="1"/>
                <w:bCs w:val="1"/>
                <w:color w:val="191769"/>
              </w:rPr>
              <w:t xml:space="preserve">=  </w:t>
            </w:r>
            <w:r>
              <w:rPr>
                <w:rFonts w:ascii="Arial" w:cs="Arial" w:eastAsia="Arial" w:hAnsi="Arial"/>
                <w:sz w:val="19"/>
                <w:szCs w:val="19"/>
                <w:b w:val="1"/>
                <w:bCs w:val="1"/>
                <w:color w:val="191769"/>
              </w:rPr>
              <w:t>Total Score</w:t>
            </w:r>
          </w:p>
        </w:tc>
        <w:tc>
          <w:tcPr>
            <w:tcW w:w="0" w:type="dxa"/>
            <w:vAlign w:val="bottom"/>
          </w:tcPr>
          <w:p>
            <w:pPr>
              <w:spacing w:after="0"/>
              <w:rPr>
                <w:sz w:val="1"/>
                <w:szCs w:val="1"/>
                <w:color w:val="auto"/>
              </w:rPr>
            </w:pPr>
          </w:p>
        </w:tc>
      </w:tr>
      <w:tr>
        <w:trPr>
          <w:trHeight w:val="128"/>
        </w:trPr>
        <w:tc>
          <w:tcPr>
            <w:tcW w:w="860" w:type="dxa"/>
            <w:vAlign w:val="bottom"/>
            <w:tcBorders>
              <w:bottom w:val="single" w:sz="8" w:color="00AEEF"/>
            </w:tcBorders>
          </w:tcPr>
          <w:p>
            <w:pPr>
              <w:spacing w:after="0"/>
              <w:rPr>
                <w:sz w:val="11"/>
                <w:szCs w:val="11"/>
                <w:color w:val="auto"/>
              </w:rPr>
            </w:pPr>
          </w:p>
        </w:tc>
        <w:tc>
          <w:tcPr>
            <w:tcW w:w="580" w:type="dxa"/>
            <w:vAlign w:val="bottom"/>
          </w:tcPr>
          <w:p>
            <w:pPr>
              <w:spacing w:after="0"/>
              <w:rPr>
                <w:sz w:val="11"/>
                <w:szCs w:val="11"/>
                <w:color w:val="auto"/>
              </w:rPr>
            </w:pPr>
          </w:p>
        </w:tc>
        <w:tc>
          <w:tcPr>
            <w:tcW w:w="1360" w:type="dxa"/>
            <w:vAlign w:val="bottom"/>
            <w:tcBorders>
              <w:bottom w:val="single" w:sz="8" w:color="00AEEF"/>
            </w:tcBorders>
          </w:tcPr>
          <w:p>
            <w:pPr>
              <w:spacing w:after="0"/>
              <w:rPr>
                <w:sz w:val="11"/>
                <w:szCs w:val="11"/>
                <w:color w:val="auto"/>
              </w:rPr>
            </w:pPr>
          </w:p>
        </w:tc>
        <w:tc>
          <w:tcPr>
            <w:tcW w:w="440" w:type="dxa"/>
            <w:vAlign w:val="bottom"/>
            <w:vMerge w:val="continue"/>
          </w:tcPr>
          <w:p>
            <w:pPr>
              <w:spacing w:after="0"/>
              <w:rPr>
                <w:sz w:val="11"/>
                <w:szCs w:val="11"/>
                <w:color w:val="auto"/>
              </w:rPr>
            </w:pPr>
          </w:p>
        </w:tc>
        <w:tc>
          <w:tcPr>
            <w:tcW w:w="880" w:type="dxa"/>
            <w:vAlign w:val="bottom"/>
            <w:tcBorders>
              <w:bottom w:val="single" w:sz="8" w:color="00AEEF"/>
            </w:tcBorders>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tcBorders>
              <w:bottom w:val="single" w:sz="8" w:color="00AEEF"/>
            </w:tcBorders>
          </w:tcPr>
          <w:p>
            <w:pPr>
              <w:spacing w:after="0"/>
              <w:rPr>
                <w:sz w:val="11"/>
                <w:szCs w:val="11"/>
                <w:color w:val="auto"/>
              </w:rPr>
            </w:pPr>
          </w:p>
        </w:tc>
        <w:tc>
          <w:tcPr>
            <w:tcW w:w="440" w:type="dxa"/>
            <w:vAlign w:val="bottom"/>
            <w:vMerge w:val="continue"/>
          </w:tcPr>
          <w:p>
            <w:pPr>
              <w:spacing w:after="0"/>
              <w:rPr>
                <w:sz w:val="11"/>
                <w:szCs w:val="11"/>
                <w:color w:val="auto"/>
              </w:rPr>
            </w:pPr>
          </w:p>
        </w:tc>
        <w:tc>
          <w:tcPr>
            <w:tcW w:w="900" w:type="dxa"/>
            <w:vAlign w:val="bottom"/>
            <w:tcBorders>
              <w:bottom w:val="single" w:sz="8" w:color="00AEEF"/>
            </w:tcBorders>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tcBorders>
              <w:bottom w:val="single" w:sz="8" w:color="00AEEF"/>
            </w:tcBorders>
          </w:tcPr>
          <w:p>
            <w:pPr>
              <w:spacing w:after="0"/>
              <w:rPr>
                <w:sz w:val="11"/>
                <w:szCs w:val="11"/>
                <w:color w:val="auto"/>
              </w:rPr>
            </w:pPr>
          </w:p>
        </w:tc>
        <w:tc>
          <w:tcPr>
            <w:tcW w:w="1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Borders>
              <w:left w:val="single" w:sz="8" w:color="00AEEF"/>
              <w:right w:val="single" w:sz="8" w:color="00AEEF"/>
            </w:tcBorders>
          </w:tcPr>
          <w:p>
            <w:pPr>
              <w:spacing w:after="0"/>
              <w:rPr>
                <w:sz w:val="13"/>
                <w:szCs w:val="13"/>
                <w:color w:val="auto"/>
              </w:rPr>
            </w:pPr>
          </w:p>
        </w:tc>
        <w:tc>
          <w:tcPr>
            <w:tcW w:w="580" w:type="dxa"/>
            <w:vAlign w:val="bottom"/>
            <w:tcBorders>
              <w:right w:val="single" w:sz="8" w:color="00AEEF"/>
            </w:tcBorders>
            <w:vMerge w:val="restart"/>
          </w:tcPr>
          <w:p>
            <w:pPr>
              <w:ind w:left="220"/>
              <w:spacing w:after="0"/>
              <w:rPr>
                <w:sz w:val="20"/>
                <w:szCs w:val="20"/>
                <w:color w:val="auto"/>
              </w:rPr>
            </w:pPr>
            <w:r>
              <w:rPr>
                <w:rFonts w:ascii="Arial" w:cs="Arial" w:eastAsia="Arial" w:hAnsi="Arial"/>
                <w:sz w:val="20"/>
                <w:szCs w:val="20"/>
                <w:b w:val="1"/>
                <w:bCs w:val="1"/>
                <w:color w:val="00AEEF"/>
              </w:rPr>
              <w:t>x</w:t>
            </w:r>
          </w:p>
        </w:tc>
        <w:tc>
          <w:tcPr>
            <w:tcW w:w="1360" w:type="dxa"/>
            <w:vAlign w:val="bottom"/>
            <w:tcBorders>
              <w:right w:val="single" w:sz="8" w:color="00AEEF"/>
            </w:tcBorders>
            <w:vMerge w:val="restart"/>
          </w:tcPr>
          <w:p>
            <w:pPr>
              <w:jc w:val="center"/>
              <w:spacing w:after="0"/>
              <w:rPr>
                <w:sz w:val="20"/>
                <w:szCs w:val="20"/>
                <w:color w:val="auto"/>
              </w:rPr>
            </w:pPr>
            <w:r>
              <w:rPr>
                <w:rFonts w:ascii="Arial" w:cs="Arial" w:eastAsia="Arial" w:hAnsi="Arial"/>
                <w:sz w:val="16"/>
                <w:szCs w:val="16"/>
                <w:b w:val="1"/>
                <w:bCs w:val="1"/>
                <w:color w:val="auto"/>
              </w:rPr>
              <w:t>Net Income</w:t>
            </w:r>
          </w:p>
        </w:tc>
        <w:tc>
          <w:tcPr>
            <w:tcW w:w="440" w:type="dxa"/>
            <w:vAlign w:val="bottom"/>
            <w:vMerge w:val="continue"/>
          </w:tcPr>
          <w:p>
            <w:pPr>
              <w:spacing w:after="0"/>
              <w:rPr>
                <w:sz w:val="13"/>
                <w:szCs w:val="13"/>
                <w:color w:val="auto"/>
              </w:rPr>
            </w:pPr>
          </w:p>
        </w:tc>
        <w:tc>
          <w:tcPr>
            <w:tcW w:w="880" w:type="dxa"/>
            <w:vAlign w:val="bottom"/>
            <w:tcBorders>
              <w:left w:val="single" w:sz="8" w:color="00AEEF"/>
              <w:right w:val="single" w:sz="8" w:color="00AEEF"/>
            </w:tcBorders>
          </w:tcPr>
          <w:p>
            <w:pPr>
              <w:spacing w:after="0"/>
              <w:rPr>
                <w:sz w:val="13"/>
                <w:szCs w:val="13"/>
                <w:color w:val="auto"/>
              </w:rPr>
            </w:pPr>
          </w:p>
        </w:tc>
        <w:tc>
          <w:tcPr>
            <w:tcW w:w="780" w:type="dxa"/>
            <w:vAlign w:val="bottom"/>
            <w:tcBorders>
              <w:right w:val="single" w:sz="8" w:color="00AEEF"/>
            </w:tcBorders>
            <w:vMerge w:val="restart"/>
          </w:tcPr>
          <w:p>
            <w:pPr>
              <w:ind w:left="320"/>
              <w:spacing w:after="0"/>
              <w:rPr>
                <w:sz w:val="20"/>
                <w:szCs w:val="20"/>
                <w:color w:val="auto"/>
              </w:rPr>
            </w:pPr>
            <w:r>
              <w:rPr>
                <w:rFonts w:ascii="Arial" w:cs="Arial" w:eastAsia="Arial" w:hAnsi="Arial"/>
                <w:sz w:val="20"/>
                <w:szCs w:val="20"/>
                <w:b w:val="1"/>
                <w:bCs w:val="1"/>
                <w:color w:val="00AEEF"/>
              </w:rPr>
              <w:t>x</w:t>
            </w:r>
          </w:p>
        </w:tc>
        <w:tc>
          <w:tcPr>
            <w:tcW w:w="1380" w:type="dxa"/>
            <w:vAlign w:val="bottom"/>
            <w:tcBorders>
              <w:right w:val="single" w:sz="8" w:color="00AEEF"/>
            </w:tcBorders>
            <w:vMerge w:val="restart"/>
          </w:tcPr>
          <w:p>
            <w:pPr>
              <w:jc w:val="center"/>
              <w:spacing w:after="0"/>
              <w:rPr>
                <w:sz w:val="20"/>
                <w:szCs w:val="20"/>
                <w:color w:val="auto"/>
              </w:rPr>
            </w:pPr>
            <w:r>
              <w:rPr>
                <w:rFonts w:ascii="Arial" w:cs="Arial" w:eastAsia="Arial" w:hAnsi="Arial"/>
                <w:sz w:val="16"/>
                <w:szCs w:val="16"/>
                <w:b w:val="1"/>
                <w:bCs w:val="1"/>
                <w:color w:val="auto"/>
              </w:rPr>
              <w:t>Corporate Goals</w:t>
            </w:r>
          </w:p>
        </w:tc>
        <w:tc>
          <w:tcPr>
            <w:tcW w:w="440" w:type="dxa"/>
            <w:vAlign w:val="bottom"/>
            <w:vMerge w:val="continue"/>
          </w:tcPr>
          <w:p>
            <w:pPr>
              <w:spacing w:after="0"/>
              <w:rPr>
                <w:sz w:val="13"/>
                <w:szCs w:val="13"/>
                <w:color w:val="auto"/>
              </w:rPr>
            </w:pPr>
          </w:p>
        </w:tc>
        <w:tc>
          <w:tcPr>
            <w:tcW w:w="900" w:type="dxa"/>
            <w:vAlign w:val="bottom"/>
            <w:tcBorders>
              <w:left w:val="single" w:sz="8" w:color="00AEEF"/>
              <w:right w:val="single" w:sz="8" w:color="00AEEF"/>
            </w:tcBorders>
          </w:tcPr>
          <w:p>
            <w:pPr>
              <w:spacing w:after="0"/>
              <w:rPr>
                <w:sz w:val="13"/>
                <w:szCs w:val="13"/>
                <w:color w:val="auto"/>
              </w:rPr>
            </w:pPr>
          </w:p>
        </w:tc>
        <w:tc>
          <w:tcPr>
            <w:tcW w:w="580" w:type="dxa"/>
            <w:vAlign w:val="bottom"/>
            <w:tcBorders>
              <w:right w:val="single" w:sz="8" w:color="00AEEF"/>
            </w:tcBorders>
            <w:vMerge w:val="restart"/>
          </w:tcPr>
          <w:p>
            <w:pPr>
              <w:ind w:left="220"/>
              <w:spacing w:after="0"/>
              <w:rPr>
                <w:sz w:val="20"/>
                <w:szCs w:val="20"/>
                <w:color w:val="auto"/>
              </w:rPr>
            </w:pPr>
            <w:r>
              <w:rPr>
                <w:rFonts w:ascii="Arial" w:cs="Arial" w:eastAsia="Arial" w:hAnsi="Arial"/>
                <w:sz w:val="20"/>
                <w:szCs w:val="20"/>
                <w:b w:val="1"/>
                <w:bCs w:val="1"/>
                <w:color w:val="00AEEF"/>
              </w:rPr>
              <w:t>x</w:t>
            </w:r>
          </w:p>
        </w:tc>
        <w:tc>
          <w:tcPr>
            <w:tcW w:w="1380" w:type="dxa"/>
            <w:vAlign w:val="bottom"/>
            <w:tcBorders>
              <w:right w:val="single" w:sz="8" w:color="00AEEF"/>
            </w:tcBorders>
            <w:vMerge w:val="restart"/>
          </w:tcPr>
          <w:p>
            <w:pPr>
              <w:jc w:val="center"/>
              <w:spacing w:after="0"/>
              <w:rPr>
                <w:sz w:val="20"/>
                <w:szCs w:val="20"/>
                <w:color w:val="auto"/>
              </w:rPr>
            </w:pPr>
            <w:r>
              <w:rPr>
                <w:rFonts w:ascii="Arial" w:cs="Arial" w:eastAsia="Arial" w:hAnsi="Arial"/>
                <w:sz w:val="16"/>
                <w:szCs w:val="16"/>
                <w:b w:val="1"/>
                <w:bCs w:val="1"/>
                <w:color w:val="auto"/>
              </w:rPr>
              <w:t>Individual</w:t>
            </w: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860" w:type="dxa"/>
            <w:vAlign w:val="bottom"/>
            <w:tcBorders>
              <w:left w:val="single" w:sz="8" w:color="00AEEF"/>
              <w:right w:val="single" w:sz="8" w:color="00AEEF"/>
            </w:tcBorders>
          </w:tcPr>
          <w:p>
            <w:pPr>
              <w:spacing w:after="0"/>
              <w:rPr>
                <w:sz w:val="7"/>
                <w:szCs w:val="7"/>
                <w:color w:val="auto"/>
              </w:rPr>
            </w:pPr>
          </w:p>
        </w:tc>
        <w:tc>
          <w:tcPr>
            <w:tcW w:w="580" w:type="dxa"/>
            <w:vAlign w:val="bottom"/>
            <w:tcBorders>
              <w:right w:val="single" w:sz="8" w:color="00AEEF"/>
            </w:tcBorders>
            <w:vMerge w:val="continue"/>
          </w:tcPr>
          <w:p>
            <w:pPr>
              <w:spacing w:after="0"/>
              <w:rPr>
                <w:sz w:val="7"/>
                <w:szCs w:val="7"/>
                <w:color w:val="auto"/>
              </w:rPr>
            </w:pPr>
          </w:p>
        </w:tc>
        <w:tc>
          <w:tcPr>
            <w:tcW w:w="1360" w:type="dxa"/>
            <w:vAlign w:val="bottom"/>
            <w:tcBorders>
              <w:right w:val="single" w:sz="8" w:color="00AEEF"/>
            </w:tcBorders>
            <w:vMerge w:val="continue"/>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Borders>
              <w:left w:val="single" w:sz="8" w:color="00AEEF"/>
              <w:right w:val="single" w:sz="8" w:color="00AEEF"/>
            </w:tcBorders>
          </w:tcPr>
          <w:p>
            <w:pPr>
              <w:spacing w:after="0"/>
              <w:rPr>
                <w:sz w:val="7"/>
                <w:szCs w:val="7"/>
                <w:color w:val="auto"/>
              </w:rPr>
            </w:pPr>
          </w:p>
        </w:tc>
        <w:tc>
          <w:tcPr>
            <w:tcW w:w="780" w:type="dxa"/>
            <w:vAlign w:val="bottom"/>
            <w:tcBorders>
              <w:right w:val="single" w:sz="8" w:color="00AEEF"/>
            </w:tcBorders>
            <w:vMerge w:val="continue"/>
          </w:tcPr>
          <w:p>
            <w:pPr>
              <w:spacing w:after="0"/>
              <w:rPr>
                <w:sz w:val="7"/>
                <w:szCs w:val="7"/>
                <w:color w:val="auto"/>
              </w:rPr>
            </w:pPr>
          </w:p>
        </w:tc>
        <w:tc>
          <w:tcPr>
            <w:tcW w:w="1380" w:type="dxa"/>
            <w:vAlign w:val="bottom"/>
            <w:tcBorders>
              <w:right w:val="single" w:sz="8" w:color="00AEEF"/>
            </w:tcBorders>
            <w:vMerge w:val="continue"/>
          </w:tcPr>
          <w:p>
            <w:pPr>
              <w:spacing w:after="0"/>
              <w:rPr>
                <w:sz w:val="7"/>
                <w:szCs w:val="7"/>
                <w:color w:val="auto"/>
              </w:rPr>
            </w:pPr>
          </w:p>
        </w:tc>
        <w:tc>
          <w:tcPr>
            <w:tcW w:w="440" w:type="dxa"/>
            <w:vAlign w:val="bottom"/>
          </w:tcPr>
          <w:p>
            <w:pPr>
              <w:spacing w:after="0"/>
              <w:rPr>
                <w:sz w:val="7"/>
                <w:szCs w:val="7"/>
                <w:color w:val="auto"/>
              </w:rPr>
            </w:pPr>
          </w:p>
        </w:tc>
        <w:tc>
          <w:tcPr>
            <w:tcW w:w="900" w:type="dxa"/>
            <w:vAlign w:val="bottom"/>
            <w:tcBorders>
              <w:left w:val="single" w:sz="8" w:color="00AEEF"/>
              <w:right w:val="single" w:sz="8" w:color="00AEEF"/>
            </w:tcBorders>
          </w:tcPr>
          <w:p>
            <w:pPr>
              <w:spacing w:after="0"/>
              <w:rPr>
                <w:sz w:val="7"/>
                <w:szCs w:val="7"/>
                <w:color w:val="auto"/>
              </w:rPr>
            </w:pPr>
          </w:p>
        </w:tc>
        <w:tc>
          <w:tcPr>
            <w:tcW w:w="580" w:type="dxa"/>
            <w:vAlign w:val="bottom"/>
            <w:tcBorders>
              <w:right w:val="single" w:sz="8" w:color="00AEEF"/>
            </w:tcBorders>
            <w:vMerge w:val="continue"/>
          </w:tcPr>
          <w:p>
            <w:pPr>
              <w:spacing w:after="0"/>
              <w:rPr>
                <w:sz w:val="7"/>
                <w:szCs w:val="7"/>
                <w:color w:val="auto"/>
              </w:rPr>
            </w:pPr>
          </w:p>
        </w:tc>
        <w:tc>
          <w:tcPr>
            <w:tcW w:w="1380" w:type="dxa"/>
            <w:vAlign w:val="bottom"/>
            <w:tcBorders>
              <w:right w:val="single" w:sz="8" w:color="00AEEF"/>
            </w:tcBorders>
            <w:vMerge w:val="continue"/>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860" w:type="dxa"/>
            <w:vAlign w:val="bottom"/>
            <w:tcBorders>
              <w:left w:val="single" w:sz="8" w:color="00AEEF"/>
              <w:right w:val="single" w:sz="8" w:color="00AEEF"/>
            </w:tcBorders>
            <w:vMerge w:val="restart"/>
          </w:tcPr>
          <w:p>
            <w:pPr>
              <w:jc w:val="right"/>
              <w:ind w:right="178"/>
              <w:spacing w:after="0"/>
              <w:rPr>
                <w:sz w:val="20"/>
                <w:szCs w:val="20"/>
                <w:color w:val="auto"/>
              </w:rPr>
            </w:pPr>
            <w:r>
              <w:rPr>
                <w:rFonts w:ascii="Arial" w:cs="Arial" w:eastAsia="Arial" w:hAnsi="Arial"/>
                <w:sz w:val="16"/>
                <w:szCs w:val="16"/>
                <w:b w:val="1"/>
                <w:bCs w:val="1"/>
                <w:color w:val="auto"/>
              </w:rPr>
              <w:t>50%</w:t>
            </w:r>
          </w:p>
        </w:tc>
        <w:tc>
          <w:tcPr>
            <w:tcW w:w="580" w:type="dxa"/>
            <w:vAlign w:val="bottom"/>
            <w:tcBorders>
              <w:right w:val="single" w:sz="8" w:color="00AEEF"/>
            </w:tcBorders>
            <w:vMerge w:val="continue"/>
          </w:tcPr>
          <w:p>
            <w:pPr>
              <w:spacing w:after="0"/>
              <w:rPr>
                <w:sz w:val="8"/>
                <w:szCs w:val="8"/>
                <w:color w:val="auto"/>
              </w:rPr>
            </w:pPr>
          </w:p>
        </w:tc>
        <w:tc>
          <w:tcPr>
            <w:tcW w:w="1360" w:type="dxa"/>
            <w:vAlign w:val="bottom"/>
            <w:tcBorders>
              <w:right w:val="single" w:sz="8" w:color="00AEEF"/>
            </w:tcBorders>
            <w:vMerge w:val="continue"/>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Borders>
              <w:left w:val="single" w:sz="8" w:color="00AEEF"/>
              <w:right w:val="single" w:sz="8" w:color="00AEEF"/>
            </w:tcBorders>
            <w:vMerge w:val="restart"/>
          </w:tcPr>
          <w:p>
            <w:pPr>
              <w:jc w:val="right"/>
              <w:ind w:right="198"/>
              <w:spacing w:after="0"/>
              <w:rPr>
                <w:sz w:val="20"/>
                <w:szCs w:val="20"/>
                <w:color w:val="auto"/>
              </w:rPr>
            </w:pPr>
            <w:r>
              <w:rPr>
                <w:rFonts w:ascii="Arial" w:cs="Arial" w:eastAsia="Arial" w:hAnsi="Arial"/>
                <w:sz w:val="16"/>
                <w:szCs w:val="16"/>
                <w:b w:val="1"/>
                <w:bCs w:val="1"/>
                <w:color w:val="auto"/>
              </w:rPr>
              <w:t>30%</w:t>
            </w:r>
          </w:p>
        </w:tc>
        <w:tc>
          <w:tcPr>
            <w:tcW w:w="780" w:type="dxa"/>
            <w:vAlign w:val="bottom"/>
            <w:tcBorders>
              <w:right w:val="single" w:sz="8" w:color="00AEEF"/>
            </w:tcBorders>
            <w:vMerge w:val="continue"/>
          </w:tcPr>
          <w:p>
            <w:pPr>
              <w:spacing w:after="0"/>
              <w:rPr>
                <w:sz w:val="8"/>
                <w:szCs w:val="8"/>
                <w:color w:val="auto"/>
              </w:rPr>
            </w:pPr>
          </w:p>
        </w:tc>
        <w:tc>
          <w:tcPr>
            <w:tcW w:w="1380" w:type="dxa"/>
            <w:vAlign w:val="bottom"/>
            <w:tcBorders>
              <w:right w:val="single" w:sz="8" w:color="00AEEF"/>
            </w:tcBorders>
            <w:vMerge w:val="continue"/>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left w:val="single" w:sz="8" w:color="00AEEF"/>
              <w:right w:val="single" w:sz="8" w:color="00AEEF"/>
            </w:tcBorders>
            <w:vMerge w:val="restart"/>
          </w:tcPr>
          <w:p>
            <w:pPr>
              <w:jc w:val="right"/>
              <w:ind w:right="218"/>
              <w:spacing w:after="0"/>
              <w:rPr>
                <w:sz w:val="20"/>
                <w:szCs w:val="20"/>
                <w:color w:val="auto"/>
              </w:rPr>
            </w:pPr>
            <w:r>
              <w:rPr>
                <w:rFonts w:ascii="Arial" w:cs="Arial" w:eastAsia="Arial" w:hAnsi="Arial"/>
                <w:sz w:val="16"/>
                <w:szCs w:val="16"/>
                <w:b w:val="1"/>
                <w:bCs w:val="1"/>
                <w:color w:val="auto"/>
              </w:rPr>
              <w:t>20%</w:t>
            </w:r>
          </w:p>
        </w:tc>
        <w:tc>
          <w:tcPr>
            <w:tcW w:w="580" w:type="dxa"/>
            <w:vAlign w:val="bottom"/>
            <w:tcBorders>
              <w:right w:val="single" w:sz="8" w:color="00AEEF"/>
            </w:tcBorders>
            <w:vMerge w:val="continue"/>
          </w:tcPr>
          <w:p>
            <w:pPr>
              <w:spacing w:after="0"/>
              <w:rPr>
                <w:sz w:val="8"/>
                <w:szCs w:val="8"/>
                <w:color w:val="auto"/>
              </w:rPr>
            </w:pPr>
          </w:p>
        </w:tc>
        <w:tc>
          <w:tcPr>
            <w:tcW w:w="1380" w:type="dxa"/>
            <w:vAlign w:val="bottom"/>
            <w:tcBorders>
              <w:right w:val="single" w:sz="8" w:color="00AEEF"/>
            </w:tcBorders>
            <w:vMerge w:val="restart"/>
          </w:tcPr>
          <w:p>
            <w:pPr>
              <w:jc w:val="center"/>
              <w:spacing w:after="0"/>
              <w:rPr>
                <w:sz w:val="20"/>
                <w:szCs w:val="20"/>
                <w:color w:val="auto"/>
              </w:rPr>
            </w:pPr>
            <w:r>
              <w:rPr>
                <w:rFonts w:ascii="Arial" w:cs="Arial" w:eastAsia="Arial" w:hAnsi="Arial"/>
                <w:sz w:val="16"/>
                <w:szCs w:val="16"/>
                <w:b w:val="1"/>
                <w:bCs w:val="1"/>
                <w:color w:val="auto"/>
              </w:rPr>
              <w:t>Performance</w:t>
            </w: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860" w:type="dxa"/>
            <w:vAlign w:val="bottom"/>
            <w:tcBorders>
              <w:left w:val="single" w:sz="8" w:color="00AEEF"/>
              <w:right w:val="single" w:sz="8" w:color="00AEEF"/>
            </w:tcBorders>
            <w:vMerge w:val="continue"/>
          </w:tcPr>
          <w:p>
            <w:pPr>
              <w:spacing w:after="0"/>
              <w:rPr>
                <w:sz w:val="8"/>
                <w:szCs w:val="8"/>
                <w:color w:val="auto"/>
              </w:rPr>
            </w:pPr>
          </w:p>
        </w:tc>
        <w:tc>
          <w:tcPr>
            <w:tcW w:w="580" w:type="dxa"/>
            <w:vAlign w:val="bottom"/>
            <w:tcBorders>
              <w:right w:val="single" w:sz="8" w:color="00AEEF"/>
            </w:tcBorders>
            <w:vMerge w:val="continue"/>
          </w:tcPr>
          <w:p>
            <w:pPr>
              <w:spacing w:after="0"/>
              <w:rPr>
                <w:sz w:val="8"/>
                <w:szCs w:val="8"/>
                <w:color w:val="auto"/>
              </w:rPr>
            </w:pPr>
          </w:p>
        </w:tc>
        <w:tc>
          <w:tcPr>
            <w:tcW w:w="1360" w:type="dxa"/>
            <w:vAlign w:val="bottom"/>
            <w:tcBorders>
              <w:right w:val="single" w:sz="8" w:color="00AEEF"/>
            </w:tcBorders>
            <w:vMerge w:val="restart"/>
          </w:tcPr>
          <w:p>
            <w:pPr>
              <w:jc w:val="center"/>
              <w:spacing w:after="0"/>
              <w:rPr>
                <w:sz w:val="20"/>
                <w:szCs w:val="20"/>
                <w:color w:val="auto"/>
              </w:rPr>
            </w:pPr>
            <w:r>
              <w:rPr>
                <w:rFonts w:ascii="Arial" w:cs="Arial" w:eastAsia="Arial" w:hAnsi="Arial"/>
                <w:sz w:val="16"/>
                <w:szCs w:val="16"/>
                <w:b w:val="1"/>
                <w:bCs w:val="1"/>
                <w:color w:val="auto"/>
              </w:rPr>
              <w:t>Score</w:t>
            </w:r>
          </w:p>
        </w:tc>
        <w:tc>
          <w:tcPr>
            <w:tcW w:w="440" w:type="dxa"/>
            <w:vAlign w:val="bottom"/>
          </w:tcPr>
          <w:p>
            <w:pPr>
              <w:spacing w:after="0"/>
              <w:rPr>
                <w:sz w:val="8"/>
                <w:szCs w:val="8"/>
                <w:color w:val="auto"/>
              </w:rPr>
            </w:pPr>
          </w:p>
        </w:tc>
        <w:tc>
          <w:tcPr>
            <w:tcW w:w="880" w:type="dxa"/>
            <w:vAlign w:val="bottom"/>
            <w:tcBorders>
              <w:left w:val="single" w:sz="8" w:color="00AEEF"/>
              <w:right w:val="single" w:sz="8" w:color="00AEEF"/>
            </w:tcBorders>
            <w:vMerge w:val="continue"/>
          </w:tcPr>
          <w:p>
            <w:pPr>
              <w:spacing w:after="0"/>
              <w:rPr>
                <w:sz w:val="8"/>
                <w:szCs w:val="8"/>
                <w:color w:val="auto"/>
              </w:rPr>
            </w:pPr>
          </w:p>
        </w:tc>
        <w:tc>
          <w:tcPr>
            <w:tcW w:w="780" w:type="dxa"/>
            <w:vAlign w:val="bottom"/>
            <w:tcBorders>
              <w:right w:val="single" w:sz="8" w:color="00AEEF"/>
            </w:tcBorders>
            <w:vMerge w:val="continue"/>
          </w:tcPr>
          <w:p>
            <w:pPr>
              <w:spacing w:after="0"/>
              <w:rPr>
                <w:sz w:val="8"/>
                <w:szCs w:val="8"/>
                <w:color w:val="auto"/>
              </w:rPr>
            </w:pPr>
          </w:p>
        </w:tc>
        <w:tc>
          <w:tcPr>
            <w:tcW w:w="1380" w:type="dxa"/>
            <w:vAlign w:val="bottom"/>
            <w:tcBorders>
              <w:right w:val="single" w:sz="8" w:color="00AEEF"/>
            </w:tcBorders>
            <w:vMerge w:val="restart"/>
          </w:tcPr>
          <w:p>
            <w:pPr>
              <w:jc w:val="center"/>
              <w:spacing w:after="0"/>
              <w:rPr>
                <w:sz w:val="20"/>
                <w:szCs w:val="20"/>
                <w:color w:val="auto"/>
              </w:rPr>
            </w:pPr>
            <w:r>
              <w:rPr>
                <w:rFonts w:ascii="Arial" w:cs="Arial" w:eastAsia="Arial" w:hAnsi="Arial"/>
                <w:sz w:val="16"/>
                <w:szCs w:val="16"/>
                <w:b w:val="1"/>
                <w:bCs w:val="1"/>
                <w:color w:val="auto"/>
              </w:rPr>
              <w:t>Score</w:t>
            </w:r>
          </w:p>
        </w:tc>
        <w:tc>
          <w:tcPr>
            <w:tcW w:w="440" w:type="dxa"/>
            <w:vAlign w:val="bottom"/>
          </w:tcPr>
          <w:p>
            <w:pPr>
              <w:spacing w:after="0"/>
              <w:rPr>
                <w:sz w:val="8"/>
                <w:szCs w:val="8"/>
                <w:color w:val="auto"/>
              </w:rPr>
            </w:pPr>
          </w:p>
        </w:tc>
        <w:tc>
          <w:tcPr>
            <w:tcW w:w="900" w:type="dxa"/>
            <w:vAlign w:val="bottom"/>
            <w:tcBorders>
              <w:left w:val="single" w:sz="8" w:color="00AEEF"/>
              <w:right w:val="single" w:sz="8" w:color="00AEEF"/>
            </w:tcBorders>
            <w:vMerge w:val="continue"/>
          </w:tcPr>
          <w:p>
            <w:pPr>
              <w:spacing w:after="0"/>
              <w:rPr>
                <w:sz w:val="8"/>
                <w:szCs w:val="8"/>
                <w:color w:val="auto"/>
              </w:rPr>
            </w:pPr>
          </w:p>
        </w:tc>
        <w:tc>
          <w:tcPr>
            <w:tcW w:w="580" w:type="dxa"/>
            <w:vAlign w:val="bottom"/>
            <w:tcBorders>
              <w:right w:val="single" w:sz="8" w:color="00AEEF"/>
            </w:tcBorders>
            <w:vMerge w:val="continue"/>
          </w:tcPr>
          <w:p>
            <w:pPr>
              <w:spacing w:after="0"/>
              <w:rPr>
                <w:sz w:val="8"/>
                <w:szCs w:val="8"/>
                <w:color w:val="auto"/>
              </w:rPr>
            </w:pPr>
          </w:p>
        </w:tc>
        <w:tc>
          <w:tcPr>
            <w:tcW w:w="1380" w:type="dxa"/>
            <w:vAlign w:val="bottom"/>
            <w:tcBorders>
              <w:right w:val="single" w:sz="8" w:color="00AEEF"/>
            </w:tcBorders>
            <w:vMerge w:val="continue"/>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860" w:type="dxa"/>
            <w:vAlign w:val="bottom"/>
            <w:tcBorders>
              <w:left w:val="single" w:sz="8" w:color="00AEEF"/>
              <w:right w:val="single" w:sz="8" w:color="00AEEF"/>
            </w:tcBorders>
          </w:tcPr>
          <w:p>
            <w:pPr>
              <w:spacing w:after="0"/>
              <w:rPr>
                <w:sz w:val="10"/>
                <w:szCs w:val="10"/>
                <w:color w:val="auto"/>
              </w:rPr>
            </w:pPr>
          </w:p>
        </w:tc>
        <w:tc>
          <w:tcPr>
            <w:tcW w:w="580" w:type="dxa"/>
            <w:vAlign w:val="bottom"/>
            <w:tcBorders>
              <w:right w:val="single" w:sz="8" w:color="00AEEF"/>
            </w:tcBorders>
          </w:tcPr>
          <w:p>
            <w:pPr>
              <w:spacing w:after="0"/>
              <w:rPr>
                <w:sz w:val="10"/>
                <w:szCs w:val="10"/>
                <w:color w:val="auto"/>
              </w:rPr>
            </w:pPr>
          </w:p>
        </w:tc>
        <w:tc>
          <w:tcPr>
            <w:tcW w:w="1360" w:type="dxa"/>
            <w:vAlign w:val="bottom"/>
            <w:tcBorders>
              <w:right w:val="single" w:sz="8" w:color="00AEEF"/>
            </w:tcBorders>
            <w:vMerge w:val="continue"/>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Borders>
              <w:left w:val="single" w:sz="8" w:color="00AEEF"/>
              <w:right w:val="single" w:sz="8" w:color="00AEEF"/>
            </w:tcBorders>
          </w:tcPr>
          <w:p>
            <w:pPr>
              <w:spacing w:after="0"/>
              <w:rPr>
                <w:sz w:val="10"/>
                <w:szCs w:val="10"/>
                <w:color w:val="auto"/>
              </w:rPr>
            </w:pPr>
          </w:p>
        </w:tc>
        <w:tc>
          <w:tcPr>
            <w:tcW w:w="780" w:type="dxa"/>
            <w:vAlign w:val="bottom"/>
            <w:tcBorders>
              <w:right w:val="single" w:sz="8" w:color="00AEEF"/>
            </w:tcBorders>
          </w:tcPr>
          <w:p>
            <w:pPr>
              <w:spacing w:after="0"/>
              <w:rPr>
                <w:sz w:val="10"/>
                <w:szCs w:val="10"/>
                <w:color w:val="auto"/>
              </w:rPr>
            </w:pPr>
          </w:p>
        </w:tc>
        <w:tc>
          <w:tcPr>
            <w:tcW w:w="1380" w:type="dxa"/>
            <w:vAlign w:val="bottom"/>
            <w:tcBorders>
              <w:right w:val="single" w:sz="8" w:color="00AEEF"/>
            </w:tcBorders>
            <w:vMerge w:val="continue"/>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Borders>
              <w:left w:val="single" w:sz="8" w:color="00AEEF"/>
              <w:right w:val="single" w:sz="8" w:color="00AEEF"/>
            </w:tcBorders>
          </w:tcPr>
          <w:p>
            <w:pPr>
              <w:spacing w:after="0"/>
              <w:rPr>
                <w:sz w:val="10"/>
                <w:szCs w:val="10"/>
                <w:color w:val="auto"/>
              </w:rPr>
            </w:pPr>
          </w:p>
        </w:tc>
        <w:tc>
          <w:tcPr>
            <w:tcW w:w="580" w:type="dxa"/>
            <w:vAlign w:val="bottom"/>
            <w:tcBorders>
              <w:right w:val="single" w:sz="8" w:color="00AEEF"/>
            </w:tcBorders>
          </w:tcPr>
          <w:p>
            <w:pPr>
              <w:spacing w:after="0"/>
              <w:rPr>
                <w:sz w:val="10"/>
                <w:szCs w:val="10"/>
                <w:color w:val="auto"/>
              </w:rPr>
            </w:pPr>
          </w:p>
        </w:tc>
        <w:tc>
          <w:tcPr>
            <w:tcW w:w="1380" w:type="dxa"/>
            <w:vAlign w:val="bottom"/>
            <w:tcBorders>
              <w:right w:val="single" w:sz="8" w:color="00AEEF"/>
            </w:tcBorders>
            <w:vMerge w:val="restart"/>
          </w:tcPr>
          <w:p>
            <w:pPr>
              <w:jc w:val="center"/>
              <w:spacing w:after="0"/>
              <w:rPr>
                <w:sz w:val="20"/>
                <w:szCs w:val="20"/>
                <w:color w:val="auto"/>
              </w:rPr>
            </w:pPr>
            <w:r>
              <w:rPr>
                <w:rFonts w:ascii="Arial" w:cs="Arial" w:eastAsia="Arial" w:hAnsi="Arial"/>
                <w:sz w:val="16"/>
                <w:szCs w:val="16"/>
                <w:b w:val="1"/>
                <w:bCs w:val="1"/>
                <w:color w:val="auto"/>
              </w:rPr>
              <w:t>Score</w:t>
            </w: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60" w:type="dxa"/>
            <w:vAlign w:val="bottom"/>
            <w:tcBorders>
              <w:left w:val="single" w:sz="8" w:color="00AEEF"/>
              <w:right w:val="single" w:sz="8" w:color="00AEEF"/>
            </w:tcBorders>
          </w:tcPr>
          <w:p>
            <w:pPr>
              <w:spacing w:after="0"/>
              <w:rPr>
                <w:sz w:val="8"/>
                <w:szCs w:val="8"/>
                <w:color w:val="auto"/>
              </w:rPr>
            </w:pPr>
          </w:p>
        </w:tc>
        <w:tc>
          <w:tcPr>
            <w:tcW w:w="580" w:type="dxa"/>
            <w:vAlign w:val="bottom"/>
            <w:tcBorders>
              <w:right w:val="single" w:sz="8" w:color="00AEEF"/>
            </w:tcBorders>
          </w:tcPr>
          <w:p>
            <w:pPr>
              <w:spacing w:after="0"/>
              <w:rPr>
                <w:sz w:val="8"/>
                <w:szCs w:val="8"/>
                <w:color w:val="auto"/>
              </w:rPr>
            </w:pPr>
          </w:p>
        </w:tc>
        <w:tc>
          <w:tcPr>
            <w:tcW w:w="1360" w:type="dxa"/>
            <w:vAlign w:val="bottom"/>
            <w:tcBorders>
              <w:right w:val="single" w:sz="8" w:color="00AEEF"/>
            </w:tcBorders>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Borders>
              <w:left w:val="single" w:sz="8" w:color="00AEEF"/>
              <w:right w:val="single" w:sz="8" w:color="00AEEF"/>
            </w:tcBorders>
          </w:tcPr>
          <w:p>
            <w:pPr>
              <w:spacing w:after="0"/>
              <w:rPr>
                <w:sz w:val="8"/>
                <w:szCs w:val="8"/>
                <w:color w:val="auto"/>
              </w:rPr>
            </w:pPr>
          </w:p>
        </w:tc>
        <w:tc>
          <w:tcPr>
            <w:tcW w:w="780" w:type="dxa"/>
            <w:vAlign w:val="bottom"/>
            <w:tcBorders>
              <w:right w:val="single" w:sz="8" w:color="00AEEF"/>
            </w:tcBorders>
          </w:tcPr>
          <w:p>
            <w:pPr>
              <w:spacing w:after="0"/>
              <w:rPr>
                <w:sz w:val="8"/>
                <w:szCs w:val="8"/>
                <w:color w:val="auto"/>
              </w:rPr>
            </w:pPr>
          </w:p>
        </w:tc>
        <w:tc>
          <w:tcPr>
            <w:tcW w:w="1380" w:type="dxa"/>
            <w:vAlign w:val="bottom"/>
            <w:tcBorders>
              <w:right w:val="single" w:sz="8" w:color="00AEEF"/>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left w:val="single" w:sz="8" w:color="00AEEF"/>
              <w:right w:val="single" w:sz="8" w:color="00AEEF"/>
            </w:tcBorders>
          </w:tcPr>
          <w:p>
            <w:pPr>
              <w:spacing w:after="0"/>
              <w:rPr>
                <w:sz w:val="8"/>
                <w:szCs w:val="8"/>
                <w:color w:val="auto"/>
              </w:rPr>
            </w:pPr>
          </w:p>
        </w:tc>
        <w:tc>
          <w:tcPr>
            <w:tcW w:w="580" w:type="dxa"/>
            <w:vAlign w:val="bottom"/>
            <w:tcBorders>
              <w:right w:val="single" w:sz="8" w:color="00AEEF"/>
            </w:tcBorders>
          </w:tcPr>
          <w:p>
            <w:pPr>
              <w:spacing w:after="0"/>
              <w:rPr>
                <w:sz w:val="8"/>
                <w:szCs w:val="8"/>
                <w:color w:val="auto"/>
              </w:rPr>
            </w:pPr>
          </w:p>
        </w:tc>
        <w:tc>
          <w:tcPr>
            <w:tcW w:w="1380" w:type="dxa"/>
            <w:vAlign w:val="bottom"/>
            <w:tcBorders>
              <w:right w:val="single" w:sz="8" w:color="00AEEF"/>
            </w:tcBorders>
            <w:vMerge w:val="continue"/>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860" w:type="dxa"/>
            <w:vAlign w:val="bottom"/>
            <w:tcBorders>
              <w:left w:val="single" w:sz="8" w:color="00AEEF"/>
              <w:bottom w:val="single" w:sz="8" w:color="00AEEF"/>
              <w:right w:val="single" w:sz="8" w:color="00AEEF"/>
            </w:tcBorders>
          </w:tcPr>
          <w:p>
            <w:pPr>
              <w:spacing w:after="0"/>
              <w:rPr>
                <w:sz w:val="4"/>
                <w:szCs w:val="4"/>
                <w:color w:val="auto"/>
              </w:rPr>
            </w:pPr>
          </w:p>
        </w:tc>
        <w:tc>
          <w:tcPr>
            <w:tcW w:w="580" w:type="dxa"/>
            <w:vAlign w:val="bottom"/>
            <w:tcBorders>
              <w:right w:val="single" w:sz="8" w:color="00AEEF"/>
            </w:tcBorders>
          </w:tcPr>
          <w:p>
            <w:pPr>
              <w:spacing w:after="0"/>
              <w:rPr>
                <w:sz w:val="4"/>
                <w:szCs w:val="4"/>
                <w:color w:val="auto"/>
              </w:rPr>
            </w:pPr>
          </w:p>
        </w:tc>
        <w:tc>
          <w:tcPr>
            <w:tcW w:w="1360" w:type="dxa"/>
            <w:vAlign w:val="bottom"/>
            <w:tcBorders>
              <w:bottom w:val="single" w:sz="8" w:color="00AEEF"/>
              <w:right w:val="single" w:sz="8" w:color="00AEEF"/>
            </w:tcBorders>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Borders>
              <w:left w:val="single" w:sz="8" w:color="00AEEF"/>
              <w:bottom w:val="single" w:sz="8" w:color="00AEEF"/>
              <w:right w:val="single" w:sz="8" w:color="00AEEF"/>
            </w:tcBorders>
          </w:tcPr>
          <w:p>
            <w:pPr>
              <w:spacing w:after="0"/>
              <w:rPr>
                <w:sz w:val="4"/>
                <w:szCs w:val="4"/>
                <w:color w:val="auto"/>
              </w:rPr>
            </w:pPr>
          </w:p>
        </w:tc>
        <w:tc>
          <w:tcPr>
            <w:tcW w:w="780" w:type="dxa"/>
            <w:vAlign w:val="bottom"/>
            <w:tcBorders>
              <w:right w:val="single" w:sz="8" w:color="00AEEF"/>
            </w:tcBorders>
          </w:tcPr>
          <w:p>
            <w:pPr>
              <w:spacing w:after="0"/>
              <w:rPr>
                <w:sz w:val="4"/>
                <w:szCs w:val="4"/>
                <w:color w:val="auto"/>
              </w:rPr>
            </w:pPr>
          </w:p>
        </w:tc>
        <w:tc>
          <w:tcPr>
            <w:tcW w:w="1380" w:type="dxa"/>
            <w:vAlign w:val="bottom"/>
            <w:tcBorders>
              <w:bottom w:val="single" w:sz="8" w:color="00AEEF"/>
              <w:right w:val="single" w:sz="8" w:color="00AEEF"/>
            </w:tcBorders>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Borders>
              <w:left w:val="single" w:sz="8" w:color="00AEEF"/>
              <w:bottom w:val="single" w:sz="8" w:color="00AEEF"/>
              <w:right w:val="single" w:sz="8" w:color="00AEEF"/>
            </w:tcBorders>
          </w:tcPr>
          <w:p>
            <w:pPr>
              <w:spacing w:after="0"/>
              <w:rPr>
                <w:sz w:val="4"/>
                <w:szCs w:val="4"/>
                <w:color w:val="auto"/>
              </w:rPr>
            </w:pPr>
          </w:p>
        </w:tc>
        <w:tc>
          <w:tcPr>
            <w:tcW w:w="580" w:type="dxa"/>
            <w:vAlign w:val="bottom"/>
            <w:tcBorders>
              <w:right w:val="single" w:sz="8" w:color="00AEEF"/>
            </w:tcBorders>
          </w:tcPr>
          <w:p>
            <w:pPr>
              <w:spacing w:after="0"/>
              <w:rPr>
                <w:sz w:val="4"/>
                <w:szCs w:val="4"/>
                <w:color w:val="auto"/>
              </w:rPr>
            </w:pPr>
          </w:p>
        </w:tc>
        <w:tc>
          <w:tcPr>
            <w:tcW w:w="1380" w:type="dxa"/>
            <w:vAlign w:val="bottom"/>
            <w:tcBorders>
              <w:bottom w:val="single" w:sz="8" w:color="00AEEF"/>
              <w:right w:val="single" w:sz="8" w:color="00AEEF"/>
            </w:tcBorders>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line="267" w:lineRule="auto"/>
        <w:rPr>
          <w:sz w:val="20"/>
          <w:szCs w:val="20"/>
          <w:color w:val="auto"/>
        </w:rPr>
      </w:pPr>
      <w:r>
        <w:rPr>
          <w:rFonts w:ascii="Arial" w:cs="Arial" w:eastAsia="Arial" w:hAnsi="Arial"/>
          <w:sz w:val="16"/>
          <w:szCs w:val="16"/>
          <w:b w:val="1"/>
          <w:bCs w:val="1"/>
          <w:color w:val="auto"/>
        </w:rPr>
        <w:t xml:space="preserve">Financial Performance Component. </w:t>
      </w:r>
      <w:r>
        <w:rPr>
          <w:rFonts w:ascii="Arial" w:cs="Arial" w:eastAsia="Arial" w:hAnsi="Arial"/>
          <w:sz w:val="16"/>
          <w:szCs w:val="16"/>
          <w:color w:val="auto"/>
        </w:rPr>
        <w:t>The financial performance component of the STI represents 50% of the STI program and is comprised of net income</w:t>
      </w:r>
      <w:r>
        <w:rPr>
          <w:rFonts w:ascii="Arial" w:cs="Arial" w:eastAsia="Arial" w:hAnsi="Arial"/>
          <w:sz w:val="16"/>
          <w:szCs w:val="16"/>
          <w:b w:val="1"/>
          <w:bCs w:val="1"/>
          <w:color w:val="auto"/>
        </w:rPr>
        <w:t xml:space="preserve"> </w:t>
      </w:r>
      <w:r>
        <w:rPr>
          <w:rFonts w:ascii="Arial" w:cs="Arial" w:eastAsia="Arial" w:hAnsi="Arial"/>
          <w:sz w:val="16"/>
          <w:szCs w:val="16"/>
          <w:color w:val="auto"/>
        </w:rPr>
        <w:t>goal for the Company. The Committee established net income as a goal because it is an important measure of the Company’s profitability, as it underpins our valuation and reflects management effectiveness in controlling costs. As a regulated utility, the Company’s net income supports our ability to finance ongoing capital programs, indicates our credit quality, supports predictable dividends and indicates the quality of regulatory oversight. This metric is closely followed by analysts, investors, and our employees.</w:t>
      </w:r>
    </w:p>
    <w:p>
      <w:pPr>
        <w:spacing w:after="0" w:line="97"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The Committee set a minimum, target and maximum net income financial metric which corresponds to a 50%, 100%, and 150% score, respectively. To motivate performance and underscore the importance of achieving the financial performance goal, the Committee set the payout at 0% for achievement below the threshold level of performance for net income. For performance between the threshold level and the target level for net income, the payout increases in a straight-line manner from 0% below threshold performance to 100% of the target opportunity for achieving target performance. For performance between the target level and the maximum level for net income, the payout ranges from 100% of the target opportunity to 150% of the target opportunity, also with the payout for the increasing in a straight-line manner. Achievement above the maximum level for net income is capped at the maximum payout of 150% of target.</w:t>
      </w:r>
    </w:p>
    <w:p>
      <w:pPr>
        <w:spacing w:after="0" w:line="103"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The following table presents the threshold, target and maximum for the financial performance metric, the actual result achieved by the Company and the financial performance score achieved for 2025.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Borders>
              <w:bottom w:val="single" w:sz="8" w:color="00AEEF"/>
            </w:tcBorders>
          </w:tcPr>
          <w:p>
            <w:pPr>
              <w:ind w:left="20"/>
              <w:spacing w:after="0"/>
              <w:rPr>
                <w:sz w:val="20"/>
                <w:szCs w:val="20"/>
                <w:color w:val="auto"/>
              </w:rPr>
            </w:pPr>
            <w:r>
              <w:rPr>
                <w:rFonts w:ascii="Arial" w:cs="Arial" w:eastAsia="Arial" w:hAnsi="Arial"/>
                <w:sz w:val="13"/>
                <w:szCs w:val="13"/>
                <w:b w:val="1"/>
                <w:bCs w:val="1"/>
                <w:color w:val="191769"/>
              </w:rPr>
              <w:t>Financial Performance Metric</w:t>
            </w:r>
          </w:p>
        </w:tc>
        <w:tc>
          <w:tcPr>
            <w:tcW w:w="2260" w:type="dxa"/>
            <w:vAlign w:val="bottom"/>
            <w:tcBorders>
              <w:bottom w:val="single" w:sz="8" w:color="00AEEF"/>
            </w:tcBorders>
          </w:tcPr>
          <w:p>
            <w:pPr>
              <w:jc w:val="right"/>
              <w:ind w:right="343"/>
              <w:spacing w:after="0"/>
              <w:rPr>
                <w:sz w:val="20"/>
                <w:szCs w:val="20"/>
                <w:color w:val="auto"/>
              </w:rPr>
            </w:pPr>
            <w:r>
              <w:rPr>
                <w:rFonts w:ascii="Arial" w:cs="Arial" w:eastAsia="Arial" w:hAnsi="Arial"/>
                <w:sz w:val="13"/>
                <w:szCs w:val="13"/>
                <w:b w:val="1"/>
                <w:bCs w:val="1"/>
                <w:color w:val="191769"/>
              </w:rPr>
              <w:t>Threshold</w:t>
            </w:r>
          </w:p>
        </w:tc>
        <w:tc>
          <w:tcPr>
            <w:tcW w:w="1720" w:type="dxa"/>
            <w:vAlign w:val="bottom"/>
            <w:tcBorders>
              <w:bottom w:val="single" w:sz="8" w:color="00AEEF"/>
            </w:tcBorders>
          </w:tcPr>
          <w:p>
            <w:pPr>
              <w:jc w:val="right"/>
              <w:ind w:right="323"/>
              <w:spacing w:after="0"/>
              <w:rPr>
                <w:sz w:val="20"/>
                <w:szCs w:val="20"/>
                <w:color w:val="auto"/>
              </w:rPr>
            </w:pPr>
            <w:r>
              <w:rPr>
                <w:rFonts w:ascii="Arial" w:cs="Arial" w:eastAsia="Arial" w:hAnsi="Arial"/>
                <w:sz w:val="13"/>
                <w:szCs w:val="13"/>
                <w:b w:val="1"/>
                <w:bCs w:val="1"/>
                <w:color w:val="191769"/>
              </w:rPr>
              <w:t>Target</w:t>
            </w:r>
          </w:p>
        </w:tc>
        <w:tc>
          <w:tcPr>
            <w:tcW w:w="1740" w:type="dxa"/>
            <w:vAlign w:val="bottom"/>
            <w:tcBorders>
              <w:bottom w:val="single" w:sz="8" w:color="00AEEF"/>
            </w:tcBorders>
          </w:tcPr>
          <w:p>
            <w:pPr>
              <w:jc w:val="right"/>
              <w:ind w:right="326"/>
              <w:spacing w:after="0"/>
              <w:rPr>
                <w:sz w:val="20"/>
                <w:szCs w:val="20"/>
                <w:color w:val="auto"/>
              </w:rPr>
            </w:pPr>
            <w:r>
              <w:rPr>
                <w:rFonts w:ascii="Arial" w:cs="Arial" w:eastAsia="Arial" w:hAnsi="Arial"/>
                <w:sz w:val="13"/>
                <w:szCs w:val="13"/>
                <w:b w:val="1"/>
                <w:bCs w:val="1"/>
                <w:color w:val="191769"/>
              </w:rPr>
              <w:t>Maximum</w:t>
            </w:r>
          </w:p>
        </w:tc>
        <w:tc>
          <w:tcPr>
            <w:tcW w:w="1340" w:type="dxa"/>
            <w:vAlign w:val="bottom"/>
            <w:tcBorders>
              <w:bottom w:val="single" w:sz="8" w:color="00AEEF"/>
            </w:tcBorders>
            <w:gridSpan w:val="2"/>
          </w:tcPr>
          <w:p>
            <w:pPr>
              <w:jc w:val="right"/>
              <w:spacing w:after="0"/>
              <w:rPr>
                <w:sz w:val="20"/>
                <w:szCs w:val="20"/>
                <w:color w:val="auto"/>
              </w:rPr>
            </w:pPr>
            <w:r>
              <w:rPr>
                <w:rFonts w:ascii="Arial" w:cs="Arial" w:eastAsia="Arial" w:hAnsi="Arial"/>
                <w:sz w:val="13"/>
                <w:szCs w:val="13"/>
                <w:b w:val="1"/>
                <w:bCs w:val="1"/>
                <w:color w:val="191769"/>
              </w:rPr>
              <w:t>Actual Result</w:t>
            </w: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260" w:type="dxa"/>
            <w:vAlign w:val="bottom"/>
          </w:tcPr>
          <w:p>
            <w:pPr>
              <w:jc w:val="right"/>
              <w:ind w:right="343"/>
              <w:spacing w:after="0"/>
              <w:rPr>
                <w:sz w:val="20"/>
                <w:szCs w:val="20"/>
                <w:color w:val="auto"/>
              </w:rPr>
            </w:pPr>
            <w:r>
              <w:rPr>
                <w:rFonts w:ascii="Arial" w:cs="Arial" w:eastAsia="Arial" w:hAnsi="Arial"/>
                <w:sz w:val="16"/>
                <w:szCs w:val="16"/>
                <w:color w:val="auto"/>
              </w:rPr>
              <w:t>$37.4 million</w:t>
            </w:r>
          </w:p>
        </w:tc>
        <w:tc>
          <w:tcPr>
            <w:tcW w:w="1720" w:type="dxa"/>
            <w:vAlign w:val="bottom"/>
          </w:tcPr>
          <w:p>
            <w:pPr>
              <w:jc w:val="right"/>
              <w:ind w:right="323"/>
              <w:spacing w:after="0"/>
              <w:rPr>
                <w:sz w:val="20"/>
                <w:szCs w:val="20"/>
                <w:color w:val="auto"/>
              </w:rPr>
            </w:pPr>
            <w:r>
              <w:rPr>
                <w:rFonts w:ascii="Arial" w:cs="Arial" w:eastAsia="Arial" w:hAnsi="Arial"/>
                <w:sz w:val="16"/>
                <w:szCs w:val="16"/>
                <w:color w:val="auto"/>
              </w:rPr>
              <w:t>$40.2 million</w:t>
            </w:r>
          </w:p>
        </w:tc>
        <w:tc>
          <w:tcPr>
            <w:tcW w:w="1740" w:type="dxa"/>
            <w:vAlign w:val="bottom"/>
          </w:tcPr>
          <w:p>
            <w:pPr>
              <w:jc w:val="right"/>
              <w:ind w:right="326"/>
              <w:spacing w:after="0"/>
              <w:rPr>
                <w:sz w:val="20"/>
                <w:szCs w:val="20"/>
                <w:color w:val="auto"/>
              </w:rPr>
            </w:pPr>
            <w:r>
              <w:rPr>
                <w:rFonts w:ascii="Arial" w:cs="Arial" w:eastAsia="Arial" w:hAnsi="Arial"/>
                <w:sz w:val="16"/>
                <w:szCs w:val="16"/>
                <w:color w:val="auto"/>
              </w:rPr>
              <w:t>$43.0 million</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$42.8 million</w:t>
            </w:r>
          </w:p>
        </w:tc>
        <w:tc>
          <w:tcPr>
            <w:tcW w:w="0" w:type="dxa"/>
            <w:vAlign w:val="bottom"/>
          </w:tcPr>
          <w:p>
            <w:pPr>
              <w:spacing w:after="0"/>
              <w:rPr>
                <w:sz w:val="1"/>
                <w:szCs w:val="1"/>
                <w:color w:val="auto"/>
              </w:rPr>
            </w:pPr>
          </w:p>
        </w:tc>
      </w:tr>
      <w:tr>
        <w:trPr>
          <w:trHeight w:val="22"/>
        </w:trPr>
        <w:tc>
          <w:tcPr>
            <w:tcW w:w="4180" w:type="dxa"/>
            <w:vAlign w:val="bottom"/>
            <w:tcBorders>
              <w:bottom w:val="single" w:sz="8" w:color="D9D9D9"/>
            </w:tcBorders>
          </w:tcPr>
          <w:p>
            <w:pPr>
              <w:spacing w:after="0" w:line="20" w:lineRule="exact"/>
              <w:rPr>
                <w:sz w:val="1"/>
                <w:szCs w:val="1"/>
                <w:color w:val="auto"/>
              </w:rPr>
            </w:pPr>
          </w:p>
        </w:tc>
        <w:tc>
          <w:tcPr>
            <w:tcW w:w="2260" w:type="dxa"/>
            <w:vAlign w:val="bottom"/>
            <w:tcBorders>
              <w:bottom w:val="single" w:sz="8" w:color="D9D9D9"/>
            </w:tcBorders>
          </w:tcPr>
          <w:p>
            <w:pPr>
              <w:spacing w:after="0" w:line="20" w:lineRule="exact"/>
              <w:rPr>
                <w:sz w:val="1"/>
                <w:szCs w:val="1"/>
                <w:color w:val="auto"/>
              </w:rPr>
            </w:pPr>
          </w:p>
        </w:tc>
        <w:tc>
          <w:tcPr>
            <w:tcW w:w="1720" w:type="dxa"/>
            <w:vAlign w:val="bottom"/>
            <w:tcBorders>
              <w:bottom w:val="single" w:sz="8" w:color="D9D9D9"/>
            </w:tcBorders>
          </w:tcPr>
          <w:p>
            <w:pPr>
              <w:spacing w:after="0" w:line="20" w:lineRule="exact"/>
              <w:rPr>
                <w:sz w:val="1"/>
                <w:szCs w:val="1"/>
                <w:color w:val="auto"/>
              </w:rPr>
            </w:pPr>
          </w:p>
        </w:tc>
        <w:tc>
          <w:tcPr>
            <w:tcW w:w="1740" w:type="dxa"/>
            <w:vAlign w:val="bottom"/>
            <w:tcBorders>
              <w:bottom w:val="single" w:sz="8" w:color="D9D9D9"/>
            </w:tcBorders>
          </w:tcPr>
          <w:p>
            <w:pPr>
              <w:spacing w:after="0" w:line="20" w:lineRule="exact"/>
              <w:rPr>
                <w:sz w:val="1"/>
                <w:szCs w:val="1"/>
                <w:color w:val="auto"/>
              </w:rPr>
            </w:pPr>
          </w:p>
        </w:tc>
        <w:tc>
          <w:tcPr>
            <w:tcW w:w="940" w:type="dxa"/>
            <w:vAlign w:val="bottom"/>
            <w:tcBorders>
              <w:bottom w:val="single" w:sz="8" w:color="D9D9D9"/>
            </w:tcBorders>
          </w:tcPr>
          <w:p>
            <w:pPr>
              <w:spacing w:after="0" w:line="20" w:lineRule="exact"/>
              <w:rPr>
                <w:sz w:val="1"/>
                <w:szCs w:val="1"/>
                <w:color w:val="auto"/>
              </w:rPr>
            </w:pPr>
          </w:p>
        </w:tc>
        <w:tc>
          <w:tcPr>
            <w:tcW w:w="400" w:type="dxa"/>
            <w:vAlign w:val="bottom"/>
            <w:tcBorders>
              <w:bottom w:val="single" w:sz="8" w:color="D9D9D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180" w:type="dxa"/>
            <w:vAlign w:val="bottom"/>
          </w:tcPr>
          <w:p>
            <w:pPr>
              <w:ind w:left="20"/>
              <w:spacing w:after="0"/>
              <w:rPr>
                <w:sz w:val="20"/>
                <w:szCs w:val="20"/>
                <w:color w:val="auto"/>
              </w:rPr>
            </w:pPr>
            <w:r>
              <w:rPr>
                <w:rFonts w:ascii="Arial" w:cs="Arial" w:eastAsia="Arial" w:hAnsi="Arial"/>
                <w:sz w:val="16"/>
                <w:szCs w:val="16"/>
                <w:color w:val="auto"/>
              </w:rPr>
              <w:t>Payout Percentage (as a % of target payout)</w:t>
            </w:r>
          </w:p>
        </w:tc>
        <w:tc>
          <w:tcPr>
            <w:tcW w:w="2260" w:type="dxa"/>
            <w:vAlign w:val="bottom"/>
          </w:tcPr>
          <w:p>
            <w:pPr>
              <w:jc w:val="right"/>
              <w:ind w:right="343"/>
              <w:spacing w:after="0"/>
              <w:rPr>
                <w:sz w:val="20"/>
                <w:szCs w:val="20"/>
                <w:color w:val="auto"/>
              </w:rPr>
            </w:pPr>
            <w:r>
              <w:rPr>
                <w:rFonts w:ascii="Arial" w:cs="Arial" w:eastAsia="Arial" w:hAnsi="Arial"/>
                <w:sz w:val="16"/>
                <w:szCs w:val="16"/>
                <w:color w:val="auto"/>
              </w:rPr>
              <w:t>50%</w:t>
            </w:r>
          </w:p>
        </w:tc>
        <w:tc>
          <w:tcPr>
            <w:tcW w:w="1720" w:type="dxa"/>
            <w:vAlign w:val="bottom"/>
          </w:tcPr>
          <w:p>
            <w:pPr>
              <w:jc w:val="right"/>
              <w:ind w:right="323"/>
              <w:spacing w:after="0"/>
              <w:rPr>
                <w:sz w:val="20"/>
                <w:szCs w:val="20"/>
                <w:color w:val="auto"/>
              </w:rPr>
            </w:pPr>
            <w:r>
              <w:rPr>
                <w:rFonts w:ascii="Arial" w:cs="Arial" w:eastAsia="Arial" w:hAnsi="Arial"/>
                <w:sz w:val="16"/>
                <w:szCs w:val="16"/>
                <w:color w:val="auto"/>
              </w:rPr>
              <w:t>100%</w:t>
            </w:r>
          </w:p>
        </w:tc>
        <w:tc>
          <w:tcPr>
            <w:tcW w:w="1740" w:type="dxa"/>
            <w:vAlign w:val="bottom"/>
          </w:tcPr>
          <w:p>
            <w:pPr>
              <w:jc w:val="right"/>
              <w:ind w:right="346"/>
              <w:spacing w:after="0"/>
              <w:rPr>
                <w:sz w:val="20"/>
                <w:szCs w:val="20"/>
                <w:color w:val="auto"/>
              </w:rPr>
            </w:pPr>
            <w:r>
              <w:rPr>
                <w:rFonts w:ascii="Arial" w:cs="Arial" w:eastAsia="Arial" w:hAnsi="Arial"/>
                <w:sz w:val="16"/>
                <w:szCs w:val="16"/>
                <w:color w:val="auto"/>
              </w:rPr>
              <w:t>150%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146.8%</w:t>
            </w:r>
          </w:p>
        </w:tc>
        <w:tc>
          <w:tcPr>
            <w:tcW w:w="0" w:type="dxa"/>
            <w:vAlign w:val="bottom"/>
          </w:tcPr>
          <w:p>
            <w:pPr>
              <w:spacing w:after="0"/>
              <w:rPr>
                <w:sz w:val="1"/>
                <w:szCs w:val="1"/>
                <w:color w:val="auto"/>
              </w:rPr>
            </w:pPr>
          </w:p>
        </w:tc>
      </w:tr>
      <w:tr>
        <w:trPr>
          <w:trHeight w:val="22"/>
        </w:trPr>
        <w:tc>
          <w:tcPr>
            <w:tcW w:w="4180" w:type="dxa"/>
            <w:vAlign w:val="bottom"/>
            <w:tcBorders>
              <w:bottom w:val="single" w:sz="8" w:color="00AEEF"/>
            </w:tcBorders>
          </w:tcPr>
          <w:p>
            <w:pPr>
              <w:spacing w:after="0" w:line="20" w:lineRule="exact"/>
              <w:rPr>
                <w:sz w:val="1"/>
                <w:szCs w:val="1"/>
                <w:color w:val="auto"/>
              </w:rPr>
            </w:pPr>
          </w:p>
        </w:tc>
        <w:tc>
          <w:tcPr>
            <w:tcW w:w="2260" w:type="dxa"/>
            <w:vAlign w:val="bottom"/>
            <w:tcBorders>
              <w:bottom w:val="single" w:sz="8" w:color="00AEEF"/>
            </w:tcBorders>
          </w:tcPr>
          <w:p>
            <w:pPr>
              <w:spacing w:after="0" w:line="20" w:lineRule="exact"/>
              <w:rPr>
                <w:sz w:val="1"/>
                <w:szCs w:val="1"/>
                <w:color w:val="auto"/>
              </w:rPr>
            </w:pPr>
          </w:p>
        </w:tc>
        <w:tc>
          <w:tcPr>
            <w:tcW w:w="1720" w:type="dxa"/>
            <w:vAlign w:val="bottom"/>
            <w:tcBorders>
              <w:bottom w:val="single" w:sz="8" w:color="00AEEF"/>
            </w:tcBorders>
          </w:tcPr>
          <w:p>
            <w:pPr>
              <w:spacing w:after="0" w:line="20" w:lineRule="exact"/>
              <w:rPr>
                <w:sz w:val="1"/>
                <w:szCs w:val="1"/>
                <w:color w:val="auto"/>
              </w:rPr>
            </w:pPr>
          </w:p>
        </w:tc>
        <w:tc>
          <w:tcPr>
            <w:tcW w:w="2680" w:type="dxa"/>
            <w:vAlign w:val="bottom"/>
            <w:tcBorders>
              <w:bottom w:val="single" w:sz="8" w:color="00AEEF"/>
            </w:tcBorders>
            <w:gridSpan w:val="2"/>
          </w:tcPr>
          <w:p>
            <w:pPr>
              <w:spacing w:after="0" w:line="20" w:lineRule="exact"/>
              <w:rPr>
                <w:sz w:val="1"/>
                <w:szCs w:val="1"/>
                <w:color w:val="auto"/>
              </w:rPr>
            </w:pPr>
          </w:p>
        </w:tc>
        <w:tc>
          <w:tcPr>
            <w:tcW w:w="400" w:type="dxa"/>
            <w:vAlign w:val="bottom"/>
            <w:tcBorders>
              <w:bottom w:val="single" w:sz="8" w:color="00AEE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7"/>
        </w:trPr>
        <w:tc>
          <w:tcPr>
            <w:tcW w:w="4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80" w:type="dxa"/>
            <w:vAlign w:val="bottom"/>
            <w:gridSpan w:val="2"/>
            <w:vMerge w:val="restart"/>
          </w:tcPr>
          <w:p>
            <w:pPr>
              <w:ind w:left="126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80" w:type="dxa"/>
            <w:vAlign w:val="bottom"/>
            <w:gridSpan w:val="2"/>
            <w:vMerge w:val="continue"/>
          </w:tcPr>
          <w:p>
            <w:pPr>
              <w:spacing w:after="0"/>
              <w:rPr>
                <w:sz w:val="18"/>
                <w:szCs w:val="18"/>
                <w:color w:val="auto"/>
              </w:rPr>
            </w:pPr>
          </w:p>
        </w:tc>
        <w:tc>
          <w:tcPr>
            <w:tcW w:w="400" w:type="dxa"/>
            <w:vAlign w:val="bottom"/>
            <w:tcBorders>
              <w:left w:val="single" w:sz="8" w:color="00AEEF"/>
            </w:tcBorders>
          </w:tcPr>
          <w:p>
            <w:pPr>
              <w:jc w:val="right"/>
              <w:spacing w:after="0"/>
              <w:rPr>
                <w:sz w:val="20"/>
                <w:szCs w:val="20"/>
                <w:color w:val="auto"/>
              </w:rPr>
            </w:pPr>
            <w:r>
              <w:rPr>
                <w:rFonts w:ascii="Arial" w:cs="Arial" w:eastAsia="Arial" w:hAnsi="Arial"/>
                <w:sz w:val="13"/>
                <w:szCs w:val="13"/>
                <w:b w:val="1"/>
                <w:bCs w:val="1"/>
                <w:color w:val="191769"/>
              </w:rPr>
              <w:t>43</w:t>
            </w:r>
          </w:p>
        </w:tc>
        <w:tc>
          <w:tcPr>
            <w:tcW w:w="0" w:type="dxa"/>
            <w:vAlign w:val="bottom"/>
          </w:tcPr>
          <w:p>
            <w:pPr>
              <w:spacing w:after="0"/>
              <w:rPr>
                <w:sz w:val="1"/>
                <w:szCs w:val="1"/>
                <w:color w:val="auto"/>
              </w:rPr>
            </w:pPr>
          </w:p>
        </w:tc>
      </w:tr>
      <w:tr>
        <w:trPr>
          <w:trHeight w:val="312"/>
        </w:trPr>
        <w:tc>
          <w:tcPr>
            <w:tcW w:w="41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5" w:name="page46"/>
    <w:bookmarkEnd w:id="45"/>
    <w:p>
      <w:pPr>
        <w:ind w:left="2"/>
        <w:spacing w:after="0"/>
        <w:rPr>
          <w:sz w:val="20"/>
          <w:szCs w:val="20"/>
          <w:color w:val="auto"/>
        </w:rPr>
      </w:pPr>
      <w:r>
        <w:rPr>
          <w:rFonts w:ascii="Arial" w:cs="Arial" w:eastAsia="Arial" w:hAnsi="Arial"/>
          <w:sz w:val="14"/>
          <w:szCs w:val="14"/>
          <w:b w:val="1"/>
          <w:bCs w:val="1"/>
          <w:color w:val="191769"/>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 w:right="60"/>
        <w:spacing w:after="0" w:line="267" w:lineRule="auto"/>
        <w:rPr>
          <w:sz w:val="20"/>
          <w:szCs w:val="20"/>
          <w:color w:val="auto"/>
        </w:rPr>
      </w:pPr>
      <w:r>
        <w:rPr>
          <w:rFonts w:ascii="Arial" w:cs="Arial" w:eastAsia="Arial" w:hAnsi="Arial"/>
          <w:sz w:val="16"/>
          <w:szCs w:val="16"/>
          <w:color w:val="auto"/>
        </w:rPr>
        <w:t xml:space="preserve">For 2025, the Committee established a target net income of $ 40.2 million, slightly below the Company’s actual 2024 net income of $44.4 million. The Committee set this target to exclude the impact of a one time, non recurring benefit from a lawsuit settlement of $4.3 million (net of tax) recognized in 2024 and to reflect that 2024 results also benefited from unprecedented drought conditions that increased water consumption and are not expected to recur at the same level. The Company achieved 2025 net income of $42.8 million which </w:t>
      </w:r>
      <w:r>
        <w:rPr>
          <w:rFonts w:ascii="Arial" w:cs="Arial" w:eastAsia="Arial" w:hAnsi="Arial"/>
          <w:sz w:val="16"/>
          <w:szCs w:val="16"/>
          <w:i w:val="1"/>
          <w:iCs w:val="1"/>
          <w:color w:val="auto"/>
        </w:rPr>
        <w:t>represents strong performance during the year driven by the execution of</w:t>
      </w:r>
      <w:r>
        <w:rPr>
          <w:rFonts w:ascii="Arial" w:cs="Arial" w:eastAsia="Arial" w:hAnsi="Arial"/>
          <w:sz w:val="16"/>
          <w:szCs w:val="16"/>
          <w:color w:val="auto"/>
        </w:rPr>
        <w:t xml:space="preserve"> </w:t>
      </w:r>
      <w:r>
        <w:rPr>
          <w:rFonts w:ascii="Arial" w:cs="Arial" w:eastAsia="Arial" w:hAnsi="Arial"/>
          <w:sz w:val="16"/>
          <w:szCs w:val="16"/>
          <w:i w:val="1"/>
          <w:iCs w:val="1"/>
          <w:color w:val="auto"/>
        </w:rPr>
        <w:t>our MWC2030 strategy.</w:t>
      </w:r>
    </w:p>
    <w:p>
      <w:pPr>
        <w:spacing w:after="0" w:line="97" w:lineRule="exact"/>
        <w:rPr>
          <w:sz w:val="20"/>
          <w:szCs w:val="20"/>
          <w:color w:val="auto"/>
        </w:rPr>
      </w:pPr>
    </w:p>
    <w:p>
      <w:pPr>
        <w:ind w:left="2" w:right="100"/>
        <w:spacing w:after="0" w:line="278" w:lineRule="auto"/>
        <w:rPr>
          <w:sz w:val="20"/>
          <w:szCs w:val="20"/>
          <w:color w:val="auto"/>
        </w:rPr>
      </w:pPr>
      <w:r>
        <w:rPr>
          <w:rFonts w:ascii="Arial" w:cs="Arial" w:eastAsia="Arial" w:hAnsi="Arial"/>
          <w:sz w:val="16"/>
          <w:szCs w:val="16"/>
          <w:color w:val="auto"/>
        </w:rPr>
        <w:t>Corporate Goals Component. The corporate goals component of the STI, which comprises 30% of the plan, is aligned with our strategic goals and equally divided among the six categories. These categories are key to the Company’s successful performance in safety, environmental leadership, customer experience, and employee engagement. The corporate metrics and reasons for inclusion are described below:</w:t>
      </w:r>
    </w:p>
    <w:p>
      <w:pPr>
        <w:spacing w:after="0" w:line="75" w:lineRule="exact"/>
        <w:rPr>
          <w:sz w:val="20"/>
          <w:szCs w:val="20"/>
          <w:color w:val="auto"/>
        </w:rPr>
      </w:pPr>
    </w:p>
    <w:p>
      <w:pPr>
        <w:ind w:left="182" w:hanging="182"/>
        <w:spacing w:after="0" w:line="299" w:lineRule="auto"/>
        <w:tabs>
          <w:tab w:leader="none" w:pos="173" w:val="left"/>
        </w:tabs>
        <w:numPr>
          <w:ilvl w:val="0"/>
          <w:numId w:val="61"/>
        </w:numPr>
        <w:rPr>
          <w:rFonts w:ascii="Arial" w:cs="Arial" w:eastAsia="Arial" w:hAnsi="Arial"/>
          <w:sz w:val="16"/>
          <w:szCs w:val="16"/>
          <w:b w:val="1"/>
          <w:bCs w:val="1"/>
          <w:color w:val="auto"/>
        </w:rPr>
      </w:pPr>
      <w:r>
        <w:rPr>
          <w:rFonts w:ascii="Arial" w:cs="Arial" w:eastAsia="Arial" w:hAnsi="Arial"/>
          <w:sz w:val="16"/>
          <w:szCs w:val="16"/>
          <w:i w:val="1"/>
          <w:iCs w:val="1"/>
          <w:color w:val="auto"/>
        </w:rPr>
        <w:t>Employee Safety - Lost Time Incident Rate (5%) and Reportable Incident Rate (5%)</w:t>
      </w:r>
      <w:r>
        <w:rPr>
          <w:rFonts w:ascii="Arial" w:cs="Arial" w:eastAsia="Arial" w:hAnsi="Arial"/>
          <w:sz w:val="16"/>
          <w:szCs w:val="16"/>
          <w:color w:val="auto"/>
        </w:rPr>
        <w:t>. The safety of our employees is paramount to management,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are critical to serving our customers. Including safety in our goals aligns with our critical focus on the safety of our employees.</w:t>
      </w:r>
    </w:p>
    <w:p>
      <w:pPr>
        <w:spacing w:after="0" w:line="9" w:lineRule="exact"/>
        <w:rPr>
          <w:rFonts w:ascii="Arial" w:cs="Arial" w:eastAsia="Arial" w:hAnsi="Arial"/>
          <w:sz w:val="16"/>
          <w:szCs w:val="16"/>
          <w:b w:val="1"/>
          <w:bCs w:val="1"/>
          <w:color w:val="auto"/>
        </w:rPr>
      </w:pPr>
    </w:p>
    <w:p>
      <w:pPr>
        <w:ind w:left="182" w:right="60" w:hanging="182"/>
        <w:spacing w:after="0" w:line="297" w:lineRule="auto"/>
        <w:tabs>
          <w:tab w:leader="none" w:pos="173" w:val="left"/>
        </w:tabs>
        <w:numPr>
          <w:ilvl w:val="0"/>
          <w:numId w:val="61"/>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Environmental Leadership </w:t>
      </w:r>
      <w:r>
        <w:rPr>
          <w:rFonts w:ascii="Arial" w:cs="Arial" w:eastAsia="Arial" w:hAnsi="Arial"/>
          <w:sz w:val="16"/>
          <w:szCs w:val="16"/>
          <w:color w:val="auto"/>
        </w:rPr>
        <w:t>– Water Quality Avoidable Noncompliance (5%). The quality of our water product is paramount to the health of the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that we serve. This metric is central to our mission as a water utility.</w:t>
      </w:r>
    </w:p>
    <w:p>
      <w:pPr>
        <w:ind w:left="182" w:right="320" w:hanging="182"/>
        <w:spacing w:after="0" w:line="297" w:lineRule="auto"/>
        <w:tabs>
          <w:tab w:leader="none" w:pos="173" w:val="left"/>
        </w:tabs>
        <w:numPr>
          <w:ilvl w:val="0"/>
          <w:numId w:val="61"/>
        </w:numPr>
        <w:rPr>
          <w:rFonts w:ascii="Arial" w:cs="Arial" w:eastAsia="Arial" w:hAnsi="Arial"/>
          <w:sz w:val="16"/>
          <w:szCs w:val="16"/>
          <w:b w:val="1"/>
          <w:bCs w:val="1"/>
          <w:color w:val="auto"/>
        </w:rPr>
      </w:pPr>
      <w:r>
        <w:rPr>
          <w:rFonts w:ascii="Arial" w:cs="Arial" w:eastAsia="Arial" w:hAnsi="Arial"/>
          <w:sz w:val="16"/>
          <w:szCs w:val="16"/>
          <w:i w:val="1"/>
          <w:iCs w:val="1"/>
          <w:color w:val="auto"/>
        </w:rPr>
        <w:t>Employee Engagement and Satisfaction (5%)</w:t>
      </w:r>
      <w:r>
        <w:rPr>
          <w:rFonts w:ascii="Arial" w:cs="Arial" w:eastAsia="Arial" w:hAnsi="Arial"/>
          <w:sz w:val="16"/>
          <w:szCs w:val="16"/>
          <w:color w:val="auto"/>
        </w:rPr>
        <w:t>. Higher employee engagement scores are a critical indicator of ensuring that our workforce is satisfied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their employment, who will deliver for our customers and shareholders, and reflect the effectiveness of our management.</w:t>
      </w:r>
    </w:p>
    <w:p>
      <w:pPr>
        <w:ind w:left="182" w:right="180" w:hanging="182"/>
        <w:spacing w:after="0" w:line="299" w:lineRule="auto"/>
        <w:tabs>
          <w:tab w:leader="none" w:pos="173" w:val="left"/>
        </w:tabs>
        <w:numPr>
          <w:ilvl w:val="0"/>
          <w:numId w:val="61"/>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Customer Experience </w:t>
      </w:r>
      <w:r>
        <w:rPr>
          <w:rFonts w:ascii="Arial" w:cs="Arial" w:eastAsia="Arial" w:hAnsi="Arial"/>
          <w:sz w:val="16"/>
          <w:szCs w:val="16"/>
          <w:color w:val="auto"/>
        </w:rPr>
        <w:t>– Customer Complaints (5%) and Average Speed to Answer Customer Calls (5%). Customer satisfaction is a critical indicator of</w:t>
      </w:r>
      <w:r>
        <w:rPr>
          <w:rFonts w:ascii="Arial" w:cs="Arial" w:eastAsia="Arial" w:hAnsi="Arial"/>
          <w:sz w:val="16"/>
          <w:szCs w:val="16"/>
          <w:i w:val="1"/>
          <w:iCs w:val="1"/>
          <w:color w:val="auto"/>
        </w:rPr>
        <w:t xml:space="preserve"> </w:t>
      </w:r>
      <w:r>
        <w:rPr>
          <w:rFonts w:ascii="Arial" w:cs="Arial" w:eastAsia="Arial" w:hAnsi="Arial"/>
          <w:sz w:val="16"/>
          <w:szCs w:val="16"/>
          <w:color w:val="auto"/>
        </w:rPr>
        <w:t>our overall effectiveness and is a focus of state utility commissioners.</w:t>
      </w:r>
    </w:p>
    <w:p>
      <w:pPr>
        <w:spacing w:after="0" w:line="71" w:lineRule="exact"/>
        <w:rPr>
          <w:sz w:val="20"/>
          <w:szCs w:val="20"/>
          <w:color w:val="auto"/>
        </w:rPr>
      </w:pPr>
    </w:p>
    <w:p>
      <w:pPr>
        <w:ind w:left="2" w:right="100"/>
        <w:spacing w:after="0" w:line="263" w:lineRule="auto"/>
        <w:rPr>
          <w:sz w:val="20"/>
          <w:szCs w:val="20"/>
          <w:color w:val="auto"/>
        </w:rPr>
      </w:pPr>
      <w:r>
        <w:rPr>
          <w:rFonts w:ascii="Arial" w:cs="Arial" w:eastAsia="Arial" w:hAnsi="Arial"/>
          <w:sz w:val="16"/>
          <w:szCs w:val="16"/>
          <w:color w:val="auto"/>
        </w:rPr>
        <w:t>Each of the six corporate metrics was assigned a fixed 5% performance target. While these operational performance targets are not disclosed for reasons of confidentiality and competitive sensitivity, the specific targets adopted for each of the corporate performance metrics was intended to be rigorous and challenging but achievable. The disclosure below details the level of achievement. Moreover, if the established target for an individual corporate performance metric is not met, then no amount is payable with respect to that target. After the end of the year, the Committee evaluated the Company’s performance with respect to each of the six Corporate Goals. The Committee determined that the Company met the goals for Environmental Leadership, Employee Engagement and Satisfaction resulting in a target payout of 15% for the three categories, but they did not meet the specific target goals for Average Speed to Answer Customer Call, Lost Time Incident Rate, and Reportable Incident Rate and therefore no amount was payable with respect to those three categories.</w:t>
      </w:r>
    </w:p>
    <w:p>
      <w:pPr>
        <w:spacing w:after="0" w:line="200" w:lineRule="exact"/>
        <w:rPr>
          <w:sz w:val="20"/>
          <w:szCs w:val="20"/>
          <w:color w:val="auto"/>
        </w:rPr>
      </w:pPr>
    </w:p>
    <w:p>
      <w:pPr>
        <w:spacing w:after="0" w:line="22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0076A8"/>
        </w:rPr>
        <w:t>INDIVIDUAL PERFORMANCE MEASURES</w:t>
      </w:r>
    </w:p>
    <w:p>
      <w:pPr>
        <w:spacing w:after="0" w:line="99" w:lineRule="exact"/>
        <w:rPr>
          <w:sz w:val="20"/>
          <w:szCs w:val="20"/>
          <w:color w:val="auto"/>
        </w:rPr>
      </w:pPr>
    </w:p>
    <w:p>
      <w:pPr>
        <w:ind w:left="2"/>
        <w:spacing w:after="0" w:line="267" w:lineRule="auto"/>
        <w:rPr>
          <w:sz w:val="20"/>
          <w:szCs w:val="20"/>
          <w:color w:val="auto"/>
        </w:rPr>
      </w:pPr>
      <w:r>
        <w:rPr>
          <w:rFonts w:ascii="Arial" w:cs="Arial" w:eastAsia="Arial" w:hAnsi="Arial"/>
          <w:sz w:val="16"/>
          <w:szCs w:val="16"/>
          <w:color w:val="auto"/>
        </w:rPr>
        <w:t>The Committee recognizes that the above-listed objective measures do not encompass all the objectives of the Company in a year and may not fully reflect the Company’s performance depending on non-recurring outside factors such as weather, water supply and other factors beyond the control of the NEO. As a result, the short-term incentive individual measures, which represent 20% of the target opportunity, are based on the Committee’s assessment of the performance of each executive officer after the end of the year. This assessment takes into account the assessment of each executive officer by the independent directors after considering the CEO’s assessment of the performance of each of the other executive officers during the year.</w:t>
      </w:r>
    </w:p>
    <w:p>
      <w:pPr>
        <w:spacing w:after="0" w:line="97" w:lineRule="exact"/>
        <w:rPr>
          <w:sz w:val="20"/>
          <w:szCs w:val="20"/>
          <w:color w:val="auto"/>
        </w:rPr>
      </w:pPr>
    </w:p>
    <w:p>
      <w:pPr>
        <w:ind w:left="2" w:right="240"/>
        <w:spacing w:after="0" w:line="299" w:lineRule="auto"/>
        <w:rPr>
          <w:sz w:val="20"/>
          <w:szCs w:val="20"/>
          <w:color w:val="auto"/>
        </w:rPr>
      </w:pPr>
      <w:r>
        <w:rPr>
          <w:rFonts w:ascii="Arial" w:cs="Arial" w:eastAsia="Arial" w:hAnsi="Arial"/>
          <w:sz w:val="16"/>
          <w:szCs w:val="16"/>
          <w:color w:val="auto"/>
        </w:rPr>
        <w:t>The individual assessment for each of the NEOs is designed to align with the Company’s strategic and operating initiatives. NEOs are eligible to receive anywhere between 0% - 150% of target for this portion of the award. The elements of such values include, but are not limited to:</w:t>
      </w:r>
    </w:p>
    <w:p>
      <w:pPr>
        <w:spacing w:after="0" w:line="59" w:lineRule="exact"/>
        <w:rPr>
          <w:sz w:val="20"/>
          <w:szCs w:val="20"/>
          <w:color w:val="auto"/>
        </w:rPr>
      </w:pPr>
    </w:p>
    <w:p>
      <w:pPr>
        <w:ind w:left="162" w:hanging="162"/>
        <w:spacing w:after="0"/>
        <w:tabs>
          <w:tab w:leader="none" w:pos="162"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Legal and regulatory compliance</w:t>
      </w:r>
    </w:p>
    <w:p>
      <w:pPr>
        <w:spacing w:after="0" w:line="86" w:lineRule="exact"/>
        <w:rPr>
          <w:rFonts w:ascii="Arial" w:cs="Arial" w:eastAsia="Arial" w:hAnsi="Arial"/>
          <w:sz w:val="16"/>
          <w:szCs w:val="16"/>
          <w:b w:val="1"/>
          <w:bCs w:val="1"/>
          <w:color w:val="auto"/>
        </w:rPr>
      </w:pPr>
    </w:p>
    <w:p>
      <w:pPr>
        <w:ind w:left="162" w:hanging="162"/>
        <w:spacing w:after="0"/>
        <w:tabs>
          <w:tab w:leader="none" w:pos="162"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Compliance with the Company’s Code of Conduct</w:t>
      </w:r>
    </w:p>
    <w:p>
      <w:pPr>
        <w:spacing w:after="0" w:line="74" w:lineRule="exact"/>
        <w:rPr>
          <w:rFonts w:ascii="Arial" w:cs="Arial" w:eastAsia="Arial" w:hAnsi="Arial"/>
          <w:sz w:val="16"/>
          <w:szCs w:val="16"/>
          <w:b w:val="1"/>
          <w:bCs w:val="1"/>
          <w:color w:val="auto"/>
        </w:rPr>
      </w:pPr>
    </w:p>
    <w:p>
      <w:pPr>
        <w:ind w:left="162" w:hanging="162"/>
        <w:spacing w:after="0"/>
        <w:tabs>
          <w:tab w:leader="none" w:pos="162"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Strong customer focus</w:t>
      </w:r>
    </w:p>
    <w:p>
      <w:pPr>
        <w:spacing w:after="0" w:line="74" w:lineRule="exact"/>
        <w:rPr>
          <w:rFonts w:ascii="Arial" w:cs="Arial" w:eastAsia="Arial" w:hAnsi="Arial"/>
          <w:sz w:val="16"/>
          <w:szCs w:val="16"/>
          <w:b w:val="1"/>
          <w:bCs w:val="1"/>
          <w:color w:val="auto"/>
        </w:rPr>
      </w:pPr>
    </w:p>
    <w:p>
      <w:pPr>
        <w:ind w:left="162" w:hanging="162"/>
        <w:spacing w:after="0"/>
        <w:tabs>
          <w:tab w:leader="none" w:pos="162"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Teamwork and collaboration</w:t>
      </w:r>
    </w:p>
    <w:p>
      <w:pPr>
        <w:spacing w:after="0" w:line="86" w:lineRule="exact"/>
        <w:rPr>
          <w:rFonts w:ascii="Arial" w:cs="Arial" w:eastAsia="Arial" w:hAnsi="Arial"/>
          <w:sz w:val="16"/>
          <w:szCs w:val="16"/>
          <w:b w:val="1"/>
          <w:bCs w:val="1"/>
          <w:color w:val="auto"/>
        </w:rPr>
      </w:pPr>
    </w:p>
    <w:p>
      <w:pPr>
        <w:ind w:left="162" w:hanging="162"/>
        <w:spacing w:after="0"/>
        <w:tabs>
          <w:tab w:leader="none" w:pos="162"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Social responsibility</w:t>
      </w:r>
    </w:p>
    <w:p>
      <w:pPr>
        <w:spacing w:after="0" w:line="74" w:lineRule="exact"/>
        <w:rPr>
          <w:rFonts w:ascii="Arial" w:cs="Arial" w:eastAsia="Arial" w:hAnsi="Arial"/>
          <w:sz w:val="16"/>
          <w:szCs w:val="16"/>
          <w:b w:val="1"/>
          <w:bCs w:val="1"/>
          <w:color w:val="auto"/>
        </w:rPr>
      </w:pPr>
    </w:p>
    <w:p>
      <w:pPr>
        <w:ind w:left="162" w:hanging="162"/>
        <w:spacing w:after="0"/>
        <w:tabs>
          <w:tab w:leader="none" w:pos="162"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Continuous improvement</w:t>
      </w:r>
    </w:p>
    <w:p>
      <w:pPr>
        <w:spacing w:after="0" w:line="148" w:lineRule="exact"/>
        <w:rPr>
          <w:sz w:val="20"/>
          <w:szCs w:val="20"/>
          <w:color w:val="auto"/>
        </w:rPr>
      </w:pPr>
    </w:p>
    <w:p>
      <w:pPr>
        <w:ind w:left="2" w:right="60"/>
        <w:spacing w:after="0" w:line="299" w:lineRule="auto"/>
        <w:rPr>
          <w:sz w:val="20"/>
          <w:szCs w:val="20"/>
          <w:color w:val="auto"/>
        </w:rPr>
      </w:pPr>
      <w:r>
        <w:rPr>
          <w:rFonts w:ascii="Arial" w:cs="Arial" w:eastAsia="Arial" w:hAnsi="Arial"/>
          <w:sz w:val="16"/>
          <w:szCs w:val="16"/>
          <w:color w:val="auto"/>
        </w:rPr>
        <w:t>After the end of the year, the Compensation Committee evaluated each NEO’s performance during 2025, including with respect to the above-listed values, and considered the following key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250825</wp:posOffset>
            </wp:positionV>
            <wp:extent cx="7620" cy="132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392" w:lineRule="exact"/>
        <w:rPr>
          <w:sz w:val="20"/>
          <w:szCs w:val="20"/>
          <w:color w:val="auto"/>
        </w:rPr>
      </w:pPr>
    </w:p>
    <w:p>
      <w:pPr>
        <w:ind w:left="462" w:hanging="445"/>
        <w:spacing w:after="0"/>
        <w:tabs>
          <w:tab w:leader="none" w:pos="462" w:val="left"/>
        </w:tabs>
        <w:numPr>
          <w:ilvl w:val="0"/>
          <w:numId w:val="63"/>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210185</wp:posOffset>
            </wp:positionV>
            <wp:extent cx="7169785" cy="412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2"/>
          </w:cols>
          <w:pgMar w:left="318" w:top="124"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4"/>
          <w:szCs w:val="14"/>
          <w:b w:val="1"/>
          <w:bCs w:val="1"/>
          <w:color w:val="191769"/>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60" w:type="dxa"/>
            <w:vAlign w:val="bottom"/>
            <w:tcBorders>
              <w:bottom w:val="single" w:sz="8" w:color="00AEEF"/>
            </w:tcBorders>
          </w:tcPr>
          <w:p>
            <w:pPr>
              <w:ind w:left="20"/>
              <w:spacing w:after="0"/>
              <w:rPr>
                <w:sz w:val="20"/>
                <w:szCs w:val="20"/>
                <w:color w:val="auto"/>
              </w:rPr>
            </w:pPr>
            <w:r>
              <w:rPr>
                <w:rFonts w:ascii="Arial" w:cs="Arial" w:eastAsia="Arial" w:hAnsi="Arial"/>
                <w:sz w:val="13"/>
                <w:szCs w:val="13"/>
                <w:b w:val="1"/>
                <w:bCs w:val="1"/>
                <w:color w:val="191769"/>
              </w:rPr>
              <w:t>NEO Name and Position</w:t>
            </w:r>
          </w:p>
        </w:tc>
        <w:tc>
          <w:tcPr>
            <w:tcW w:w="8680" w:type="dxa"/>
            <w:vAlign w:val="bottom"/>
            <w:tcBorders>
              <w:bottom w:val="single" w:sz="8" w:color="00AEEF"/>
            </w:tcBorders>
          </w:tcPr>
          <w:p>
            <w:pPr>
              <w:ind w:left="160"/>
              <w:spacing w:after="0"/>
              <w:rPr>
                <w:sz w:val="20"/>
                <w:szCs w:val="20"/>
                <w:color w:val="auto"/>
              </w:rPr>
            </w:pPr>
            <w:r>
              <w:rPr>
                <w:rFonts w:ascii="Arial" w:cs="Arial" w:eastAsia="Arial" w:hAnsi="Arial"/>
                <w:sz w:val="13"/>
                <w:szCs w:val="13"/>
                <w:b w:val="1"/>
                <w:bCs w:val="1"/>
                <w:color w:val="191769"/>
              </w:rPr>
              <w:t>Key 2025 Achievements</w:t>
            </w:r>
          </w:p>
        </w:tc>
      </w:tr>
      <w:tr>
        <w:trPr>
          <w:trHeight w:val="204"/>
        </w:trPr>
        <w:tc>
          <w:tcPr>
            <w:tcW w:w="2560" w:type="dxa"/>
            <w:vAlign w:val="bottom"/>
          </w:tcPr>
          <w:p>
            <w:pPr>
              <w:ind w:left="20"/>
              <w:spacing w:after="0"/>
              <w:rPr>
                <w:sz w:val="20"/>
                <w:szCs w:val="20"/>
                <w:color w:val="auto"/>
              </w:rPr>
            </w:pPr>
            <w:r>
              <w:rPr>
                <w:rFonts w:ascii="Arial" w:cs="Arial" w:eastAsia="Arial" w:hAnsi="Arial"/>
                <w:sz w:val="16"/>
                <w:szCs w:val="16"/>
                <w:b w:val="1"/>
                <w:bCs w:val="1"/>
                <w:color w:val="191769"/>
              </w:rPr>
              <w:t>Nadine Leslie,</w:t>
            </w:r>
          </w:p>
        </w:tc>
        <w:tc>
          <w:tcPr>
            <w:tcW w:w="8680" w:type="dxa"/>
            <w:vAlign w:val="bottom"/>
          </w:tcPr>
          <w:p>
            <w:pPr>
              <w:ind w:left="160"/>
              <w:spacing w:after="0"/>
              <w:rPr>
                <w:sz w:val="20"/>
                <w:szCs w:val="20"/>
                <w:color w:val="auto"/>
              </w:rPr>
            </w:pPr>
            <w:r>
              <w:rPr>
                <w:rFonts w:ascii="Arial" w:cs="Arial" w:eastAsia="Arial" w:hAnsi="Arial"/>
                <w:sz w:val="16"/>
                <w:szCs w:val="16"/>
                <w:color w:val="auto"/>
              </w:rPr>
              <w:t>Led the execution of the 2025 priorities across the MWC2030 five pillars Strengthened the company’s relationships</w:t>
            </w:r>
          </w:p>
        </w:tc>
      </w:tr>
      <w:tr>
        <w:trPr>
          <w:trHeight w:val="197"/>
        </w:trPr>
        <w:tc>
          <w:tcPr>
            <w:tcW w:w="2560" w:type="dxa"/>
            <w:vAlign w:val="bottom"/>
          </w:tcPr>
          <w:p>
            <w:pPr>
              <w:ind w:left="20"/>
              <w:spacing w:after="0"/>
              <w:rPr>
                <w:sz w:val="20"/>
                <w:szCs w:val="20"/>
                <w:color w:val="auto"/>
              </w:rPr>
            </w:pPr>
            <w:r>
              <w:rPr>
                <w:rFonts w:ascii="Arial" w:cs="Arial" w:eastAsia="Arial" w:hAnsi="Arial"/>
                <w:sz w:val="16"/>
                <w:szCs w:val="16"/>
                <w:color w:val="auto"/>
              </w:rPr>
              <w:t>President and</w:t>
            </w:r>
          </w:p>
        </w:tc>
        <w:tc>
          <w:tcPr>
            <w:tcW w:w="8680" w:type="dxa"/>
            <w:vAlign w:val="bottom"/>
          </w:tcPr>
          <w:p>
            <w:pPr>
              <w:ind w:left="160"/>
              <w:spacing w:after="0"/>
              <w:rPr>
                <w:sz w:val="20"/>
                <w:szCs w:val="20"/>
                <w:color w:val="auto"/>
              </w:rPr>
            </w:pPr>
            <w:r>
              <w:rPr>
                <w:rFonts w:ascii="Arial" w:cs="Arial" w:eastAsia="Arial" w:hAnsi="Arial"/>
                <w:sz w:val="16"/>
                <w:szCs w:val="16"/>
                <w:color w:val="auto"/>
              </w:rPr>
              <w:t>with various stakeholders to support our sustainable growth</w:t>
            </w:r>
          </w:p>
        </w:tc>
      </w:tr>
      <w:tr>
        <w:trPr>
          <w:trHeight w:val="216"/>
        </w:trPr>
        <w:tc>
          <w:tcPr>
            <w:tcW w:w="2560" w:type="dxa"/>
            <w:vAlign w:val="bottom"/>
          </w:tcPr>
          <w:p>
            <w:pPr>
              <w:ind w:left="20"/>
              <w:spacing w:after="0"/>
              <w:rPr>
                <w:sz w:val="20"/>
                <w:szCs w:val="20"/>
                <w:color w:val="auto"/>
              </w:rPr>
            </w:pPr>
            <w:r>
              <w:rPr>
                <w:rFonts w:ascii="Arial" w:cs="Arial" w:eastAsia="Arial" w:hAnsi="Arial"/>
                <w:sz w:val="16"/>
                <w:szCs w:val="16"/>
                <w:color w:val="auto"/>
              </w:rPr>
              <w:t>Chief Executive Officer</w:t>
            </w:r>
          </w:p>
        </w:tc>
        <w:tc>
          <w:tcPr>
            <w:tcW w:w="8680" w:type="dxa"/>
            <w:vAlign w:val="bottom"/>
          </w:tcPr>
          <w:p>
            <w:pPr>
              <w:spacing w:after="0"/>
              <w:rPr>
                <w:sz w:val="18"/>
                <w:szCs w:val="18"/>
                <w:color w:val="auto"/>
              </w:rPr>
            </w:pPr>
          </w:p>
        </w:tc>
      </w:tr>
      <w:tr>
        <w:trPr>
          <w:trHeight w:val="22"/>
        </w:trPr>
        <w:tc>
          <w:tcPr>
            <w:tcW w:w="2560" w:type="dxa"/>
            <w:vAlign w:val="bottom"/>
            <w:tcBorders>
              <w:bottom w:val="single" w:sz="8" w:color="D9D9D9"/>
            </w:tcBorders>
          </w:tcPr>
          <w:p>
            <w:pPr>
              <w:spacing w:after="0" w:line="20" w:lineRule="exact"/>
              <w:rPr>
                <w:sz w:val="1"/>
                <w:szCs w:val="1"/>
                <w:color w:val="auto"/>
              </w:rPr>
            </w:pPr>
          </w:p>
        </w:tc>
        <w:tc>
          <w:tcPr>
            <w:tcW w:w="8680" w:type="dxa"/>
            <w:vAlign w:val="bottom"/>
            <w:tcBorders>
              <w:bottom w:val="single" w:sz="8" w:color="D9D9D9"/>
            </w:tcBorders>
          </w:tcPr>
          <w:p>
            <w:pPr>
              <w:spacing w:after="0" w:line="20" w:lineRule="exact"/>
              <w:rPr>
                <w:sz w:val="1"/>
                <w:szCs w:val="1"/>
                <w:color w:val="auto"/>
              </w:rPr>
            </w:pPr>
          </w:p>
        </w:tc>
      </w:tr>
      <w:tr>
        <w:trPr>
          <w:trHeight w:val="197"/>
        </w:trPr>
        <w:tc>
          <w:tcPr>
            <w:tcW w:w="2560" w:type="dxa"/>
            <w:vAlign w:val="bottom"/>
          </w:tcPr>
          <w:p>
            <w:pPr>
              <w:ind w:left="20"/>
              <w:spacing w:after="0"/>
              <w:rPr>
                <w:sz w:val="20"/>
                <w:szCs w:val="20"/>
                <w:color w:val="auto"/>
              </w:rPr>
            </w:pPr>
            <w:r>
              <w:rPr>
                <w:rFonts w:ascii="Arial" w:cs="Arial" w:eastAsia="Arial" w:hAnsi="Arial"/>
                <w:sz w:val="16"/>
                <w:szCs w:val="16"/>
                <w:b w:val="1"/>
                <w:bCs w:val="1"/>
                <w:color w:val="191769"/>
              </w:rPr>
              <w:t>Mohammed G. Zerhouni,</w:t>
            </w:r>
          </w:p>
        </w:tc>
        <w:tc>
          <w:tcPr>
            <w:tcW w:w="8680" w:type="dxa"/>
            <w:vAlign w:val="bottom"/>
          </w:tcPr>
          <w:p>
            <w:pPr>
              <w:ind w:left="160"/>
              <w:spacing w:after="0"/>
              <w:rPr>
                <w:sz w:val="20"/>
                <w:szCs w:val="20"/>
                <w:color w:val="auto"/>
              </w:rPr>
            </w:pPr>
            <w:r>
              <w:rPr>
                <w:rFonts w:ascii="Arial" w:cs="Arial" w:eastAsia="Arial" w:hAnsi="Arial"/>
                <w:sz w:val="16"/>
                <w:szCs w:val="16"/>
                <w:color w:val="auto"/>
              </w:rPr>
              <w:t>Successful settled the Delaware rate case</w:t>
            </w:r>
          </w:p>
        </w:tc>
      </w:tr>
      <w:tr>
        <w:trPr>
          <w:trHeight w:val="197"/>
        </w:trPr>
        <w:tc>
          <w:tcPr>
            <w:tcW w:w="2560" w:type="dxa"/>
            <w:vAlign w:val="bottom"/>
          </w:tcPr>
          <w:p>
            <w:pPr>
              <w:ind w:left="20"/>
              <w:spacing w:after="0"/>
              <w:rPr>
                <w:sz w:val="20"/>
                <w:szCs w:val="20"/>
                <w:color w:val="auto"/>
              </w:rPr>
            </w:pPr>
            <w:r>
              <w:rPr>
                <w:rFonts w:ascii="Arial" w:cs="Arial" w:eastAsia="Arial" w:hAnsi="Arial"/>
                <w:sz w:val="16"/>
                <w:szCs w:val="16"/>
                <w:color w:val="auto"/>
              </w:rPr>
              <w:t>Senior Vice President, Chief</w:t>
            </w:r>
          </w:p>
        </w:tc>
        <w:tc>
          <w:tcPr>
            <w:tcW w:w="8680" w:type="dxa"/>
            <w:vAlign w:val="bottom"/>
          </w:tcPr>
          <w:p>
            <w:pPr>
              <w:ind w:left="160"/>
              <w:spacing w:after="0"/>
              <w:rPr>
                <w:sz w:val="20"/>
                <w:szCs w:val="20"/>
                <w:color w:val="auto"/>
              </w:rPr>
            </w:pPr>
            <w:r>
              <w:rPr>
                <w:rFonts w:ascii="Arial" w:cs="Arial" w:eastAsia="Arial" w:hAnsi="Arial"/>
                <w:sz w:val="16"/>
                <w:szCs w:val="16"/>
                <w:color w:val="auto"/>
              </w:rPr>
              <w:t>Designed and executed the financing strategy to support our growth through the At-The-Market equity program and</w:t>
            </w:r>
          </w:p>
        </w:tc>
      </w:tr>
      <w:tr>
        <w:trPr>
          <w:trHeight w:val="216"/>
        </w:trPr>
        <w:tc>
          <w:tcPr>
            <w:tcW w:w="2560" w:type="dxa"/>
            <w:vAlign w:val="bottom"/>
          </w:tcPr>
          <w:p>
            <w:pPr>
              <w:ind w:left="20"/>
              <w:spacing w:after="0"/>
              <w:rPr>
                <w:sz w:val="20"/>
                <w:szCs w:val="20"/>
                <w:color w:val="auto"/>
              </w:rPr>
            </w:pPr>
            <w:r>
              <w:rPr>
                <w:rFonts w:ascii="Arial" w:cs="Arial" w:eastAsia="Arial" w:hAnsi="Arial"/>
                <w:sz w:val="16"/>
                <w:szCs w:val="16"/>
                <w:color w:val="auto"/>
              </w:rPr>
              <w:t>Financial Officer and Treasurer</w:t>
            </w:r>
          </w:p>
        </w:tc>
        <w:tc>
          <w:tcPr>
            <w:tcW w:w="8680" w:type="dxa"/>
            <w:vAlign w:val="bottom"/>
          </w:tcPr>
          <w:p>
            <w:pPr>
              <w:ind w:left="160"/>
              <w:spacing w:after="0"/>
              <w:rPr>
                <w:sz w:val="20"/>
                <w:szCs w:val="20"/>
                <w:color w:val="auto"/>
              </w:rPr>
            </w:pPr>
            <w:r>
              <w:rPr>
                <w:rFonts w:ascii="Arial" w:cs="Arial" w:eastAsia="Arial" w:hAnsi="Arial"/>
                <w:sz w:val="16"/>
                <w:szCs w:val="16"/>
                <w:color w:val="auto"/>
              </w:rPr>
              <w:t>lower cost debt financing</w:t>
            </w:r>
          </w:p>
        </w:tc>
      </w:tr>
      <w:tr>
        <w:trPr>
          <w:trHeight w:val="22"/>
        </w:trPr>
        <w:tc>
          <w:tcPr>
            <w:tcW w:w="2560" w:type="dxa"/>
            <w:vAlign w:val="bottom"/>
            <w:tcBorders>
              <w:bottom w:val="single" w:sz="8" w:color="D9D9D9"/>
            </w:tcBorders>
          </w:tcPr>
          <w:p>
            <w:pPr>
              <w:spacing w:after="0" w:line="20" w:lineRule="exact"/>
              <w:rPr>
                <w:sz w:val="1"/>
                <w:szCs w:val="1"/>
                <w:color w:val="auto"/>
              </w:rPr>
            </w:pPr>
          </w:p>
        </w:tc>
        <w:tc>
          <w:tcPr>
            <w:tcW w:w="8680" w:type="dxa"/>
            <w:vAlign w:val="bottom"/>
            <w:tcBorders>
              <w:bottom w:val="single" w:sz="8" w:color="D9D9D9"/>
            </w:tcBorders>
          </w:tcPr>
          <w:p>
            <w:pPr>
              <w:spacing w:after="0" w:line="20" w:lineRule="exact"/>
              <w:rPr>
                <w:sz w:val="1"/>
                <w:szCs w:val="1"/>
                <w:color w:val="auto"/>
              </w:rPr>
            </w:pPr>
          </w:p>
        </w:tc>
      </w:tr>
      <w:tr>
        <w:trPr>
          <w:trHeight w:val="197"/>
        </w:trPr>
        <w:tc>
          <w:tcPr>
            <w:tcW w:w="2560" w:type="dxa"/>
            <w:vAlign w:val="bottom"/>
          </w:tcPr>
          <w:p>
            <w:pPr>
              <w:ind w:left="20"/>
              <w:spacing w:after="0"/>
              <w:rPr>
                <w:sz w:val="20"/>
                <w:szCs w:val="20"/>
                <w:color w:val="auto"/>
              </w:rPr>
            </w:pPr>
            <w:r>
              <w:rPr>
                <w:rFonts w:ascii="Arial" w:cs="Arial" w:eastAsia="Arial" w:hAnsi="Arial"/>
                <w:sz w:val="16"/>
                <w:szCs w:val="16"/>
                <w:b w:val="1"/>
                <w:bCs w:val="1"/>
                <w:color w:val="191769"/>
              </w:rPr>
              <w:t>Gregory S. Sorensen,</w:t>
            </w:r>
          </w:p>
        </w:tc>
        <w:tc>
          <w:tcPr>
            <w:tcW w:w="8680" w:type="dxa"/>
            <w:vAlign w:val="bottom"/>
          </w:tcPr>
          <w:p>
            <w:pPr>
              <w:ind w:left="160"/>
              <w:spacing w:after="0"/>
              <w:rPr>
                <w:sz w:val="20"/>
                <w:szCs w:val="20"/>
                <w:color w:val="auto"/>
              </w:rPr>
            </w:pPr>
            <w:r>
              <w:rPr>
                <w:rFonts w:ascii="Arial" w:cs="Arial" w:eastAsia="Arial" w:hAnsi="Arial"/>
                <w:sz w:val="16"/>
                <w:szCs w:val="16"/>
                <w:color w:val="auto"/>
              </w:rPr>
              <w:t>Enhanced capital investment identification, monitoring and delivery Developed and implemented the road safety</w:t>
            </w:r>
          </w:p>
        </w:tc>
      </w:tr>
      <w:tr>
        <w:trPr>
          <w:trHeight w:val="197"/>
        </w:trPr>
        <w:tc>
          <w:tcPr>
            <w:tcW w:w="2560" w:type="dxa"/>
            <w:vAlign w:val="bottom"/>
          </w:tcPr>
          <w:p>
            <w:pPr>
              <w:ind w:left="20"/>
              <w:spacing w:after="0"/>
              <w:rPr>
                <w:sz w:val="20"/>
                <w:szCs w:val="20"/>
                <w:color w:val="auto"/>
              </w:rPr>
            </w:pPr>
            <w:r>
              <w:rPr>
                <w:rFonts w:ascii="Arial" w:cs="Arial" w:eastAsia="Arial" w:hAnsi="Arial"/>
                <w:sz w:val="16"/>
                <w:szCs w:val="16"/>
                <w:color w:val="auto"/>
              </w:rPr>
              <w:t>Vice President,</w:t>
            </w:r>
          </w:p>
        </w:tc>
        <w:tc>
          <w:tcPr>
            <w:tcW w:w="8680" w:type="dxa"/>
            <w:vAlign w:val="bottom"/>
          </w:tcPr>
          <w:p>
            <w:pPr>
              <w:ind w:left="160"/>
              <w:spacing w:after="0"/>
              <w:rPr>
                <w:sz w:val="20"/>
                <w:szCs w:val="20"/>
                <w:color w:val="auto"/>
              </w:rPr>
            </w:pPr>
            <w:r>
              <w:rPr>
                <w:rFonts w:ascii="Arial" w:cs="Arial" w:eastAsia="Arial" w:hAnsi="Arial"/>
                <w:sz w:val="16"/>
                <w:szCs w:val="16"/>
                <w:color w:val="auto"/>
              </w:rPr>
              <w:t>enterprise-wide program</w:t>
            </w:r>
          </w:p>
        </w:tc>
      </w:tr>
      <w:tr>
        <w:trPr>
          <w:trHeight w:val="216"/>
        </w:trPr>
        <w:tc>
          <w:tcPr>
            <w:tcW w:w="2560" w:type="dxa"/>
            <w:vAlign w:val="bottom"/>
          </w:tcPr>
          <w:p>
            <w:pPr>
              <w:ind w:left="20"/>
              <w:spacing w:after="0"/>
              <w:rPr>
                <w:sz w:val="20"/>
                <w:szCs w:val="20"/>
                <w:color w:val="auto"/>
              </w:rPr>
            </w:pPr>
            <w:r>
              <w:rPr>
                <w:rFonts w:ascii="Arial" w:cs="Arial" w:eastAsia="Arial" w:hAnsi="Arial"/>
                <w:sz w:val="16"/>
                <w:szCs w:val="16"/>
                <w:color w:val="auto"/>
              </w:rPr>
              <w:t>Chief Operating Officer</w:t>
            </w:r>
          </w:p>
        </w:tc>
        <w:tc>
          <w:tcPr>
            <w:tcW w:w="8680" w:type="dxa"/>
            <w:vAlign w:val="bottom"/>
          </w:tcPr>
          <w:p>
            <w:pPr>
              <w:spacing w:after="0"/>
              <w:rPr>
                <w:sz w:val="18"/>
                <w:szCs w:val="18"/>
                <w:color w:val="auto"/>
              </w:rPr>
            </w:pPr>
          </w:p>
        </w:tc>
      </w:tr>
      <w:tr>
        <w:trPr>
          <w:trHeight w:val="22"/>
        </w:trPr>
        <w:tc>
          <w:tcPr>
            <w:tcW w:w="2560" w:type="dxa"/>
            <w:vAlign w:val="bottom"/>
            <w:tcBorders>
              <w:bottom w:val="single" w:sz="8" w:color="D9D9D9"/>
            </w:tcBorders>
          </w:tcPr>
          <w:p>
            <w:pPr>
              <w:spacing w:after="0" w:line="20" w:lineRule="exact"/>
              <w:rPr>
                <w:sz w:val="1"/>
                <w:szCs w:val="1"/>
                <w:color w:val="auto"/>
              </w:rPr>
            </w:pPr>
          </w:p>
        </w:tc>
        <w:tc>
          <w:tcPr>
            <w:tcW w:w="8680" w:type="dxa"/>
            <w:vAlign w:val="bottom"/>
            <w:tcBorders>
              <w:bottom w:val="single" w:sz="8" w:color="D9D9D9"/>
            </w:tcBorders>
          </w:tcPr>
          <w:p>
            <w:pPr>
              <w:spacing w:after="0" w:line="20" w:lineRule="exact"/>
              <w:rPr>
                <w:sz w:val="1"/>
                <w:szCs w:val="1"/>
                <w:color w:val="auto"/>
              </w:rPr>
            </w:pPr>
          </w:p>
        </w:tc>
      </w:tr>
      <w:tr>
        <w:trPr>
          <w:trHeight w:val="197"/>
        </w:trPr>
        <w:tc>
          <w:tcPr>
            <w:tcW w:w="2560" w:type="dxa"/>
            <w:vAlign w:val="bottom"/>
          </w:tcPr>
          <w:p>
            <w:pPr>
              <w:ind w:left="20"/>
              <w:spacing w:after="0"/>
              <w:rPr>
                <w:sz w:val="20"/>
                <w:szCs w:val="20"/>
                <w:color w:val="auto"/>
              </w:rPr>
            </w:pPr>
            <w:r>
              <w:rPr>
                <w:rFonts w:ascii="Arial" w:cs="Arial" w:eastAsia="Arial" w:hAnsi="Arial"/>
                <w:sz w:val="16"/>
                <w:szCs w:val="16"/>
                <w:b w:val="1"/>
                <w:bCs w:val="1"/>
                <w:color w:val="191769"/>
              </w:rPr>
              <w:t>Jay L. Kooper,</w:t>
            </w:r>
          </w:p>
        </w:tc>
        <w:tc>
          <w:tcPr>
            <w:tcW w:w="8680" w:type="dxa"/>
            <w:vAlign w:val="bottom"/>
          </w:tcPr>
          <w:p>
            <w:pPr>
              <w:ind w:left="160"/>
              <w:spacing w:after="0"/>
              <w:rPr>
                <w:sz w:val="20"/>
                <w:szCs w:val="20"/>
                <w:color w:val="auto"/>
              </w:rPr>
            </w:pPr>
            <w:r>
              <w:rPr>
                <w:rFonts w:ascii="Arial" w:cs="Arial" w:eastAsia="Arial" w:hAnsi="Arial"/>
                <w:sz w:val="16"/>
                <w:szCs w:val="16"/>
                <w:color w:val="auto"/>
              </w:rPr>
              <w:t>Developed regulatory relationships with adjacent jurisdictions to our current operations Enhanced the compliance and</w:t>
            </w:r>
          </w:p>
        </w:tc>
      </w:tr>
      <w:tr>
        <w:trPr>
          <w:trHeight w:val="197"/>
        </w:trPr>
        <w:tc>
          <w:tcPr>
            <w:tcW w:w="2560" w:type="dxa"/>
            <w:vAlign w:val="bottom"/>
          </w:tcPr>
          <w:p>
            <w:pPr>
              <w:ind w:left="20"/>
              <w:spacing w:after="0"/>
              <w:rPr>
                <w:sz w:val="20"/>
                <w:szCs w:val="20"/>
                <w:color w:val="auto"/>
              </w:rPr>
            </w:pPr>
            <w:r>
              <w:rPr>
                <w:rFonts w:ascii="Arial" w:cs="Arial" w:eastAsia="Arial" w:hAnsi="Arial"/>
                <w:sz w:val="16"/>
                <w:szCs w:val="16"/>
                <w:color w:val="auto"/>
              </w:rPr>
              <w:t>Vice President, General Counsel</w:t>
            </w:r>
          </w:p>
        </w:tc>
        <w:tc>
          <w:tcPr>
            <w:tcW w:w="8680" w:type="dxa"/>
            <w:vAlign w:val="bottom"/>
          </w:tcPr>
          <w:p>
            <w:pPr>
              <w:ind w:left="160"/>
              <w:spacing w:after="0"/>
              <w:rPr>
                <w:sz w:val="20"/>
                <w:szCs w:val="20"/>
                <w:color w:val="auto"/>
              </w:rPr>
            </w:pPr>
            <w:r>
              <w:rPr>
                <w:rFonts w:ascii="Arial" w:cs="Arial" w:eastAsia="Arial" w:hAnsi="Arial"/>
                <w:sz w:val="16"/>
                <w:szCs w:val="16"/>
                <w:color w:val="auto"/>
              </w:rPr>
              <w:t>monitoring program related to contract operations</w:t>
            </w:r>
          </w:p>
        </w:tc>
      </w:tr>
      <w:tr>
        <w:trPr>
          <w:trHeight w:val="216"/>
        </w:trPr>
        <w:tc>
          <w:tcPr>
            <w:tcW w:w="2560" w:type="dxa"/>
            <w:vAlign w:val="bottom"/>
          </w:tcPr>
          <w:p>
            <w:pPr>
              <w:ind w:left="20"/>
              <w:spacing w:after="0"/>
              <w:rPr>
                <w:sz w:val="20"/>
                <w:szCs w:val="20"/>
                <w:color w:val="auto"/>
              </w:rPr>
            </w:pPr>
            <w:r>
              <w:rPr>
                <w:rFonts w:ascii="Arial" w:cs="Arial" w:eastAsia="Arial" w:hAnsi="Arial"/>
                <w:sz w:val="16"/>
                <w:szCs w:val="16"/>
                <w:color w:val="auto"/>
              </w:rPr>
              <w:t>and Secretary</w:t>
            </w:r>
          </w:p>
        </w:tc>
        <w:tc>
          <w:tcPr>
            <w:tcW w:w="8680" w:type="dxa"/>
            <w:vAlign w:val="bottom"/>
          </w:tcPr>
          <w:p>
            <w:pPr>
              <w:spacing w:after="0"/>
              <w:rPr>
                <w:sz w:val="18"/>
                <w:szCs w:val="18"/>
                <w:color w:val="auto"/>
              </w:rPr>
            </w:pPr>
          </w:p>
        </w:tc>
      </w:tr>
      <w:tr>
        <w:trPr>
          <w:trHeight w:val="22"/>
        </w:trPr>
        <w:tc>
          <w:tcPr>
            <w:tcW w:w="2560" w:type="dxa"/>
            <w:vAlign w:val="bottom"/>
            <w:tcBorders>
              <w:bottom w:val="single" w:sz="8" w:color="D9D9D9"/>
            </w:tcBorders>
          </w:tcPr>
          <w:p>
            <w:pPr>
              <w:spacing w:after="0" w:line="20" w:lineRule="exact"/>
              <w:rPr>
                <w:sz w:val="1"/>
                <w:szCs w:val="1"/>
                <w:color w:val="auto"/>
              </w:rPr>
            </w:pPr>
          </w:p>
        </w:tc>
        <w:tc>
          <w:tcPr>
            <w:tcW w:w="8680" w:type="dxa"/>
            <w:vAlign w:val="bottom"/>
            <w:tcBorders>
              <w:bottom w:val="single" w:sz="8" w:color="D9D9D9"/>
            </w:tcBorders>
          </w:tcPr>
          <w:p>
            <w:pPr>
              <w:spacing w:after="0" w:line="20" w:lineRule="exact"/>
              <w:rPr>
                <w:sz w:val="1"/>
                <w:szCs w:val="1"/>
                <w:color w:val="auto"/>
              </w:rPr>
            </w:pPr>
          </w:p>
        </w:tc>
      </w:tr>
      <w:tr>
        <w:trPr>
          <w:trHeight w:val="197"/>
        </w:trPr>
        <w:tc>
          <w:tcPr>
            <w:tcW w:w="2560" w:type="dxa"/>
            <w:vAlign w:val="bottom"/>
          </w:tcPr>
          <w:p>
            <w:pPr>
              <w:ind w:left="20"/>
              <w:spacing w:after="0"/>
              <w:rPr>
                <w:sz w:val="20"/>
                <w:szCs w:val="20"/>
                <w:color w:val="auto"/>
              </w:rPr>
            </w:pPr>
            <w:r>
              <w:rPr>
                <w:rFonts w:ascii="Arial" w:cs="Arial" w:eastAsia="Arial" w:hAnsi="Arial"/>
                <w:sz w:val="16"/>
                <w:szCs w:val="16"/>
                <w:b w:val="1"/>
                <w:bCs w:val="1"/>
                <w:color w:val="191769"/>
              </w:rPr>
              <w:t>Georgia M. Simpson,</w:t>
            </w:r>
          </w:p>
        </w:tc>
        <w:tc>
          <w:tcPr>
            <w:tcW w:w="8680" w:type="dxa"/>
            <w:vAlign w:val="bottom"/>
          </w:tcPr>
          <w:p>
            <w:pPr>
              <w:ind w:left="160"/>
              <w:spacing w:after="0"/>
              <w:rPr>
                <w:sz w:val="20"/>
                <w:szCs w:val="20"/>
                <w:color w:val="auto"/>
              </w:rPr>
            </w:pPr>
            <w:r>
              <w:rPr>
                <w:rFonts w:ascii="Arial" w:cs="Arial" w:eastAsia="Arial" w:hAnsi="Arial"/>
                <w:sz w:val="16"/>
                <w:szCs w:val="16"/>
                <w:color w:val="auto"/>
              </w:rPr>
              <w:t>Successfully implemented the enterprise-wide Oracle Cloud Asset Management system</w:t>
            </w:r>
          </w:p>
        </w:tc>
      </w:tr>
      <w:tr>
        <w:trPr>
          <w:trHeight w:val="197"/>
        </w:trPr>
        <w:tc>
          <w:tcPr>
            <w:tcW w:w="2560" w:type="dxa"/>
            <w:vAlign w:val="bottom"/>
          </w:tcPr>
          <w:p>
            <w:pPr>
              <w:ind w:left="20"/>
              <w:spacing w:after="0"/>
              <w:rPr>
                <w:sz w:val="20"/>
                <w:szCs w:val="20"/>
                <w:color w:val="auto"/>
              </w:rPr>
            </w:pPr>
            <w:r>
              <w:rPr>
                <w:rFonts w:ascii="Arial" w:cs="Arial" w:eastAsia="Arial" w:hAnsi="Arial"/>
                <w:sz w:val="16"/>
                <w:szCs w:val="16"/>
                <w:color w:val="auto"/>
              </w:rPr>
              <w:t>Vice President, Information</w:t>
            </w:r>
          </w:p>
        </w:tc>
        <w:tc>
          <w:tcPr>
            <w:tcW w:w="8680" w:type="dxa"/>
            <w:vAlign w:val="bottom"/>
          </w:tcPr>
          <w:p>
            <w:pPr>
              <w:ind w:left="160"/>
              <w:spacing w:after="0"/>
              <w:rPr>
                <w:sz w:val="20"/>
                <w:szCs w:val="20"/>
                <w:color w:val="auto"/>
              </w:rPr>
            </w:pPr>
            <w:r>
              <w:rPr>
                <w:rFonts w:ascii="Arial" w:cs="Arial" w:eastAsia="Arial" w:hAnsi="Arial"/>
                <w:sz w:val="16"/>
                <w:szCs w:val="16"/>
                <w:color w:val="auto"/>
              </w:rPr>
              <w:t>Strengthened the enterprise-wide cybersecurity program</w:t>
            </w:r>
          </w:p>
        </w:tc>
      </w:tr>
      <w:tr>
        <w:trPr>
          <w:trHeight w:val="197"/>
        </w:trPr>
        <w:tc>
          <w:tcPr>
            <w:tcW w:w="2560" w:type="dxa"/>
            <w:vAlign w:val="bottom"/>
          </w:tcPr>
          <w:p>
            <w:pPr>
              <w:ind w:left="20"/>
              <w:spacing w:after="0"/>
              <w:rPr>
                <w:sz w:val="20"/>
                <w:szCs w:val="20"/>
                <w:color w:val="auto"/>
              </w:rPr>
            </w:pPr>
            <w:r>
              <w:rPr>
                <w:rFonts w:ascii="Arial" w:cs="Arial" w:eastAsia="Arial" w:hAnsi="Arial"/>
                <w:sz w:val="16"/>
                <w:szCs w:val="16"/>
                <w:color w:val="auto"/>
              </w:rPr>
              <w:t>Technology and</w:t>
            </w:r>
          </w:p>
        </w:tc>
        <w:tc>
          <w:tcPr>
            <w:tcW w:w="8680" w:type="dxa"/>
            <w:vAlign w:val="bottom"/>
          </w:tcPr>
          <w:p>
            <w:pPr>
              <w:spacing w:after="0"/>
              <w:rPr>
                <w:sz w:val="17"/>
                <w:szCs w:val="17"/>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6"/>
                <w:szCs w:val="16"/>
                <w:color w:val="auto"/>
              </w:rPr>
              <w:t>Chief Technology Officer</w:t>
            </w:r>
          </w:p>
        </w:tc>
        <w:tc>
          <w:tcPr>
            <w:tcW w:w="8680" w:type="dxa"/>
            <w:vAlign w:val="bottom"/>
          </w:tcPr>
          <w:p>
            <w:pPr>
              <w:spacing w:after="0"/>
              <w:rPr>
                <w:sz w:val="18"/>
                <w:szCs w:val="18"/>
                <w:color w:val="auto"/>
              </w:rPr>
            </w:pPr>
          </w:p>
        </w:tc>
      </w:tr>
      <w:tr>
        <w:trPr>
          <w:trHeight w:val="22"/>
        </w:trPr>
        <w:tc>
          <w:tcPr>
            <w:tcW w:w="2560" w:type="dxa"/>
            <w:vAlign w:val="bottom"/>
            <w:tcBorders>
              <w:bottom w:val="single" w:sz="8" w:color="00AEEF"/>
            </w:tcBorders>
          </w:tcPr>
          <w:p>
            <w:pPr>
              <w:spacing w:after="0" w:line="20" w:lineRule="exact"/>
              <w:rPr>
                <w:sz w:val="1"/>
                <w:szCs w:val="1"/>
                <w:color w:val="auto"/>
              </w:rPr>
            </w:pPr>
          </w:p>
        </w:tc>
        <w:tc>
          <w:tcPr>
            <w:tcW w:w="8680" w:type="dxa"/>
            <w:vAlign w:val="bottom"/>
            <w:tcBorders>
              <w:bottom w:val="single" w:sz="8" w:color="00AEEF"/>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2025 ACHIEVEMENTS FOR SHORT-TERM INCENTIVE</w:t>
      </w:r>
    </w:p>
    <w:p>
      <w:pPr>
        <w:spacing w:after="0" w:line="99"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Based on the formula outlined above, the following table presents the total STI score for each NEO for 2025. The financial performance and corporate and individual goal scores are detailed in the following table: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13"/>
                <w:szCs w:val="13"/>
                <w:color w:val="auto"/>
              </w:rPr>
            </w:pPr>
          </w:p>
        </w:tc>
        <w:tc>
          <w:tcPr>
            <w:tcW w:w="2160" w:type="dxa"/>
            <w:vAlign w:val="bottom"/>
            <w:gridSpan w:val="2"/>
          </w:tcPr>
          <w:p>
            <w:pPr>
              <w:jc w:val="right"/>
              <w:spacing w:after="0"/>
              <w:rPr>
                <w:sz w:val="20"/>
                <w:szCs w:val="20"/>
                <w:color w:val="auto"/>
              </w:rPr>
            </w:pPr>
            <w:r>
              <w:rPr>
                <w:rFonts w:ascii="Arial" w:cs="Arial" w:eastAsia="Arial" w:hAnsi="Arial"/>
                <w:sz w:val="13"/>
                <w:szCs w:val="13"/>
                <w:b w:val="1"/>
                <w:bCs w:val="1"/>
                <w:color w:val="191769"/>
              </w:rPr>
              <w:t>Financial Performance</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jc w:val="right"/>
              <w:ind w:right="85"/>
              <w:spacing w:after="0"/>
              <w:rPr>
                <w:sz w:val="20"/>
                <w:szCs w:val="20"/>
                <w:color w:val="auto"/>
              </w:rPr>
            </w:pPr>
            <w:r>
              <w:rPr>
                <w:rFonts w:ascii="Arial" w:cs="Arial" w:eastAsia="Arial" w:hAnsi="Arial"/>
                <w:sz w:val="13"/>
                <w:szCs w:val="13"/>
                <w:b w:val="1"/>
                <w:bCs w:val="1"/>
                <w:color w:val="191769"/>
              </w:rPr>
              <w:t>Corporate Goals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tcPr>
          <w:p>
            <w:pPr>
              <w:jc w:val="right"/>
              <w:ind w:right="85"/>
              <w:spacing w:after="0"/>
              <w:rPr>
                <w:sz w:val="20"/>
                <w:szCs w:val="20"/>
                <w:color w:val="auto"/>
              </w:rPr>
            </w:pPr>
            <w:r>
              <w:rPr>
                <w:rFonts w:ascii="Arial" w:cs="Arial" w:eastAsia="Arial" w:hAnsi="Arial"/>
                <w:sz w:val="13"/>
                <w:szCs w:val="13"/>
                <w:b w:val="1"/>
                <w:bCs w:val="1"/>
                <w:color w:val="191769"/>
              </w:rPr>
              <w:t>Individual Goals</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9"/>
        </w:trPr>
        <w:tc>
          <w:tcPr>
            <w:tcW w:w="1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jc w:val="right"/>
              <w:ind w:right="324"/>
              <w:spacing w:after="0"/>
              <w:rPr>
                <w:sz w:val="20"/>
                <w:szCs w:val="20"/>
                <w:color w:val="auto"/>
              </w:rPr>
            </w:pPr>
            <w:r>
              <w:rPr>
                <w:rFonts w:ascii="Arial" w:cs="Arial" w:eastAsia="Arial" w:hAnsi="Arial"/>
                <w:sz w:val="13"/>
                <w:szCs w:val="13"/>
                <w:b w:val="1"/>
                <w:bCs w:val="1"/>
                <w:color w:val="191769"/>
              </w:rPr>
              <w:t>Component</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jc w:val="right"/>
              <w:ind w:right="225"/>
              <w:spacing w:after="0"/>
              <w:rPr>
                <w:sz w:val="20"/>
                <w:szCs w:val="20"/>
                <w:color w:val="auto"/>
              </w:rPr>
            </w:pPr>
            <w:r>
              <w:rPr>
                <w:rFonts w:ascii="Arial" w:cs="Arial" w:eastAsia="Arial" w:hAnsi="Arial"/>
                <w:sz w:val="13"/>
                <w:szCs w:val="13"/>
                <w:b w:val="1"/>
                <w:bCs w:val="1"/>
                <w:color w:val="191769"/>
              </w:rPr>
              <w:t>Component</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tcPr>
          <w:p>
            <w:pPr>
              <w:jc w:val="right"/>
              <w:ind w:right="225"/>
              <w:spacing w:after="0"/>
              <w:rPr>
                <w:sz w:val="20"/>
                <w:szCs w:val="20"/>
                <w:color w:val="auto"/>
              </w:rPr>
            </w:pPr>
            <w:r>
              <w:rPr>
                <w:rFonts w:ascii="Arial" w:cs="Arial" w:eastAsia="Arial" w:hAnsi="Arial"/>
                <w:sz w:val="13"/>
                <w:szCs w:val="13"/>
                <w:b w:val="1"/>
                <w:bCs w:val="1"/>
                <w:color w:val="191769"/>
              </w:rPr>
              <w:t>Component</w:t>
            </w: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6"/>
        </w:trPr>
        <w:tc>
          <w:tcPr>
            <w:tcW w:w="1760" w:type="dxa"/>
            <w:vAlign w:val="bottom"/>
          </w:tcPr>
          <w:p>
            <w:pPr>
              <w:spacing w:after="0"/>
              <w:rPr>
                <w:sz w:val="2"/>
                <w:szCs w:val="2"/>
                <w:color w:val="auto"/>
              </w:rPr>
            </w:pPr>
          </w:p>
        </w:tc>
        <w:tc>
          <w:tcPr>
            <w:tcW w:w="900" w:type="dxa"/>
            <w:vAlign w:val="bottom"/>
            <w:tcBorders>
              <w:bottom w:val="single" w:sz="8" w:color="00AEEF"/>
            </w:tcBorders>
          </w:tcPr>
          <w:p>
            <w:pPr>
              <w:spacing w:after="0"/>
              <w:rPr>
                <w:sz w:val="2"/>
                <w:szCs w:val="2"/>
                <w:color w:val="auto"/>
              </w:rPr>
            </w:pPr>
          </w:p>
        </w:tc>
        <w:tc>
          <w:tcPr>
            <w:tcW w:w="1260" w:type="dxa"/>
            <w:vAlign w:val="bottom"/>
            <w:tcBorders>
              <w:bottom w:val="single" w:sz="8" w:color="00AEEF"/>
            </w:tcBorders>
          </w:tcPr>
          <w:p>
            <w:pPr>
              <w:spacing w:after="0"/>
              <w:rPr>
                <w:sz w:val="2"/>
                <w:szCs w:val="2"/>
                <w:color w:val="auto"/>
              </w:rPr>
            </w:pPr>
          </w:p>
        </w:tc>
        <w:tc>
          <w:tcPr>
            <w:tcW w:w="640" w:type="dxa"/>
            <w:vAlign w:val="bottom"/>
            <w:tcBorders>
              <w:bottom w:val="single" w:sz="8" w:color="00AEEF"/>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00AEEF"/>
            </w:tcBorders>
          </w:tcPr>
          <w:p>
            <w:pPr>
              <w:spacing w:after="0"/>
              <w:rPr>
                <w:sz w:val="2"/>
                <w:szCs w:val="2"/>
                <w:color w:val="auto"/>
              </w:rPr>
            </w:pPr>
          </w:p>
        </w:tc>
        <w:tc>
          <w:tcPr>
            <w:tcW w:w="1240" w:type="dxa"/>
            <w:vAlign w:val="bottom"/>
            <w:tcBorders>
              <w:bottom w:val="single" w:sz="8" w:color="00AEEF"/>
            </w:tcBorders>
          </w:tcPr>
          <w:p>
            <w:pPr>
              <w:spacing w:after="0"/>
              <w:rPr>
                <w:sz w:val="2"/>
                <w:szCs w:val="2"/>
                <w:color w:val="auto"/>
              </w:rPr>
            </w:pPr>
          </w:p>
        </w:tc>
        <w:tc>
          <w:tcPr>
            <w:tcW w:w="740" w:type="dxa"/>
            <w:vAlign w:val="bottom"/>
            <w:tcBorders>
              <w:bottom w:val="single" w:sz="8" w:color="00AEEF"/>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00AEEF"/>
            </w:tcBorders>
          </w:tcPr>
          <w:p>
            <w:pPr>
              <w:spacing w:after="0"/>
              <w:rPr>
                <w:sz w:val="2"/>
                <w:szCs w:val="2"/>
                <w:color w:val="auto"/>
              </w:rPr>
            </w:pPr>
          </w:p>
        </w:tc>
        <w:tc>
          <w:tcPr>
            <w:tcW w:w="1240" w:type="dxa"/>
            <w:vAlign w:val="bottom"/>
            <w:tcBorders>
              <w:bottom w:val="single" w:sz="8" w:color="00AEEF"/>
            </w:tcBorders>
          </w:tcPr>
          <w:p>
            <w:pPr>
              <w:spacing w:after="0"/>
              <w:rPr>
                <w:sz w:val="2"/>
                <w:szCs w:val="2"/>
                <w:color w:val="auto"/>
              </w:rPr>
            </w:pPr>
          </w:p>
        </w:tc>
        <w:tc>
          <w:tcPr>
            <w:tcW w:w="760" w:type="dxa"/>
            <w:vAlign w:val="bottom"/>
            <w:tcBorders>
              <w:bottom w:val="single" w:sz="8" w:color="00AEEF"/>
            </w:tcBorders>
          </w:tcPr>
          <w:p>
            <w:pPr>
              <w:spacing w:after="0"/>
              <w:rPr>
                <w:sz w:val="2"/>
                <w:szCs w:val="2"/>
                <w:color w:val="auto"/>
              </w:rPr>
            </w:pPr>
          </w:p>
        </w:tc>
        <w:tc>
          <w:tcPr>
            <w:tcW w:w="860" w:type="dxa"/>
            <w:vAlign w:val="bottom"/>
          </w:tcPr>
          <w:p>
            <w:pPr>
              <w:spacing w:after="0"/>
              <w:rPr>
                <w:sz w:val="2"/>
                <w:szCs w:val="2"/>
                <w:color w:val="auto"/>
              </w:rPr>
            </w:pPr>
          </w:p>
        </w:tc>
      </w:tr>
      <w:tr>
        <w:trPr>
          <w:trHeight w:val="157"/>
        </w:trPr>
        <w:tc>
          <w:tcPr>
            <w:tcW w:w="1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jc w:val="center"/>
              <w:ind w:right="64"/>
              <w:spacing w:after="0"/>
              <w:rPr>
                <w:sz w:val="20"/>
                <w:szCs w:val="20"/>
                <w:color w:val="auto"/>
              </w:rPr>
            </w:pPr>
            <w:r>
              <w:rPr>
                <w:rFonts w:ascii="Arial" w:cs="Arial" w:eastAsia="Arial" w:hAnsi="Arial"/>
                <w:sz w:val="13"/>
                <w:szCs w:val="13"/>
                <w:b w:val="1"/>
                <w:bCs w:val="1"/>
                <w:color w:val="191769"/>
              </w:rPr>
              <w:t>Company</w:t>
            </w: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191769"/>
              </w:rPr>
              <w:t>Weighted</w:t>
            </w:r>
          </w:p>
        </w:tc>
        <w:tc>
          <w:tcPr>
            <w:tcW w:w="820" w:type="dxa"/>
            <w:vAlign w:val="bottom"/>
          </w:tcPr>
          <w:p>
            <w:pPr>
              <w:spacing w:after="0"/>
              <w:rPr>
                <w:sz w:val="13"/>
                <w:szCs w:val="13"/>
                <w:color w:val="auto"/>
              </w:rPr>
            </w:pPr>
          </w:p>
        </w:tc>
        <w:tc>
          <w:tcPr>
            <w:tcW w:w="1240" w:type="dxa"/>
            <w:vAlign w:val="bottom"/>
          </w:tcPr>
          <w:p>
            <w:pPr>
              <w:jc w:val="right"/>
              <w:ind w:right="225"/>
              <w:spacing w:after="0"/>
              <w:rPr>
                <w:sz w:val="20"/>
                <w:szCs w:val="20"/>
                <w:color w:val="auto"/>
              </w:rPr>
            </w:pPr>
            <w:r>
              <w:rPr>
                <w:rFonts w:ascii="Arial" w:cs="Arial" w:eastAsia="Arial" w:hAnsi="Arial"/>
                <w:sz w:val="13"/>
                <w:szCs w:val="13"/>
                <w:b w:val="1"/>
                <w:bCs w:val="1"/>
                <w:color w:val="191769"/>
              </w:rPr>
              <w:t>Company</w:t>
            </w:r>
          </w:p>
        </w:tc>
        <w:tc>
          <w:tcPr>
            <w:tcW w:w="820" w:type="dxa"/>
            <w:vAlign w:val="bottom"/>
            <w:gridSpan w:val="2"/>
          </w:tcPr>
          <w:p>
            <w:pPr>
              <w:ind w:left="140"/>
              <w:spacing w:after="0"/>
              <w:rPr>
                <w:sz w:val="20"/>
                <w:szCs w:val="20"/>
                <w:color w:val="auto"/>
              </w:rPr>
            </w:pPr>
            <w:r>
              <w:rPr>
                <w:rFonts w:ascii="Arial" w:cs="Arial" w:eastAsia="Arial" w:hAnsi="Arial"/>
                <w:sz w:val="13"/>
                <w:szCs w:val="13"/>
                <w:b w:val="1"/>
                <w:bCs w:val="1"/>
                <w:color w:val="191769"/>
              </w:rPr>
              <w:t>Weighted</w:t>
            </w:r>
          </w:p>
        </w:tc>
        <w:tc>
          <w:tcPr>
            <w:tcW w:w="840" w:type="dxa"/>
            <w:vAlign w:val="bottom"/>
          </w:tcPr>
          <w:p>
            <w:pPr>
              <w:spacing w:after="0"/>
              <w:rPr>
                <w:sz w:val="13"/>
                <w:szCs w:val="13"/>
                <w:color w:val="auto"/>
              </w:rPr>
            </w:pPr>
          </w:p>
        </w:tc>
        <w:tc>
          <w:tcPr>
            <w:tcW w:w="1240" w:type="dxa"/>
            <w:vAlign w:val="bottom"/>
          </w:tcPr>
          <w:p>
            <w:pPr>
              <w:jc w:val="right"/>
              <w:ind w:right="185"/>
              <w:spacing w:after="0"/>
              <w:rPr>
                <w:sz w:val="20"/>
                <w:szCs w:val="20"/>
                <w:color w:val="auto"/>
              </w:rPr>
            </w:pPr>
            <w:r>
              <w:rPr>
                <w:rFonts w:ascii="Arial" w:cs="Arial" w:eastAsia="Arial" w:hAnsi="Arial"/>
                <w:sz w:val="13"/>
                <w:szCs w:val="13"/>
                <w:b w:val="1"/>
                <w:bCs w:val="1"/>
                <w:color w:val="191769"/>
              </w:rPr>
              <w:t>Individual</w:t>
            </w:r>
          </w:p>
        </w:tc>
        <w:tc>
          <w:tcPr>
            <w:tcW w:w="760" w:type="dxa"/>
            <w:vAlign w:val="bottom"/>
          </w:tcPr>
          <w:p>
            <w:pPr>
              <w:ind w:left="160"/>
              <w:spacing w:after="0"/>
              <w:rPr>
                <w:sz w:val="20"/>
                <w:szCs w:val="20"/>
                <w:color w:val="auto"/>
              </w:rPr>
            </w:pPr>
            <w:r>
              <w:rPr>
                <w:rFonts w:ascii="Arial" w:cs="Arial" w:eastAsia="Arial" w:hAnsi="Arial"/>
                <w:sz w:val="13"/>
                <w:szCs w:val="13"/>
                <w:b w:val="1"/>
                <w:bCs w:val="1"/>
                <w:color w:val="191769"/>
                <w:w w:val="99"/>
              </w:rPr>
              <w:t>Weighted</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191769"/>
              </w:rPr>
              <w:t>Total</w:t>
            </w:r>
          </w:p>
        </w:tc>
      </w:tr>
      <w:tr>
        <w:trPr>
          <w:trHeight w:val="198"/>
        </w:trPr>
        <w:tc>
          <w:tcPr>
            <w:tcW w:w="1760" w:type="dxa"/>
            <w:vAlign w:val="bottom"/>
            <w:tcBorders>
              <w:bottom w:val="single" w:sz="8" w:color="00AEEF"/>
            </w:tcBorders>
          </w:tcPr>
          <w:p>
            <w:pPr>
              <w:ind w:left="20"/>
              <w:spacing w:after="0"/>
              <w:rPr>
                <w:sz w:val="20"/>
                <w:szCs w:val="20"/>
                <w:color w:val="auto"/>
              </w:rPr>
            </w:pPr>
            <w:r>
              <w:rPr>
                <w:rFonts w:ascii="Arial" w:cs="Arial" w:eastAsia="Arial" w:hAnsi="Arial"/>
                <w:sz w:val="13"/>
                <w:szCs w:val="13"/>
                <w:b w:val="1"/>
                <w:bCs w:val="1"/>
                <w:color w:val="191769"/>
              </w:rPr>
              <w:t>Named Executive Officer</w:t>
            </w:r>
          </w:p>
        </w:tc>
        <w:tc>
          <w:tcPr>
            <w:tcW w:w="900" w:type="dxa"/>
            <w:vAlign w:val="bottom"/>
            <w:tcBorders>
              <w:bottom w:val="single" w:sz="8" w:color="00AEEF"/>
            </w:tcBorders>
          </w:tcPr>
          <w:p>
            <w:pPr>
              <w:jc w:val="right"/>
              <w:ind w:right="43"/>
              <w:spacing w:after="0"/>
              <w:rPr>
                <w:sz w:val="20"/>
                <w:szCs w:val="20"/>
                <w:color w:val="auto"/>
              </w:rPr>
            </w:pPr>
            <w:r>
              <w:rPr>
                <w:rFonts w:ascii="Arial" w:cs="Arial" w:eastAsia="Arial" w:hAnsi="Arial"/>
                <w:sz w:val="13"/>
                <w:szCs w:val="13"/>
                <w:b w:val="1"/>
                <w:bCs w:val="1"/>
                <w:color w:val="191769"/>
              </w:rPr>
              <w:t>Weight</w:t>
            </w:r>
          </w:p>
        </w:tc>
        <w:tc>
          <w:tcPr>
            <w:tcW w:w="1260" w:type="dxa"/>
            <w:vAlign w:val="bottom"/>
            <w:tcBorders>
              <w:bottom w:val="single" w:sz="8" w:color="00AEEF"/>
            </w:tcBorders>
          </w:tcPr>
          <w:p>
            <w:pPr>
              <w:jc w:val="right"/>
              <w:ind w:right="324"/>
              <w:spacing w:after="0"/>
              <w:rPr>
                <w:sz w:val="20"/>
                <w:szCs w:val="20"/>
                <w:color w:val="auto"/>
              </w:rPr>
            </w:pPr>
            <w:r>
              <w:rPr>
                <w:rFonts w:ascii="Arial" w:cs="Arial" w:eastAsia="Arial" w:hAnsi="Arial"/>
                <w:sz w:val="13"/>
                <w:szCs w:val="13"/>
                <w:b w:val="1"/>
                <w:bCs w:val="1"/>
                <w:color w:val="191769"/>
              </w:rPr>
              <w:t>Score</w:t>
            </w:r>
          </w:p>
        </w:tc>
        <w:tc>
          <w:tcPr>
            <w:tcW w:w="740" w:type="dxa"/>
            <w:vAlign w:val="bottom"/>
            <w:tcBorders>
              <w:bottom w:val="single" w:sz="8" w:color="00AEEF"/>
            </w:tcBorders>
            <w:gridSpan w:val="2"/>
          </w:tcPr>
          <w:p>
            <w:pPr>
              <w:ind w:left="160"/>
              <w:spacing w:after="0"/>
              <w:rPr>
                <w:sz w:val="20"/>
                <w:szCs w:val="20"/>
                <w:color w:val="auto"/>
              </w:rPr>
            </w:pPr>
            <w:r>
              <w:rPr>
                <w:rFonts w:ascii="Arial" w:cs="Arial" w:eastAsia="Arial" w:hAnsi="Arial"/>
                <w:sz w:val="13"/>
                <w:szCs w:val="13"/>
                <w:b w:val="1"/>
                <w:bCs w:val="1"/>
                <w:color w:val="191769"/>
              </w:rPr>
              <w:t>Results</w:t>
            </w:r>
          </w:p>
        </w:tc>
        <w:tc>
          <w:tcPr>
            <w:tcW w:w="820" w:type="dxa"/>
            <w:vAlign w:val="bottom"/>
            <w:tcBorders>
              <w:bottom w:val="single" w:sz="8" w:color="00AEEF"/>
            </w:tcBorders>
          </w:tcPr>
          <w:p>
            <w:pPr>
              <w:jc w:val="right"/>
              <w:spacing w:after="0"/>
              <w:rPr>
                <w:sz w:val="20"/>
                <w:szCs w:val="20"/>
                <w:color w:val="auto"/>
              </w:rPr>
            </w:pPr>
            <w:r>
              <w:rPr>
                <w:rFonts w:ascii="Arial" w:cs="Arial" w:eastAsia="Arial" w:hAnsi="Arial"/>
                <w:sz w:val="13"/>
                <w:szCs w:val="13"/>
                <w:b w:val="1"/>
                <w:bCs w:val="1"/>
                <w:color w:val="191769"/>
              </w:rPr>
              <w:t>Weight</w:t>
            </w:r>
          </w:p>
        </w:tc>
        <w:tc>
          <w:tcPr>
            <w:tcW w:w="1240" w:type="dxa"/>
            <w:vAlign w:val="bottom"/>
            <w:tcBorders>
              <w:bottom w:val="single" w:sz="8" w:color="00AEEF"/>
            </w:tcBorders>
          </w:tcPr>
          <w:p>
            <w:pPr>
              <w:jc w:val="right"/>
              <w:ind w:right="225"/>
              <w:spacing w:after="0"/>
              <w:rPr>
                <w:sz w:val="20"/>
                <w:szCs w:val="20"/>
                <w:color w:val="auto"/>
              </w:rPr>
            </w:pPr>
            <w:r>
              <w:rPr>
                <w:rFonts w:ascii="Arial" w:cs="Arial" w:eastAsia="Arial" w:hAnsi="Arial"/>
                <w:sz w:val="13"/>
                <w:szCs w:val="13"/>
                <w:b w:val="1"/>
                <w:bCs w:val="1"/>
                <w:color w:val="191769"/>
              </w:rPr>
              <w:t>Score</w:t>
            </w:r>
          </w:p>
        </w:tc>
        <w:tc>
          <w:tcPr>
            <w:tcW w:w="820" w:type="dxa"/>
            <w:vAlign w:val="bottom"/>
            <w:tcBorders>
              <w:bottom w:val="single" w:sz="8" w:color="00AEEF"/>
            </w:tcBorders>
            <w:gridSpan w:val="2"/>
          </w:tcPr>
          <w:p>
            <w:pPr>
              <w:ind w:left="240"/>
              <w:spacing w:after="0"/>
              <w:rPr>
                <w:sz w:val="20"/>
                <w:szCs w:val="20"/>
                <w:color w:val="auto"/>
              </w:rPr>
            </w:pPr>
            <w:r>
              <w:rPr>
                <w:rFonts w:ascii="Arial" w:cs="Arial" w:eastAsia="Arial" w:hAnsi="Arial"/>
                <w:sz w:val="13"/>
                <w:szCs w:val="13"/>
                <w:b w:val="1"/>
                <w:bCs w:val="1"/>
                <w:color w:val="191769"/>
              </w:rPr>
              <w:t>Results</w:t>
            </w:r>
          </w:p>
        </w:tc>
        <w:tc>
          <w:tcPr>
            <w:tcW w:w="840" w:type="dxa"/>
            <w:vAlign w:val="bottom"/>
            <w:tcBorders>
              <w:bottom w:val="single" w:sz="8" w:color="00AEEF"/>
            </w:tcBorders>
          </w:tcPr>
          <w:p>
            <w:pPr>
              <w:jc w:val="right"/>
              <w:spacing w:after="0"/>
              <w:rPr>
                <w:sz w:val="20"/>
                <w:szCs w:val="20"/>
                <w:color w:val="auto"/>
              </w:rPr>
            </w:pPr>
            <w:r>
              <w:rPr>
                <w:rFonts w:ascii="Arial" w:cs="Arial" w:eastAsia="Arial" w:hAnsi="Arial"/>
                <w:sz w:val="13"/>
                <w:szCs w:val="13"/>
                <w:b w:val="1"/>
                <w:bCs w:val="1"/>
                <w:color w:val="191769"/>
              </w:rPr>
              <w:t>Weight</w:t>
            </w:r>
          </w:p>
        </w:tc>
        <w:tc>
          <w:tcPr>
            <w:tcW w:w="1240" w:type="dxa"/>
            <w:vAlign w:val="bottom"/>
            <w:tcBorders>
              <w:bottom w:val="single" w:sz="8" w:color="00AEEF"/>
            </w:tcBorders>
          </w:tcPr>
          <w:p>
            <w:pPr>
              <w:jc w:val="right"/>
              <w:ind w:right="185"/>
              <w:spacing w:after="0"/>
              <w:rPr>
                <w:sz w:val="20"/>
                <w:szCs w:val="20"/>
                <w:color w:val="auto"/>
              </w:rPr>
            </w:pPr>
            <w:r>
              <w:rPr>
                <w:rFonts w:ascii="Arial" w:cs="Arial" w:eastAsia="Arial" w:hAnsi="Arial"/>
                <w:sz w:val="13"/>
                <w:szCs w:val="13"/>
                <w:b w:val="1"/>
                <w:bCs w:val="1"/>
                <w:color w:val="191769"/>
              </w:rPr>
              <w:t>Score</w:t>
            </w:r>
          </w:p>
        </w:tc>
        <w:tc>
          <w:tcPr>
            <w:tcW w:w="760" w:type="dxa"/>
            <w:vAlign w:val="bottom"/>
            <w:tcBorders>
              <w:bottom w:val="single" w:sz="8" w:color="00AEEF"/>
            </w:tcBorders>
          </w:tcPr>
          <w:p>
            <w:pPr>
              <w:ind w:left="260"/>
              <w:spacing w:after="0"/>
              <w:rPr>
                <w:sz w:val="20"/>
                <w:szCs w:val="20"/>
                <w:color w:val="auto"/>
              </w:rPr>
            </w:pPr>
            <w:r>
              <w:rPr>
                <w:rFonts w:ascii="Arial" w:cs="Arial" w:eastAsia="Arial" w:hAnsi="Arial"/>
                <w:sz w:val="13"/>
                <w:szCs w:val="13"/>
                <w:b w:val="1"/>
                <w:bCs w:val="1"/>
                <w:color w:val="191769"/>
              </w:rPr>
              <w:t>Results</w:t>
            </w:r>
          </w:p>
        </w:tc>
        <w:tc>
          <w:tcPr>
            <w:tcW w:w="860" w:type="dxa"/>
            <w:vAlign w:val="bottom"/>
            <w:tcBorders>
              <w:bottom w:val="single" w:sz="8" w:color="00AEEF"/>
            </w:tcBorders>
          </w:tcPr>
          <w:p>
            <w:pPr>
              <w:jc w:val="right"/>
              <w:spacing w:after="0"/>
              <w:rPr>
                <w:sz w:val="20"/>
                <w:szCs w:val="20"/>
                <w:color w:val="auto"/>
              </w:rPr>
            </w:pPr>
            <w:r>
              <w:rPr>
                <w:rFonts w:ascii="Arial" w:cs="Arial" w:eastAsia="Arial" w:hAnsi="Arial"/>
                <w:sz w:val="13"/>
                <w:szCs w:val="13"/>
                <w:b w:val="1"/>
                <w:bCs w:val="1"/>
                <w:color w:val="191769"/>
              </w:rPr>
              <w:t>Score</w:t>
            </w:r>
          </w:p>
        </w:tc>
      </w:tr>
      <w:tr>
        <w:trPr>
          <w:trHeight w:val="238"/>
        </w:trPr>
        <w:tc>
          <w:tcPr>
            <w:tcW w:w="176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Nadine Leslie</w:t>
            </w:r>
          </w:p>
        </w:tc>
        <w:tc>
          <w:tcPr>
            <w:tcW w:w="900" w:type="dxa"/>
            <w:vAlign w:val="bottom"/>
            <w:tcBorders>
              <w:bottom w:val="single" w:sz="8" w:color="D9D9D9"/>
            </w:tcBorders>
          </w:tcPr>
          <w:p>
            <w:pPr>
              <w:jc w:val="right"/>
              <w:ind w:right="63"/>
              <w:spacing w:after="0"/>
              <w:rPr>
                <w:sz w:val="20"/>
                <w:szCs w:val="20"/>
                <w:color w:val="auto"/>
              </w:rPr>
            </w:pPr>
            <w:r>
              <w:rPr>
                <w:rFonts w:ascii="Arial" w:cs="Arial" w:eastAsia="Arial" w:hAnsi="Arial"/>
                <w:sz w:val="16"/>
                <w:szCs w:val="16"/>
                <w:color w:val="auto"/>
              </w:rPr>
              <w:t>50%</w:t>
            </w:r>
          </w:p>
        </w:tc>
        <w:tc>
          <w:tcPr>
            <w:tcW w:w="1260" w:type="dxa"/>
            <w:vAlign w:val="bottom"/>
            <w:tcBorders>
              <w:bottom w:val="single" w:sz="8" w:color="D9D9D9"/>
            </w:tcBorders>
          </w:tcPr>
          <w:p>
            <w:pPr>
              <w:jc w:val="center"/>
              <w:ind w:right="24"/>
              <w:spacing w:after="0"/>
              <w:rPr>
                <w:sz w:val="20"/>
                <w:szCs w:val="20"/>
                <w:color w:val="auto"/>
              </w:rPr>
            </w:pPr>
            <w:r>
              <w:rPr>
                <w:rFonts w:ascii="Arial" w:cs="Arial" w:eastAsia="Arial" w:hAnsi="Arial"/>
                <w:sz w:val="16"/>
                <w:szCs w:val="16"/>
                <w:color w:val="auto"/>
              </w:rPr>
              <w:t>146.8%</w:t>
            </w:r>
          </w:p>
        </w:tc>
        <w:tc>
          <w:tcPr>
            <w:tcW w:w="640" w:type="dxa"/>
            <w:vAlign w:val="bottom"/>
            <w:tcBorders>
              <w:bottom w:val="single" w:sz="8" w:color="D9D9D9"/>
            </w:tcBorders>
          </w:tcPr>
          <w:p>
            <w:pPr>
              <w:ind w:left="160"/>
              <w:spacing w:after="0"/>
              <w:rPr>
                <w:sz w:val="20"/>
                <w:szCs w:val="20"/>
                <w:color w:val="auto"/>
              </w:rPr>
            </w:pPr>
            <w:r>
              <w:rPr>
                <w:rFonts w:ascii="Arial" w:cs="Arial" w:eastAsia="Arial" w:hAnsi="Arial"/>
                <w:sz w:val="16"/>
                <w:szCs w:val="16"/>
                <w:color w:val="auto"/>
              </w:rPr>
              <w:t>73.4%</w:t>
            </w:r>
          </w:p>
        </w:tc>
        <w:tc>
          <w:tcPr>
            <w:tcW w:w="100" w:type="dxa"/>
            <w:vAlign w:val="bottom"/>
          </w:tcPr>
          <w:p>
            <w:pPr>
              <w:spacing w:after="0"/>
              <w:rPr>
                <w:sz w:val="20"/>
                <w:szCs w:val="20"/>
                <w:color w:val="auto"/>
              </w:rPr>
            </w:pPr>
          </w:p>
        </w:tc>
        <w:tc>
          <w:tcPr>
            <w:tcW w:w="8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30%</w:t>
            </w:r>
          </w:p>
        </w:tc>
        <w:tc>
          <w:tcPr>
            <w:tcW w:w="1240" w:type="dxa"/>
            <w:vAlign w:val="bottom"/>
            <w:tcBorders>
              <w:bottom w:val="single" w:sz="8" w:color="D9D9D9"/>
            </w:tcBorders>
          </w:tcPr>
          <w:p>
            <w:pPr>
              <w:jc w:val="right"/>
              <w:ind w:right="225"/>
              <w:spacing w:after="0"/>
              <w:rPr>
                <w:sz w:val="20"/>
                <w:szCs w:val="20"/>
                <w:color w:val="auto"/>
              </w:rPr>
            </w:pPr>
            <w:r>
              <w:rPr>
                <w:rFonts w:ascii="Arial" w:cs="Arial" w:eastAsia="Arial" w:hAnsi="Arial"/>
                <w:sz w:val="16"/>
                <w:szCs w:val="16"/>
                <w:color w:val="auto"/>
              </w:rPr>
              <w:t>50.0%</w:t>
            </w:r>
          </w:p>
        </w:tc>
        <w:tc>
          <w:tcPr>
            <w:tcW w:w="740" w:type="dxa"/>
            <w:vAlign w:val="bottom"/>
            <w:tcBorders>
              <w:bottom w:val="single" w:sz="8" w:color="D9D9D9"/>
            </w:tcBorders>
          </w:tcPr>
          <w:p>
            <w:pPr>
              <w:ind w:left="240"/>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20"/>
                <w:szCs w:val="20"/>
                <w:color w:val="auto"/>
              </w:rPr>
            </w:pPr>
          </w:p>
        </w:tc>
        <w:tc>
          <w:tcPr>
            <w:tcW w:w="840" w:type="dxa"/>
            <w:vAlign w:val="bottom"/>
            <w:tcBorders>
              <w:bottom w:val="single" w:sz="8" w:color="D9D9D9"/>
            </w:tcBorders>
          </w:tcPr>
          <w:p>
            <w:pPr>
              <w:jc w:val="right"/>
              <w:ind w:right="1"/>
              <w:spacing w:after="0"/>
              <w:rPr>
                <w:sz w:val="20"/>
                <w:szCs w:val="20"/>
                <w:color w:val="auto"/>
              </w:rPr>
            </w:pPr>
            <w:r>
              <w:rPr>
                <w:rFonts w:ascii="Arial" w:cs="Arial" w:eastAsia="Arial" w:hAnsi="Arial"/>
                <w:sz w:val="16"/>
                <w:szCs w:val="16"/>
                <w:color w:val="auto"/>
              </w:rPr>
              <w:t>20%</w:t>
            </w:r>
          </w:p>
        </w:tc>
        <w:tc>
          <w:tcPr>
            <w:tcW w:w="1240" w:type="dxa"/>
            <w:vAlign w:val="bottom"/>
            <w:tcBorders>
              <w:bottom w:val="single" w:sz="8" w:color="D9D9D9"/>
            </w:tcBorders>
          </w:tcPr>
          <w:p>
            <w:pPr>
              <w:jc w:val="right"/>
              <w:ind w:right="185"/>
              <w:spacing w:after="0"/>
              <w:rPr>
                <w:sz w:val="20"/>
                <w:szCs w:val="20"/>
                <w:color w:val="auto"/>
              </w:rPr>
            </w:pPr>
            <w:r>
              <w:rPr>
                <w:rFonts w:ascii="Arial" w:cs="Arial" w:eastAsia="Arial" w:hAnsi="Arial"/>
                <w:sz w:val="16"/>
                <w:szCs w:val="16"/>
                <w:color w:val="auto"/>
              </w:rPr>
              <w:t>125.0%</w:t>
            </w:r>
          </w:p>
        </w:tc>
        <w:tc>
          <w:tcPr>
            <w:tcW w:w="760" w:type="dxa"/>
            <w:vAlign w:val="bottom"/>
            <w:tcBorders>
              <w:bottom w:val="single" w:sz="8" w:color="D9D9D9"/>
            </w:tcBorders>
          </w:tcPr>
          <w:p>
            <w:pPr>
              <w:ind w:left="260"/>
              <w:spacing w:after="0"/>
              <w:rPr>
                <w:sz w:val="20"/>
                <w:szCs w:val="20"/>
                <w:color w:val="auto"/>
              </w:rPr>
            </w:pPr>
            <w:r>
              <w:rPr>
                <w:rFonts w:ascii="Arial" w:cs="Arial" w:eastAsia="Arial" w:hAnsi="Arial"/>
                <w:sz w:val="16"/>
                <w:szCs w:val="16"/>
                <w:color w:val="auto"/>
              </w:rPr>
              <w:t>25.0%</w:t>
            </w:r>
          </w:p>
        </w:tc>
        <w:tc>
          <w:tcPr>
            <w:tcW w:w="86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113.4%</w:t>
            </w:r>
          </w:p>
        </w:tc>
      </w:tr>
      <w:tr>
        <w:trPr>
          <w:trHeight w:val="204"/>
        </w:trPr>
        <w:tc>
          <w:tcPr>
            <w:tcW w:w="1760" w:type="dxa"/>
            <w:vAlign w:val="bottom"/>
          </w:tcPr>
          <w:p>
            <w:pPr>
              <w:ind w:left="20"/>
              <w:spacing w:after="0"/>
              <w:rPr>
                <w:sz w:val="20"/>
                <w:szCs w:val="20"/>
                <w:color w:val="auto"/>
              </w:rPr>
            </w:pPr>
            <w:r>
              <w:rPr>
                <w:rFonts w:ascii="Arial" w:cs="Arial" w:eastAsia="Arial" w:hAnsi="Arial"/>
                <w:sz w:val="16"/>
                <w:szCs w:val="16"/>
                <w:b w:val="1"/>
                <w:bCs w:val="1"/>
                <w:color w:val="191769"/>
              </w:rPr>
              <w:t>Mohammed G.</w:t>
            </w:r>
          </w:p>
        </w:tc>
        <w:tc>
          <w:tcPr>
            <w:tcW w:w="900" w:type="dxa"/>
            <w:vAlign w:val="bottom"/>
          </w:tcPr>
          <w:p>
            <w:pPr>
              <w:jc w:val="right"/>
              <w:ind w:right="63"/>
              <w:spacing w:after="0"/>
              <w:rPr>
                <w:sz w:val="20"/>
                <w:szCs w:val="20"/>
                <w:color w:val="auto"/>
              </w:rPr>
            </w:pPr>
            <w:r>
              <w:rPr>
                <w:rFonts w:ascii="Arial" w:cs="Arial" w:eastAsia="Arial" w:hAnsi="Arial"/>
                <w:sz w:val="16"/>
                <w:szCs w:val="16"/>
                <w:color w:val="auto"/>
              </w:rPr>
              <w:t>50%</w:t>
            </w:r>
          </w:p>
        </w:tc>
        <w:tc>
          <w:tcPr>
            <w:tcW w:w="1260" w:type="dxa"/>
            <w:vAlign w:val="bottom"/>
          </w:tcPr>
          <w:p>
            <w:pPr>
              <w:jc w:val="center"/>
              <w:ind w:right="24"/>
              <w:spacing w:after="0"/>
              <w:rPr>
                <w:sz w:val="20"/>
                <w:szCs w:val="20"/>
                <w:color w:val="auto"/>
              </w:rPr>
            </w:pPr>
            <w:r>
              <w:rPr>
                <w:rFonts w:ascii="Arial" w:cs="Arial" w:eastAsia="Arial" w:hAnsi="Arial"/>
                <w:sz w:val="16"/>
                <w:szCs w:val="16"/>
                <w:color w:val="auto"/>
              </w:rPr>
              <w:t>146.8%</w:t>
            </w:r>
          </w:p>
        </w:tc>
        <w:tc>
          <w:tcPr>
            <w:tcW w:w="640" w:type="dxa"/>
            <w:vAlign w:val="bottom"/>
          </w:tcPr>
          <w:p>
            <w:pPr>
              <w:ind w:left="160"/>
              <w:spacing w:after="0"/>
              <w:rPr>
                <w:sz w:val="20"/>
                <w:szCs w:val="20"/>
                <w:color w:val="auto"/>
              </w:rPr>
            </w:pPr>
            <w:r>
              <w:rPr>
                <w:rFonts w:ascii="Arial" w:cs="Arial" w:eastAsia="Arial" w:hAnsi="Arial"/>
                <w:sz w:val="16"/>
                <w:szCs w:val="16"/>
                <w:color w:val="auto"/>
              </w:rPr>
              <w:t>73.4%</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w:t>
            </w:r>
          </w:p>
        </w:tc>
        <w:tc>
          <w:tcPr>
            <w:tcW w:w="1240" w:type="dxa"/>
            <w:vAlign w:val="bottom"/>
          </w:tcPr>
          <w:p>
            <w:pPr>
              <w:jc w:val="right"/>
              <w:ind w:right="225"/>
              <w:spacing w:after="0"/>
              <w:rPr>
                <w:sz w:val="20"/>
                <w:szCs w:val="20"/>
                <w:color w:val="auto"/>
              </w:rPr>
            </w:pPr>
            <w:r>
              <w:rPr>
                <w:rFonts w:ascii="Arial" w:cs="Arial" w:eastAsia="Arial" w:hAnsi="Arial"/>
                <w:sz w:val="16"/>
                <w:szCs w:val="16"/>
                <w:color w:val="auto"/>
              </w:rPr>
              <w:t>50.0%</w:t>
            </w:r>
          </w:p>
        </w:tc>
        <w:tc>
          <w:tcPr>
            <w:tcW w:w="740" w:type="dxa"/>
            <w:vAlign w:val="bottom"/>
          </w:tcPr>
          <w:p>
            <w:pPr>
              <w:ind w:left="240"/>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1240" w:type="dxa"/>
            <w:vAlign w:val="bottom"/>
          </w:tcPr>
          <w:p>
            <w:pPr>
              <w:jc w:val="right"/>
              <w:ind w:right="185"/>
              <w:spacing w:after="0"/>
              <w:rPr>
                <w:sz w:val="20"/>
                <w:szCs w:val="20"/>
                <w:color w:val="auto"/>
              </w:rPr>
            </w:pPr>
            <w:r>
              <w:rPr>
                <w:rFonts w:ascii="Arial" w:cs="Arial" w:eastAsia="Arial" w:hAnsi="Arial"/>
                <w:sz w:val="16"/>
                <w:szCs w:val="16"/>
                <w:color w:val="auto"/>
              </w:rPr>
              <w:t>125.0%</w:t>
            </w:r>
          </w:p>
        </w:tc>
        <w:tc>
          <w:tcPr>
            <w:tcW w:w="760" w:type="dxa"/>
            <w:vAlign w:val="bottom"/>
          </w:tcPr>
          <w:p>
            <w:pPr>
              <w:ind w:left="260"/>
              <w:spacing w:after="0"/>
              <w:rPr>
                <w:sz w:val="20"/>
                <w:szCs w:val="20"/>
                <w:color w:val="auto"/>
              </w:rPr>
            </w:pPr>
            <w:r>
              <w:rPr>
                <w:rFonts w:ascii="Arial" w:cs="Arial" w:eastAsia="Arial" w:hAnsi="Arial"/>
                <w:sz w:val="16"/>
                <w:szCs w:val="16"/>
                <w:color w:val="auto"/>
              </w:rPr>
              <w:t>25.0%</w:t>
            </w:r>
          </w:p>
        </w:tc>
        <w:tc>
          <w:tcPr>
            <w:tcW w:w="860" w:type="dxa"/>
            <w:vAlign w:val="bottom"/>
          </w:tcPr>
          <w:p>
            <w:pPr>
              <w:jc w:val="right"/>
              <w:spacing w:after="0"/>
              <w:rPr>
                <w:sz w:val="20"/>
                <w:szCs w:val="20"/>
                <w:color w:val="auto"/>
              </w:rPr>
            </w:pPr>
            <w:r>
              <w:rPr>
                <w:rFonts w:ascii="Arial" w:cs="Arial" w:eastAsia="Arial" w:hAnsi="Arial"/>
                <w:sz w:val="16"/>
                <w:szCs w:val="16"/>
                <w:color w:val="auto"/>
              </w:rPr>
              <w:t>113.4%</w:t>
            </w:r>
          </w:p>
        </w:tc>
      </w:tr>
      <w:tr>
        <w:trPr>
          <w:trHeight w:val="231"/>
        </w:trPr>
        <w:tc>
          <w:tcPr>
            <w:tcW w:w="176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Zerhouni</w:t>
            </w:r>
          </w:p>
        </w:tc>
        <w:tc>
          <w:tcPr>
            <w:tcW w:w="900" w:type="dxa"/>
            <w:vAlign w:val="bottom"/>
            <w:tcBorders>
              <w:bottom w:val="single" w:sz="8" w:color="D9D9D9"/>
            </w:tcBorders>
          </w:tcPr>
          <w:p>
            <w:pPr>
              <w:spacing w:after="0"/>
              <w:rPr>
                <w:sz w:val="20"/>
                <w:szCs w:val="20"/>
                <w:color w:val="auto"/>
              </w:rPr>
            </w:pPr>
          </w:p>
        </w:tc>
        <w:tc>
          <w:tcPr>
            <w:tcW w:w="1260" w:type="dxa"/>
            <w:vAlign w:val="bottom"/>
            <w:tcBorders>
              <w:bottom w:val="single" w:sz="8" w:color="D9D9D9"/>
            </w:tcBorders>
          </w:tcPr>
          <w:p>
            <w:pPr>
              <w:spacing w:after="0"/>
              <w:rPr>
                <w:sz w:val="20"/>
                <w:szCs w:val="20"/>
                <w:color w:val="auto"/>
              </w:rPr>
            </w:pPr>
          </w:p>
        </w:tc>
        <w:tc>
          <w:tcPr>
            <w:tcW w:w="640" w:type="dxa"/>
            <w:vAlign w:val="bottom"/>
            <w:tcBorders>
              <w:bottom w:val="single" w:sz="8" w:color="D9D9D9"/>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D9D9D9"/>
            </w:tcBorders>
          </w:tcPr>
          <w:p>
            <w:pPr>
              <w:spacing w:after="0"/>
              <w:rPr>
                <w:sz w:val="20"/>
                <w:szCs w:val="20"/>
                <w:color w:val="auto"/>
              </w:rPr>
            </w:pPr>
          </w:p>
        </w:tc>
        <w:tc>
          <w:tcPr>
            <w:tcW w:w="1240" w:type="dxa"/>
            <w:vAlign w:val="bottom"/>
            <w:tcBorders>
              <w:bottom w:val="single" w:sz="8" w:color="D9D9D9"/>
            </w:tcBorders>
          </w:tcPr>
          <w:p>
            <w:pPr>
              <w:spacing w:after="0"/>
              <w:rPr>
                <w:sz w:val="20"/>
                <w:szCs w:val="20"/>
                <w:color w:val="auto"/>
              </w:rPr>
            </w:pPr>
          </w:p>
        </w:tc>
        <w:tc>
          <w:tcPr>
            <w:tcW w:w="740" w:type="dxa"/>
            <w:vAlign w:val="bottom"/>
            <w:tcBorders>
              <w:bottom w:val="single" w:sz="8" w:color="D9D9D9"/>
            </w:tcBorders>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D9D9D9"/>
            </w:tcBorders>
          </w:tcPr>
          <w:p>
            <w:pPr>
              <w:spacing w:after="0"/>
              <w:rPr>
                <w:sz w:val="20"/>
                <w:szCs w:val="20"/>
                <w:color w:val="auto"/>
              </w:rPr>
            </w:pPr>
          </w:p>
        </w:tc>
        <w:tc>
          <w:tcPr>
            <w:tcW w:w="1240" w:type="dxa"/>
            <w:vAlign w:val="bottom"/>
            <w:tcBorders>
              <w:bottom w:val="single" w:sz="8" w:color="D9D9D9"/>
            </w:tcBorders>
          </w:tcPr>
          <w:p>
            <w:pPr>
              <w:spacing w:after="0"/>
              <w:rPr>
                <w:sz w:val="20"/>
                <w:szCs w:val="20"/>
                <w:color w:val="auto"/>
              </w:rPr>
            </w:pPr>
          </w:p>
        </w:tc>
        <w:tc>
          <w:tcPr>
            <w:tcW w:w="760" w:type="dxa"/>
            <w:vAlign w:val="bottom"/>
            <w:tcBorders>
              <w:bottom w:val="single" w:sz="8" w:color="D9D9D9"/>
            </w:tcBorders>
          </w:tcPr>
          <w:p>
            <w:pPr>
              <w:spacing w:after="0"/>
              <w:rPr>
                <w:sz w:val="20"/>
                <w:szCs w:val="20"/>
                <w:color w:val="auto"/>
              </w:rPr>
            </w:pPr>
          </w:p>
        </w:tc>
        <w:tc>
          <w:tcPr>
            <w:tcW w:w="860" w:type="dxa"/>
            <w:vAlign w:val="bottom"/>
            <w:tcBorders>
              <w:bottom w:val="single" w:sz="8" w:color="D9D9D9"/>
            </w:tcBorders>
          </w:tcPr>
          <w:p>
            <w:pPr>
              <w:spacing w:after="0"/>
              <w:rPr>
                <w:sz w:val="20"/>
                <w:szCs w:val="20"/>
                <w:color w:val="auto"/>
              </w:rPr>
            </w:pPr>
          </w:p>
        </w:tc>
      </w:tr>
      <w:tr>
        <w:trPr>
          <w:trHeight w:val="239"/>
        </w:trPr>
        <w:tc>
          <w:tcPr>
            <w:tcW w:w="176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Gregory S. Sorensen</w:t>
            </w:r>
          </w:p>
        </w:tc>
        <w:tc>
          <w:tcPr>
            <w:tcW w:w="900" w:type="dxa"/>
            <w:vAlign w:val="bottom"/>
            <w:tcBorders>
              <w:bottom w:val="single" w:sz="8" w:color="D9D9D9"/>
            </w:tcBorders>
          </w:tcPr>
          <w:p>
            <w:pPr>
              <w:jc w:val="right"/>
              <w:ind w:right="63"/>
              <w:spacing w:after="0"/>
              <w:rPr>
                <w:sz w:val="20"/>
                <w:szCs w:val="20"/>
                <w:color w:val="auto"/>
              </w:rPr>
            </w:pPr>
            <w:r>
              <w:rPr>
                <w:rFonts w:ascii="Arial" w:cs="Arial" w:eastAsia="Arial" w:hAnsi="Arial"/>
                <w:sz w:val="16"/>
                <w:szCs w:val="16"/>
                <w:color w:val="auto"/>
              </w:rPr>
              <w:t>50%</w:t>
            </w:r>
          </w:p>
        </w:tc>
        <w:tc>
          <w:tcPr>
            <w:tcW w:w="1260" w:type="dxa"/>
            <w:vAlign w:val="bottom"/>
            <w:tcBorders>
              <w:bottom w:val="single" w:sz="8" w:color="D9D9D9"/>
            </w:tcBorders>
          </w:tcPr>
          <w:p>
            <w:pPr>
              <w:jc w:val="center"/>
              <w:ind w:right="24"/>
              <w:spacing w:after="0"/>
              <w:rPr>
                <w:sz w:val="20"/>
                <w:szCs w:val="20"/>
                <w:color w:val="auto"/>
              </w:rPr>
            </w:pPr>
            <w:r>
              <w:rPr>
                <w:rFonts w:ascii="Arial" w:cs="Arial" w:eastAsia="Arial" w:hAnsi="Arial"/>
                <w:sz w:val="16"/>
                <w:szCs w:val="16"/>
                <w:color w:val="auto"/>
              </w:rPr>
              <w:t>146.8%</w:t>
            </w:r>
          </w:p>
        </w:tc>
        <w:tc>
          <w:tcPr>
            <w:tcW w:w="640" w:type="dxa"/>
            <w:vAlign w:val="bottom"/>
            <w:tcBorders>
              <w:bottom w:val="single" w:sz="8" w:color="D9D9D9"/>
            </w:tcBorders>
          </w:tcPr>
          <w:p>
            <w:pPr>
              <w:ind w:left="160"/>
              <w:spacing w:after="0"/>
              <w:rPr>
                <w:sz w:val="20"/>
                <w:szCs w:val="20"/>
                <w:color w:val="auto"/>
              </w:rPr>
            </w:pPr>
            <w:r>
              <w:rPr>
                <w:rFonts w:ascii="Arial" w:cs="Arial" w:eastAsia="Arial" w:hAnsi="Arial"/>
                <w:sz w:val="16"/>
                <w:szCs w:val="16"/>
                <w:color w:val="auto"/>
              </w:rPr>
              <w:t>73.4%</w:t>
            </w:r>
          </w:p>
        </w:tc>
        <w:tc>
          <w:tcPr>
            <w:tcW w:w="100" w:type="dxa"/>
            <w:vAlign w:val="bottom"/>
          </w:tcPr>
          <w:p>
            <w:pPr>
              <w:spacing w:after="0"/>
              <w:rPr>
                <w:sz w:val="20"/>
                <w:szCs w:val="20"/>
                <w:color w:val="auto"/>
              </w:rPr>
            </w:pPr>
          </w:p>
        </w:tc>
        <w:tc>
          <w:tcPr>
            <w:tcW w:w="8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30%</w:t>
            </w:r>
          </w:p>
        </w:tc>
        <w:tc>
          <w:tcPr>
            <w:tcW w:w="1240" w:type="dxa"/>
            <w:vAlign w:val="bottom"/>
            <w:tcBorders>
              <w:bottom w:val="single" w:sz="8" w:color="D9D9D9"/>
            </w:tcBorders>
          </w:tcPr>
          <w:p>
            <w:pPr>
              <w:jc w:val="right"/>
              <w:ind w:right="225"/>
              <w:spacing w:after="0"/>
              <w:rPr>
                <w:sz w:val="20"/>
                <w:szCs w:val="20"/>
                <w:color w:val="auto"/>
              </w:rPr>
            </w:pPr>
            <w:r>
              <w:rPr>
                <w:rFonts w:ascii="Arial" w:cs="Arial" w:eastAsia="Arial" w:hAnsi="Arial"/>
                <w:sz w:val="16"/>
                <w:szCs w:val="16"/>
                <w:color w:val="auto"/>
              </w:rPr>
              <w:t>50.0%</w:t>
            </w:r>
          </w:p>
        </w:tc>
        <w:tc>
          <w:tcPr>
            <w:tcW w:w="740" w:type="dxa"/>
            <w:vAlign w:val="bottom"/>
            <w:tcBorders>
              <w:bottom w:val="single" w:sz="8" w:color="D9D9D9"/>
            </w:tcBorders>
          </w:tcPr>
          <w:p>
            <w:pPr>
              <w:ind w:left="240"/>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20"/>
                <w:szCs w:val="20"/>
                <w:color w:val="auto"/>
              </w:rPr>
            </w:pPr>
          </w:p>
        </w:tc>
        <w:tc>
          <w:tcPr>
            <w:tcW w:w="840" w:type="dxa"/>
            <w:vAlign w:val="bottom"/>
            <w:tcBorders>
              <w:bottom w:val="single" w:sz="8" w:color="D9D9D9"/>
            </w:tcBorders>
          </w:tcPr>
          <w:p>
            <w:pPr>
              <w:jc w:val="right"/>
              <w:ind w:right="1"/>
              <w:spacing w:after="0"/>
              <w:rPr>
                <w:sz w:val="20"/>
                <w:szCs w:val="20"/>
                <w:color w:val="auto"/>
              </w:rPr>
            </w:pPr>
            <w:r>
              <w:rPr>
                <w:rFonts w:ascii="Arial" w:cs="Arial" w:eastAsia="Arial" w:hAnsi="Arial"/>
                <w:sz w:val="16"/>
                <w:szCs w:val="16"/>
                <w:color w:val="auto"/>
              </w:rPr>
              <w:t>20%</w:t>
            </w:r>
          </w:p>
        </w:tc>
        <w:tc>
          <w:tcPr>
            <w:tcW w:w="1240" w:type="dxa"/>
            <w:vAlign w:val="bottom"/>
            <w:tcBorders>
              <w:bottom w:val="single" w:sz="8" w:color="D9D9D9"/>
            </w:tcBorders>
          </w:tcPr>
          <w:p>
            <w:pPr>
              <w:jc w:val="right"/>
              <w:ind w:right="185"/>
              <w:spacing w:after="0"/>
              <w:rPr>
                <w:sz w:val="20"/>
                <w:szCs w:val="20"/>
                <w:color w:val="auto"/>
              </w:rPr>
            </w:pPr>
            <w:r>
              <w:rPr>
                <w:rFonts w:ascii="Arial" w:cs="Arial" w:eastAsia="Arial" w:hAnsi="Arial"/>
                <w:sz w:val="16"/>
                <w:szCs w:val="16"/>
                <w:color w:val="auto"/>
              </w:rPr>
              <w:t>115.0%</w:t>
            </w:r>
          </w:p>
        </w:tc>
        <w:tc>
          <w:tcPr>
            <w:tcW w:w="760" w:type="dxa"/>
            <w:vAlign w:val="bottom"/>
            <w:tcBorders>
              <w:bottom w:val="single" w:sz="8" w:color="D9D9D9"/>
            </w:tcBorders>
          </w:tcPr>
          <w:p>
            <w:pPr>
              <w:ind w:left="260"/>
              <w:spacing w:after="0"/>
              <w:rPr>
                <w:sz w:val="20"/>
                <w:szCs w:val="20"/>
                <w:color w:val="auto"/>
              </w:rPr>
            </w:pPr>
            <w:r>
              <w:rPr>
                <w:rFonts w:ascii="Arial" w:cs="Arial" w:eastAsia="Arial" w:hAnsi="Arial"/>
                <w:sz w:val="16"/>
                <w:szCs w:val="16"/>
                <w:color w:val="auto"/>
              </w:rPr>
              <w:t>23.0%</w:t>
            </w:r>
          </w:p>
        </w:tc>
        <w:tc>
          <w:tcPr>
            <w:tcW w:w="86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111.4%</w:t>
            </w:r>
          </w:p>
        </w:tc>
      </w:tr>
      <w:tr>
        <w:trPr>
          <w:trHeight w:val="239"/>
        </w:trPr>
        <w:tc>
          <w:tcPr>
            <w:tcW w:w="176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Jay L. Kooper</w:t>
            </w:r>
          </w:p>
        </w:tc>
        <w:tc>
          <w:tcPr>
            <w:tcW w:w="900" w:type="dxa"/>
            <w:vAlign w:val="bottom"/>
            <w:tcBorders>
              <w:bottom w:val="single" w:sz="8" w:color="D9D9D9"/>
            </w:tcBorders>
          </w:tcPr>
          <w:p>
            <w:pPr>
              <w:jc w:val="right"/>
              <w:ind w:right="63"/>
              <w:spacing w:after="0"/>
              <w:rPr>
                <w:sz w:val="20"/>
                <w:szCs w:val="20"/>
                <w:color w:val="auto"/>
              </w:rPr>
            </w:pPr>
            <w:r>
              <w:rPr>
                <w:rFonts w:ascii="Arial" w:cs="Arial" w:eastAsia="Arial" w:hAnsi="Arial"/>
                <w:sz w:val="16"/>
                <w:szCs w:val="16"/>
                <w:color w:val="auto"/>
              </w:rPr>
              <w:t>50%</w:t>
            </w:r>
          </w:p>
        </w:tc>
        <w:tc>
          <w:tcPr>
            <w:tcW w:w="1260" w:type="dxa"/>
            <w:vAlign w:val="bottom"/>
            <w:tcBorders>
              <w:bottom w:val="single" w:sz="8" w:color="D9D9D9"/>
            </w:tcBorders>
          </w:tcPr>
          <w:p>
            <w:pPr>
              <w:jc w:val="center"/>
              <w:ind w:right="24"/>
              <w:spacing w:after="0"/>
              <w:rPr>
                <w:sz w:val="20"/>
                <w:szCs w:val="20"/>
                <w:color w:val="auto"/>
              </w:rPr>
            </w:pPr>
            <w:r>
              <w:rPr>
                <w:rFonts w:ascii="Arial" w:cs="Arial" w:eastAsia="Arial" w:hAnsi="Arial"/>
                <w:sz w:val="16"/>
                <w:szCs w:val="16"/>
                <w:color w:val="auto"/>
              </w:rPr>
              <w:t>146.8%</w:t>
            </w:r>
          </w:p>
        </w:tc>
        <w:tc>
          <w:tcPr>
            <w:tcW w:w="640" w:type="dxa"/>
            <w:vAlign w:val="bottom"/>
            <w:tcBorders>
              <w:bottom w:val="single" w:sz="8" w:color="D9D9D9"/>
            </w:tcBorders>
          </w:tcPr>
          <w:p>
            <w:pPr>
              <w:ind w:left="160"/>
              <w:spacing w:after="0"/>
              <w:rPr>
                <w:sz w:val="20"/>
                <w:szCs w:val="20"/>
                <w:color w:val="auto"/>
              </w:rPr>
            </w:pPr>
            <w:r>
              <w:rPr>
                <w:rFonts w:ascii="Arial" w:cs="Arial" w:eastAsia="Arial" w:hAnsi="Arial"/>
                <w:sz w:val="16"/>
                <w:szCs w:val="16"/>
                <w:color w:val="auto"/>
              </w:rPr>
              <w:t>73.4%</w:t>
            </w:r>
          </w:p>
        </w:tc>
        <w:tc>
          <w:tcPr>
            <w:tcW w:w="100" w:type="dxa"/>
            <w:vAlign w:val="bottom"/>
          </w:tcPr>
          <w:p>
            <w:pPr>
              <w:spacing w:after="0"/>
              <w:rPr>
                <w:sz w:val="20"/>
                <w:szCs w:val="20"/>
                <w:color w:val="auto"/>
              </w:rPr>
            </w:pPr>
          </w:p>
        </w:tc>
        <w:tc>
          <w:tcPr>
            <w:tcW w:w="8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30%</w:t>
            </w:r>
          </w:p>
        </w:tc>
        <w:tc>
          <w:tcPr>
            <w:tcW w:w="1240" w:type="dxa"/>
            <w:vAlign w:val="bottom"/>
            <w:tcBorders>
              <w:bottom w:val="single" w:sz="8" w:color="D9D9D9"/>
            </w:tcBorders>
          </w:tcPr>
          <w:p>
            <w:pPr>
              <w:jc w:val="right"/>
              <w:ind w:right="225"/>
              <w:spacing w:after="0"/>
              <w:rPr>
                <w:sz w:val="20"/>
                <w:szCs w:val="20"/>
                <w:color w:val="auto"/>
              </w:rPr>
            </w:pPr>
            <w:r>
              <w:rPr>
                <w:rFonts w:ascii="Arial" w:cs="Arial" w:eastAsia="Arial" w:hAnsi="Arial"/>
                <w:sz w:val="16"/>
                <w:szCs w:val="16"/>
                <w:color w:val="auto"/>
              </w:rPr>
              <w:t>50.0%</w:t>
            </w:r>
          </w:p>
        </w:tc>
        <w:tc>
          <w:tcPr>
            <w:tcW w:w="740" w:type="dxa"/>
            <w:vAlign w:val="bottom"/>
            <w:tcBorders>
              <w:bottom w:val="single" w:sz="8" w:color="D9D9D9"/>
            </w:tcBorders>
          </w:tcPr>
          <w:p>
            <w:pPr>
              <w:ind w:left="240"/>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20"/>
                <w:szCs w:val="20"/>
                <w:color w:val="auto"/>
              </w:rPr>
            </w:pPr>
          </w:p>
        </w:tc>
        <w:tc>
          <w:tcPr>
            <w:tcW w:w="840" w:type="dxa"/>
            <w:vAlign w:val="bottom"/>
            <w:tcBorders>
              <w:bottom w:val="single" w:sz="8" w:color="D9D9D9"/>
            </w:tcBorders>
          </w:tcPr>
          <w:p>
            <w:pPr>
              <w:jc w:val="right"/>
              <w:ind w:right="1"/>
              <w:spacing w:after="0"/>
              <w:rPr>
                <w:sz w:val="20"/>
                <w:szCs w:val="20"/>
                <w:color w:val="auto"/>
              </w:rPr>
            </w:pPr>
            <w:r>
              <w:rPr>
                <w:rFonts w:ascii="Arial" w:cs="Arial" w:eastAsia="Arial" w:hAnsi="Arial"/>
                <w:sz w:val="16"/>
                <w:szCs w:val="16"/>
                <w:color w:val="auto"/>
              </w:rPr>
              <w:t>20%</w:t>
            </w:r>
          </w:p>
        </w:tc>
        <w:tc>
          <w:tcPr>
            <w:tcW w:w="1240" w:type="dxa"/>
            <w:vAlign w:val="bottom"/>
            <w:tcBorders>
              <w:bottom w:val="single" w:sz="8" w:color="D9D9D9"/>
            </w:tcBorders>
          </w:tcPr>
          <w:p>
            <w:pPr>
              <w:jc w:val="right"/>
              <w:ind w:right="185"/>
              <w:spacing w:after="0"/>
              <w:rPr>
                <w:sz w:val="20"/>
                <w:szCs w:val="20"/>
                <w:color w:val="auto"/>
              </w:rPr>
            </w:pPr>
            <w:r>
              <w:rPr>
                <w:rFonts w:ascii="Arial" w:cs="Arial" w:eastAsia="Arial" w:hAnsi="Arial"/>
                <w:sz w:val="16"/>
                <w:szCs w:val="16"/>
                <w:color w:val="auto"/>
              </w:rPr>
              <w:t>110.0%</w:t>
            </w:r>
          </w:p>
        </w:tc>
        <w:tc>
          <w:tcPr>
            <w:tcW w:w="760" w:type="dxa"/>
            <w:vAlign w:val="bottom"/>
            <w:tcBorders>
              <w:bottom w:val="single" w:sz="8" w:color="D9D9D9"/>
            </w:tcBorders>
          </w:tcPr>
          <w:p>
            <w:pPr>
              <w:ind w:left="260"/>
              <w:spacing w:after="0"/>
              <w:rPr>
                <w:sz w:val="20"/>
                <w:szCs w:val="20"/>
                <w:color w:val="auto"/>
              </w:rPr>
            </w:pPr>
            <w:r>
              <w:rPr>
                <w:rFonts w:ascii="Arial" w:cs="Arial" w:eastAsia="Arial" w:hAnsi="Arial"/>
                <w:sz w:val="16"/>
                <w:szCs w:val="16"/>
                <w:color w:val="auto"/>
              </w:rPr>
              <w:t>22.0%</w:t>
            </w:r>
          </w:p>
        </w:tc>
        <w:tc>
          <w:tcPr>
            <w:tcW w:w="86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110.4%</w:t>
            </w:r>
          </w:p>
        </w:tc>
      </w:tr>
      <w:tr>
        <w:trPr>
          <w:trHeight w:val="239"/>
        </w:trPr>
        <w:tc>
          <w:tcPr>
            <w:tcW w:w="1760" w:type="dxa"/>
            <w:vAlign w:val="bottom"/>
            <w:tcBorders>
              <w:bottom w:val="single" w:sz="8" w:color="00AEEF"/>
            </w:tcBorders>
          </w:tcPr>
          <w:p>
            <w:pPr>
              <w:ind w:left="20"/>
              <w:spacing w:after="0"/>
              <w:rPr>
                <w:sz w:val="20"/>
                <w:szCs w:val="20"/>
                <w:color w:val="auto"/>
              </w:rPr>
            </w:pPr>
            <w:r>
              <w:rPr>
                <w:rFonts w:ascii="Arial" w:cs="Arial" w:eastAsia="Arial" w:hAnsi="Arial"/>
                <w:sz w:val="16"/>
                <w:szCs w:val="16"/>
                <w:b w:val="1"/>
                <w:bCs w:val="1"/>
                <w:color w:val="191769"/>
              </w:rPr>
              <w:t>Georgia M. Simpson</w:t>
            </w:r>
          </w:p>
        </w:tc>
        <w:tc>
          <w:tcPr>
            <w:tcW w:w="900" w:type="dxa"/>
            <w:vAlign w:val="bottom"/>
            <w:tcBorders>
              <w:bottom w:val="single" w:sz="8" w:color="00AEEF"/>
            </w:tcBorders>
          </w:tcPr>
          <w:p>
            <w:pPr>
              <w:jc w:val="right"/>
              <w:ind w:right="63"/>
              <w:spacing w:after="0"/>
              <w:rPr>
                <w:sz w:val="20"/>
                <w:szCs w:val="20"/>
                <w:color w:val="auto"/>
              </w:rPr>
            </w:pPr>
            <w:r>
              <w:rPr>
                <w:rFonts w:ascii="Arial" w:cs="Arial" w:eastAsia="Arial" w:hAnsi="Arial"/>
                <w:sz w:val="16"/>
                <w:szCs w:val="16"/>
                <w:color w:val="auto"/>
              </w:rPr>
              <w:t>50%</w:t>
            </w:r>
          </w:p>
        </w:tc>
        <w:tc>
          <w:tcPr>
            <w:tcW w:w="1260" w:type="dxa"/>
            <w:vAlign w:val="bottom"/>
            <w:tcBorders>
              <w:bottom w:val="single" w:sz="8" w:color="00AEEF"/>
            </w:tcBorders>
          </w:tcPr>
          <w:p>
            <w:pPr>
              <w:jc w:val="center"/>
              <w:ind w:right="24"/>
              <w:spacing w:after="0"/>
              <w:rPr>
                <w:sz w:val="20"/>
                <w:szCs w:val="20"/>
                <w:color w:val="auto"/>
              </w:rPr>
            </w:pPr>
            <w:r>
              <w:rPr>
                <w:rFonts w:ascii="Arial" w:cs="Arial" w:eastAsia="Arial" w:hAnsi="Arial"/>
                <w:sz w:val="16"/>
                <w:szCs w:val="16"/>
                <w:color w:val="auto"/>
              </w:rPr>
              <w:t>146.8%</w:t>
            </w:r>
          </w:p>
        </w:tc>
        <w:tc>
          <w:tcPr>
            <w:tcW w:w="640" w:type="dxa"/>
            <w:vAlign w:val="bottom"/>
            <w:tcBorders>
              <w:bottom w:val="single" w:sz="8" w:color="00AEEF"/>
            </w:tcBorders>
          </w:tcPr>
          <w:p>
            <w:pPr>
              <w:ind w:left="160"/>
              <w:spacing w:after="0"/>
              <w:rPr>
                <w:sz w:val="20"/>
                <w:szCs w:val="20"/>
                <w:color w:val="auto"/>
              </w:rPr>
            </w:pPr>
            <w:r>
              <w:rPr>
                <w:rFonts w:ascii="Arial" w:cs="Arial" w:eastAsia="Arial" w:hAnsi="Arial"/>
                <w:sz w:val="16"/>
                <w:szCs w:val="16"/>
                <w:color w:val="auto"/>
              </w:rPr>
              <w:t>73.4%</w:t>
            </w:r>
          </w:p>
        </w:tc>
        <w:tc>
          <w:tcPr>
            <w:tcW w:w="100" w:type="dxa"/>
            <w:vAlign w:val="bottom"/>
            <w:tcBorders>
              <w:bottom w:val="single" w:sz="8" w:color="00AEEF"/>
            </w:tcBorders>
          </w:tcPr>
          <w:p>
            <w:pPr>
              <w:spacing w:after="0"/>
              <w:rPr>
                <w:sz w:val="20"/>
                <w:szCs w:val="20"/>
                <w:color w:val="auto"/>
              </w:rPr>
            </w:pPr>
          </w:p>
        </w:tc>
        <w:tc>
          <w:tcPr>
            <w:tcW w:w="820" w:type="dxa"/>
            <w:vAlign w:val="bottom"/>
            <w:tcBorders>
              <w:bottom w:val="single" w:sz="8" w:color="00AEEF"/>
            </w:tcBorders>
          </w:tcPr>
          <w:p>
            <w:pPr>
              <w:jc w:val="right"/>
              <w:spacing w:after="0"/>
              <w:rPr>
                <w:sz w:val="20"/>
                <w:szCs w:val="20"/>
                <w:color w:val="auto"/>
              </w:rPr>
            </w:pPr>
            <w:r>
              <w:rPr>
                <w:rFonts w:ascii="Arial" w:cs="Arial" w:eastAsia="Arial" w:hAnsi="Arial"/>
                <w:sz w:val="16"/>
                <w:szCs w:val="16"/>
                <w:color w:val="auto"/>
              </w:rPr>
              <w:t>30%</w:t>
            </w:r>
          </w:p>
        </w:tc>
        <w:tc>
          <w:tcPr>
            <w:tcW w:w="1240" w:type="dxa"/>
            <w:vAlign w:val="bottom"/>
            <w:tcBorders>
              <w:bottom w:val="single" w:sz="8" w:color="00AEEF"/>
            </w:tcBorders>
          </w:tcPr>
          <w:p>
            <w:pPr>
              <w:jc w:val="right"/>
              <w:ind w:right="225"/>
              <w:spacing w:after="0"/>
              <w:rPr>
                <w:sz w:val="20"/>
                <w:szCs w:val="20"/>
                <w:color w:val="auto"/>
              </w:rPr>
            </w:pPr>
            <w:r>
              <w:rPr>
                <w:rFonts w:ascii="Arial" w:cs="Arial" w:eastAsia="Arial" w:hAnsi="Arial"/>
                <w:sz w:val="16"/>
                <w:szCs w:val="16"/>
                <w:color w:val="auto"/>
              </w:rPr>
              <w:t>50.0%</w:t>
            </w:r>
          </w:p>
        </w:tc>
        <w:tc>
          <w:tcPr>
            <w:tcW w:w="740" w:type="dxa"/>
            <w:vAlign w:val="bottom"/>
            <w:tcBorders>
              <w:bottom w:val="single" w:sz="8" w:color="00AEEF"/>
            </w:tcBorders>
          </w:tcPr>
          <w:p>
            <w:pPr>
              <w:ind w:left="240"/>
              <w:spacing w:after="0"/>
              <w:rPr>
                <w:sz w:val="20"/>
                <w:szCs w:val="20"/>
                <w:color w:val="auto"/>
              </w:rPr>
            </w:pPr>
            <w:r>
              <w:rPr>
                <w:rFonts w:ascii="Arial" w:cs="Arial" w:eastAsia="Arial" w:hAnsi="Arial"/>
                <w:sz w:val="16"/>
                <w:szCs w:val="16"/>
                <w:color w:val="auto"/>
              </w:rPr>
              <w:t>15.0%</w:t>
            </w:r>
          </w:p>
        </w:tc>
        <w:tc>
          <w:tcPr>
            <w:tcW w:w="80" w:type="dxa"/>
            <w:vAlign w:val="bottom"/>
            <w:tcBorders>
              <w:bottom w:val="single" w:sz="8" w:color="00AEEF"/>
            </w:tcBorders>
          </w:tcPr>
          <w:p>
            <w:pPr>
              <w:spacing w:after="0"/>
              <w:rPr>
                <w:sz w:val="20"/>
                <w:szCs w:val="20"/>
                <w:color w:val="auto"/>
              </w:rPr>
            </w:pPr>
          </w:p>
        </w:tc>
        <w:tc>
          <w:tcPr>
            <w:tcW w:w="840" w:type="dxa"/>
            <w:vAlign w:val="bottom"/>
            <w:tcBorders>
              <w:bottom w:val="single" w:sz="8" w:color="00AEEF"/>
            </w:tcBorders>
          </w:tcPr>
          <w:p>
            <w:pPr>
              <w:jc w:val="right"/>
              <w:ind w:right="1"/>
              <w:spacing w:after="0"/>
              <w:rPr>
                <w:sz w:val="20"/>
                <w:szCs w:val="20"/>
                <w:color w:val="auto"/>
              </w:rPr>
            </w:pPr>
            <w:r>
              <w:rPr>
                <w:rFonts w:ascii="Arial" w:cs="Arial" w:eastAsia="Arial" w:hAnsi="Arial"/>
                <w:sz w:val="16"/>
                <w:szCs w:val="16"/>
                <w:color w:val="auto"/>
              </w:rPr>
              <w:t>20%</w:t>
            </w:r>
          </w:p>
        </w:tc>
        <w:tc>
          <w:tcPr>
            <w:tcW w:w="1240" w:type="dxa"/>
            <w:vAlign w:val="bottom"/>
            <w:tcBorders>
              <w:bottom w:val="single" w:sz="8" w:color="00AEEF"/>
            </w:tcBorders>
          </w:tcPr>
          <w:p>
            <w:pPr>
              <w:jc w:val="right"/>
              <w:ind w:right="185"/>
              <w:spacing w:after="0"/>
              <w:rPr>
                <w:sz w:val="20"/>
                <w:szCs w:val="20"/>
                <w:color w:val="auto"/>
              </w:rPr>
            </w:pPr>
            <w:r>
              <w:rPr>
                <w:rFonts w:ascii="Arial" w:cs="Arial" w:eastAsia="Arial" w:hAnsi="Arial"/>
                <w:sz w:val="16"/>
                <w:szCs w:val="16"/>
                <w:color w:val="auto"/>
              </w:rPr>
              <w:t>110.0%</w:t>
            </w:r>
          </w:p>
        </w:tc>
        <w:tc>
          <w:tcPr>
            <w:tcW w:w="760" w:type="dxa"/>
            <w:vAlign w:val="bottom"/>
            <w:tcBorders>
              <w:bottom w:val="single" w:sz="8" w:color="00AEEF"/>
            </w:tcBorders>
          </w:tcPr>
          <w:p>
            <w:pPr>
              <w:ind w:left="260"/>
              <w:spacing w:after="0"/>
              <w:rPr>
                <w:sz w:val="20"/>
                <w:szCs w:val="20"/>
                <w:color w:val="auto"/>
              </w:rPr>
            </w:pPr>
            <w:r>
              <w:rPr>
                <w:rFonts w:ascii="Arial" w:cs="Arial" w:eastAsia="Arial" w:hAnsi="Arial"/>
                <w:sz w:val="16"/>
                <w:szCs w:val="16"/>
                <w:color w:val="auto"/>
              </w:rPr>
              <w:t>22.0%</w:t>
            </w:r>
          </w:p>
        </w:tc>
        <w:tc>
          <w:tcPr>
            <w:tcW w:w="860" w:type="dxa"/>
            <w:vAlign w:val="bottom"/>
            <w:tcBorders>
              <w:bottom w:val="single" w:sz="8" w:color="00AEEF"/>
            </w:tcBorders>
          </w:tcPr>
          <w:p>
            <w:pPr>
              <w:jc w:val="right"/>
              <w:spacing w:after="0"/>
              <w:rPr>
                <w:sz w:val="20"/>
                <w:szCs w:val="20"/>
                <w:color w:val="auto"/>
              </w:rPr>
            </w:pPr>
            <w:r>
              <w:rPr>
                <w:rFonts w:ascii="Arial" w:cs="Arial" w:eastAsia="Arial" w:hAnsi="Arial"/>
                <w:sz w:val="16"/>
                <w:szCs w:val="16"/>
                <w:color w:val="auto"/>
              </w:rPr>
              <w:t>110.4%</w:t>
            </w:r>
          </w:p>
        </w:tc>
      </w:tr>
    </w:tbl>
    <w:p>
      <w:pPr>
        <w:spacing w:after="0" w:line="192" w:lineRule="exact"/>
        <w:rPr>
          <w:sz w:val="20"/>
          <w:szCs w:val="20"/>
          <w:color w:val="auto"/>
        </w:rPr>
      </w:pPr>
    </w:p>
    <w:p>
      <w:pPr>
        <w:ind w:right="300"/>
        <w:spacing w:after="0" w:line="299" w:lineRule="auto"/>
        <w:rPr>
          <w:sz w:val="20"/>
          <w:szCs w:val="20"/>
          <w:color w:val="auto"/>
        </w:rPr>
      </w:pPr>
      <w:r>
        <w:rPr>
          <w:rFonts w:ascii="Arial" w:cs="Arial" w:eastAsia="Arial" w:hAnsi="Arial"/>
          <w:sz w:val="16"/>
          <w:szCs w:val="16"/>
          <w:color w:val="auto"/>
        </w:rPr>
        <w:t>The Committee then applied the total score in the following formula to determine the STI payout earned for each NEO. Base salary is equal to the base salary in effect for 2025.</w:t>
      </w:r>
    </w:p>
    <w:p>
      <w:pPr>
        <w:spacing w:after="0" w:line="92"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2460" w:type="dxa"/>
            <w:vAlign w:val="bottom"/>
            <w:tcBorders>
              <w:top w:val="single" w:sz="8" w:color="00AEEF"/>
              <w:left w:val="single" w:sz="8" w:color="00AEEF"/>
              <w:right w:val="single" w:sz="8" w:color="00AEEF"/>
            </w:tcBorders>
            <w:vMerge w:val="restart"/>
          </w:tcPr>
          <w:p>
            <w:pPr>
              <w:ind w:left="760"/>
              <w:spacing w:after="0"/>
              <w:rPr>
                <w:sz w:val="20"/>
                <w:szCs w:val="20"/>
                <w:color w:val="auto"/>
              </w:rPr>
            </w:pPr>
            <w:r>
              <w:rPr>
                <w:rFonts w:ascii="Arial" w:cs="Arial" w:eastAsia="Arial" w:hAnsi="Arial"/>
                <w:sz w:val="16"/>
                <w:szCs w:val="16"/>
                <w:b w:val="1"/>
                <w:bCs w:val="1"/>
                <w:color w:val="auto"/>
              </w:rPr>
              <w:t>Base Salary</w:t>
            </w:r>
          </w:p>
        </w:tc>
        <w:tc>
          <w:tcPr>
            <w:tcW w:w="460" w:type="dxa"/>
            <w:vAlign w:val="bottom"/>
            <w:tcBorders>
              <w:right w:val="single" w:sz="8" w:color="00AEEF"/>
            </w:tcBorders>
            <w:vMerge w:val="restart"/>
          </w:tcPr>
          <w:p>
            <w:pPr>
              <w:ind w:left="160"/>
              <w:spacing w:after="0"/>
              <w:rPr>
                <w:sz w:val="20"/>
                <w:szCs w:val="20"/>
                <w:color w:val="auto"/>
              </w:rPr>
            </w:pPr>
            <w:r>
              <w:rPr>
                <w:rFonts w:ascii="Arial" w:cs="Arial" w:eastAsia="Arial" w:hAnsi="Arial"/>
                <w:sz w:val="20"/>
                <w:szCs w:val="20"/>
                <w:b w:val="1"/>
                <w:bCs w:val="1"/>
                <w:color w:val="191769"/>
              </w:rPr>
              <w:t>x</w:t>
            </w:r>
          </w:p>
        </w:tc>
        <w:tc>
          <w:tcPr>
            <w:tcW w:w="2460" w:type="dxa"/>
            <w:vAlign w:val="bottom"/>
            <w:tcBorders>
              <w:top w:val="single" w:sz="8" w:color="00AEEF"/>
              <w:right w:val="single" w:sz="8" w:color="00AEEF"/>
            </w:tcBorders>
          </w:tcPr>
          <w:p>
            <w:pPr>
              <w:jc w:val="center"/>
              <w:spacing w:after="0"/>
              <w:rPr>
                <w:sz w:val="20"/>
                <w:szCs w:val="20"/>
                <w:color w:val="auto"/>
              </w:rPr>
            </w:pPr>
            <w:r>
              <w:rPr>
                <w:rFonts w:ascii="Arial" w:cs="Arial" w:eastAsia="Arial" w:hAnsi="Arial"/>
                <w:sz w:val="16"/>
                <w:szCs w:val="16"/>
                <w:b w:val="1"/>
                <w:bCs w:val="1"/>
                <w:color w:val="auto"/>
              </w:rPr>
              <w:t>Target Bonus</w:t>
            </w:r>
          </w:p>
        </w:tc>
        <w:tc>
          <w:tcPr>
            <w:tcW w:w="440" w:type="dxa"/>
            <w:vAlign w:val="bottom"/>
            <w:tcBorders>
              <w:right w:val="single" w:sz="8" w:color="00AEEF"/>
            </w:tcBorders>
            <w:vMerge w:val="restart"/>
          </w:tcPr>
          <w:p>
            <w:pPr>
              <w:ind w:left="160"/>
              <w:spacing w:after="0"/>
              <w:rPr>
                <w:sz w:val="20"/>
                <w:szCs w:val="20"/>
                <w:color w:val="auto"/>
              </w:rPr>
            </w:pPr>
            <w:r>
              <w:rPr>
                <w:rFonts w:ascii="Arial" w:cs="Arial" w:eastAsia="Arial" w:hAnsi="Arial"/>
                <w:sz w:val="20"/>
                <w:szCs w:val="20"/>
                <w:b w:val="1"/>
                <w:bCs w:val="1"/>
                <w:color w:val="191769"/>
              </w:rPr>
              <w:t>x</w:t>
            </w:r>
          </w:p>
        </w:tc>
        <w:tc>
          <w:tcPr>
            <w:tcW w:w="2480" w:type="dxa"/>
            <w:vAlign w:val="bottom"/>
            <w:tcBorders>
              <w:top w:val="single" w:sz="8" w:color="00AEEF"/>
              <w:right w:val="single" w:sz="8" w:color="00AEEF"/>
            </w:tcBorders>
            <w:vMerge w:val="restart"/>
          </w:tcPr>
          <w:p>
            <w:pPr>
              <w:ind w:left="780"/>
              <w:spacing w:after="0"/>
              <w:rPr>
                <w:sz w:val="20"/>
                <w:szCs w:val="20"/>
                <w:color w:val="auto"/>
              </w:rPr>
            </w:pPr>
            <w:r>
              <w:rPr>
                <w:rFonts w:ascii="Arial" w:cs="Arial" w:eastAsia="Arial" w:hAnsi="Arial"/>
                <w:sz w:val="16"/>
                <w:szCs w:val="16"/>
                <w:b w:val="1"/>
                <w:bCs w:val="1"/>
                <w:color w:val="auto"/>
              </w:rPr>
              <w:t>Total Score</w:t>
            </w:r>
          </w:p>
        </w:tc>
        <w:tc>
          <w:tcPr>
            <w:tcW w:w="440" w:type="dxa"/>
            <w:vAlign w:val="bottom"/>
            <w:tcBorders>
              <w:right w:val="single" w:sz="8" w:color="00AEEF"/>
            </w:tcBorders>
            <w:vMerge w:val="restart"/>
          </w:tcPr>
          <w:p>
            <w:pPr>
              <w:jc w:val="right"/>
              <w:ind w:right="62"/>
              <w:spacing w:after="0"/>
              <w:rPr>
                <w:sz w:val="20"/>
                <w:szCs w:val="20"/>
                <w:color w:val="auto"/>
              </w:rPr>
            </w:pPr>
            <w:r>
              <w:rPr>
                <w:rFonts w:ascii="Arial" w:cs="Arial" w:eastAsia="Arial" w:hAnsi="Arial"/>
                <w:sz w:val="20"/>
                <w:szCs w:val="20"/>
                <w:b w:val="1"/>
                <w:bCs w:val="1"/>
                <w:color w:val="191769"/>
              </w:rPr>
              <w:t>=</w:t>
            </w:r>
          </w:p>
        </w:tc>
        <w:tc>
          <w:tcPr>
            <w:tcW w:w="2460" w:type="dxa"/>
            <w:vAlign w:val="bottom"/>
            <w:tcBorders>
              <w:top w:val="single" w:sz="8" w:color="00AEEF"/>
              <w:right w:val="single" w:sz="8" w:color="00AEEF"/>
            </w:tcBorders>
            <w:vMerge w:val="restart"/>
            <w:shd w:val="clear" w:color="auto" w:fill="99DFF9"/>
          </w:tcPr>
          <w:p>
            <w:pPr>
              <w:ind w:left="740"/>
              <w:spacing w:after="0"/>
              <w:rPr>
                <w:sz w:val="20"/>
                <w:szCs w:val="20"/>
                <w:color w:val="auto"/>
              </w:rPr>
            </w:pPr>
            <w:r>
              <w:rPr>
                <w:rFonts w:ascii="Arial" w:cs="Arial" w:eastAsia="Arial" w:hAnsi="Arial"/>
                <w:sz w:val="16"/>
                <w:szCs w:val="16"/>
                <w:b w:val="1"/>
                <w:bCs w:val="1"/>
                <w:color w:val="auto"/>
              </w:rPr>
              <w:t>Total Payout</w:t>
            </w:r>
          </w:p>
        </w:tc>
        <w:tc>
          <w:tcPr>
            <w:tcW w:w="0" w:type="dxa"/>
            <w:vAlign w:val="bottom"/>
          </w:tcPr>
          <w:p>
            <w:pPr>
              <w:spacing w:after="0"/>
              <w:rPr>
                <w:sz w:val="1"/>
                <w:szCs w:val="1"/>
                <w:color w:val="auto"/>
              </w:rPr>
            </w:pPr>
          </w:p>
        </w:tc>
      </w:tr>
      <w:tr>
        <w:trPr>
          <w:trHeight w:val="150"/>
        </w:trPr>
        <w:tc>
          <w:tcPr>
            <w:tcW w:w="2460" w:type="dxa"/>
            <w:vAlign w:val="bottom"/>
            <w:tcBorders>
              <w:left w:val="single" w:sz="8" w:color="00AEEF"/>
              <w:right w:val="single" w:sz="8" w:color="00AEEF"/>
            </w:tcBorders>
            <w:vMerge w:val="continue"/>
          </w:tcPr>
          <w:p>
            <w:pPr>
              <w:spacing w:after="0"/>
              <w:rPr>
                <w:sz w:val="13"/>
                <w:szCs w:val="13"/>
                <w:color w:val="auto"/>
              </w:rPr>
            </w:pPr>
          </w:p>
        </w:tc>
        <w:tc>
          <w:tcPr>
            <w:tcW w:w="460" w:type="dxa"/>
            <w:vAlign w:val="bottom"/>
            <w:tcBorders>
              <w:right w:val="single" w:sz="8" w:color="00AEEF"/>
            </w:tcBorders>
            <w:vMerge w:val="continue"/>
          </w:tcPr>
          <w:p>
            <w:pPr>
              <w:spacing w:after="0"/>
              <w:rPr>
                <w:sz w:val="13"/>
                <w:szCs w:val="13"/>
                <w:color w:val="auto"/>
              </w:rPr>
            </w:pPr>
          </w:p>
        </w:tc>
        <w:tc>
          <w:tcPr>
            <w:tcW w:w="2460" w:type="dxa"/>
            <w:vAlign w:val="bottom"/>
            <w:tcBorders>
              <w:right w:val="single" w:sz="8" w:color="00AEEF"/>
            </w:tcBorders>
            <w:vMerge w:val="restart"/>
          </w:tcPr>
          <w:p>
            <w:pPr>
              <w:jc w:val="center"/>
              <w:spacing w:after="0"/>
              <w:rPr>
                <w:sz w:val="20"/>
                <w:szCs w:val="20"/>
                <w:color w:val="auto"/>
              </w:rPr>
            </w:pPr>
            <w:r>
              <w:rPr>
                <w:rFonts w:ascii="Arial" w:cs="Arial" w:eastAsia="Arial" w:hAnsi="Arial"/>
                <w:sz w:val="16"/>
                <w:szCs w:val="16"/>
                <w:b w:val="1"/>
                <w:bCs w:val="1"/>
                <w:color w:val="auto"/>
              </w:rPr>
              <w:t>Percentage</w:t>
            </w:r>
          </w:p>
        </w:tc>
        <w:tc>
          <w:tcPr>
            <w:tcW w:w="440" w:type="dxa"/>
            <w:vAlign w:val="bottom"/>
            <w:tcBorders>
              <w:right w:val="single" w:sz="8" w:color="00AEEF"/>
            </w:tcBorders>
            <w:vMerge w:val="continue"/>
          </w:tcPr>
          <w:p>
            <w:pPr>
              <w:spacing w:after="0"/>
              <w:rPr>
                <w:sz w:val="13"/>
                <w:szCs w:val="13"/>
                <w:color w:val="auto"/>
              </w:rPr>
            </w:pPr>
          </w:p>
        </w:tc>
        <w:tc>
          <w:tcPr>
            <w:tcW w:w="2480" w:type="dxa"/>
            <w:vAlign w:val="bottom"/>
            <w:tcBorders>
              <w:right w:val="single" w:sz="8" w:color="00AEEF"/>
            </w:tcBorders>
            <w:vMerge w:val="continue"/>
          </w:tcPr>
          <w:p>
            <w:pPr>
              <w:spacing w:after="0"/>
              <w:rPr>
                <w:sz w:val="13"/>
                <w:szCs w:val="13"/>
                <w:color w:val="auto"/>
              </w:rPr>
            </w:pPr>
          </w:p>
        </w:tc>
        <w:tc>
          <w:tcPr>
            <w:tcW w:w="440" w:type="dxa"/>
            <w:vAlign w:val="bottom"/>
            <w:tcBorders>
              <w:right w:val="single" w:sz="8" w:color="00AEEF"/>
            </w:tcBorders>
            <w:vMerge w:val="continue"/>
          </w:tcPr>
          <w:p>
            <w:pPr>
              <w:spacing w:after="0"/>
              <w:rPr>
                <w:sz w:val="13"/>
                <w:szCs w:val="13"/>
                <w:color w:val="auto"/>
              </w:rPr>
            </w:pPr>
          </w:p>
        </w:tc>
        <w:tc>
          <w:tcPr>
            <w:tcW w:w="2460" w:type="dxa"/>
            <w:vAlign w:val="bottom"/>
            <w:tcBorders>
              <w:right w:val="single" w:sz="8" w:color="00AEEF"/>
            </w:tcBorders>
            <w:vMerge w:val="continue"/>
            <w:shd w:val="clear" w:color="auto" w:fill="99DFF9"/>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460" w:type="dxa"/>
            <w:vAlign w:val="bottom"/>
            <w:tcBorders>
              <w:left w:val="single" w:sz="8" w:color="00AEEF"/>
              <w:bottom w:val="single" w:sz="8" w:color="00AEEF"/>
              <w:right w:val="single" w:sz="8" w:color="00AEEF"/>
            </w:tcBorders>
          </w:tcPr>
          <w:p>
            <w:pPr>
              <w:spacing w:after="0"/>
              <w:rPr>
                <w:sz w:val="7"/>
                <w:szCs w:val="7"/>
                <w:color w:val="auto"/>
              </w:rPr>
            </w:pPr>
          </w:p>
        </w:tc>
        <w:tc>
          <w:tcPr>
            <w:tcW w:w="460" w:type="dxa"/>
            <w:vAlign w:val="bottom"/>
            <w:tcBorders>
              <w:right w:val="single" w:sz="8" w:color="00AEEF"/>
            </w:tcBorders>
          </w:tcPr>
          <w:p>
            <w:pPr>
              <w:spacing w:after="0"/>
              <w:rPr>
                <w:sz w:val="7"/>
                <w:szCs w:val="7"/>
                <w:color w:val="auto"/>
              </w:rPr>
            </w:pPr>
          </w:p>
        </w:tc>
        <w:tc>
          <w:tcPr>
            <w:tcW w:w="2460" w:type="dxa"/>
            <w:vAlign w:val="bottom"/>
            <w:tcBorders>
              <w:bottom w:val="single" w:sz="8" w:color="00AEEF"/>
              <w:right w:val="single" w:sz="8" w:color="00AEEF"/>
            </w:tcBorders>
            <w:vMerge w:val="continue"/>
          </w:tcPr>
          <w:p>
            <w:pPr>
              <w:spacing w:after="0"/>
              <w:rPr>
                <w:sz w:val="7"/>
                <w:szCs w:val="7"/>
                <w:color w:val="auto"/>
              </w:rPr>
            </w:pPr>
          </w:p>
        </w:tc>
        <w:tc>
          <w:tcPr>
            <w:tcW w:w="440" w:type="dxa"/>
            <w:vAlign w:val="bottom"/>
            <w:tcBorders>
              <w:right w:val="single" w:sz="8" w:color="00AEEF"/>
            </w:tcBorders>
          </w:tcPr>
          <w:p>
            <w:pPr>
              <w:spacing w:after="0"/>
              <w:rPr>
                <w:sz w:val="7"/>
                <w:szCs w:val="7"/>
                <w:color w:val="auto"/>
              </w:rPr>
            </w:pPr>
          </w:p>
        </w:tc>
        <w:tc>
          <w:tcPr>
            <w:tcW w:w="2480" w:type="dxa"/>
            <w:vAlign w:val="bottom"/>
            <w:tcBorders>
              <w:bottom w:val="single" w:sz="8" w:color="00AEEF"/>
              <w:right w:val="single" w:sz="8" w:color="00AEEF"/>
            </w:tcBorders>
          </w:tcPr>
          <w:p>
            <w:pPr>
              <w:spacing w:after="0"/>
              <w:rPr>
                <w:sz w:val="7"/>
                <w:szCs w:val="7"/>
                <w:color w:val="auto"/>
              </w:rPr>
            </w:pPr>
          </w:p>
        </w:tc>
        <w:tc>
          <w:tcPr>
            <w:tcW w:w="440" w:type="dxa"/>
            <w:vAlign w:val="bottom"/>
            <w:tcBorders>
              <w:right w:val="single" w:sz="8" w:color="00AEEF"/>
            </w:tcBorders>
          </w:tcPr>
          <w:p>
            <w:pPr>
              <w:spacing w:after="0"/>
              <w:rPr>
                <w:sz w:val="7"/>
                <w:szCs w:val="7"/>
                <w:color w:val="auto"/>
              </w:rPr>
            </w:pPr>
          </w:p>
        </w:tc>
        <w:tc>
          <w:tcPr>
            <w:tcW w:w="2460" w:type="dxa"/>
            <w:vAlign w:val="bottom"/>
            <w:tcBorders>
              <w:bottom w:val="single" w:sz="8" w:color="00AEEF"/>
              <w:right w:val="single" w:sz="8" w:color="00AEEF"/>
            </w:tcBorders>
            <w:shd w:val="clear" w:color="auto" w:fill="99DFF9"/>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Committee presented its determination of the annual incentive payout amounts to the Board for its review, and the Board approved the payouts.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Accordingly, payouts to our NEOs under the STI for 2025 are reflected in the following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60" w:type="dxa"/>
            <w:vAlign w:val="bottom"/>
          </w:tcPr>
          <w:p>
            <w:pPr>
              <w:spacing w:after="0"/>
              <w:rPr>
                <w:sz w:val="12"/>
                <w:szCs w:val="12"/>
                <w:color w:val="auto"/>
              </w:rPr>
            </w:pPr>
          </w:p>
        </w:tc>
        <w:tc>
          <w:tcPr>
            <w:tcW w:w="5580" w:type="dxa"/>
            <w:vAlign w:val="bottom"/>
            <w:gridSpan w:val="3"/>
          </w:tcPr>
          <w:p>
            <w:pPr>
              <w:jc w:val="right"/>
              <w:spacing w:after="0"/>
              <w:rPr>
                <w:sz w:val="20"/>
                <w:szCs w:val="20"/>
                <w:color w:val="auto"/>
              </w:rPr>
            </w:pPr>
            <w:r>
              <w:rPr>
                <w:rFonts w:ascii="Arial" w:cs="Arial" w:eastAsia="Arial" w:hAnsi="Arial"/>
                <w:sz w:val="13"/>
                <w:szCs w:val="13"/>
                <w:b w:val="1"/>
                <w:bCs w:val="1"/>
                <w:color w:val="191769"/>
              </w:rPr>
              <w:t>STI Achieved</w:t>
            </w:r>
          </w:p>
        </w:tc>
        <w:tc>
          <w:tcPr>
            <w:tcW w:w="0" w:type="dxa"/>
            <w:vAlign w:val="bottom"/>
          </w:tcPr>
          <w:p>
            <w:pPr>
              <w:spacing w:after="0"/>
              <w:rPr>
                <w:sz w:val="1"/>
                <w:szCs w:val="1"/>
                <w:color w:val="auto"/>
              </w:rPr>
            </w:pPr>
          </w:p>
        </w:tc>
      </w:tr>
      <w:tr>
        <w:trPr>
          <w:trHeight w:val="160"/>
        </w:trPr>
        <w:tc>
          <w:tcPr>
            <w:tcW w:w="566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191769"/>
              </w:rPr>
              <w:t>Payout</w:t>
            </w:r>
          </w:p>
        </w:tc>
        <w:tc>
          <w:tcPr>
            <w:tcW w:w="0" w:type="dxa"/>
            <w:vAlign w:val="bottom"/>
          </w:tcPr>
          <w:p>
            <w:pPr>
              <w:spacing w:after="0"/>
              <w:rPr>
                <w:sz w:val="1"/>
                <w:szCs w:val="1"/>
                <w:color w:val="auto"/>
              </w:rPr>
            </w:pPr>
          </w:p>
        </w:tc>
      </w:tr>
      <w:tr>
        <w:trPr>
          <w:trHeight w:val="186"/>
        </w:trPr>
        <w:tc>
          <w:tcPr>
            <w:tcW w:w="5660" w:type="dxa"/>
            <w:vAlign w:val="bottom"/>
            <w:tcBorders>
              <w:bottom w:val="single" w:sz="8" w:color="00AEEF"/>
            </w:tcBorders>
          </w:tcPr>
          <w:p>
            <w:pPr>
              <w:ind w:left="20"/>
              <w:spacing w:after="0"/>
              <w:rPr>
                <w:sz w:val="20"/>
                <w:szCs w:val="20"/>
                <w:color w:val="auto"/>
              </w:rPr>
            </w:pPr>
            <w:r>
              <w:rPr>
                <w:rFonts w:ascii="Arial" w:cs="Arial" w:eastAsia="Arial" w:hAnsi="Arial"/>
                <w:sz w:val="13"/>
                <w:szCs w:val="13"/>
                <w:b w:val="1"/>
                <w:bCs w:val="1"/>
                <w:color w:val="191769"/>
              </w:rPr>
              <w:t>Named Executive Officer</w:t>
            </w:r>
          </w:p>
        </w:tc>
        <w:tc>
          <w:tcPr>
            <w:tcW w:w="5060" w:type="dxa"/>
            <w:vAlign w:val="bottom"/>
            <w:tcBorders>
              <w:bottom w:val="single" w:sz="8" w:color="00AEEF"/>
            </w:tcBorders>
          </w:tcPr>
          <w:p>
            <w:pPr>
              <w:spacing w:after="0"/>
              <w:rPr>
                <w:sz w:val="16"/>
                <w:szCs w:val="16"/>
                <w:color w:val="auto"/>
              </w:rPr>
            </w:pPr>
          </w:p>
        </w:tc>
        <w:tc>
          <w:tcPr>
            <w:tcW w:w="520" w:type="dxa"/>
            <w:vAlign w:val="bottom"/>
            <w:tcBorders>
              <w:bottom w:val="single" w:sz="8" w:color="00AEEF"/>
            </w:tcBorders>
            <w:gridSpan w:val="2"/>
          </w:tcPr>
          <w:p>
            <w:pPr>
              <w:jc w:val="right"/>
              <w:spacing w:after="0"/>
              <w:rPr>
                <w:sz w:val="20"/>
                <w:szCs w:val="20"/>
                <w:color w:val="auto"/>
              </w:rPr>
            </w:pPr>
            <w:r>
              <w:rPr>
                <w:rFonts w:ascii="Arial" w:cs="Arial" w:eastAsia="Arial" w:hAnsi="Arial"/>
                <w:sz w:val="13"/>
                <w:szCs w:val="13"/>
                <w:b w:val="1"/>
                <w:bCs w:val="1"/>
                <w:color w:val="191769"/>
              </w:rPr>
              <w:t>($)</w:t>
            </w:r>
          </w:p>
        </w:tc>
        <w:tc>
          <w:tcPr>
            <w:tcW w:w="0" w:type="dxa"/>
            <w:vAlign w:val="bottom"/>
          </w:tcPr>
          <w:p>
            <w:pPr>
              <w:spacing w:after="0"/>
              <w:rPr>
                <w:sz w:val="1"/>
                <w:szCs w:val="1"/>
                <w:color w:val="auto"/>
              </w:rPr>
            </w:pPr>
          </w:p>
        </w:tc>
      </w:tr>
      <w:tr>
        <w:trPr>
          <w:trHeight w:val="238"/>
        </w:trPr>
        <w:tc>
          <w:tcPr>
            <w:tcW w:w="566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Nadine Leslie</w:t>
            </w:r>
          </w:p>
        </w:tc>
        <w:tc>
          <w:tcPr>
            <w:tcW w:w="5580" w:type="dxa"/>
            <w:vAlign w:val="bottom"/>
            <w:tcBorders>
              <w:bottom w:val="single" w:sz="8" w:color="D9D9D9"/>
            </w:tcBorders>
            <w:gridSpan w:val="3"/>
          </w:tcPr>
          <w:p>
            <w:pPr>
              <w:jc w:val="right"/>
              <w:spacing w:after="0"/>
              <w:rPr>
                <w:sz w:val="20"/>
                <w:szCs w:val="20"/>
                <w:color w:val="auto"/>
              </w:rPr>
            </w:pPr>
            <w:r>
              <w:rPr>
                <w:rFonts w:ascii="Arial" w:cs="Arial" w:eastAsia="Arial" w:hAnsi="Arial"/>
                <w:sz w:val="16"/>
                <w:szCs w:val="16"/>
                <w:color w:val="auto"/>
              </w:rPr>
              <w:t>427,525</w:t>
            </w:r>
          </w:p>
        </w:tc>
        <w:tc>
          <w:tcPr>
            <w:tcW w:w="0" w:type="dxa"/>
            <w:vAlign w:val="bottom"/>
          </w:tcPr>
          <w:p>
            <w:pPr>
              <w:spacing w:after="0"/>
              <w:rPr>
                <w:sz w:val="1"/>
                <w:szCs w:val="1"/>
                <w:color w:val="auto"/>
              </w:rPr>
            </w:pPr>
          </w:p>
        </w:tc>
      </w:tr>
      <w:tr>
        <w:trPr>
          <w:trHeight w:val="239"/>
        </w:trPr>
        <w:tc>
          <w:tcPr>
            <w:tcW w:w="566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Mohammed G. Zerhouni</w:t>
            </w:r>
          </w:p>
        </w:tc>
        <w:tc>
          <w:tcPr>
            <w:tcW w:w="5580" w:type="dxa"/>
            <w:vAlign w:val="bottom"/>
            <w:tcBorders>
              <w:bottom w:val="single" w:sz="8" w:color="D9D9D9"/>
            </w:tcBorders>
            <w:gridSpan w:val="3"/>
          </w:tcPr>
          <w:p>
            <w:pPr>
              <w:jc w:val="right"/>
              <w:spacing w:after="0"/>
              <w:rPr>
                <w:sz w:val="20"/>
                <w:szCs w:val="20"/>
                <w:color w:val="auto"/>
              </w:rPr>
            </w:pPr>
            <w:r>
              <w:rPr>
                <w:rFonts w:ascii="Arial" w:cs="Arial" w:eastAsia="Arial" w:hAnsi="Arial"/>
                <w:sz w:val="16"/>
                <w:szCs w:val="16"/>
                <w:color w:val="auto"/>
              </w:rPr>
              <w:t>199,905</w:t>
            </w:r>
          </w:p>
        </w:tc>
        <w:tc>
          <w:tcPr>
            <w:tcW w:w="0" w:type="dxa"/>
            <w:vAlign w:val="bottom"/>
          </w:tcPr>
          <w:p>
            <w:pPr>
              <w:spacing w:after="0"/>
              <w:rPr>
                <w:sz w:val="1"/>
                <w:szCs w:val="1"/>
                <w:color w:val="auto"/>
              </w:rPr>
            </w:pPr>
          </w:p>
        </w:tc>
      </w:tr>
      <w:tr>
        <w:trPr>
          <w:trHeight w:val="239"/>
        </w:trPr>
        <w:tc>
          <w:tcPr>
            <w:tcW w:w="566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Gregory S. Sorensen</w:t>
            </w:r>
          </w:p>
        </w:tc>
        <w:tc>
          <w:tcPr>
            <w:tcW w:w="5580" w:type="dxa"/>
            <w:vAlign w:val="bottom"/>
            <w:tcBorders>
              <w:bottom w:val="single" w:sz="8" w:color="D9D9D9"/>
            </w:tcBorders>
            <w:gridSpan w:val="3"/>
          </w:tcPr>
          <w:p>
            <w:pPr>
              <w:jc w:val="right"/>
              <w:spacing w:after="0"/>
              <w:rPr>
                <w:sz w:val="20"/>
                <w:szCs w:val="20"/>
                <w:color w:val="auto"/>
              </w:rPr>
            </w:pPr>
            <w:r>
              <w:rPr>
                <w:rFonts w:ascii="Arial" w:cs="Arial" w:eastAsia="Arial" w:hAnsi="Arial"/>
                <w:sz w:val="16"/>
                <w:szCs w:val="16"/>
                <w:color w:val="auto"/>
              </w:rPr>
              <w:t>165,098</w:t>
            </w:r>
          </w:p>
        </w:tc>
        <w:tc>
          <w:tcPr>
            <w:tcW w:w="0" w:type="dxa"/>
            <w:vAlign w:val="bottom"/>
          </w:tcPr>
          <w:p>
            <w:pPr>
              <w:spacing w:after="0"/>
              <w:rPr>
                <w:sz w:val="1"/>
                <w:szCs w:val="1"/>
                <w:color w:val="auto"/>
              </w:rPr>
            </w:pPr>
          </w:p>
        </w:tc>
      </w:tr>
      <w:tr>
        <w:trPr>
          <w:trHeight w:val="239"/>
        </w:trPr>
        <w:tc>
          <w:tcPr>
            <w:tcW w:w="566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Jay L. Kooper</w:t>
            </w:r>
          </w:p>
        </w:tc>
        <w:tc>
          <w:tcPr>
            <w:tcW w:w="5060" w:type="dxa"/>
            <w:vAlign w:val="bottom"/>
            <w:tcBorders>
              <w:bottom w:val="single" w:sz="8" w:color="D9D9D9"/>
            </w:tcBorders>
          </w:tcPr>
          <w:p>
            <w:pPr>
              <w:spacing w:after="0"/>
              <w:rPr>
                <w:sz w:val="20"/>
                <w:szCs w:val="20"/>
                <w:color w:val="auto"/>
              </w:rPr>
            </w:pPr>
          </w:p>
        </w:tc>
        <w:tc>
          <w:tcPr>
            <w:tcW w:w="520" w:type="dxa"/>
            <w:vAlign w:val="bottom"/>
            <w:tcBorders>
              <w:bottom w:val="single" w:sz="8" w:color="D9D9D9"/>
            </w:tcBorders>
            <w:gridSpan w:val="2"/>
          </w:tcPr>
          <w:p>
            <w:pPr>
              <w:jc w:val="right"/>
              <w:spacing w:after="0"/>
              <w:rPr>
                <w:sz w:val="20"/>
                <w:szCs w:val="20"/>
                <w:color w:val="auto"/>
              </w:rPr>
            </w:pPr>
            <w:r>
              <w:rPr>
                <w:rFonts w:ascii="Arial" w:cs="Arial" w:eastAsia="Arial" w:hAnsi="Arial"/>
                <w:sz w:val="16"/>
                <w:szCs w:val="16"/>
                <w:color w:val="auto"/>
              </w:rPr>
              <w:t>63,960</w:t>
            </w:r>
          </w:p>
        </w:tc>
        <w:tc>
          <w:tcPr>
            <w:tcW w:w="0" w:type="dxa"/>
            <w:vAlign w:val="bottom"/>
          </w:tcPr>
          <w:p>
            <w:pPr>
              <w:spacing w:after="0"/>
              <w:rPr>
                <w:sz w:val="1"/>
                <w:szCs w:val="1"/>
                <w:color w:val="auto"/>
              </w:rPr>
            </w:pPr>
          </w:p>
        </w:tc>
      </w:tr>
      <w:tr>
        <w:trPr>
          <w:trHeight w:val="239"/>
        </w:trPr>
        <w:tc>
          <w:tcPr>
            <w:tcW w:w="5660" w:type="dxa"/>
            <w:vAlign w:val="bottom"/>
            <w:tcBorders>
              <w:bottom w:val="single" w:sz="8" w:color="00AEEF"/>
            </w:tcBorders>
          </w:tcPr>
          <w:p>
            <w:pPr>
              <w:ind w:left="20"/>
              <w:spacing w:after="0"/>
              <w:rPr>
                <w:sz w:val="20"/>
                <w:szCs w:val="20"/>
                <w:color w:val="auto"/>
              </w:rPr>
            </w:pPr>
            <w:r>
              <w:rPr>
                <w:rFonts w:ascii="Arial" w:cs="Arial" w:eastAsia="Arial" w:hAnsi="Arial"/>
                <w:sz w:val="16"/>
                <w:szCs w:val="16"/>
                <w:b w:val="1"/>
                <w:bCs w:val="1"/>
                <w:color w:val="191769"/>
              </w:rPr>
              <w:t>Georgia M. Simpson</w:t>
            </w:r>
          </w:p>
        </w:tc>
        <w:tc>
          <w:tcPr>
            <w:tcW w:w="5060" w:type="dxa"/>
            <w:vAlign w:val="bottom"/>
            <w:tcBorders>
              <w:bottom w:val="single" w:sz="8" w:color="00AEEF"/>
            </w:tcBorders>
          </w:tcPr>
          <w:p>
            <w:pPr>
              <w:spacing w:after="0"/>
              <w:rPr>
                <w:sz w:val="20"/>
                <w:szCs w:val="20"/>
                <w:color w:val="auto"/>
              </w:rPr>
            </w:pPr>
          </w:p>
        </w:tc>
        <w:tc>
          <w:tcPr>
            <w:tcW w:w="520" w:type="dxa"/>
            <w:vAlign w:val="bottom"/>
            <w:tcBorders>
              <w:bottom w:val="single" w:sz="8" w:color="00AEEF"/>
            </w:tcBorders>
            <w:gridSpan w:val="2"/>
          </w:tcPr>
          <w:p>
            <w:pPr>
              <w:jc w:val="right"/>
              <w:spacing w:after="0"/>
              <w:rPr>
                <w:sz w:val="20"/>
                <w:szCs w:val="20"/>
                <w:color w:val="auto"/>
              </w:rPr>
            </w:pPr>
            <w:r>
              <w:rPr>
                <w:rFonts w:ascii="Arial" w:cs="Arial" w:eastAsia="Arial" w:hAnsi="Arial"/>
                <w:sz w:val="16"/>
                <w:szCs w:val="16"/>
                <w:color w:val="auto"/>
              </w:rPr>
              <w:t>52,696</w:t>
            </w:r>
          </w:p>
        </w:tc>
        <w:tc>
          <w:tcPr>
            <w:tcW w:w="0" w:type="dxa"/>
            <w:vAlign w:val="bottom"/>
          </w:tcPr>
          <w:p>
            <w:pPr>
              <w:spacing w:after="0"/>
              <w:rPr>
                <w:sz w:val="1"/>
                <w:szCs w:val="1"/>
                <w:color w:val="auto"/>
              </w:rPr>
            </w:pPr>
          </w:p>
        </w:tc>
      </w:tr>
      <w:tr>
        <w:trPr>
          <w:trHeight w:val="652"/>
        </w:trPr>
        <w:tc>
          <w:tcPr>
            <w:tcW w:w="5660" w:type="dxa"/>
            <w:vAlign w:val="bottom"/>
          </w:tcPr>
          <w:p>
            <w:pPr>
              <w:spacing w:after="0"/>
              <w:rPr>
                <w:sz w:val="24"/>
                <w:szCs w:val="24"/>
                <w:color w:val="auto"/>
              </w:rPr>
            </w:pPr>
          </w:p>
        </w:tc>
        <w:tc>
          <w:tcPr>
            <w:tcW w:w="5060" w:type="dxa"/>
            <w:vAlign w:val="bottom"/>
            <w:vMerge w:val="restart"/>
          </w:tcPr>
          <w:p>
            <w:pPr>
              <w:ind w:left="3760"/>
              <w:spacing w:after="0"/>
              <w:rPr>
                <w:sz w:val="20"/>
                <w:szCs w:val="20"/>
                <w:color w:val="auto"/>
              </w:rPr>
            </w:pPr>
            <w:r>
              <w:rPr>
                <w:rFonts w:ascii="Arial" w:cs="Arial" w:eastAsia="Arial" w:hAnsi="Arial"/>
                <w:sz w:val="13"/>
                <w:szCs w:val="13"/>
                <w:b w:val="1"/>
                <w:bCs w:val="1"/>
                <w:color w:val="191769"/>
                <w:w w:val="99"/>
              </w:rPr>
              <w:t xml:space="preserve">2026 </w:t>
            </w:r>
            <w:r>
              <w:rPr>
                <w:rFonts w:ascii="Arial" w:cs="Arial" w:eastAsia="Arial" w:hAnsi="Arial"/>
                <w:sz w:val="13"/>
                <w:szCs w:val="13"/>
                <w:color w:val="000000"/>
                <w:w w:val="99"/>
              </w:rPr>
              <w:t>Proxy Statement</w:t>
            </w:r>
          </w:p>
        </w:tc>
        <w:tc>
          <w:tcPr>
            <w:tcW w:w="5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660" w:type="dxa"/>
            <w:vAlign w:val="bottom"/>
          </w:tcPr>
          <w:p>
            <w:pPr>
              <w:spacing w:after="0"/>
              <w:rPr>
                <w:sz w:val="18"/>
                <w:szCs w:val="18"/>
                <w:color w:val="auto"/>
              </w:rPr>
            </w:pPr>
          </w:p>
        </w:tc>
        <w:tc>
          <w:tcPr>
            <w:tcW w:w="5060" w:type="dxa"/>
            <w:vAlign w:val="bottom"/>
            <w:vMerge w:val="continue"/>
          </w:tcPr>
          <w:p>
            <w:pPr>
              <w:spacing w:after="0"/>
              <w:rPr>
                <w:sz w:val="18"/>
                <w:szCs w:val="18"/>
                <w:color w:val="auto"/>
              </w:rPr>
            </w:pPr>
          </w:p>
        </w:tc>
        <w:tc>
          <w:tcPr>
            <w:tcW w:w="140" w:type="dxa"/>
            <w:vAlign w:val="bottom"/>
            <w:tcBorders>
              <w:right w:val="single" w:sz="8" w:color="00AEEF"/>
            </w:tcBorders>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45</w:t>
            </w:r>
          </w:p>
        </w:tc>
        <w:tc>
          <w:tcPr>
            <w:tcW w:w="0" w:type="dxa"/>
            <w:vAlign w:val="bottom"/>
          </w:tcPr>
          <w:p>
            <w:pPr>
              <w:spacing w:after="0"/>
              <w:rPr>
                <w:sz w:val="1"/>
                <w:szCs w:val="1"/>
                <w:color w:val="auto"/>
              </w:rPr>
            </w:pPr>
          </w:p>
        </w:tc>
      </w:tr>
      <w:tr>
        <w:trPr>
          <w:trHeight w:val="325"/>
        </w:trPr>
        <w:tc>
          <w:tcPr>
            <w:tcW w:w="566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color w:val="191769"/>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191769"/>
        </w:rPr>
        <w:t>Long-Term Equity Incentives</w:t>
      </w:r>
    </w:p>
    <w:p>
      <w:pPr>
        <w:spacing w:after="0" w:line="87"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The Company’s shareholder-approved long-term equity incentive plan provides for awards in the form of restricted stock of Company common stock (the “Restricted Stock Plan”). Awards under the Restricted Stock Plan are generally awarded on an annual basis and are based on the achievement of pre-determined one-year goals. The ultimate value of the compensation recognized from restricted stock issued is determined as of the date vesting occurs.</w:t>
      </w:r>
    </w:p>
    <w:p>
      <w:pPr>
        <w:spacing w:after="0" w:line="87" w:lineRule="exact"/>
        <w:rPr>
          <w:sz w:val="20"/>
          <w:szCs w:val="20"/>
          <w:color w:val="auto"/>
        </w:rPr>
      </w:pPr>
    </w:p>
    <w:p>
      <w:pPr>
        <w:ind w:right="400"/>
        <w:spacing w:after="0" w:line="299" w:lineRule="auto"/>
        <w:rPr>
          <w:sz w:val="20"/>
          <w:szCs w:val="20"/>
          <w:color w:val="auto"/>
        </w:rPr>
      </w:pPr>
      <w:r>
        <w:rPr>
          <w:rFonts w:ascii="Arial" w:cs="Arial" w:eastAsia="Arial" w:hAnsi="Arial"/>
          <w:sz w:val="16"/>
          <w:szCs w:val="16"/>
          <w:color w:val="auto"/>
        </w:rPr>
        <w:t>The Restricted Stock Plan is designed to compensate the NEOs for executing specific elements of the Company’s business plan. For 2025, the target award amount is comprised of two equally weighted corporate financial goals, diluted earnings per share and capital investment delivery.</w:t>
      </w:r>
    </w:p>
    <w:p>
      <w:pPr>
        <w:spacing w:after="0" w:line="59"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In February 2026, the Board approved Restricted Stock Plan awards as recommended by the Committee based on 2025 performance. These Restricted Stock Plan grants have a three-year vesting period from the grant date, and vest ratably in annual installments over the restricted period provided the executive maintains continuous service to the Company during the restricted period. Awards made to NEOs under the Restricted Stock Plan entitle also each recipient of an award to receive regular quarterly dividend payments on awards on the unvested awards.</w:t>
      </w:r>
    </w:p>
    <w:p>
      <w:pPr>
        <w:spacing w:after="0" w:line="92" w:lineRule="exact"/>
        <w:rPr>
          <w:sz w:val="20"/>
          <w:szCs w:val="20"/>
          <w:color w:val="auto"/>
        </w:rPr>
      </w:pPr>
    </w:p>
    <w:p>
      <w:pPr>
        <w:ind w:right="400"/>
        <w:spacing w:after="0" w:line="299" w:lineRule="auto"/>
        <w:rPr>
          <w:sz w:val="20"/>
          <w:szCs w:val="20"/>
          <w:color w:val="auto"/>
        </w:rPr>
      </w:pPr>
      <w:r>
        <w:rPr>
          <w:rFonts w:ascii="Arial" w:cs="Arial" w:eastAsia="Arial" w:hAnsi="Arial"/>
          <w:sz w:val="16"/>
          <w:szCs w:val="16"/>
          <w:color w:val="auto"/>
        </w:rPr>
        <w:t>Delivered performance during the applicable measurement period may exceed, or fall short, of the targets, resulting in the NEO receiving an incentive award that is above or below the targeted level, but not in excess of 175% of the target.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2025 LONG-TERM EQUITY AWARDS</w:t>
      </w:r>
    </w:p>
    <w:p>
      <w:pPr>
        <w:spacing w:after="0" w:line="99"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In connection with the market-based analysis of compensation conducted by our independent consultant in the Company’s most recent executive compensation study, the Company established a long-term incentive target as a percentage of base salary for each NEO. The respective long-term award target percentages comprising the total award target percentage for each NEO for 2025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220" w:type="dxa"/>
            <w:vAlign w:val="bottom"/>
          </w:tcPr>
          <w:p>
            <w:pPr>
              <w:spacing w:after="0"/>
              <w:rPr>
                <w:sz w:val="13"/>
                <w:szCs w:val="13"/>
                <w:color w:val="auto"/>
              </w:rPr>
            </w:pPr>
          </w:p>
        </w:tc>
        <w:tc>
          <w:tcPr>
            <w:tcW w:w="3700" w:type="dxa"/>
            <w:vAlign w:val="bottom"/>
          </w:tcPr>
          <w:p>
            <w:pPr>
              <w:jc w:val="right"/>
              <w:ind w:right="324"/>
              <w:spacing w:after="0"/>
              <w:rPr>
                <w:sz w:val="20"/>
                <w:szCs w:val="20"/>
                <w:color w:val="auto"/>
              </w:rPr>
            </w:pPr>
            <w:r>
              <w:rPr>
                <w:rFonts w:ascii="Arial" w:cs="Arial" w:eastAsia="Arial" w:hAnsi="Arial"/>
                <w:sz w:val="13"/>
                <w:szCs w:val="13"/>
                <w:b w:val="1"/>
                <w:bCs w:val="1"/>
                <w:color w:val="191769"/>
              </w:rPr>
              <w:t>Base Salary at</w:t>
            </w:r>
          </w:p>
        </w:tc>
        <w:tc>
          <w:tcPr>
            <w:tcW w:w="1840" w:type="dxa"/>
            <w:vAlign w:val="bottom"/>
          </w:tcPr>
          <w:p>
            <w:pPr>
              <w:jc w:val="right"/>
              <w:ind w:right="304"/>
              <w:spacing w:after="0"/>
              <w:rPr>
                <w:sz w:val="20"/>
                <w:szCs w:val="20"/>
                <w:color w:val="auto"/>
              </w:rPr>
            </w:pPr>
            <w:r>
              <w:rPr>
                <w:rFonts w:ascii="Arial" w:cs="Arial" w:eastAsia="Arial" w:hAnsi="Arial"/>
                <w:sz w:val="13"/>
                <w:szCs w:val="13"/>
                <w:b w:val="1"/>
                <w:bCs w:val="1"/>
                <w:color w:val="191769"/>
              </w:rPr>
              <w:t>Target Restricted</w:t>
            </w:r>
          </w:p>
        </w:tc>
        <w:tc>
          <w:tcPr>
            <w:tcW w:w="1480" w:type="dxa"/>
            <w:vAlign w:val="bottom"/>
          </w:tcPr>
          <w:p>
            <w:pPr>
              <w:jc w:val="right"/>
              <w:spacing w:after="0"/>
              <w:rPr>
                <w:sz w:val="20"/>
                <w:szCs w:val="20"/>
                <w:color w:val="auto"/>
              </w:rPr>
            </w:pPr>
            <w:r>
              <w:rPr>
                <w:rFonts w:ascii="Arial" w:cs="Arial" w:eastAsia="Arial" w:hAnsi="Arial"/>
                <w:sz w:val="13"/>
                <w:szCs w:val="13"/>
                <w:b w:val="1"/>
                <w:bCs w:val="1"/>
                <w:color w:val="191769"/>
              </w:rPr>
              <w:t>Target Restricted</w:t>
            </w:r>
          </w:p>
        </w:tc>
        <w:tc>
          <w:tcPr>
            <w:tcW w:w="0" w:type="dxa"/>
            <w:vAlign w:val="bottom"/>
          </w:tcPr>
          <w:p>
            <w:pPr>
              <w:spacing w:after="0"/>
              <w:rPr>
                <w:sz w:val="1"/>
                <w:szCs w:val="1"/>
                <w:color w:val="auto"/>
              </w:rPr>
            </w:pPr>
          </w:p>
        </w:tc>
      </w:tr>
      <w:tr>
        <w:trPr>
          <w:trHeight w:val="160"/>
        </w:trPr>
        <w:tc>
          <w:tcPr>
            <w:tcW w:w="4220" w:type="dxa"/>
            <w:vAlign w:val="bottom"/>
            <w:vMerge w:val="restart"/>
          </w:tcPr>
          <w:p>
            <w:pPr>
              <w:ind w:left="20"/>
              <w:spacing w:after="0"/>
              <w:rPr>
                <w:sz w:val="20"/>
                <w:szCs w:val="20"/>
                <w:color w:val="auto"/>
              </w:rPr>
            </w:pPr>
            <w:r>
              <w:rPr>
                <w:rFonts w:ascii="Arial" w:cs="Arial" w:eastAsia="Arial" w:hAnsi="Arial"/>
                <w:sz w:val="13"/>
                <w:szCs w:val="13"/>
                <w:b w:val="1"/>
                <w:bCs w:val="1"/>
                <w:color w:val="191769"/>
              </w:rPr>
              <w:t>Name</w:t>
            </w:r>
          </w:p>
        </w:tc>
        <w:tc>
          <w:tcPr>
            <w:tcW w:w="3700" w:type="dxa"/>
            <w:vAlign w:val="bottom"/>
          </w:tcPr>
          <w:p>
            <w:pPr>
              <w:jc w:val="right"/>
              <w:ind w:right="324"/>
              <w:spacing w:after="0"/>
              <w:rPr>
                <w:sz w:val="20"/>
                <w:szCs w:val="20"/>
                <w:color w:val="auto"/>
              </w:rPr>
            </w:pPr>
            <w:r>
              <w:rPr>
                <w:rFonts w:ascii="Arial" w:cs="Arial" w:eastAsia="Arial" w:hAnsi="Arial"/>
                <w:sz w:val="13"/>
                <w:szCs w:val="13"/>
                <w:b w:val="1"/>
                <w:bCs w:val="1"/>
                <w:color w:val="191769"/>
              </w:rPr>
              <w:t>December 2025</w:t>
            </w:r>
          </w:p>
        </w:tc>
        <w:tc>
          <w:tcPr>
            <w:tcW w:w="1840" w:type="dxa"/>
            <w:vAlign w:val="bottom"/>
          </w:tcPr>
          <w:p>
            <w:pPr>
              <w:jc w:val="right"/>
              <w:ind w:right="304"/>
              <w:spacing w:after="0"/>
              <w:rPr>
                <w:sz w:val="20"/>
                <w:szCs w:val="20"/>
                <w:color w:val="auto"/>
              </w:rPr>
            </w:pPr>
            <w:r>
              <w:rPr>
                <w:rFonts w:ascii="Arial" w:cs="Arial" w:eastAsia="Arial" w:hAnsi="Arial"/>
                <w:sz w:val="13"/>
                <w:szCs w:val="13"/>
                <w:b w:val="1"/>
                <w:bCs w:val="1"/>
                <w:color w:val="191769"/>
              </w:rPr>
              <w:t>Stock Award</w:t>
            </w:r>
          </w:p>
        </w:tc>
        <w:tc>
          <w:tcPr>
            <w:tcW w:w="1480" w:type="dxa"/>
            <w:vAlign w:val="bottom"/>
          </w:tcPr>
          <w:p>
            <w:pPr>
              <w:jc w:val="right"/>
              <w:spacing w:after="0"/>
              <w:rPr>
                <w:sz w:val="20"/>
                <w:szCs w:val="20"/>
                <w:color w:val="auto"/>
              </w:rPr>
            </w:pPr>
            <w:r>
              <w:rPr>
                <w:rFonts w:ascii="Arial" w:cs="Arial" w:eastAsia="Arial" w:hAnsi="Arial"/>
                <w:sz w:val="13"/>
                <w:szCs w:val="13"/>
                <w:b w:val="1"/>
                <w:bCs w:val="1"/>
                <w:color w:val="191769"/>
              </w:rPr>
              <w:t>Stock Award</w:t>
            </w:r>
          </w:p>
        </w:tc>
        <w:tc>
          <w:tcPr>
            <w:tcW w:w="0" w:type="dxa"/>
            <w:vAlign w:val="bottom"/>
          </w:tcPr>
          <w:p>
            <w:pPr>
              <w:spacing w:after="0"/>
              <w:rPr>
                <w:sz w:val="1"/>
                <w:szCs w:val="1"/>
                <w:color w:val="auto"/>
              </w:rPr>
            </w:pPr>
          </w:p>
        </w:tc>
      </w:tr>
      <w:tr>
        <w:trPr>
          <w:trHeight w:val="179"/>
        </w:trPr>
        <w:tc>
          <w:tcPr>
            <w:tcW w:w="4220" w:type="dxa"/>
            <w:vAlign w:val="bottom"/>
            <w:tcBorders>
              <w:bottom w:val="single" w:sz="8" w:color="00AEEF"/>
            </w:tcBorders>
            <w:vMerge w:val="continue"/>
          </w:tcPr>
          <w:p>
            <w:pPr>
              <w:spacing w:after="0"/>
              <w:rPr>
                <w:sz w:val="15"/>
                <w:szCs w:val="15"/>
                <w:color w:val="auto"/>
              </w:rPr>
            </w:pPr>
          </w:p>
        </w:tc>
        <w:tc>
          <w:tcPr>
            <w:tcW w:w="3700" w:type="dxa"/>
            <w:vAlign w:val="bottom"/>
            <w:tcBorders>
              <w:bottom w:val="single" w:sz="8" w:color="00AEEF"/>
            </w:tcBorders>
          </w:tcPr>
          <w:p>
            <w:pPr>
              <w:jc w:val="right"/>
              <w:ind w:right="324"/>
              <w:spacing w:after="0"/>
              <w:rPr>
                <w:sz w:val="20"/>
                <w:szCs w:val="20"/>
                <w:color w:val="auto"/>
              </w:rPr>
            </w:pPr>
            <w:r>
              <w:rPr>
                <w:rFonts w:ascii="Arial" w:cs="Arial" w:eastAsia="Arial" w:hAnsi="Arial"/>
                <w:sz w:val="13"/>
                <w:szCs w:val="13"/>
                <w:b w:val="1"/>
                <w:bCs w:val="1"/>
                <w:color w:val="191769"/>
              </w:rPr>
              <w:t>($)</w:t>
            </w:r>
          </w:p>
        </w:tc>
        <w:tc>
          <w:tcPr>
            <w:tcW w:w="1840" w:type="dxa"/>
            <w:vAlign w:val="bottom"/>
            <w:tcBorders>
              <w:bottom w:val="single" w:sz="8" w:color="00AEEF"/>
            </w:tcBorders>
          </w:tcPr>
          <w:p>
            <w:pPr>
              <w:jc w:val="right"/>
              <w:ind w:right="304"/>
              <w:spacing w:after="0"/>
              <w:rPr>
                <w:sz w:val="20"/>
                <w:szCs w:val="20"/>
                <w:color w:val="auto"/>
              </w:rPr>
            </w:pPr>
            <w:r>
              <w:rPr>
                <w:rFonts w:ascii="Arial" w:cs="Arial" w:eastAsia="Arial" w:hAnsi="Arial"/>
                <w:sz w:val="13"/>
                <w:szCs w:val="13"/>
                <w:b w:val="1"/>
                <w:bCs w:val="1"/>
                <w:color w:val="191769"/>
              </w:rPr>
              <w:t>(%)</w:t>
            </w:r>
          </w:p>
        </w:tc>
        <w:tc>
          <w:tcPr>
            <w:tcW w:w="1480" w:type="dxa"/>
            <w:vAlign w:val="bottom"/>
            <w:tcBorders>
              <w:bottom w:val="single" w:sz="8" w:color="00AEEF"/>
            </w:tcBorders>
          </w:tcPr>
          <w:p>
            <w:pPr>
              <w:jc w:val="right"/>
              <w:spacing w:after="0"/>
              <w:rPr>
                <w:sz w:val="20"/>
                <w:szCs w:val="20"/>
                <w:color w:val="auto"/>
              </w:rPr>
            </w:pPr>
            <w:r>
              <w:rPr>
                <w:rFonts w:ascii="Arial" w:cs="Arial" w:eastAsia="Arial" w:hAnsi="Arial"/>
                <w:sz w:val="13"/>
                <w:szCs w:val="13"/>
                <w:b w:val="1"/>
                <w:bCs w:val="1"/>
                <w:color w:val="191769"/>
              </w:rPr>
              <w:t>($)</w:t>
            </w:r>
          </w:p>
        </w:tc>
        <w:tc>
          <w:tcPr>
            <w:tcW w:w="0" w:type="dxa"/>
            <w:vAlign w:val="bottom"/>
          </w:tcPr>
          <w:p>
            <w:pPr>
              <w:spacing w:after="0"/>
              <w:rPr>
                <w:sz w:val="1"/>
                <w:szCs w:val="1"/>
                <w:color w:val="auto"/>
              </w:rPr>
            </w:pPr>
          </w:p>
        </w:tc>
      </w:tr>
      <w:tr>
        <w:trPr>
          <w:trHeight w:val="232"/>
        </w:trPr>
        <w:tc>
          <w:tcPr>
            <w:tcW w:w="422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Nadine Leslie</w:t>
            </w:r>
          </w:p>
        </w:tc>
        <w:tc>
          <w:tcPr>
            <w:tcW w:w="3700" w:type="dxa"/>
            <w:vAlign w:val="bottom"/>
            <w:tcBorders>
              <w:bottom w:val="single" w:sz="8" w:color="D9D9D9"/>
            </w:tcBorders>
          </w:tcPr>
          <w:p>
            <w:pPr>
              <w:jc w:val="right"/>
              <w:ind w:right="324"/>
              <w:spacing w:after="0"/>
              <w:rPr>
                <w:sz w:val="20"/>
                <w:szCs w:val="20"/>
                <w:color w:val="auto"/>
              </w:rPr>
            </w:pPr>
            <w:r>
              <w:rPr>
                <w:rFonts w:ascii="Arial" w:cs="Arial" w:eastAsia="Arial" w:hAnsi="Arial"/>
                <w:sz w:val="16"/>
                <w:szCs w:val="16"/>
                <w:color w:val="auto"/>
              </w:rPr>
              <w:t>754,000</w:t>
            </w:r>
          </w:p>
        </w:tc>
        <w:tc>
          <w:tcPr>
            <w:tcW w:w="1840" w:type="dxa"/>
            <w:vAlign w:val="bottom"/>
            <w:tcBorders>
              <w:bottom w:val="single" w:sz="8" w:color="D9D9D9"/>
            </w:tcBorders>
          </w:tcPr>
          <w:p>
            <w:pPr>
              <w:jc w:val="right"/>
              <w:ind w:right="304"/>
              <w:spacing w:after="0"/>
              <w:rPr>
                <w:sz w:val="20"/>
                <w:szCs w:val="20"/>
                <w:color w:val="auto"/>
              </w:rPr>
            </w:pPr>
            <w:r>
              <w:rPr>
                <w:rFonts w:ascii="Arial" w:cs="Arial" w:eastAsia="Arial" w:hAnsi="Arial"/>
                <w:sz w:val="16"/>
                <w:szCs w:val="16"/>
                <w:color w:val="auto"/>
              </w:rPr>
              <w:t>50</w:t>
            </w:r>
          </w:p>
        </w:tc>
        <w:tc>
          <w:tcPr>
            <w:tcW w:w="148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377,000</w:t>
            </w:r>
          </w:p>
        </w:tc>
        <w:tc>
          <w:tcPr>
            <w:tcW w:w="0" w:type="dxa"/>
            <w:vAlign w:val="bottom"/>
          </w:tcPr>
          <w:p>
            <w:pPr>
              <w:spacing w:after="0"/>
              <w:rPr>
                <w:sz w:val="1"/>
                <w:szCs w:val="1"/>
                <w:color w:val="auto"/>
              </w:rPr>
            </w:pPr>
          </w:p>
        </w:tc>
      </w:tr>
      <w:tr>
        <w:trPr>
          <w:trHeight w:val="239"/>
        </w:trPr>
        <w:tc>
          <w:tcPr>
            <w:tcW w:w="422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Mohammed G. Zerhouni</w:t>
            </w:r>
          </w:p>
        </w:tc>
        <w:tc>
          <w:tcPr>
            <w:tcW w:w="3700" w:type="dxa"/>
            <w:vAlign w:val="bottom"/>
            <w:tcBorders>
              <w:bottom w:val="single" w:sz="8" w:color="D9D9D9"/>
            </w:tcBorders>
          </w:tcPr>
          <w:p>
            <w:pPr>
              <w:jc w:val="right"/>
              <w:ind w:right="324"/>
              <w:spacing w:after="0"/>
              <w:rPr>
                <w:sz w:val="20"/>
                <w:szCs w:val="20"/>
                <w:color w:val="auto"/>
              </w:rPr>
            </w:pPr>
            <w:r>
              <w:rPr>
                <w:rFonts w:ascii="Arial" w:cs="Arial" w:eastAsia="Arial" w:hAnsi="Arial"/>
                <w:sz w:val="16"/>
                <w:szCs w:val="16"/>
                <w:color w:val="auto"/>
              </w:rPr>
              <w:t>587,600</w:t>
            </w:r>
          </w:p>
        </w:tc>
        <w:tc>
          <w:tcPr>
            <w:tcW w:w="1840" w:type="dxa"/>
            <w:vAlign w:val="bottom"/>
            <w:tcBorders>
              <w:bottom w:val="single" w:sz="8" w:color="D9D9D9"/>
            </w:tcBorders>
          </w:tcPr>
          <w:p>
            <w:pPr>
              <w:jc w:val="right"/>
              <w:ind w:right="304"/>
              <w:spacing w:after="0"/>
              <w:rPr>
                <w:sz w:val="20"/>
                <w:szCs w:val="20"/>
                <w:color w:val="auto"/>
              </w:rPr>
            </w:pPr>
            <w:r>
              <w:rPr>
                <w:rFonts w:ascii="Arial" w:cs="Arial" w:eastAsia="Arial" w:hAnsi="Arial"/>
                <w:sz w:val="16"/>
                <w:szCs w:val="16"/>
                <w:color w:val="auto"/>
              </w:rPr>
              <w:t>30</w:t>
            </w:r>
          </w:p>
        </w:tc>
        <w:tc>
          <w:tcPr>
            <w:tcW w:w="148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176,280</w:t>
            </w:r>
          </w:p>
        </w:tc>
        <w:tc>
          <w:tcPr>
            <w:tcW w:w="0" w:type="dxa"/>
            <w:vAlign w:val="bottom"/>
          </w:tcPr>
          <w:p>
            <w:pPr>
              <w:spacing w:after="0"/>
              <w:rPr>
                <w:sz w:val="1"/>
                <w:szCs w:val="1"/>
                <w:color w:val="auto"/>
              </w:rPr>
            </w:pPr>
          </w:p>
        </w:tc>
      </w:tr>
      <w:tr>
        <w:trPr>
          <w:trHeight w:val="239"/>
        </w:trPr>
        <w:tc>
          <w:tcPr>
            <w:tcW w:w="422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Gregory S. Sorensen</w:t>
            </w:r>
          </w:p>
        </w:tc>
        <w:tc>
          <w:tcPr>
            <w:tcW w:w="3700" w:type="dxa"/>
            <w:vAlign w:val="bottom"/>
            <w:tcBorders>
              <w:bottom w:val="single" w:sz="8" w:color="D9D9D9"/>
            </w:tcBorders>
          </w:tcPr>
          <w:p>
            <w:pPr>
              <w:jc w:val="right"/>
              <w:ind w:right="324"/>
              <w:spacing w:after="0"/>
              <w:rPr>
                <w:sz w:val="20"/>
                <w:szCs w:val="20"/>
                <w:color w:val="auto"/>
              </w:rPr>
            </w:pPr>
            <w:r>
              <w:rPr>
                <w:rFonts w:ascii="Arial" w:cs="Arial" w:eastAsia="Arial" w:hAnsi="Arial"/>
                <w:sz w:val="16"/>
                <w:szCs w:val="16"/>
                <w:color w:val="auto"/>
              </w:rPr>
              <w:t>494,000</w:t>
            </w:r>
          </w:p>
        </w:tc>
        <w:tc>
          <w:tcPr>
            <w:tcW w:w="1840" w:type="dxa"/>
            <w:vAlign w:val="bottom"/>
            <w:tcBorders>
              <w:bottom w:val="single" w:sz="8" w:color="D9D9D9"/>
            </w:tcBorders>
          </w:tcPr>
          <w:p>
            <w:pPr>
              <w:jc w:val="right"/>
              <w:ind w:right="304"/>
              <w:spacing w:after="0"/>
              <w:rPr>
                <w:sz w:val="20"/>
                <w:szCs w:val="20"/>
                <w:color w:val="auto"/>
              </w:rPr>
            </w:pPr>
            <w:r>
              <w:rPr>
                <w:rFonts w:ascii="Arial" w:cs="Arial" w:eastAsia="Arial" w:hAnsi="Arial"/>
                <w:sz w:val="16"/>
                <w:szCs w:val="16"/>
                <w:color w:val="auto"/>
              </w:rPr>
              <w:t>30</w:t>
            </w:r>
          </w:p>
        </w:tc>
        <w:tc>
          <w:tcPr>
            <w:tcW w:w="148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148,200</w:t>
            </w:r>
          </w:p>
        </w:tc>
        <w:tc>
          <w:tcPr>
            <w:tcW w:w="0" w:type="dxa"/>
            <w:vAlign w:val="bottom"/>
          </w:tcPr>
          <w:p>
            <w:pPr>
              <w:spacing w:after="0"/>
              <w:rPr>
                <w:sz w:val="1"/>
                <w:szCs w:val="1"/>
                <w:color w:val="auto"/>
              </w:rPr>
            </w:pPr>
          </w:p>
        </w:tc>
      </w:tr>
      <w:tr>
        <w:trPr>
          <w:trHeight w:val="239"/>
        </w:trPr>
        <w:tc>
          <w:tcPr>
            <w:tcW w:w="422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Jay L. Kooper</w:t>
            </w:r>
          </w:p>
        </w:tc>
        <w:tc>
          <w:tcPr>
            <w:tcW w:w="3700" w:type="dxa"/>
            <w:vAlign w:val="bottom"/>
            <w:tcBorders>
              <w:bottom w:val="single" w:sz="8" w:color="D9D9D9"/>
            </w:tcBorders>
          </w:tcPr>
          <w:p>
            <w:pPr>
              <w:jc w:val="right"/>
              <w:ind w:right="324"/>
              <w:spacing w:after="0"/>
              <w:rPr>
                <w:sz w:val="20"/>
                <w:szCs w:val="20"/>
                <w:color w:val="auto"/>
              </w:rPr>
            </w:pPr>
            <w:r>
              <w:rPr>
                <w:rFonts w:ascii="Arial" w:cs="Arial" w:eastAsia="Arial" w:hAnsi="Arial"/>
                <w:sz w:val="16"/>
                <w:szCs w:val="16"/>
                <w:color w:val="auto"/>
              </w:rPr>
              <w:t>386,227</w:t>
            </w:r>
          </w:p>
        </w:tc>
        <w:tc>
          <w:tcPr>
            <w:tcW w:w="1840" w:type="dxa"/>
            <w:vAlign w:val="bottom"/>
            <w:tcBorders>
              <w:bottom w:val="single" w:sz="8" w:color="D9D9D9"/>
            </w:tcBorders>
          </w:tcPr>
          <w:p>
            <w:pPr>
              <w:jc w:val="right"/>
              <w:ind w:right="304"/>
              <w:spacing w:after="0"/>
              <w:rPr>
                <w:sz w:val="20"/>
                <w:szCs w:val="20"/>
                <w:color w:val="auto"/>
              </w:rPr>
            </w:pPr>
            <w:r>
              <w:rPr>
                <w:rFonts w:ascii="Arial" w:cs="Arial" w:eastAsia="Arial" w:hAnsi="Arial"/>
                <w:sz w:val="16"/>
                <w:szCs w:val="16"/>
                <w:color w:val="auto"/>
              </w:rPr>
              <w:t>20</w:t>
            </w:r>
          </w:p>
        </w:tc>
        <w:tc>
          <w:tcPr>
            <w:tcW w:w="148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77,245</w:t>
            </w:r>
          </w:p>
        </w:tc>
        <w:tc>
          <w:tcPr>
            <w:tcW w:w="0" w:type="dxa"/>
            <w:vAlign w:val="bottom"/>
          </w:tcPr>
          <w:p>
            <w:pPr>
              <w:spacing w:after="0"/>
              <w:rPr>
                <w:sz w:val="1"/>
                <w:szCs w:val="1"/>
                <w:color w:val="auto"/>
              </w:rPr>
            </w:pPr>
          </w:p>
        </w:tc>
      </w:tr>
      <w:tr>
        <w:trPr>
          <w:trHeight w:val="239"/>
        </w:trPr>
        <w:tc>
          <w:tcPr>
            <w:tcW w:w="4220" w:type="dxa"/>
            <w:vAlign w:val="bottom"/>
            <w:tcBorders>
              <w:bottom w:val="single" w:sz="8" w:color="00AEEF"/>
            </w:tcBorders>
          </w:tcPr>
          <w:p>
            <w:pPr>
              <w:ind w:left="20"/>
              <w:spacing w:after="0"/>
              <w:rPr>
                <w:sz w:val="20"/>
                <w:szCs w:val="20"/>
                <w:color w:val="auto"/>
              </w:rPr>
            </w:pPr>
            <w:r>
              <w:rPr>
                <w:rFonts w:ascii="Arial" w:cs="Arial" w:eastAsia="Arial" w:hAnsi="Arial"/>
                <w:sz w:val="16"/>
                <w:szCs w:val="16"/>
                <w:b w:val="1"/>
                <w:bCs w:val="1"/>
                <w:color w:val="191769"/>
              </w:rPr>
              <w:t>Georgia M. Simpson</w:t>
            </w:r>
          </w:p>
        </w:tc>
        <w:tc>
          <w:tcPr>
            <w:tcW w:w="3700" w:type="dxa"/>
            <w:vAlign w:val="bottom"/>
            <w:tcBorders>
              <w:bottom w:val="single" w:sz="8" w:color="00AEEF"/>
            </w:tcBorders>
          </w:tcPr>
          <w:p>
            <w:pPr>
              <w:jc w:val="right"/>
              <w:ind w:right="324"/>
              <w:spacing w:after="0"/>
              <w:rPr>
                <w:sz w:val="20"/>
                <w:szCs w:val="20"/>
                <w:color w:val="auto"/>
              </w:rPr>
            </w:pPr>
            <w:r>
              <w:rPr>
                <w:rFonts w:ascii="Arial" w:cs="Arial" w:eastAsia="Arial" w:hAnsi="Arial"/>
                <w:sz w:val="16"/>
                <w:szCs w:val="16"/>
                <w:color w:val="auto"/>
              </w:rPr>
              <w:t>318,210</w:t>
            </w:r>
          </w:p>
        </w:tc>
        <w:tc>
          <w:tcPr>
            <w:tcW w:w="1840" w:type="dxa"/>
            <w:vAlign w:val="bottom"/>
            <w:tcBorders>
              <w:bottom w:val="single" w:sz="8" w:color="00AEEF"/>
            </w:tcBorders>
          </w:tcPr>
          <w:p>
            <w:pPr>
              <w:jc w:val="right"/>
              <w:ind w:right="304"/>
              <w:spacing w:after="0"/>
              <w:rPr>
                <w:sz w:val="20"/>
                <w:szCs w:val="20"/>
                <w:color w:val="auto"/>
              </w:rPr>
            </w:pPr>
            <w:r>
              <w:rPr>
                <w:rFonts w:ascii="Arial" w:cs="Arial" w:eastAsia="Arial" w:hAnsi="Arial"/>
                <w:sz w:val="16"/>
                <w:szCs w:val="16"/>
                <w:color w:val="auto"/>
              </w:rPr>
              <w:t>20</w:t>
            </w:r>
          </w:p>
        </w:tc>
        <w:tc>
          <w:tcPr>
            <w:tcW w:w="1480" w:type="dxa"/>
            <w:vAlign w:val="bottom"/>
            <w:tcBorders>
              <w:bottom w:val="single" w:sz="8" w:color="00AEEF"/>
            </w:tcBorders>
          </w:tcPr>
          <w:p>
            <w:pPr>
              <w:jc w:val="right"/>
              <w:spacing w:after="0"/>
              <w:rPr>
                <w:sz w:val="20"/>
                <w:szCs w:val="20"/>
                <w:color w:val="auto"/>
              </w:rPr>
            </w:pPr>
            <w:r>
              <w:rPr>
                <w:rFonts w:ascii="Arial" w:cs="Arial" w:eastAsia="Arial" w:hAnsi="Arial"/>
                <w:sz w:val="16"/>
                <w:szCs w:val="16"/>
                <w:color w:val="auto"/>
              </w:rPr>
              <w:t>63,642</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The Committee selected two financial metrics for the 2025 Restricted Stock Awards, diluted earnings per share and capital investment delivery. The Committee selected diluted earnings per share as a metric because it is a key metric used by investors and is indicative of profitability affecting our share price. The Committee selected capital investment delivery as the other measure because, as a utility, delivering the approved capital program on time, on budget, and within the required scope is critical to ensure that projects arjne prudently incurred and can earn a return. If our projects under capital investment delivery are not successful, our reliability may fall short as a result of incidents, and we can face penalties from regulators, as well as suffering reputational damage with customers and policymakers.</w:t>
      </w:r>
    </w:p>
    <w:p>
      <w:pPr>
        <w:spacing w:after="0" w:line="98" w:lineRule="exact"/>
        <w:rPr>
          <w:sz w:val="20"/>
          <w:szCs w:val="20"/>
          <w:color w:val="auto"/>
        </w:rPr>
      </w:pPr>
    </w:p>
    <w:p>
      <w:pPr>
        <w:ind w:right="20"/>
        <w:spacing w:after="0" w:line="201" w:lineRule="exact"/>
        <w:rPr>
          <w:sz w:val="20"/>
          <w:szCs w:val="20"/>
          <w:color w:val="auto"/>
        </w:rPr>
      </w:pPr>
      <w:r>
        <w:rPr>
          <w:rFonts w:ascii="Arial" w:cs="Arial" w:eastAsia="Arial" w:hAnsi="Arial"/>
          <w:sz w:val="16"/>
          <w:szCs w:val="16"/>
          <w:color w:val="auto"/>
        </w:rPr>
        <w:t>The targets for diluted earnings per share and capital investment delivery were established to appropriately incentivize the NEOs and were based on known, anticipated and projected operational and financial opportunities and challenges in 2025. For 2025, the Committee established a diluted EPS target that was below the Company’s 2024 diluted EPS of $2.47 to provide a normalized 2025 diluted EPS target. The Committee established this 2025 target as 2024 diluted EPS performance was significantly impacted by non</w:t>
      </w:r>
      <w:r>
        <w:rPr>
          <w:rFonts w:ascii="MS PGothic" w:cs="MS PGothic" w:eastAsia="MS PGothic" w:hAnsi="MS PGothic"/>
          <w:sz w:val="16"/>
          <w:szCs w:val="16"/>
          <w:color w:val="auto"/>
        </w:rPr>
        <w:t>‑</w:t>
      </w:r>
      <w:r>
        <w:rPr>
          <w:rFonts w:ascii="Arial" w:cs="Arial" w:eastAsia="Arial" w:hAnsi="Arial"/>
          <w:sz w:val="16"/>
          <w:szCs w:val="16"/>
          <w:color w:val="auto"/>
        </w:rPr>
        <w:t>recurring items, and unusually favorable 2024 drought conditions that increased water consumption that the Company did not expect to recur. The threshold that the Committee established for 2025 diluted EPS was approximately 25% above the $1.76 diluted EPS that the Company achieved in 2023.</w:t>
      </w:r>
    </w:p>
    <w:p>
      <w:pPr>
        <w:spacing w:after="0" w:line="117" w:lineRule="exact"/>
        <w:rPr>
          <w:sz w:val="20"/>
          <w:szCs w:val="20"/>
          <w:color w:val="auto"/>
        </w:rPr>
      </w:pPr>
    </w:p>
    <w:p>
      <w:pPr>
        <w:ind w:right="160"/>
        <w:spacing w:after="0" w:line="201" w:lineRule="exact"/>
        <w:rPr>
          <w:sz w:val="20"/>
          <w:szCs w:val="20"/>
          <w:color w:val="auto"/>
        </w:rPr>
      </w:pPr>
      <w:r>
        <w:rPr>
          <w:rFonts w:ascii="Arial" w:cs="Arial" w:eastAsia="Arial" w:hAnsi="Arial"/>
          <w:sz w:val="16"/>
          <w:szCs w:val="16"/>
          <w:color w:val="auto"/>
        </w:rPr>
        <w:t>The Committee established a capital investment delivery target for 2025 that was more than 25% higher than the actual capital investment delivery of $74.6 million for 2024. This target reflects our capital expenditures, including those necessary for replacement of existing infrastructure, upgrading our information technology systems, the purchase of transportation and other equipment necessary to successfully maintain our business. The Company’s capital investments are essential to the Company’s maintaining high</w:t>
      </w:r>
      <w:r>
        <w:rPr>
          <w:rFonts w:ascii="MS PGothic" w:cs="MS PGothic" w:eastAsia="MS PGothic" w:hAnsi="MS PGothic"/>
          <w:sz w:val="16"/>
          <w:szCs w:val="16"/>
          <w:color w:val="auto"/>
        </w:rPr>
        <w:t>‑</w:t>
      </w:r>
      <w:r>
        <w:rPr>
          <w:rFonts w:ascii="Arial" w:cs="Arial" w:eastAsia="Arial" w:hAnsi="Arial"/>
          <w:sz w:val="16"/>
          <w:szCs w:val="16"/>
          <w:color w:val="auto"/>
        </w:rPr>
        <w:t xml:space="preserve"> quality service, reducing non</w:t>
      </w:r>
      <w:r>
        <w:rPr>
          <w:rFonts w:ascii="MS PGothic" w:cs="MS PGothic" w:eastAsia="MS PGothic" w:hAnsi="MS PGothic"/>
          <w:sz w:val="16"/>
          <w:szCs w:val="16"/>
          <w:color w:val="auto"/>
        </w:rPr>
        <w:t>‑</w:t>
      </w:r>
      <w:r>
        <w:rPr>
          <w:rFonts w:ascii="Arial" w:cs="Arial" w:eastAsia="Arial" w:hAnsi="Arial"/>
          <w:sz w:val="16"/>
          <w:szCs w:val="16"/>
          <w:color w:val="auto"/>
        </w:rPr>
        <w:t>revenue water and aligning the Company’s asset base with its long</w:t>
      </w:r>
      <w:r>
        <w:rPr>
          <w:rFonts w:ascii="MS PGothic" w:cs="MS PGothic" w:eastAsia="MS PGothic" w:hAnsi="MS PGothic"/>
          <w:sz w:val="16"/>
          <w:szCs w:val="16"/>
          <w:color w:val="auto"/>
        </w:rPr>
        <w:t>‑</w:t>
      </w:r>
      <w:r>
        <w:rPr>
          <w:rFonts w:ascii="Arial" w:cs="Arial" w:eastAsia="Arial" w:hAnsi="Arial"/>
          <w:sz w:val="16"/>
          <w:szCs w:val="16"/>
          <w:color w:val="auto"/>
        </w:rPr>
        <w:t>term capital plan, and thus is a key factor considered by the Committee in evaluating management’s performance and determining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506730</wp:posOffset>
            </wp:positionV>
            <wp:extent cx="7620" cy="132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60" w:hanging="445"/>
        <w:spacing w:after="0"/>
        <w:tabs>
          <w:tab w:leader="none" w:pos="460" w:val="left"/>
        </w:tabs>
        <w:numPr>
          <w:ilvl w:val="0"/>
          <w:numId w:val="64"/>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210185</wp:posOffset>
            </wp:positionV>
            <wp:extent cx="7169785" cy="412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4"/>
          <w:szCs w:val="14"/>
          <w:b w:val="1"/>
          <w:bCs w:val="1"/>
          <w:color w:val="191769"/>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following table presents information regarding each of the performance measures used to determine the earnout percentages for the 2025 Restricted Stock Awards, including the threshold, target and maximum performance levels for each measure, as well as the weighting assigned to each measure. The percentages interpolated between the threshold and maximum performance levels, and there is no payout for a measure if the threshold performance level is not met.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3"/>
                <w:szCs w:val="13"/>
                <w:color w:val="auto"/>
              </w:rPr>
            </w:pPr>
          </w:p>
        </w:tc>
        <w:tc>
          <w:tcPr>
            <w:tcW w:w="2520" w:type="dxa"/>
            <w:vAlign w:val="bottom"/>
          </w:tcPr>
          <w:p>
            <w:pPr>
              <w:jc w:val="right"/>
              <w:ind w:right="605"/>
              <w:spacing w:after="0"/>
              <w:rPr>
                <w:sz w:val="20"/>
                <w:szCs w:val="20"/>
                <w:color w:val="auto"/>
              </w:rPr>
            </w:pPr>
            <w:r>
              <w:rPr>
                <w:rFonts w:ascii="Arial" w:cs="Arial" w:eastAsia="Arial" w:hAnsi="Arial"/>
                <w:sz w:val="13"/>
                <w:szCs w:val="13"/>
                <w:b w:val="1"/>
                <w:bCs w:val="1"/>
                <w:color w:val="191769"/>
              </w:rPr>
              <w:t>Threshold</w:t>
            </w:r>
          </w:p>
        </w:tc>
        <w:tc>
          <w:tcPr>
            <w:tcW w:w="2000" w:type="dxa"/>
            <w:vAlign w:val="bottom"/>
          </w:tcPr>
          <w:p>
            <w:pPr>
              <w:jc w:val="right"/>
              <w:ind w:right="465"/>
              <w:spacing w:after="0"/>
              <w:rPr>
                <w:sz w:val="20"/>
                <w:szCs w:val="20"/>
                <w:color w:val="auto"/>
              </w:rPr>
            </w:pPr>
            <w:r>
              <w:rPr>
                <w:rFonts w:ascii="Arial" w:cs="Arial" w:eastAsia="Arial" w:hAnsi="Arial"/>
                <w:sz w:val="13"/>
                <w:szCs w:val="13"/>
                <w:b w:val="1"/>
                <w:bCs w:val="1"/>
                <w:color w:val="191769"/>
              </w:rPr>
              <w:t>Target</w:t>
            </w:r>
          </w:p>
        </w:tc>
        <w:tc>
          <w:tcPr>
            <w:tcW w:w="1780" w:type="dxa"/>
            <w:vAlign w:val="bottom"/>
          </w:tcPr>
          <w:p>
            <w:pPr>
              <w:jc w:val="right"/>
              <w:ind w:right="385"/>
              <w:spacing w:after="0"/>
              <w:rPr>
                <w:sz w:val="20"/>
                <w:szCs w:val="20"/>
                <w:color w:val="auto"/>
              </w:rPr>
            </w:pPr>
            <w:r>
              <w:rPr>
                <w:rFonts w:ascii="Arial" w:cs="Arial" w:eastAsia="Arial" w:hAnsi="Arial"/>
                <w:sz w:val="13"/>
                <w:szCs w:val="13"/>
                <w:b w:val="1"/>
                <w:bCs w:val="1"/>
                <w:color w:val="191769"/>
              </w:rPr>
              <w:t>Maximum</w:t>
            </w:r>
          </w:p>
        </w:tc>
        <w:tc>
          <w:tcPr>
            <w:tcW w:w="1820" w:type="dxa"/>
            <w:vAlign w:val="bottom"/>
          </w:tcPr>
          <w:p>
            <w:pPr>
              <w:jc w:val="right"/>
              <w:spacing w:after="0"/>
              <w:rPr>
                <w:sz w:val="20"/>
                <w:szCs w:val="20"/>
                <w:color w:val="auto"/>
              </w:rPr>
            </w:pPr>
            <w:r>
              <w:rPr>
                <w:rFonts w:ascii="Arial" w:cs="Arial" w:eastAsia="Arial" w:hAnsi="Arial"/>
                <w:sz w:val="13"/>
                <w:szCs w:val="13"/>
                <w:b w:val="1"/>
                <w:bCs w:val="1"/>
                <w:color w:val="191769"/>
              </w:rPr>
              <w:t>Actual</w:t>
            </w:r>
          </w:p>
        </w:tc>
        <w:tc>
          <w:tcPr>
            <w:tcW w:w="0" w:type="dxa"/>
            <w:vAlign w:val="bottom"/>
          </w:tcPr>
          <w:p>
            <w:pPr>
              <w:spacing w:after="0"/>
              <w:rPr>
                <w:sz w:val="1"/>
                <w:szCs w:val="1"/>
                <w:color w:val="auto"/>
              </w:rPr>
            </w:pPr>
          </w:p>
        </w:tc>
      </w:tr>
      <w:tr>
        <w:trPr>
          <w:trHeight w:val="160"/>
        </w:trPr>
        <w:tc>
          <w:tcPr>
            <w:tcW w:w="3120" w:type="dxa"/>
            <w:vAlign w:val="bottom"/>
          </w:tcPr>
          <w:p>
            <w:pPr>
              <w:spacing w:after="0"/>
              <w:rPr>
                <w:sz w:val="13"/>
                <w:szCs w:val="13"/>
                <w:color w:val="auto"/>
              </w:rPr>
            </w:pPr>
          </w:p>
        </w:tc>
        <w:tc>
          <w:tcPr>
            <w:tcW w:w="2520" w:type="dxa"/>
            <w:vAlign w:val="bottom"/>
          </w:tcPr>
          <w:p>
            <w:pPr>
              <w:jc w:val="right"/>
              <w:ind w:right="605"/>
              <w:spacing w:after="0"/>
              <w:rPr>
                <w:sz w:val="20"/>
                <w:szCs w:val="20"/>
                <w:color w:val="auto"/>
              </w:rPr>
            </w:pPr>
            <w:r>
              <w:rPr>
                <w:rFonts w:ascii="Arial" w:cs="Arial" w:eastAsia="Arial" w:hAnsi="Arial"/>
                <w:sz w:val="13"/>
                <w:szCs w:val="13"/>
                <w:b w:val="1"/>
                <w:bCs w:val="1"/>
                <w:color w:val="191769"/>
              </w:rPr>
              <w:t>Performance</w:t>
            </w:r>
          </w:p>
        </w:tc>
        <w:tc>
          <w:tcPr>
            <w:tcW w:w="2000" w:type="dxa"/>
            <w:vAlign w:val="bottom"/>
          </w:tcPr>
          <w:p>
            <w:pPr>
              <w:jc w:val="right"/>
              <w:ind w:right="465"/>
              <w:spacing w:after="0"/>
              <w:rPr>
                <w:sz w:val="20"/>
                <w:szCs w:val="20"/>
                <w:color w:val="auto"/>
              </w:rPr>
            </w:pPr>
            <w:r>
              <w:rPr>
                <w:rFonts w:ascii="Arial" w:cs="Arial" w:eastAsia="Arial" w:hAnsi="Arial"/>
                <w:sz w:val="13"/>
                <w:szCs w:val="13"/>
                <w:b w:val="1"/>
                <w:bCs w:val="1"/>
                <w:color w:val="191769"/>
              </w:rPr>
              <w:t>Performance</w:t>
            </w:r>
          </w:p>
        </w:tc>
        <w:tc>
          <w:tcPr>
            <w:tcW w:w="1780" w:type="dxa"/>
            <w:vAlign w:val="bottom"/>
          </w:tcPr>
          <w:p>
            <w:pPr>
              <w:jc w:val="right"/>
              <w:ind w:right="385"/>
              <w:spacing w:after="0"/>
              <w:rPr>
                <w:sz w:val="20"/>
                <w:szCs w:val="20"/>
                <w:color w:val="auto"/>
              </w:rPr>
            </w:pPr>
            <w:r>
              <w:rPr>
                <w:rFonts w:ascii="Arial" w:cs="Arial" w:eastAsia="Arial" w:hAnsi="Arial"/>
                <w:sz w:val="13"/>
                <w:szCs w:val="13"/>
                <w:b w:val="1"/>
                <w:bCs w:val="1"/>
                <w:color w:val="191769"/>
              </w:rPr>
              <w:t>Performance</w:t>
            </w:r>
          </w:p>
        </w:tc>
        <w:tc>
          <w:tcPr>
            <w:tcW w:w="1820" w:type="dxa"/>
            <w:vAlign w:val="bottom"/>
          </w:tcPr>
          <w:p>
            <w:pPr>
              <w:jc w:val="right"/>
              <w:spacing w:after="0"/>
              <w:rPr>
                <w:sz w:val="20"/>
                <w:szCs w:val="20"/>
                <w:color w:val="auto"/>
              </w:rPr>
            </w:pPr>
            <w:r>
              <w:rPr>
                <w:rFonts w:ascii="Arial" w:cs="Arial" w:eastAsia="Arial" w:hAnsi="Arial"/>
                <w:sz w:val="13"/>
                <w:szCs w:val="13"/>
                <w:b w:val="1"/>
                <w:bCs w:val="1"/>
                <w:color w:val="191769"/>
              </w:rPr>
              <w:t>Performance</w:t>
            </w:r>
          </w:p>
        </w:tc>
        <w:tc>
          <w:tcPr>
            <w:tcW w:w="0" w:type="dxa"/>
            <w:vAlign w:val="bottom"/>
          </w:tcPr>
          <w:p>
            <w:pPr>
              <w:spacing w:after="0"/>
              <w:rPr>
                <w:sz w:val="1"/>
                <w:szCs w:val="1"/>
                <w:color w:val="auto"/>
              </w:rPr>
            </w:pPr>
          </w:p>
        </w:tc>
      </w:tr>
      <w:tr>
        <w:trPr>
          <w:trHeight w:val="186"/>
        </w:trPr>
        <w:tc>
          <w:tcPr>
            <w:tcW w:w="3120" w:type="dxa"/>
            <w:vAlign w:val="bottom"/>
            <w:tcBorders>
              <w:bottom w:val="single" w:sz="8" w:color="00AEEF"/>
            </w:tcBorders>
          </w:tcPr>
          <w:p>
            <w:pPr>
              <w:ind w:left="20"/>
              <w:spacing w:after="0"/>
              <w:rPr>
                <w:sz w:val="20"/>
                <w:szCs w:val="20"/>
                <w:color w:val="auto"/>
              </w:rPr>
            </w:pPr>
            <w:r>
              <w:rPr>
                <w:rFonts w:ascii="Arial" w:cs="Arial" w:eastAsia="Arial" w:hAnsi="Arial"/>
                <w:sz w:val="13"/>
                <w:szCs w:val="13"/>
                <w:b w:val="1"/>
                <w:bCs w:val="1"/>
                <w:color w:val="191769"/>
              </w:rPr>
              <w:t>Financial Performance Metric</w:t>
            </w:r>
          </w:p>
        </w:tc>
        <w:tc>
          <w:tcPr>
            <w:tcW w:w="2520" w:type="dxa"/>
            <w:vAlign w:val="bottom"/>
            <w:tcBorders>
              <w:bottom w:val="single" w:sz="8" w:color="00AEEF"/>
            </w:tcBorders>
          </w:tcPr>
          <w:p>
            <w:pPr>
              <w:jc w:val="right"/>
              <w:ind w:right="605"/>
              <w:spacing w:after="0"/>
              <w:rPr>
                <w:sz w:val="20"/>
                <w:szCs w:val="20"/>
                <w:color w:val="auto"/>
              </w:rPr>
            </w:pPr>
            <w:r>
              <w:rPr>
                <w:rFonts w:ascii="Arial" w:cs="Arial" w:eastAsia="Arial" w:hAnsi="Arial"/>
                <w:sz w:val="13"/>
                <w:szCs w:val="13"/>
                <w:b w:val="1"/>
                <w:bCs w:val="1"/>
                <w:color w:val="191769"/>
              </w:rPr>
              <w:t>(Weighting)</w:t>
            </w:r>
          </w:p>
        </w:tc>
        <w:tc>
          <w:tcPr>
            <w:tcW w:w="2000" w:type="dxa"/>
            <w:vAlign w:val="bottom"/>
            <w:tcBorders>
              <w:bottom w:val="single" w:sz="8" w:color="00AEEF"/>
            </w:tcBorders>
          </w:tcPr>
          <w:p>
            <w:pPr>
              <w:jc w:val="right"/>
              <w:ind w:right="465"/>
              <w:spacing w:after="0"/>
              <w:rPr>
                <w:sz w:val="20"/>
                <w:szCs w:val="20"/>
                <w:color w:val="auto"/>
              </w:rPr>
            </w:pPr>
            <w:r>
              <w:rPr>
                <w:rFonts w:ascii="Arial" w:cs="Arial" w:eastAsia="Arial" w:hAnsi="Arial"/>
                <w:sz w:val="13"/>
                <w:szCs w:val="13"/>
                <w:b w:val="1"/>
                <w:bCs w:val="1"/>
                <w:color w:val="191769"/>
              </w:rPr>
              <w:t>(Weighting)</w:t>
            </w:r>
          </w:p>
        </w:tc>
        <w:tc>
          <w:tcPr>
            <w:tcW w:w="1780" w:type="dxa"/>
            <w:vAlign w:val="bottom"/>
            <w:tcBorders>
              <w:bottom w:val="single" w:sz="8" w:color="00AEEF"/>
            </w:tcBorders>
          </w:tcPr>
          <w:p>
            <w:pPr>
              <w:jc w:val="right"/>
              <w:ind w:right="385"/>
              <w:spacing w:after="0"/>
              <w:rPr>
                <w:sz w:val="20"/>
                <w:szCs w:val="20"/>
                <w:color w:val="auto"/>
              </w:rPr>
            </w:pPr>
            <w:r>
              <w:rPr>
                <w:rFonts w:ascii="Arial" w:cs="Arial" w:eastAsia="Arial" w:hAnsi="Arial"/>
                <w:sz w:val="13"/>
                <w:szCs w:val="13"/>
                <w:b w:val="1"/>
                <w:bCs w:val="1"/>
                <w:color w:val="191769"/>
              </w:rPr>
              <w:t>(Weighting)</w:t>
            </w:r>
          </w:p>
        </w:tc>
        <w:tc>
          <w:tcPr>
            <w:tcW w:w="1820" w:type="dxa"/>
            <w:vAlign w:val="bottom"/>
            <w:tcBorders>
              <w:bottom w:val="single" w:sz="8" w:color="00AEEF"/>
            </w:tcBorders>
          </w:tcPr>
          <w:p>
            <w:pPr>
              <w:jc w:val="right"/>
              <w:spacing w:after="0"/>
              <w:rPr>
                <w:sz w:val="20"/>
                <w:szCs w:val="20"/>
                <w:color w:val="auto"/>
              </w:rPr>
            </w:pPr>
            <w:r>
              <w:rPr>
                <w:rFonts w:ascii="Arial" w:cs="Arial" w:eastAsia="Arial" w:hAnsi="Arial"/>
                <w:sz w:val="13"/>
                <w:szCs w:val="13"/>
                <w:b w:val="1"/>
                <w:bCs w:val="1"/>
                <w:color w:val="191769"/>
              </w:rPr>
              <w:t>(Performance Earned)</w:t>
            </w:r>
          </w:p>
        </w:tc>
        <w:tc>
          <w:tcPr>
            <w:tcW w:w="0" w:type="dxa"/>
            <w:vAlign w:val="bottom"/>
          </w:tcPr>
          <w:p>
            <w:pPr>
              <w:spacing w:after="0"/>
              <w:rPr>
                <w:sz w:val="1"/>
                <w:szCs w:val="1"/>
                <w:color w:val="auto"/>
              </w:rPr>
            </w:pPr>
          </w:p>
        </w:tc>
      </w:tr>
      <w:tr>
        <w:trPr>
          <w:trHeight w:val="223"/>
        </w:trPr>
        <w:tc>
          <w:tcPr>
            <w:tcW w:w="3120" w:type="dxa"/>
            <w:vAlign w:val="bottom"/>
            <w:vMerge w:val="restart"/>
          </w:tcPr>
          <w:p>
            <w:pPr>
              <w:ind w:left="20"/>
              <w:spacing w:after="0"/>
              <w:rPr>
                <w:sz w:val="20"/>
                <w:szCs w:val="20"/>
                <w:color w:val="auto"/>
              </w:rPr>
            </w:pPr>
            <w:r>
              <w:rPr>
                <w:rFonts w:ascii="Arial" w:cs="Arial" w:eastAsia="Arial" w:hAnsi="Arial"/>
                <w:sz w:val="16"/>
                <w:szCs w:val="16"/>
                <w:b w:val="1"/>
                <w:bCs w:val="1"/>
                <w:color w:val="191769"/>
              </w:rPr>
              <w:t>Diluted Earnings Per Share</w:t>
            </w:r>
          </w:p>
        </w:tc>
        <w:tc>
          <w:tcPr>
            <w:tcW w:w="2520" w:type="dxa"/>
            <w:vAlign w:val="bottom"/>
          </w:tcPr>
          <w:p>
            <w:pPr>
              <w:jc w:val="right"/>
              <w:ind w:right="605"/>
              <w:spacing w:after="0"/>
              <w:rPr>
                <w:sz w:val="20"/>
                <w:szCs w:val="20"/>
                <w:color w:val="auto"/>
              </w:rPr>
            </w:pPr>
            <w:r>
              <w:rPr>
                <w:rFonts w:ascii="Arial" w:cs="Arial" w:eastAsia="Arial" w:hAnsi="Arial"/>
                <w:sz w:val="16"/>
                <w:szCs w:val="16"/>
                <w:color w:val="auto"/>
              </w:rPr>
              <w:t>$2.05</w:t>
            </w:r>
          </w:p>
        </w:tc>
        <w:tc>
          <w:tcPr>
            <w:tcW w:w="2000" w:type="dxa"/>
            <w:vAlign w:val="bottom"/>
          </w:tcPr>
          <w:p>
            <w:pPr>
              <w:jc w:val="right"/>
              <w:ind w:right="465"/>
              <w:spacing w:after="0"/>
              <w:rPr>
                <w:sz w:val="20"/>
                <w:szCs w:val="20"/>
                <w:color w:val="auto"/>
              </w:rPr>
            </w:pPr>
            <w:r>
              <w:rPr>
                <w:rFonts w:ascii="Arial" w:cs="Arial" w:eastAsia="Arial" w:hAnsi="Arial"/>
                <w:sz w:val="16"/>
                <w:szCs w:val="16"/>
                <w:color w:val="auto"/>
              </w:rPr>
              <w:t>$2.20</w:t>
            </w:r>
          </w:p>
        </w:tc>
        <w:tc>
          <w:tcPr>
            <w:tcW w:w="1780" w:type="dxa"/>
            <w:vAlign w:val="bottom"/>
          </w:tcPr>
          <w:p>
            <w:pPr>
              <w:jc w:val="right"/>
              <w:ind w:right="385"/>
              <w:spacing w:after="0"/>
              <w:rPr>
                <w:sz w:val="20"/>
                <w:szCs w:val="20"/>
                <w:color w:val="auto"/>
              </w:rPr>
            </w:pPr>
            <w:r>
              <w:rPr>
                <w:rFonts w:ascii="Arial" w:cs="Arial" w:eastAsia="Arial" w:hAnsi="Arial"/>
                <w:sz w:val="16"/>
                <w:szCs w:val="16"/>
                <w:color w:val="auto"/>
              </w:rPr>
              <w:t>$2.35</w:t>
            </w:r>
          </w:p>
        </w:tc>
        <w:tc>
          <w:tcPr>
            <w:tcW w:w="182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2"/>
        </w:trPr>
        <w:tc>
          <w:tcPr>
            <w:tcW w:w="3120" w:type="dxa"/>
            <w:vAlign w:val="bottom"/>
            <w:vMerge w:val="continue"/>
          </w:tcPr>
          <w:p>
            <w:pPr>
              <w:spacing w:after="0" w:line="20" w:lineRule="exact"/>
              <w:rPr>
                <w:sz w:val="1"/>
                <w:szCs w:val="1"/>
                <w:color w:val="auto"/>
              </w:rPr>
            </w:pPr>
          </w:p>
        </w:tc>
        <w:tc>
          <w:tcPr>
            <w:tcW w:w="2520" w:type="dxa"/>
            <w:vAlign w:val="bottom"/>
            <w:tcBorders>
              <w:bottom w:val="single" w:sz="8" w:color="D9D9D9"/>
            </w:tcBorders>
          </w:tcPr>
          <w:p>
            <w:pPr>
              <w:spacing w:after="0" w:line="20" w:lineRule="exact"/>
              <w:rPr>
                <w:sz w:val="1"/>
                <w:szCs w:val="1"/>
                <w:color w:val="auto"/>
              </w:rPr>
            </w:pPr>
          </w:p>
        </w:tc>
        <w:tc>
          <w:tcPr>
            <w:tcW w:w="2000" w:type="dxa"/>
            <w:vAlign w:val="bottom"/>
            <w:tcBorders>
              <w:bottom w:val="single" w:sz="8" w:color="D9D9D9"/>
            </w:tcBorders>
          </w:tcPr>
          <w:p>
            <w:pPr>
              <w:spacing w:after="0" w:line="20" w:lineRule="exact"/>
              <w:rPr>
                <w:sz w:val="1"/>
                <w:szCs w:val="1"/>
                <w:color w:val="auto"/>
              </w:rPr>
            </w:pPr>
          </w:p>
        </w:tc>
        <w:tc>
          <w:tcPr>
            <w:tcW w:w="1780" w:type="dxa"/>
            <w:vAlign w:val="bottom"/>
            <w:tcBorders>
              <w:bottom w:val="single" w:sz="8" w:color="D9D9D9"/>
            </w:tcBorders>
          </w:tcPr>
          <w:p>
            <w:pPr>
              <w:spacing w:after="0" w:line="20" w:lineRule="exact"/>
              <w:rPr>
                <w:sz w:val="1"/>
                <w:szCs w:val="1"/>
                <w:color w:val="auto"/>
              </w:rPr>
            </w:pPr>
          </w:p>
        </w:tc>
        <w:tc>
          <w:tcPr>
            <w:tcW w:w="1820" w:type="dxa"/>
            <w:vAlign w:val="bottom"/>
            <w:tcBorders>
              <w:bottom w:val="single" w:sz="8" w:color="D9D9D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
        </w:trPr>
        <w:tc>
          <w:tcPr>
            <w:tcW w:w="3120" w:type="dxa"/>
            <w:vAlign w:val="bottom"/>
            <w:vMerge w:val="continue"/>
          </w:tcPr>
          <w:p>
            <w:pPr>
              <w:spacing w:after="0"/>
              <w:rPr>
                <w:sz w:val="7"/>
                <w:szCs w:val="7"/>
                <w:color w:val="auto"/>
              </w:rPr>
            </w:pPr>
          </w:p>
        </w:tc>
        <w:tc>
          <w:tcPr>
            <w:tcW w:w="2520" w:type="dxa"/>
            <w:vAlign w:val="bottom"/>
            <w:vMerge w:val="restart"/>
          </w:tcPr>
          <w:p>
            <w:pPr>
              <w:jc w:val="right"/>
              <w:ind w:right="605"/>
              <w:spacing w:after="0"/>
              <w:rPr>
                <w:sz w:val="20"/>
                <w:szCs w:val="20"/>
                <w:color w:val="auto"/>
              </w:rPr>
            </w:pPr>
            <w:r>
              <w:rPr>
                <w:rFonts w:ascii="Arial" w:cs="Arial" w:eastAsia="Arial" w:hAnsi="Arial"/>
                <w:sz w:val="16"/>
                <w:szCs w:val="16"/>
                <w:color w:val="auto"/>
              </w:rPr>
              <w:t>(50%)</w:t>
            </w:r>
          </w:p>
        </w:tc>
        <w:tc>
          <w:tcPr>
            <w:tcW w:w="2000" w:type="dxa"/>
            <w:vAlign w:val="bottom"/>
            <w:vMerge w:val="restart"/>
          </w:tcPr>
          <w:p>
            <w:pPr>
              <w:jc w:val="right"/>
              <w:ind w:right="465"/>
              <w:spacing w:after="0"/>
              <w:rPr>
                <w:sz w:val="20"/>
                <w:szCs w:val="20"/>
                <w:color w:val="auto"/>
              </w:rPr>
            </w:pPr>
            <w:r>
              <w:rPr>
                <w:rFonts w:ascii="Arial" w:cs="Arial" w:eastAsia="Arial" w:hAnsi="Arial"/>
                <w:sz w:val="16"/>
                <w:szCs w:val="16"/>
                <w:color w:val="auto"/>
              </w:rPr>
              <w:t>(100%)</w:t>
            </w:r>
          </w:p>
        </w:tc>
        <w:tc>
          <w:tcPr>
            <w:tcW w:w="1780" w:type="dxa"/>
            <w:vAlign w:val="bottom"/>
            <w:vMerge w:val="restart"/>
          </w:tcPr>
          <w:p>
            <w:pPr>
              <w:jc w:val="right"/>
              <w:ind w:right="385"/>
              <w:spacing w:after="0"/>
              <w:rPr>
                <w:sz w:val="20"/>
                <w:szCs w:val="20"/>
                <w:color w:val="auto"/>
              </w:rPr>
            </w:pPr>
            <w:r>
              <w:rPr>
                <w:rFonts w:ascii="Arial" w:cs="Arial" w:eastAsia="Arial" w:hAnsi="Arial"/>
                <w:sz w:val="16"/>
                <w:szCs w:val="16"/>
                <w:color w:val="auto"/>
              </w:rPr>
              <w:t>(175%)</w:t>
            </w:r>
          </w:p>
        </w:tc>
        <w:tc>
          <w:tcPr>
            <w:tcW w:w="1820" w:type="dxa"/>
            <w:vAlign w:val="bottom"/>
            <w:vMerge w:val="restart"/>
          </w:tcPr>
          <w:p>
            <w:pPr>
              <w:jc w:val="right"/>
              <w:spacing w:after="0"/>
              <w:rPr>
                <w:sz w:val="20"/>
                <w:szCs w:val="20"/>
                <w:color w:val="auto"/>
              </w:rPr>
            </w:pPr>
            <w:r>
              <w:rPr>
                <w:rFonts w:ascii="Arial" w:cs="Arial" w:eastAsia="Arial" w:hAnsi="Arial"/>
                <w:sz w:val="16"/>
                <w:szCs w:val="16"/>
                <w:color w:val="auto"/>
              </w:rPr>
              <w:t>175.0%</w:t>
            </w:r>
          </w:p>
        </w:tc>
        <w:tc>
          <w:tcPr>
            <w:tcW w:w="0" w:type="dxa"/>
            <w:vAlign w:val="bottom"/>
          </w:tcPr>
          <w:p>
            <w:pPr>
              <w:spacing w:after="0"/>
              <w:rPr>
                <w:sz w:val="1"/>
                <w:szCs w:val="1"/>
                <w:color w:val="auto"/>
              </w:rPr>
            </w:pPr>
          </w:p>
        </w:tc>
      </w:tr>
      <w:tr>
        <w:trPr>
          <w:trHeight w:val="127"/>
        </w:trPr>
        <w:tc>
          <w:tcPr>
            <w:tcW w:w="3120" w:type="dxa"/>
            <w:vAlign w:val="bottom"/>
          </w:tcPr>
          <w:p>
            <w:pPr>
              <w:spacing w:after="0"/>
              <w:rPr>
                <w:sz w:val="11"/>
                <w:szCs w:val="11"/>
                <w:color w:val="auto"/>
              </w:rPr>
            </w:pPr>
          </w:p>
        </w:tc>
        <w:tc>
          <w:tcPr>
            <w:tcW w:w="2520" w:type="dxa"/>
            <w:vAlign w:val="bottom"/>
            <w:vMerge w:val="continue"/>
          </w:tcPr>
          <w:p>
            <w:pPr>
              <w:spacing w:after="0"/>
              <w:rPr>
                <w:sz w:val="11"/>
                <w:szCs w:val="11"/>
                <w:color w:val="auto"/>
              </w:rPr>
            </w:pPr>
          </w:p>
        </w:tc>
        <w:tc>
          <w:tcPr>
            <w:tcW w:w="2000" w:type="dxa"/>
            <w:vAlign w:val="bottom"/>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120" w:type="dxa"/>
            <w:vAlign w:val="bottom"/>
          </w:tcPr>
          <w:p>
            <w:pPr>
              <w:spacing w:after="0" w:line="20" w:lineRule="exact"/>
              <w:rPr>
                <w:sz w:val="1"/>
                <w:szCs w:val="1"/>
                <w:color w:val="auto"/>
              </w:rPr>
            </w:pPr>
          </w:p>
        </w:tc>
        <w:tc>
          <w:tcPr>
            <w:tcW w:w="2520" w:type="dxa"/>
            <w:vAlign w:val="bottom"/>
            <w:tcBorders>
              <w:bottom w:val="single" w:sz="8" w:color="D9D9D9"/>
            </w:tcBorders>
          </w:tcPr>
          <w:p>
            <w:pPr>
              <w:spacing w:after="0" w:line="20" w:lineRule="exact"/>
              <w:rPr>
                <w:sz w:val="1"/>
                <w:szCs w:val="1"/>
                <w:color w:val="auto"/>
              </w:rPr>
            </w:pPr>
          </w:p>
        </w:tc>
        <w:tc>
          <w:tcPr>
            <w:tcW w:w="2000" w:type="dxa"/>
            <w:vAlign w:val="bottom"/>
            <w:tcBorders>
              <w:bottom w:val="single" w:sz="8" w:color="D9D9D9"/>
            </w:tcBorders>
          </w:tcPr>
          <w:p>
            <w:pPr>
              <w:spacing w:after="0" w:line="20" w:lineRule="exact"/>
              <w:rPr>
                <w:sz w:val="1"/>
                <w:szCs w:val="1"/>
                <w:color w:val="auto"/>
              </w:rPr>
            </w:pPr>
          </w:p>
        </w:tc>
        <w:tc>
          <w:tcPr>
            <w:tcW w:w="1780" w:type="dxa"/>
            <w:vAlign w:val="bottom"/>
            <w:tcBorders>
              <w:bottom w:val="single" w:sz="8" w:color="D9D9D9"/>
            </w:tcBorders>
          </w:tcPr>
          <w:p>
            <w:pPr>
              <w:spacing w:after="0" w:line="20" w:lineRule="exact"/>
              <w:rPr>
                <w:sz w:val="1"/>
                <w:szCs w:val="1"/>
                <w:color w:val="auto"/>
              </w:rPr>
            </w:pPr>
          </w:p>
        </w:tc>
        <w:tc>
          <w:tcPr>
            <w:tcW w:w="1820" w:type="dxa"/>
            <w:vAlign w:val="bottom"/>
            <w:tcBorders>
              <w:bottom w:val="single" w:sz="8" w:color="D9D9D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3120" w:type="dxa"/>
            <w:vAlign w:val="bottom"/>
            <w:vMerge w:val="restart"/>
          </w:tcPr>
          <w:p>
            <w:pPr>
              <w:ind w:left="20"/>
              <w:spacing w:after="0"/>
              <w:rPr>
                <w:sz w:val="20"/>
                <w:szCs w:val="20"/>
                <w:color w:val="auto"/>
              </w:rPr>
            </w:pPr>
            <w:r>
              <w:rPr>
                <w:rFonts w:ascii="Arial" w:cs="Arial" w:eastAsia="Arial" w:hAnsi="Arial"/>
                <w:sz w:val="16"/>
                <w:szCs w:val="16"/>
                <w:b w:val="1"/>
                <w:bCs w:val="1"/>
                <w:color w:val="191769"/>
              </w:rPr>
              <w:t>Capital Investment Delivery</w:t>
            </w:r>
          </w:p>
        </w:tc>
        <w:tc>
          <w:tcPr>
            <w:tcW w:w="2520" w:type="dxa"/>
            <w:vAlign w:val="bottom"/>
          </w:tcPr>
          <w:p>
            <w:pPr>
              <w:jc w:val="right"/>
              <w:ind w:right="605"/>
              <w:spacing w:after="0"/>
              <w:rPr>
                <w:sz w:val="20"/>
                <w:szCs w:val="20"/>
                <w:color w:val="auto"/>
              </w:rPr>
            </w:pPr>
            <w:r>
              <w:rPr>
                <w:rFonts w:ascii="Arial" w:cs="Arial" w:eastAsia="Arial" w:hAnsi="Arial"/>
                <w:sz w:val="16"/>
                <w:szCs w:val="16"/>
                <w:color w:val="auto"/>
              </w:rPr>
              <w:t>$90.2M</w:t>
            </w:r>
          </w:p>
        </w:tc>
        <w:tc>
          <w:tcPr>
            <w:tcW w:w="2000" w:type="dxa"/>
            <w:vAlign w:val="bottom"/>
          </w:tcPr>
          <w:p>
            <w:pPr>
              <w:jc w:val="right"/>
              <w:ind w:right="465"/>
              <w:spacing w:after="0"/>
              <w:rPr>
                <w:sz w:val="20"/>
                <w:szCs w:val="20"/>
                <w:color w:val="auto"/>
              </w:rPr>
            </w:pPr>
            <w:r>
              <w:rPr>
                <w:rFonts w:ascii="Arial" w:cs="Arial" w:eastAsia="Arial" w:hAnsi="Arial"/>
                <w:sz w:val="16"/>
                <w:szCs w:val="16"/>
                <w:color w:val="auto"/>
              </w:rPr>
              <w:t>$93.0M</w:t>
            </w:r>
          </w:p>
        </w:tc>
        <w:tc>
          <w:tcPr>
            <w:tcW w:w="1780" w:type="dxa"/>
            <w:vAlign w:val="bottom"/>
          </w:tcPr>
          <w:p>
            <w:pPr>
              <w:jc w:val="right"/>
              <w:ind w:right="385"/>
              <w:spacing w:after="0"/>
              <w:rPr>
                <w:sz w:val="20"/>
                <w:szCs w:val="20"/>
                <w:color w:val="auto"/>
              </w:rPr>
            </w:pPr>
            <w:r>
              <w:rPr>
                <w:rFonts w:ascii="Arial" w:cs="Arial" w:eastAsia="Arial" w:hAnsi="Arial"/>
                <w:sz w:val="16"/>
                <w:szCs w:val="16"/>
                <w:color w:val="auto"/>
              </w:rPr>
              <w:t>$95.8M</w:t>
            </w:r>
          </w:p>
        </w:tc>
        <w:tc>
          <w:tcPr>
            <w:tcW w:w="1820" w:type="dxa"/>
            <w:vAlign w:val="bottom"/>
          </w:tcPr>
          <w:p>
            <w:pPr>
              <w:jc w:val="right"/>
              <w:spacing w:after="0"/>
              <w:rPr>
                <w:sz w:val="20"/>
                <w:szCs w:val="20"/>
                <w:color w:val="auto"/>
              </w:rPr>
            </w:pPr>
            <w:r>
              <w:rPr>
                <w:rFonts w:ascii="Arial" w:cs="Arial" w:eastAsia="Arial" w:hAnsi="Arial"/>
                <w:sz w:val="16"/>
                <w:szCs w:val="16"/>
                <w:color w:val="auto"/>
              </w:rPr>
              <w:t>$96.4</w:t>
            </w:r>
          </w:p>
        </w:tc>
        <w:tc>
          <w:tcPr>
            <w:tcW w:w="0" w:type="dxa"/>
            <w:vAlign w:val="bottom"/>
          </w:tcPr>
          <w:p>
            <w:pPr>
              <w:spacing w:after="0"/>
              <w:rPr>
                <w:sz w:val="1"/>
                <w:szCs w:val="1"/>
                <w:color w:val="auto"/>
              </w:rPr>
            </w:pPr>
          </w:p>
        </w:tc>
      </w:tr>
      <w:tr>
        <w:trPr>
          <w:trHeight w:val="22"/>
        </w:trPr>
        <w:tc>
          <w:tcPr>
            <w:tcW w:w="3120" w:type="dxa"/>
            <w:vAlign w:val="bottom"/>
            <w:vMerge w:val="continue"/>
          </w:tcPr>
          <w:p>
            <w:pPr>
              <w:spacing w:after="0" w:line="20" w:lineRule="exact"/>
              <w:rPr>
                <w:sz w:val="1"/>
                <w:szCs w:val="1"/>
                <w:color w:val="auto"/>
              </w:rPr>
            </w:pPr>
          </w:p>
        </w:tc>
        <w:tc>
          <w:tcPr>
            <w:tcW w:w="2520" w:type="dxa"/>
            <w:vAlign w:val="bottom"/>
            <w:tcBorders>
              <w:bottom w:val="single" w:sz="8" w:color="D9D9D9"/>
            </w:tcBorders>
          </w:tcPr>
          <w:p>
            <w:pPr>
              <w:spacing w:after="0" w:line="20" w:lineRule="exact"/>
              <w:rPr>
                <w:sz w:val="1"/>
                <w:szCs w:val="1"/>
                <w:color w:val="auto"/>
              </w:rPr>
            </w:pPr>
          </w:p>
        </w:tc>
        <w:tc>
          <w:tcPr>
            <w:tcW w:w="2000" w:type="dxa"/>
            <w:vAlign w:val="bottom"/>
            <w:tcBorders>
              <w:bottom w:val="single" w:sz="8" w:color="D9D9D9"/>
            </w:tcBorders>
          </w:tcPr>
          <w:p>
            <w:pPr>
              <w:spacing w:after="0" w:line="20" w:lineRule="exact"/>
              <w:rPr>
                <w:sz w:val="1"/>
                <w:szCs w:val="1"/>
                <w:color w:val="auto"/>
              </w:rPr>
            </w:pPr>
          </w:p>
        </w:tc>
        <w:tc>
          <w:tcPr>
            <w:tcW w:w="1780" w:type="dxa"/>
            <w:vAlign w:val="bottom"/>
            <w:tcBorders>
              <w:bottom w:val="single" w:sz="8" w:color="D9D9D9"/>
            </w:tcBorders>
          </w:tcPr>
          <w:p>
            <w:pPr>
              <w:spacing w:after="0" w:line="20" w:lineRule="exact"/>
              <w:rPr>
                <w:sz w:val="1"/>
                <w:szCs w:val="1"/>
                <w:color w:val="auto"/>
              </w:rPr>
            </w:pPr>
          </w:p>
        </w:tc>
        <w:tc>
          <w:tcPr>
            <w:tcW w:w="1820" w:type="dxa"/>
            <w:vAlign w:val="bottom"/>
            <w:tcBorders>
              <w:bottom w:val="single" w:sz="8" w:color="D9D9D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
        </w:trPr>
        <w:tc>
          <w:tcPr>
            <w:tcW w:w="3120" w:type="dxa"/>
            <w:vAlign w:val="bottom"/>
            <w:vMerge w:val="continue"/>
          </w:tcPr>
          <w:p>
            <w:pPr>
              <w:spacing w:after="0"/>
              <w:rPr>
                <w:sz w:val="7"/>
                <w:szCs w:val="7"/>
                <w:color w:val="auto"/>
              </w:rPr>
            </w:pPr>
          </w:p>
        </w:tc>
        <w:tc>
          <w:tcPr>
            <w:tcW w:w="2520" w:type="dxa"/>
            <w:vAlign w:val="bottom"/>
            <w:vMerge w:val="restart"/>
          </w:tcPr>
          <w:p>
            <w:pPr>
              <w:jc w:val="right"/>
              <w:ind w:right="605"/>
              <w:spacing w:after="0"/>
              <w:rPr>
                <w:sz w:val="20"/>
                <w:szCs w:val="20"/>
                <w:color w:val="auto"/>
              </w:rPr>
            </w:pPr>
            <w:r>
              <w:rPr>
                <w:rFonts w:ascii="Arial" w:cs="Arial" w:eastAsia="Arial" w:hAnsi="Arial"/>
                <w:sz w:val="16"/>
                <w:szCs w:val="16"/>
                <w:color w:val="auto"/>
              </w:rPr>
              <w:t>(50%)</w:t>
            </w:r>
          </w:p>
        </w:tc>
        <w:tc>
          <w:tcPr>
            <w:tcW w:w="2000" w:type="dxa"/>
            <w:vAlign w:val="bottom"/>
            <w:vMerge w:val="restart"/>
          </w:tcPr>
          <w:p>
            <w:pPr>
              <w:jc w:val="right"/>
              <w:ind w:right="465"/>
              <w:spacing w:after="0"/>
              <w:rPr>
                <w:sz w:val="20"/>
                <w:szCs w:val="20"/>
                <w:color w:val="auto"/>
              </w:rPr>
            </w:pPr>
            <w:r>
              <w:rPr>
                <w:rFonts w:ascii="Arial" w:cs="Arial" w:eastAsia="Arial" w:hAnsi="Arial"/>
                <w:sz w:val="16"/>
                <w:szCs w:val="16"/>
                <w:color w:val="auto"/>
              </w:rPr>
              <w:t>(100%)</w:t>
            </w:r>
          </w:p>
        </w:tc>
        <w:tc>
          <w:tcPr>
            <w:tcW w:w="1780" w:type="dxa"/>
            <w:vAlign w:val="bottom"/>
            <w:vMerge w:val="restart"/>
          </w:tcPr>
          <w:p>
            <w:pPr>
              <w:jc w:val="right"/>
              <w:ind w:right="385"/>
              <w:spacing w:after="0"/>
              <w:rPr>
                <w:sz w:val="20"/>
                <w:szCs w:val="20"/>
                <w:color w:val="auto"/>
              </w:rPr>
            </w:pPr>
            <w:r>
              <w:rPr>
                <w:rFonts w:ascii="Arial" w:cs="Arial" w:eastAsia="Arial" w:hAnsi="Arial"/>
                <w:sz w:val="16"/>
                <w:szCs w:val="16"/>
                <w:color w:val="auto"/>
              </w:rPr>
              <w:t>(175%)</w:t>
            </w:r>
          </w:p>
        </w:tc>
        <w:tc>
          <w:tcPr>
            <w:tcW w:w="1820" w:type="dxa"/>
            <w:vAlign w:val="bottom"/>
            <w:vMerge w:val="restart"/>
          </w:tcPr>
          <w:p>
            <w:pPr>
              <w:jc w:val="right"/>
              <w:spacing w:after="0"/>
              <w:rPr>
                <w:sz w:val="20"/>
                <w:szCs w:val="20"/>
                <w:color w:val="auto"/>
              </w:rPr>
            </w:pPr>
            <w:r>
              <w:rPr>
                <w:rFonts w:ascii="Arial" w:cs="Arial" w:eastAsia="Arial" w:hAnsi="Arial"/>
                <w:sz w:val="16"/>
                <w:szCs w:val="16"/>
                <w:color w:val="auto"/>
              </w:rPr>
              <w:t>175.0%</w:t>
            </w:r>
          </w:p>
        </w:tc>
        <w:tc>
          <w:tcPr>
            <w:tcW w:w="0" w:type="dxa"/>
            <w:vAlign w:val="bottom"/>
          </w:tcPr>
          <w:p>
            <w:pPr>
              <w:spacing w:after="0"/>
              <w:rPr>
                <w:sz w:val="1"/>
                <w:szCs w:val="1"/>
                <w:color w:val="auto"/>
              </w:rPr>
            </w:pPr>
          </w:p>
        </w:tc>
      </w:tr>
      <w:tr>
        <w:trPr>
          <w:trHeight w:val="127"/>
        </w:trPr>
        <w:tc>
          <w:tcPr>
            <w:tcW w:w="3120" w:type="dxa"/>
            <w:vAlign w:val="bottom"/>
          </w:tcPr>
          <w:p>
            <w:pPr>
              <w:spacing w:after="0"/>
              <w:rPr>
                <w:sz w:val="11"/>
                <w:szCs w:val="11"/>
                <w:color w:val="auto"/>
              </w:rPr>
            </w:pPr>
          </w:p>
        </w:tc>
        <w:tc>
          <w:tcPr>
            <w:tcW w:w="2520" w:type="dxa"/>
            <w:vAlign w:val="bottom"/>
            <w:vMerge w:val="continue"/>
          </w:tcPr>
          <w:p>
            <w:pPr>
              <w:spacing w:after="0"/>
              <w:rPr>
                <w:sz w:val="11"/>
                <w:szCs w:val="11"/>
                <w:color w:val="auto"/>
              </w:rPr>
            </w:pPr>
          </w:p>
        </w:tc>
        <w:tc>
          <w:tcPr>
            <w:tcW w:w="2000" w:type="dxa"/>
            <w:vAlign w:val="bottom"/>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120" w:type="dxa"/>
            <w:vAlign w:val="bottom"/>
            <w:tcBorders>
              <w:bottom w:val="single" w:sz="8" w:color="00AEEF"/>
            </w:tcBorders>
          </w:tcPr>
          <w:p>
            <w:pPr>
              <w:spacing w:after="0" w:line="20" w:lineRule="exact"/>
              <w:rPr>
                <w:sz w:val="1"/>
                <w:szCs w:val="1"/>
                <w:color w:val="auto"/>
              </w:rPr>
            </w:pPr>
          </w:p>
        </w:tc>
        <w:tc>
          <w:tcPr>
            <w:tcW w:w="2520" w:type="dxa"/>
            <w:vAlign w:val="bottom"/>
            <w:tcBorders>
              <w:bottom w:val="single" w:sz="8" w:color="00AEEF"/>
            </w:tcBorders>
          </w:tcPr>
          <w:p>
            <w:pPr>
              <w:spacing w:after="0" w:line="20" w:lineRule="exact"/>
              <w:rPr>
                <w:sz w:val="1"/>
                <w:szCs w:val="1"/>
                <w:color w:val="auto"/>
              </w:rPr>
            </w:pPr>
          </w:p>
        </w:tc>
        <w:tc>
          <w:tcPr>
            <w:tcW w:w="2000" w:type="dxa"/>
            <w:vAlign w:val="bottom"/>
            <w:tcBorders>
              <w:bottom w:val="single" w:sz="8" w:color="00AEEF"/>
            </w:tcBorders>
          </w:tcPr>
          <w:p>
            <w:pPr>
              <w:spacing w:after="0" w:line="20" w:lineRule="exact"/>
              <w:rPr>
                <w:sz w:val="1"/>
                <w:szCs w:val="1"/>
                <w:color w:val="auto"/>
              </w:rPr>
            </w:pPr>
          </w:p>
        </w:tc>
        <w:tc>
          <w:tcPr>
            <w:tcW w:w="1780" w:type="dxa"/>
            <w:vAlign w:val="bottom"/>
            <w:tcBorders>
              <w:bottom w:val="single" w:sz="8" w:color="00AEEF"/>
            </w:tcBorders>
          </w:tcPr>
          <w:p>
            <w:pPr>
              <w:spacing w:after="0" w:line="20" w:lineRule="exact"/>
              <w:rPr>
                <w:sz w:val="1"/>
                <w:szCs w:val="1"/>
                <w:color w:val="auto"/>
              </w:rPr>
            </w:pPr>
          </w:p>
        </w:tc>
        <w:tc>
          <w:tcPr>
            <w:tcW w:w="1820" w:type="dxa"/>
            <w:vAlign w:val="bottom"/>
            <w:tcBorders>
              <w:bottom w:val="single" w:sz="8" w:color="00AEE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right="160"/>
        <w:spacing w:after="0" w:line="278" w:lineRule="auto"/>
        <w:rPr>
          <w:sz w:val="20"/>
          <w:szCs w:val="20"/>
          <w:color w:val="auto"/>
        </w:rPr>
      </w:pPr>
      <w:r>
        <w:rPr>
          <w:rFonts w:ascii="Arial" w:cs="Arial" w:eastAsia="Arial" w:hAnsi="Arial"/>
          <w:sz w:val="16"/>
          <w:szCs w:val="16"/>
          <w:color w:val="auto"/>
        </w:rPr>
        <w:t>Based upon our 175% performance for diluted earnings per share and our 175% performance for capital investment delivery, the Committee determined the combined performance for the financial metrics was 175%. The Committee then recommended, and subsequently the non-employee members of the Board approved, the following awards, which represent 175% of the target restricted stock award for each NEO:</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1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900" w:type="dxa"/>
            <w:vAlign w:val="bottom"/>
          </w:tcPr>
          <w:p>
            <w:pPr>
              <w:jc w:val="right"/>
              <w:ind w:right="325"/>
              <w:spacing w:after="0"/>
              <w:rPr>
                <w:sz w:val="20"/>
                <w:szCs w:val="20"/>
                <w:color w:val="auto"/>
              </w:rPr>
            </w:pPr>
            <w:r>
              <w:rPr>
                <w:rFonts w:ascii="Arial" w:cs="Arial" w:eastAsia="Arial" w:hAnsi="Arial"/>
                <w:sz w:val="13"/>
                <w:szCs w:val="13"/>
                <w:b w:val="1"/>
                <w:bCs w:val="1"/>
                <w:color w:val="191769"/>
              </w:rPr>
              <w:t>Diluted Earnings</w:t>
            </w:r>
          </w:p>
        </w:tc>
        <w:tc>
          <w:tcPr>
            <w:tcW w:w="1960" w:type="dxa"/>
            <w:vAlign w:val="bottom"/>
          </w:tcPr>
          <w:p>
            <w:pPr>
              <w:jc w:val="right"/>
              <w:ind w:right="305"/>
              <w:spacing w:after="0"/>
              <w:rPr>
                <w:sz w:val="20"/>
                <w:szCs w:val="20"/>
                <w:color w:val="auto"/>
              </w:rPr>
            </w:pPr>
            <w:r>
              <w:rPr>
                <w:rFonts w:ascii="Arial" w:cs="Arial" w:eastAsia="Arial" w:hAnsi="Arial"/>
                <w:sz w:val="13"/>
                <w:szCs w:val="13"/>
                <w:b w:val="1"/>
                <w:bCs w:val="1"/>
                <w:color w:val="191769"/>
              </w:rPr>
              <w:t>Capital Investment</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140" w:type="dxa"/>
            <w:vAlign w:val="bottom"/>
          </w:tcPr>
          <w:p>
            <w:pPr>
              <w:spacing w:after="0"/>
              <w:rPr>
                <w:sz w:val="13"/>
                <w:szCs w:val="13"/>
                <w:color w:val="auto"/>
              </w:rPr>
            </w:pPr>
          </w:p>
        </w:tc>
        <w:tc>
          <w:tcPr>
            <w:tcW w:w="2800" w:type="dxa"/>
            <w:vAlign w:val="bottom"/>
          </w:tcPr>
          <w:p>
            <w:pPr>
              <w:jc w:val="right"/>
              <w:ind w:right="384"/>
              <w:spacing w:after="0"/>
              <w:rPr>
                <w:sz w:val="20"/>
                <w:szCs w:val="20"/>
                <w:color w:val="auto"/>
              </w:rPr>
            </w:pPr>
            <w:r>
              <w:rPr>
                <w:rFonts w:ascii="Arial" w:cs="Arial" w:eastAsia="Arial" w:hAnsi="Arial"/>
                <w:sz w:val="13"/>
                <w:szCs w:val="13"/>
                <w:b w:val="1"/>
                <w:bCs w:val="1"/>
                <w:color w:val="191769"/>
              </w:rPr>
              <w:t>Target Restricted</w:t>
            </w:r>
          </w:p>
        </w:tc>
        <w:tc>
          <w:tcPr>
            <w:tcW w:w="1900" w:type="dxa"/>
            <w:vAlign w:val="bottom"/>
          </w:tcPr>
          <w:p>
            <w:pPr>
              <w:jc w:val="right"/>
              <w:ind w:right="325"/>
              <w:spacing w:after="0"/>
              <w:rPr>
                <w:sz w:val="20"/>
                <w:szCs w:val="20"/>
                <w:color w:val="auto"/>
              </w:rPr>
            </w:pPr>
            <w:r>
              <w:rPr>
                <w:rFonts w:ascii="Arial" w:cs="Arial" w:eastAsia="Arial" w:hAnsi="Arial"/>
                <w:sz w:val="13"/>
                <w:szCs w:val="13"/>
                <w:b w:val="1"/>
                <w:bCs w:val="1"/>
                <w:color w:val="191769"/>
              </w:rPr>
              <w:t>Per Share Goal</w:t>
            </w:r>
          </w:p>
        </w:tc>
        <w:tc>
          <w:tcPr>
            <w:tcW w:w="1960" w:type="dxa"/>
            <w:vAlign w:val="bottom"/>
          </w:tcPr>
          <w:p>
            <w:pPr>
              <w:jc w:val="right"/>
              <w:ind w:right="305"/>
              <w:spacing w:after="0"/>
              <w:rPr>
                <w:sz w:val="20"/>
                <w:szCs w:val="20"/>
                <w:color w:val="auto"/>
              </w:rPr>
            </w:pPr>
            <w:r>
              <w:rPr>
                <w:rFonts w:ascii="Arial" w:cs="Arial" w:eastAsia="Arial" w:hAnsi="Arial"/>
                <w:sz w:val="13"/>
                <w:szCs w:val="13"/>
                <w:b w:val="1"/>
                <w:bCs w:val="1"/>
                <w:color w:val="191769"/>
              </w:rPr>
              <w:t>Delivery Goal</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191769"/>
              </w:rPr>
              <w:t>Total Long- Term</w:t>
            </w:r>
          </w:p>
        </w:tc>
        <w:tc>
          <w:tcPr>
            <w:tcW w:w="0" w:type="dxa"/>
            <w:vAlign w:val="bottom"/>
          </w:tcPr>
          <w:p>
            <w:pPr>
              <w:spacing w:after="0"/>
              <w:rPr>
                <w:sz w:val="1"/>
                <w:szCs w:val="1"/>
                <w:color w:val="auto"/>
              </w:rPr>
            </w:pPr>
          </w:p>
        </w:tc>
      </w:tr>
      <w:tr>
        <w:trPr>
          <w:trHeight w:val="160"/>
        </w:trPr>
        <w:tc>
          <w:tcPr>
            <w:tcW w:w="3140" w:type="dxa"/>
            <w:vAlign w:val="bottom"/>
            <w:vMerge w:val="restart"/>
          </w:tcPr>
          <w:p>
            <w:pPr>
              <w:ind w:left="20"/>
              <w:spacing w:after="0"/>
              <w:rPr>
                <w:sz w:val="20"/>
                <w:szCs w:val="20"/>
                <w:color w:val="auto"/>
              </w:rPr>
            </w:pPr>
            <w:r>
              <w:rPr>
                <w:rFonts w:ascii="Arial" w:cs="Arial" w:eastAsia="Arial" w:hAnsi="Arial"/>
                <w:sz w:val="13"/>
                <w:szCs w:val="13"/>
                <w:b w:val="1"/>
                <w:bCs w:val="1"/>
                <w:color w:val="191769"/>
              </w:rPr>
              <w:t>Name</w:t>
            </w:r>
          </w:p>
        </w:tc>
        <w:tc>
          <w:tcPr>
            <w:tcW w:w="2800" w:type="dxa"/>
            <w:vAlign w:val="bottom"/>
          </w:tcPr>
          <w:p>
            <w:pPr>
              <w:jc w:val="right"/>
              <w:ind w:right="384"/>
              <w:spacing w:after="0"/>
              <w:rPr>
                <w:sz w:val="20"/>
                <w:szCs w:val="20"/>
                <w:color w:val="auto"/>
              </w:rPr>
            </w:pPr>
            <w:r>
              <w:rPr>
                <w:rFonts w:ascii="Arial" w:cs="Arial" w:eastAsia="Arial" w:hAnsi="Arial"/>
                <w:sz w:val="13"/>
                <w:szCs w:val="13"/>
                <w:b w:val="1"/>
                <w:bCs w:val="1"/>
                <w:color w:val="191769"/>
              </w:rPr>
              <w:t>Stock Award</w:t>
            </w:r>
          </w:p>
        </w:tc>
        <w:tc>
          <w:tcPr>
            <w:tcW w:w="1900" w:type="dxa"/>
            <w:vAlign w:val="bottom"/>
          </w:tcPr>
          <w:p>
            <w:pPr>
              <w:jc w:val="right"/>
              <w:ind w:right="325"/>
              <w:spacing w:after="0"/>
              <w:rPr>
                <w:sz w:val="20"/>
                <w:szCs w:val="20"/>
                <w:color w:val="auto"/>
              </w:rPr>
            </w:pPr>
            <w:r>
              <w:rPr>
                <w:rFonts w:ascii="Arial" w:cs="Arial" w:eastAsia="Arial" w:hAnsi="Arial"/>
                <w:sz w:val="13"/>
                <w:szCs w:val="13"/>
                <w:b w:val="1"/>
                <w:bCs w:val="1"/>
                <w:color w:val="191769"/>
              </w:rPr>
              <w:t>Achievement</w:t>
            </w:r>
          </w:p>
        </w:tc>
        <w:tc>
          <w:tcPr>
            <w:tcW w:w="1960" w:type="dxa"/>
            <w:vAlign w:val="bottom"/>
          </w:tcPr>
          <w:p>
            <w:pPr>
              <w:jc w:val="right"/>
              <w:ind w:right="305"/>
              <w:spacing w:after="0"/>
              <w:rPr>
                <w:sz w:val="20"/>
                <w:szCs w:val="20"/>
                <w:color w:val="auto"/>
              </w:rPr>
            </w:pPr>
            <w:r>
              <w:rPr>
                <w:rFonts w:ascii="Arial" w:cs="Arial" w:eastAsia="Arial" w:hAnsi="Arial"/>
                <w:sz w:val="13"/>
                <w:szCs w:val="13"/>
                <w:b w:val="1"/>
                <w:bCs w:val="1"/>
                <w:color w:val="191769"/>
              </w:rPr>
              <w:t>Achievement</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191769"/>
              </w:rPr>
              <w:t>Incentive Award</w:t>
            </w:r>
          </w:p>
        </w:tc>
        <w:tc>
          <w:tcPr>
            <w:tcW w:w="0" w:type="dxa"/>
            <w:vAlign w:val="bottom"/>
          </w:tcPr>
          <w:p>
            <w:pPr>
              <w:spacing w:after="0"/>
              <w:rPr>
                <w:sz w:val="1"/>
                <w:szCs w:val="1"/>
                <w:color w:val="auto"/>
              </w:rPr>
            </w:pPr>
          </w:p>
        </w:tc>
      </w:tr>
      <w:tr>
        <w:trPr>
          <w:trHeight w:val="179"/>
        </w:trPr>
        <w:tc>
          <w:tcPr>
            <w:tcW w:w="3140" w:type="dxa"/>
            <w:vAlign w:val="bottom"/>
            <w:tcBorders>
              <w:bottom w:val="single" w:sz="8" w:color="00AEEF"/>
            </w:tcBorders>
            <w:vMerge w:val="continue"/>
          </w:tcPr>
          <w:p>
            <w:pPr>
              <w:spacing w:after="0"/>
              <w:rPr>
                <w:sz w:val="15"/>
                <w:szCs w:val="15"/>
                <w:color w:val="auto"/>
              </w:rPr>
            </w:pPr>
          </w:p>
        </w:tc>
        <w:tc>
          <w:tcPr>
            <w:tcW w:w="2800" w:type="dxa"/>
            <w:vAlign w:val="bottom"/>
            <w:tcBorders>
              <w:bottom w:val="single" w:sz="8" w:color="00AEEF"/>
            </w:tcBorders>
          </w:tcPr>
          <w:p>
            <w:pPr>
              <w:jc w:val="right"/>
              <w:ind w:right="384"/>
              <w:spacing w:after="0"/>
              <w:rPr>
                <w:sz w:val="20"/>
                <w:szCs w:val="20"/>
                <w:color w:val="auto"/>
              </w:rPr>
            </w:pPr>
            <w:r>
              <w:rPr>
                <w:rFonts w:ascii="Arial" w:cs="Arial" w:eastAsia="Arial" w:hAnsi="Arial"/>
                <w:sz w:val="13"/>
                <w:szCs w:val="13"/>
                <w:b w:val="1"/>
                <w:bCs w:val="1"/>
                <w:color w:val="191769"/>
              </w:rPr>
              <w:t>($)</w:t>
            </w:r>
          </w:p>
        </w:tc>
        <w:tc>
          <w:tcPr>
            <w:tcW w:w="1900" w:type="dxa"/>
            <w:vAlign w:val="bottom"/>
            <w:tcBorders>
              <w:bottom w:val="single" w:sz="8" w:color="00AEEF"/>
            </w:tcBorders>
          </w:tcPr>
          <w:p>
            <w:pPr>
              <w:jc w:val="right"/>
              <w:ind w:right="325"/>
              <w:spacing w:after="0"/>
              <w:rPr>
                <w:sz w:val="20"/>
                <w:szCs w:val="20"/>
                <w:color w:val="auto"/>
              </w:rPr>
            </w:pPr>
            <w:r>
              <w:rPr>
                <w:rFonts w:ascii="Arial" w:cs="Arial" w:eastAsia="Arial" w:hAnsi="Arial"/>
                <w:sz w:val="13"/>
                <w:szCs w:val="13"/>
                <w:b w:val="1"/>
                <w:bCs w:val="1"/>
                <w:color w:val="191769"/>
              </w:rPr>
              <w:t>(%)</w:t>
            </w:r>
          </w:p>
        </w:tc>
        <w:tc>
          <w:tcPr>
            <w:tcW w:w="1960" w:type="dxa"/>
            <w:vAlign w:val="bottom"/>
            <w:tcBorders>
              <w:bottom w:val="single" w:sz="8" w:color="00AEEF"/>
            </w:tcBorders>
          </w:tcPr>
          <w:p>
            <w:pPr>
              <w:jc w:val="right"/>
              <w:ind w:right="305"/>
              <w:spacing w:after="0"/>
              <w:rPr>
                <w:sz w:val="20"/>
                <w:szCs w:val="20"/>
                <w:color w:val="auto"/>
              </w:rPr>
            </w:pPr>
            <w:r>
              <w:rPr>
                <w:rFonts w:ascii="Arial" w:cs="Arial" w:eastAsia="Arial" w:hAnsi="Arial"/>
                <w:sz w:val="13"/>
                <w:szCs w:val="13"/>
                <w:b w:val="1"/>
                <w:bCs w:val="1"/>
                <w:color w:val="191769"/>
              </w:rPr>
              <w:t>(%)</w:t>
            </w:r>
          </w:p>
        </w:tc>
        <w:tc>
          <w:tcPr>
            <w:tcW w:w="1440" w:type="dxa"/>
            <w:vAlign w:val="bottom"/>
            <w:tcBorders>
              <w:bottom w:val="single" w:sz="8" w:color="00AEEF"/>
            </w:tcBorders>
          </w:tcPr>
          <w:p>
            <w:pPr>
              <w:jc w:val="right"/>
              <w:spacing w:after="0"/>
              <w:rPr>
                <w:sz w:val="20"/>
                <w:szCs w:val="20"/>
                <w:color w:val="auto"/>
              </w:rPr>
            </w:pPr>
            <w:r>
              <w:rPr>
                <w:rFonts w:ascii="Arial" w:cs="Arial" w:eastAsia="Arial" w:hAnsi="Arial"/>
                <w:sz w:val="13"/>
                <w:szCs w:val="13"/>
                <w:b w:val="1"/>
                <w:bCs w:val="1"/>
                <w:color w:val="191769"/>
              </w:rPr>
              <w:t>($)</w:t>
            </w:r>
          </w:p>
        </w:tc>
        <w:tc>
          <w:tcPr>
            <w:tcW w:w="0" w:type="dxa"/>
            <w:vAlign w:val="bottom"/>
          </w:tcPr>
          <w:p>
            <w:pPr>
              <w:spacing w:after="0"/>
              <w:rPr>
                <w:sz w:val="1"/>
                <w:szCs w:val="1"/>
                <w:color w:val="auto"/>
              </w:rPr>
            </w:pPr>
          </w:p>
        </w:tc>
      </w:tr>
      <w:tr>
        <w:trPr>
          <w:trHeight w:val="232"/>
        </w:trPr>
        <w:tc>
          <w:tcPr>
            <w:tcW w:w="314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Nadine Leslie</w:t>
            </w:r>
          </w:p>
        </w:tc>
        <w:tc>
          <w:tcPr>
            <w:tcW w:w="2800" w:type="dxa"/>
            <w:vAlign w:val="bottom"/>
            <w:tcBorders>
              <w:bottom w:val="single" w:sz="8" w:color="D9D9D9"/>
            </w:tcBorders>
          </w:tcPr>
          <w:p>
            <w:pPr>
              <w:jc w:val="right"/>
              <w:ind w:right="384"/>
              <w:spacing w:after="0"/>
              <w:rPr>
                <w:sz w:val="20"/>
                <w:szCs w:val="20"/>
                <w:color w:val="auto"/>
              </w:rPr>
            </w:pPr>
            <w:r>
              <w:rPr>
                <w:rFonts w:ascii="Arial" w:cs="Arial" w:eastAsia="Arial" w:hAnsi="Arial"/>
                <w:sz w:val="16"/>
                <w:szCs w:val="16"/>
                <w:color w:val="auto"/>
              </w:rPr>
              <w:t>377,000</w:t>
            </w:r>
          </w:p>
        </w:tc>
        <w:tc>
          <w:tcPr>
            <w:tcW w:w="1900" w:type="dxa"/>
            <w:vAlign w:val="bottom"/>
            <w:tcBorders>
              <w:bottom w:val="single" w:sz="8" w:color="D9D9D9"/>
            </w:tcBorders>
          </w:tcPr>
          <w:p>
            <w:pPr>
              <w:jc w:val="right"/>
              <w:ind w:right="325"/>
              <w:spacing w:after="0"/>
              <w:rPr>
                <w:sz w:val="20"/>
                <w:szCs w:val="20"/>
                <w:color w:val="auto"/>
              </w:rPr>
            </w:pPr>
            <w:r>
              <w:rPr>
                <w:rFonts w:ascii="Arial" w:cs="Arial" w:eastAsia="Arial" w:hAnsi="Arial"/>
                <w:sz w:val="16"/>
                <w:szCs w:val="16"/>
                <w:color w:val="auto"/>
              </w:rPr>
              <w:t>175.0%</w:t>
            </w:r>
          </w:p>
        </w:tc>
        <w:tc>
          <w:tcPr>
            <w:tcW w:w="1960" w:type="dxa"/>
            <w:vAlign w:val="bottom"/>
            <w:tcBorders>
              <w:bottom w:val="single" w:sz="8" w:color="D9D9D9"/>
            </w:tcBorders>
          </w:tcPr>
          <w:p>
            <w:pPr>
              <w:jc w:val="right"/>
              <w:ind w:right="325"/>
              <w:spacing w:after="0"/>
              <w:rPr>
                <w:sz w:val="20"/>
                <w:szCs w:val="20"/>
                <w:color w:val="auto"/>
              </w:rPr>
            </w:pPr>
            <w:r>
              <w:rPr>
                <w:rFonts w:ascii="Arial" w:cs="Arial" w:eastAsia="Arial" w:hAnsi="Arial"/>
                <w:sz w:val="16"/>
                <w:szCs w:val="16"/>
                <w:color w:val="auto"/>
              </w:rPr>
              <w:t>175.0%</w:t>
            </w:r>
          </w:p>
        </w:tc>
        <w:tc>
          <w:tcPr>
            <w:tcW w:w="144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659,750</w:t>
            </w:r>
          </w:p>
        </w:tc>
        <w:tc>
          <w:tcPr>
            <w:tcW w:w="0" w:type="dxa"/>
            <w:vAlign w:val="bottom"/>
          </w:tcPr>
          <w:p>
            <w:pPr>
              <w:spacing w:after="0"/>
              <w:rPr>
                <w:sz w:val="1"/>
                <w:szCs w:val="1"/>
                <w:color w:val="auto"/>
              </w:rPr>
            </w:pPr>
          </w:p>
        </w:tc>
      </w:tr>
      <w:tr>
        <w:trPr>
          <w:trHeight w:val="239"/>
        </w:trPr>
        <w:tc>
          <w:tcPr>
            <w:tcW w:w="314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Mohammed G. Zerhouni</w:t>
            </w:r>
          </w:p>
        </w:tc>
        <w:tc>
          <w:tcPr>
            <w:tcW w:w="2800" w:type="dxa"/>
            <w:vAlign w:val="bottom"/>
            <w:tcBorders>
              <w:bottom w:val="single" w:sz="8" w:color="D9D9D9"/>
            </w:tcBorders>
          </w:tcPr>
          <w:p>
            <w:pPr>
              <w:jc w:val="right"/>
              <w:ind w:right="384"/>
              <w:spacing w:after="0"/>
              <w:rPr>
                <w:sz w:val="20"/>
                <w:szCs w:val="20"/>
                <w:color w:val="auto"/>
              </w:rPr>
            </w:pPr>
            <w:r>
              <w:rPr>
                <w:rFonts w:ascii="Arial" w:cs="Arial" w:eastAsia="Arial" w:hAnsi="Arial"/>
                <w:sz w:val="16"/>
                <w:szCs w:val="16"/>
                <w:color w:val="auto"/>
              </w:rPr>
              <w:t>176,280</w:t>
            </w:r>
          </w:p>
        </w:tc>
        <w:tc>
          <w:tcPr>
            <w:tcW w:w="1900" w:type="dxa"/>
            <w:vAlign w:val="bottom"/>
            <w:tcBorders>
              <w:bottom w:val="single" w:sz="8" w:color="D9D9D9"/>
            </w:tcBorders>
          </w:tcPr>
          <w:p>
            <w:pPr>
              <w:jc w:val="right"/>
              <w:ind w:right="325"/>
              <w:spacing w:after="0"/>
              <w:rPr>
                <w:sz w:val="20"/>
                <w:szCs w:val="20"/>
                <w:color w:val="auto"/>
              </w:rPr>
            </w:pPr>
            <w:r>
              <w:rPr>
                <w:rFonts w:ascii="Arial" w:cs="Arial" w:eastAsia="Arial" w:hAnsi="Arial"/>
                <w:sz w:val="16"/>
                <w:szCs w:val="16"/>
                <w:color w:val="auto"/>
              </w:rPr>
              <w:t>175.0%</w:t>
            </w:r>
          </w:p>
        </w:tc>
        <w:tc>
          <w:tcPr>
            <w:tcW w:w="1960" w:type="dxa"/>
            <w:vAlign w:val="bottom"/>
            <w:tcBorders>
              <w:bottom w:val="single" w:sz="8" w:color="D9D9D9"/>
            </w:tcBorders>
          </w:tcPr>
          <w:p>
            <w:pPr>
              <w:jc w:val="right"/>
              <w:ind w:right="325"/>
              <w:spacing w:after="0"/>
              <w:rPr>
                <w:sz w:val="20"/>
                <w:szCs w:val="20"/>
                <w:color w:val="auto"/>
              </w:rPr>
            </w:pPr>
            <w:r>
              <w:rPr>
                <w:rFonts w:ascii="Arial" w:cs="Arial" w:eastAsia="Arial" w:hAnsi="Arial"/>
                <w:sz w:val="16"/>
                <w:szCs w:val="16"/>
                <w:color w:val="auto"/>
              </w:rPr>
              <w:t>175.0%</w:t>
            </w:r>
          </w:p>
        </w:tc>
        <w:tc>
          <w:tcPr>
            <w:tcW w:w="144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308,490</w:t>
            </w:r>
          </w:p>
        </w:tc>
        <w:tc>
          <w:tcPr>
            <w:tcW w:w="0" w:type="dxa"/>
            <w:vAlign w:val="bottom"/>
          </w:tcPr>
          <w:p>
            <w:pPr>
              <w:spacing w:after="0"/>
              <w:rPr>
                <w:sz w:val="1"/>
                <w:szCs w:val="1"/>
                <w:color w:val="auto"/>
              </w:rPr>
            </w:pPr>
          </w:p>
        </w:tc>
      </w:tr>
      <w:tr>
        <w:trPr>
          <w:trHeight w:val="239"/>
        </w:trPr>
        <w:tc>
          <w:tcPr>
            <w:tcW w:w="314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Gregory S. Sorensen</w:t>
            </w:r>
          </w:p>
        </w:tc>
        <w:tc>
          <w:tcPr>
            <w:tcW w:w="2800" w:type="dxa"/>
            <w:vAlign w:val="bottom"/>
            <w:tcBorders>
              <w:bottom w:val="single" w:sz="8" w:color="D9D9D9"/>
            </w:tcBorders>
          </w:tcPr>
          <w:p>
            <w:pPr>
              <w:jc w:val="right"/>
              <w:ind w:right="384"/>
              <w:spacing w:after="0"/>
              <w:rPr>
                <w:sz w:val="20"/>
                <w:szCs w:val="20"/>
                <w:color w:val="auto"/>
              </w:rPr>
            </w:pPr>
            <w:r>
              <w:rPr>
                <w:rFonts w:ascii="Arial" w:cs="Arial" w:eastAsia="Arial" w:hAnsi="Arial"/>
                <w:sz w:val="16"/>
                <w:szCs w:val="16"/>
                <w:color w:val="auto"/>
              </w:rPr>
              <w:t>148,200</w:t>
            </w:r>
          </w:p>
        </w:tc>
        <w:tc>
          <w:tcPr>
            <w:tcW w:w="1900" w:type="dxa"/>
            <w:vAlign w:val="bottom"/>
            <w:tcBorders>
              <w:bottom w:val="single" w:sz="8" w:color="D9D9D9"/>
            </w:tcBorders>
          </w:tcPr>
          <w:p>
            <w:pPr>
              <w:jc w:val="right"/>
              <w:ind w:right="325"/>
              <w:spacing w:after="0"/>
              <w:rPr>
                <w:sz w:val="20"/>
                <w:szCs w:val="20"/>
                <w:color w:val="auto"/>
              </w:rPr>
            </w:pPr>
            <w:r>
              <w:rPr>
                <w:rFonts w:ascii="Arial" w:cs="Arial" w:eastAsia="Arial" w:hAnsi="Arial"/>
                <w:sz w:val="16"/>
                <w:szCs w:val="16"/>
                <w:color w:val="auto"/>
              </w:rPr>
              <w:t>175.0%</w:t>
            </w:r>
          </w:p>
        </w:tc>
        <w:tc>
          <w:tcPr>
            <w:tcW w:w="1960" w:type="dxa"/>
            <w:vAlign w:val="bottom"/>
            <w:tcBorders>
              <w:bottom w:val="single" w:sz="8" w:color="D9D9D9"/>
            </w:tcBorders>
          </w:tcPr>
          <w:p>
            <w:pPr>
              <w:jc w:val="right"/>
              <w:ind w:right="325"/>
              <w:spacing w:after="0"/>
              <w:rPr>
                <w:sz w:val="20"/>
                <w:szCs w:val="20"/>
                <w:color w:val="auto"/>
              </w:rPr>
            </w:pPr>
            <w:r>
              <w:rPr>
                <w:rFonts w:ascii="Arial" w:cs="Arial" w:eastAsia="Arial" w:hAnsi="Arial"/>
                <w:sz w:val="16"/>
                <w:szCs w:val="16"/>
                <w:color w:val="auto"/>
              </w:rPr>
              <w:t>175.0%</w:t>
            </w:r>
          </w:p>
        </w:tc>
        <w:tc>
          <w:tcPr>
            <w:tcW w:w="144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259,350</w:t>
            </w:r>
          </w:p>
        </w:tc>
        <w:tc>
          <w:tcPr>
            <w:tcW w:w="0" w:type="dxa"/>
            <w:vAlign w:val="bottom"/>
          </w:tcPr>
          <w:p>
            <w:pPr>
              <w:spacing w:after="0"/>
              <w:rPr>
                <w:sz w:val="1"/>
                <w:szCs w:val="1"/>
                <w:color w:val="auto"/>
              </w:rPr>
            </w:pPr>
          </w:p>
        </w:tc>
      </w:tr>
      <w:tr>
        <w:trPr>
          <w:trHeight w:val="239"/>
        </w:trPr>
        <w:tc>
          <w:tcPr>
            <w:tcW w:w="314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Jay L. Kooper</w:t>
            </w:r>
          </w:p>
        </w:tc>
        <w:tc>
          <w:tcPr>
            <w:tcW w:w="2800" w:type="dxa"/>
            <w:vAlign w:val="bottom"/>
            <w:tcBorders>
              <w:bottom w:val="single" w:sz="8" w:color="D9D9D9"/>
            </w:tcBorders>
          </w:tcPr>
          <w:p>
            <w:pPr>
              <w:jc w:val="right"/>
              <w:ind w:right="384"/>
              <w:spacing w:after="0"/>
              <w:rPr>
                <w:sz w:val="20"/>
                <w:szCs w:val="20"/>
                <w:color w:val="auto"/>
              </w:rPr>
            </w:pPr>
            <w:r>
              <w:rPr>
                <w:rFonts w:ascii="Arial" w:cs="Arial" w:eastAsia="Arial" w:hAnsi="Arial"/>
                <w:sz w:val="16"/>
                <w:szCs w:val="16"/>
                <w:color w:val="auto"/>
              </w:rPr>
              <w:t>77,245</w:t>
            </w:r>
          </w:p>
        </w:tc>
        <w:tc>
          <w:tcPr>
            <w:tcW w:w="1900" w:type="dxa"/>
            <w:vAlign w:val="bottom"/>
            <w:tcBorders>
              <w:bottom w:val="single" w:sz="8" w:color="D9D9D9"/>
            </w:tcBorders>
          </w:tcPr>
          <w:p>
            <w:pPr>
              <w:jc w:val="right"/>
              <w:ind w:right="325"/>
              <w:spacing w:after="0"/>
              <w:rPr>
                <w:sz w:val="20"/>
                <w:szCs w:val="20"/>
                <w:color w:val="auto"/>
              </w:rPr>
            </w:pPr>
            <w:r>
              <w:rPr>
                <w:rFonts w:ascii="Arial" w:cs="Arial" w:eastAsia="Arial" w:hAnsi="Arial"/>
                <w:sz w:val="16"/>
                <w:szCs w:val="16"/>
                <w:color w:val="auto"/>
              </w:rPr>
              <w:t>175.0%</w:t>
            </w:r>
          </w:p>
        </w:tc>
        <w:tc>
          <w:tcPr>
            <w:tcW w:w="1960" w:type="dxa"/>
            <w:vAlign w:val="bottom"/>
            <w:tcBorders>
              <w:bottom w:val="single" w:sz="8" w:color="D9D9D9"/>
            </w:tcBorders>
          </w:tcPr>
          <w:p>
            <w:pPr>
              <w:jc w:val="right"/>
              <w:ind w:right="325"/>
              <w:spacing w:after="0"/>
              <w:rPr>
                <w:sz w:val="20"/>
                <w:szCs w:val="20"/>
                <w:color w:val="auto"/>
              </w:rPr>
            </w:pPr>
            <w:r>
              <w:rPr>
                <w:rFonts w:ascii="Arial" w:cs="Arial" w:eastAsia="Arial" w:hAnsi="Arial"/>
                <w:sz w:val="16"/>
                <w:szCs w:val="16"/>
                <w:color w:val="auto"/>
              </w:rPr>
              <w:t>175.0%</w:t>
            </w:r>
          </w:p>
        </w:tc>
        <w:tc>
          <w:tcPr>
            <w:tcW w:w="144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135,179</w:t>
            </w:r>
          </w:p>
        </w:tc>
        <w:tc>
          <w:tcPr>
            <w:tcW w:w="0" w:type="dxa"/>
            <w:vAlign w:val="bottom"/>
          </w:tcPr>
          <w:p>
            <w:pPr>
              <w:spacing w:after="0"/>
              <w:rPr>
                <w:sz w:val="1"/>
                <w:szCs w:val="1"/>
                <w:color w:val="auto"/>
              </w:rPr>
            </w:pPr>
          </w:p>
        </w:tc>
      </w:tr>
      <w:tr>
        <w:trPr>
          <w:trHeight w:val="239"/>
        </w:trPr>
        <w:tc>
          <w:tcPr>
            <w:tcW w:w="3140" w:type="dxa"/>
            <w:vAlign w:val="bottom"/>
            <w:tcBorders>
              <w:bottom w:val="single" w:sz="8" w:color="00AEEF"/>
            </w:tcBorders>
          </w:tcPr>
          <w:p>
            <w:pPr>
              <w:ind w:left="20"/>
              <w:spacing w:after="0"/>
              <w:rPr>
                <w:sz w:val="20"/>
                <w:szCs w:val="20"/>
                <w:color w:val="auto"/>
              </w:rPr>
            </w:pPr>
            <w:r>
              <w:rPr>
                <w:rFonts w:ascii="Arial" w:cs="Arial" w:eastAsia="Arial" w:hAnsi="Arial"/>
                <w:sz w:val="16"/>
                <w:szCs w:val="16"/>
                <w:b w:val="1"/>
                <w:bCs w:val="1"/>
                <w:color w:val="191769"/>
              </w:rPr>
              <w:t>Georgia M. Simpson</w:t>
            </w:r>
          </w:p>
        </w:tc>
        <w:tc>
          <w:tcPr>
            <w:tcW w:w="2800" w:type="dxa"/>
            <w:vAlign w:val="bottom"/>
            <w:tcBorders>
              <w:bottom w:val="single" w:sz="8" w:color="00AEEF"/>
            </w:tcBorders>
          </w:tcPr>
          <w:p>
            <w:pPr>
              <w:jc w:val="right"/>
              <w:ind w:right="384"/>
              <w:spacing w:after="0"/>
              <w:rPr>
                <w:sz w:val="20"/>
                <w:szCs w:val="20"/>
                <w:color w:val="auto"/>
              </w:rPr>
            </w:pPr>
            <w:r>
              <w:rPr>
                <w:rFonts w:ascii="Arial" w:cs="Arial" w:eastAsia="Arial" w:hAnsi="Arial"/>
                <w:sz w:val="16"/>
                <w:szCs w:val="16"/>
                <w:color w:val="auto"/>
              </w:rPr>
              <w:t>63,642</w:t>
            </w:r>
          </w:p>
        </w:tc>
        <w:tc>
          <w:tcPr>
            <w:tcW w:w="1900" w:type="dxa"/>
            <w:vAlign w:val="bottom"/>
            <w:tcBorders>
              <w:bottom w:val="single" w:sz="8" w:color="00AEEF"/>
            </w:tcBorders>
          </w:tcPr>
          <w:p>
            <w:pPr>
              <w:jc w:val="right"/>
              <w:ind w:right="325"/>
              <w:spacing w:after="0"/>
              <w:rPr>
                <w:sz w:val="20"/>
                <w:szCs w:val="20"/>
                <w:color w:val="auto"/>
              </w:rPr>
            </w:pPr>
            <w:r>
              <w:rPr>
                <w:rFonts w:ascii="Arial" w:cs="Arial" w:eastAsia="Arial" w:hAnsi="Arial"/>
                <w:sz w:val="16"/>
                <w:szCs w:val="16"/>
                <w:color w:val="auto"/>
              </w:rPr>
              <w:t>175.0%</w:t>
            </w:r>
          </w:p>
        </w:tc>
        <w:tc>
          <w:tcPr>
            <w:tcW w:w="1960" w:type="dxa"/>
            <w:vAlign w:val="bottom"/>
            <w:tcBorders>
              <w:bottom w:val="single" w:sz="8" w:color="00AEEF"/>
            </w:tcBorders>
          </w:tcPr>
          <w:p>
            <w:pPr>
              <w:jc w:val="right"/>
              <w:ind w:right="325"/>
              <w:spacing w:after="0"/>
              <w:rPr>
                <w:sz w:val="20"/>
                <w:szCs w:val="20"/>
                <w:color w:val="auto"/>
              </w:rPr>
            </w:pPr>
            <w:r>
              <w:rPr>
                <w:rFonts w:ascii="Arial" w:cs="Arial" w:eastAsia="Arial" w:hAnsi="Arial"/>
                <w:sz w:val="16"/>
                <w:szCs w:val="16"/>
                <w:color w:val="auto"/>
              </w:rPr>
              <w:t>175.0%</w:t>
            </w:r>
          </w:p>
        </w:tc>
        <w:tc>
          <w:tcPr>
            <w:tcW w:w="1440" w:type="dxa"/>
            <w:vAlign w:val="bottom"/>
            <w:tcBorders>
              <w:bottom w:val="single" w:sz="8" w:color="00AEEF"/>
            </w:tcBorders>
          </w:tcPr>
          <w:p>
            <w:pPr>
              <w:jc w:val="right"/>
              <w:spacing w:after="0"/>
              <w:rPr>
                <w:sz w:val="20"/>
                <w:szCs w:val="20"/>
                <w:color w:val="auto"/>
              </w:rPr>
            </w:pPr>
            <w:r>
              <w:rPr>
                <w:rFonts w:ascii="Arial" w:cs="Arial" w:eastAsia="Arial" w:hAnsi="Arial"/>
                <w:sz w:val="16"/>
                <w:szCs w:val="16"/>
                <w:color w:val="auto"/>
              </w:rPr>
              <w:t>111,373</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right="180"/>
        <w:spacing w:after="0" w:line="299" w:lineRule="auto"/>
        <w:rPr>
          <w:sz w:val="20"/>
          <w:szCs w:val="20"/>
          <w:color w:val="auto"/>
        </w:rPr>
      </w:pPr>
      <w:r>
        <w:rPr>
          <w:rFonts w:ascii="Arial" w:cs="Arial" w:eastAsia="Arial" w:hAnsi="Arial"/>
          <w:sz w:val="16"/>
          <w:szCs w:val="16"/>
          <w:color w:val="auto"/>
        </w:rPr>
        <w:t>The Restricted Stock awards made in 2026 for 2025 service and performance are not reflected in Summary Compensation Table in this proxy statement, but will be reflected in the executive compensation tables of the 2027 proxy statement.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CEO SUPPLEMENTAL RESTRICTED STOCK GRANT</w:t>
      </w:r>
    </w:p>
    <w:p>
      <w:pPr>
        <w:spacing w:after="0" w:line="87"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Our employment agreement with our CEO provides for supplemental restricted stock grants with a market value on the applicable grant date of $250,000. The employment agreement provides that these supplemental stock awards are to be made on March 1, 2024, 2025 and 2026, subject to overall satisfactory performance of the CEO, as determined by the Board, and vest in full one day following the appliable grant date.</w:t>
      </w:r>
    </w:p>
    <w:p>
      <w:pPr>
        <w:spacing w:after="0" w:line="87" w:lineRule="exact"/>
        <w:rPr>
          <w:sz w:val="20"/>
          <w:szCs w:val="20"/>
          <w:color w:val="auto"/>
        </w:rPr>
      </w:pPr>
    </w:p>
    <w:p>
      <w:pPr>
        <w:ind w:right="300"/>
        <w:spacing w:after="0" w:line="299" w:lineRule="auto"/>
        <w:rPr>
          <w:sz w:val="20"/>
          <w:szCs w:val="20"/>
          <w:color w:val="auto"/>
        </w:rPr>
      </w:pPr>
      <w:r>
        <w:rPr>
          <w:rFonts w:ascii="Arial" w:cs="Arial" w:eastAsia="Arial" w:hAnsi="Arial"/>
          <w:sz w:val="16"/>
          <w:szCs w:val="16"/>
          <w:color w:val="auto"/>
        </w:rPr>
        <w:t>The Committee evaluated the performance of the CEO and recommended to the Board approval of her supplemental equity grant of $250,000; and the Board approved the award.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860" w:type="dxa"/>
            <w:vAlign w:val="bottom"/>
            <w:tcBorders>
              <w:right w:val="single" w:sz="8" w:color="00AEEF"/>
            </w:tcBorders>
          </w:tcPr>
          <w:p>
            <w:pPr>
              <w:ind w:left="94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47</w:t>
            </w:r>
          </w:p>
        </w:tc>
      </w:tr>
      <w:tr>
        <w:trPr>
          <w:trHeight w:val="312"/>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9" w:name="page50"/>
    <w:bookmarkEnd w:id="49"/>
    <w:p>
      <w:pPr>
        <w:ind w:left="2"/>
        <w:spacing w:after="0"/>
        <w:rPr>
          <w:sz w:val="20"/>
          <w:szCs w:val="20"/>
          <w:color w:val="auto"/>
        </w:rPr>
      </w:pPr>
      <w:r>
        <w:rPr>
          <w:rFonts w:ascii="Arial" w:cs="Arial" w:eastAsia="Arial" w:hAnsi="Arial"/>
          <w:sz w:val="14"/>
          <w:szCs w:val="14"/>
          <w:b w:val="1"/>
          <w:bCs w:val="1"/>
          <w:color w:val="191769"/>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191769"/>
        </w:rPr>
        <w:t>Limited Perquisites and Other Employee Benefits</w:t>
      </w:r>
    </w:p>
    <w:p>
      <w:pPr>
        <w:spacing w:after="0" w:line="87" w:lineRule="exact"/>
        <w:rPr>
          <w:sz w:val="20"/>
          <w:szCs w:val="20"/>
          <w:color w:val="auto"/>
        </w:rPr>
      </w:pPr>
    </w:p>
    <w:p>
      <w:pPr>
        <w:ind w:left="2" w:right="40"/>
        <w:spacing w:after="0" w:line="299" w:lineRule="auto"/>
        <w:rPr>
          <w:sz w:val="20"/>
          <w:szCs w:val="20"/>
          <w:color w:val="auto"/>
        </w:rPr>
      </w:pPr>
      <w:r>
        <w:rPr>
          <w:rFonts w:ascii="Arial" w:cs="Arial" w:eastAsia="Arial" w:hAnsi="Arial"/>
          <w:sz w:val="16"/>
          <w:szCs w:val="16"/>
          <w:color w:val="auto"/>
        </w:rPr>
        <w:t>Our NEOs are provided with certain benefits available to all qualifying employees of the Company, as well as selected executive benefits or perquisites not generally available to all employees of the Company.</w:t>
      </w:r>
    </w:p>
    <w:p>
      <w:pPr>
        <w:spacing w:after="0" w:line="71" w:lineRule="exact"/>
        <w:rPr>
          <w:sz w:val="20"/>
          <w:szCs w:val="20"/>
          <w:color w:val="auto"/>
        </w:rPr>
      </w:pPr>
    </w:p>
    <w:p>
      <w:pPr>
        <w:ind w:left="2" w:right="780"/>
        <w:spacing w:after="0" w:line="299" w:lineRule="auto"/>
        <w:rPr>
          <w:sz w:val="20"/>
          <w:szCs w:val="20"/>
          <w:color w:val="auto"/>
        </w:rPr>
      </w:pPr>
      <w:r>
        <w:rPr>
          <w:rFonts w:ascii="Arial" w:cs="Arial" w:eastAsia="Arial" w:hAnsi="Arial"/>
          <w:sz w:val="16"/>
          <w:szCs w:val="16"/>
          <w:b w:val="1"/>
          <w:bCs w:val="1"/>
          <w:color w:val="auto"/>
        </w:rPr>
        <w:t>Broad-based Employee Benefits</w:t>
      </w:r>
      <w:r>
        <w:rPr>
          <w:rFonts w:ascii="Arial" w:cs="Arial" w:eastAsia="Arial" w:hAnsi="Arial"/>
          <w:sz w:val="16"/>
          <w:szCs w:val="16"/>
          <w:color w:val="auto"/>
        </w:rPr>
        <w:t>. The following summarizes the broad-based benefits available to all qualifying employees, in which the NEOs</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w:t>
      </w:r>
    </w:p>
    <w:p>
      <w:pPr>
        <w:spacing w:after="0" w:line="59" w:lineRule="exact"/>
        <w:rPr>
          <w:sz w:val="20"/>
          <w:szCs w:val="20"/>
          <w:color w:val="auto"/>
        </w:rPr>
      </w:pPr>
    </w:p>
    <w:p>
      <w:pPr>
        <w:ind w:left="162" w:hanging="162"/>
        <w:spacing w:after="0"/>
        <w:tabs>
          <w:tab w:leader="none" w:pos="162" w:val="left"/>
        </w:tabs>
        <w:numPr>
          <w:ilvl w:val="0"/>
          <w:numId w:val="65"/>
        </w:numPr>
        <w:rPr>
          <w:rFonts w:ascii="Arial" w:cs="Arial" w:eastAsia="Arial" w:hAnsi="Arial"/>
          <w:sz w:val="16"/>
          <w:szCs w:val="16"/>
          <w:b w:val="1"/>
          <w:bCs w:val="1"/>
          <w:color w:val="auto"/>
        </w:rPr>
      </w:pPr>
      <w:r>
        <w:rPr>
          <w:rFonts w:ascii="Arial" w:cs="Arial" w:eastAsia="Arial" w:hAnsi="Arial"/>
          <w:sz w:val="16"/>
          <w:szCs w:val="16"/>
          <w:color w:val="auto"/>
        </w:rPr>
        <w:t>Defined contribution or 401(k) plan, with employer matching contributions equivalent to 3.5 % of an employee’s salary deferral,</w:t>
      </w:r>
    </w:p>
    <w:p>
      <w:pPr>
        <w:spacing w:after="0" w:line="74" w:lineRule="exact"/>
        <w:rPr>
          <w:rFonts w:ascii="Arial" w:cs="Arial" w:eastAsia="Arial" w:hAnsi="Arial"/>
          <w:sz w:val="16"/>
          <w:szCs w:val="16"/>
          <w:b w:val="1"/>
          <w:bCs w:val="1"/>
          <w:color w:val="auto"/>
        </w:rPr>
      </w:pPr>
    </w:p>
    <w:p>
      <w:pPr>
        <w:ind w:left="162" w:hanging="162"/>
        <w:spacing w:after="0"/>
        <w:tabs>
          <w:tab w:leader="none" w:pos="162" w:val="left"/>
        </w:tabs>
        <w:numPr>
          <w:ilvl w:val="0"/>
          <w:numId w:val="65"/>
        </w:numPr>
        <w:rPr>
          <w:rFonts w:ascii="Arial" w:cs="Arial" w:eastAsia="Arial" w:hAnsi="Arial"/>
          <w:sz w:val="16"/>
          <w:szCs w:val="16"/>
          <w:b w:val="1"/>
          <w:bCs w:val="1"/>
          <w:color w:val="auto"/>
        </w:rPr>
      </w:pPr>
      <w:r>
        <w:rPr>
          <w:rFonts w:ascii="Arial" w:cs="Arial" w:eastAsia="Arial" w:hAnsi="Arial"/>
          <w:sz w:val="16"/>
          <w:szCs w:val="16"/>
          <w:color w:val="auto"/>
        </w:rPr>
        <w:t>Health insurance coverage (all employees share in the cost of such coverage),</w:t>
      </w:r>
    </w:p>
    <w:p>
      <w:pPr>
        <w:spacing w:after="0" w:line="86" w:lineRule="exact"/>
        <w:rPr>
          <w:rFonts w:ascii="Arial" w:cs="Arial" w:eastAsia="Arial" w:hAnsi="Arial"/>
          <w:sz w:val="16"/>
          <w:szCs w:val="16"/>
          <w:b w:val="1"/>
          <w:bCs w:val="1"/>
          <w:color w:val="auto"/>
        </w:rPr>
      </w:pPr>
    </w:p>
    <w:p>
      <w:pPr>
        <w:ind w:left="162" w:hanging="162"/>
        <w:spacing w:after="0"/>
        <w:tabs>
          <w:tab w:leader="none" w:pos="162" w:val="left"/>
        </w:tabs>
        <w:numPr>
          <w:ilvl w:val="0"/>
          <w:numId w:val="65"/>
        </w:numPr>
        <w:rPr>
          <w:rFonts w:ascii="Arial" w:cs="Arial" w:eastAsia="Arial" w:hAnsi="Arial"/>
          <w:sz w:val="16"/>
          <w:szCs w:val="16"/>
          <w:b w:val="1"/>
          <w:bCs w:val="1"/>
          <w:color w:val="auto"/>
        </w:rPr>
      </w:pPr>
      <w:r>
        <w:rPr>
          <w:rFonts w:ascii="Arial" w:cs="Arial" w:eastAsia="Arial" w:hAnsi="Arial"/>
          <w:sz w:val="16"/>
          <w:szCs w:val="16"/>
          <w:color w:val="auto"/>
        </w:rPr>
        <w:t>Disability insurance coverage, and</w:t>
      </w:r>
    </w:p>
    <w:p>
      <w:pPr>
        <w:spacing w:after="0" w:line="74" w:lineRule="exact"/>
        <w:rPr>
          <w:rFonts w:ascii="Arial" w:cs="Arial" w:eastAsia="Arial" w:hAnsi="Arial"/>
          <w:sz w:val="16"/>
          <w:szCs w:val="16"/>
          <w:b w:val="1"/>
          <w:bCs w:val="1"/>
          <w:color w:val="auto"/>
        </w:rPr>
      </w:pPr>
    </w:p>
    <w:p>
      <w:pPr>
        <w:ind w:left="162" w:hanging="162"/>
        <w:spacing w:after="0"/>
        <w:tabs>
          <w:tab w:leader="none" w:pos="162" w:val="left"/>
        </w:tabs>
        <w:numPr>
          <w:ilvl w:val="0"/>
          <w:numId w:val="65"/>
        </w:numPr>
        <w:rPr>
          <w:rFonts w:ascii="Arial" w:cs="Arial" w:eastAsia="Arial" w:hAnsi="Arial"/>
          <w:sz w:val="16"/>
          <w:szCs w:val="16"/>
          <w:b w:val="1"/>
          <w:bCs w:val="1"/>
          <w:color w:val="auto"/>
        </w:rPr>
      </w:pPr>
      <w:r>
        <w:rPr>
          <w:rFonts w:ascii="Arial" w:cs="Arial" w:eastAsia="Arial" w:hAnsi="Arial"/>
          <w:sz w:val="16"/>
          <w:szCs w:val="16"/>
          <w:color w:val="auto"/>
        </w:rPr>
        <w:t>Group term life insurance coverage.</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Executive Benefits and Perquisites</w:t>
      </w:r>
      <w:r>
        <w:rPr>
          <w:rFonts w:ascii="Arial" w:cs="Arial" w:eastAsia="Arial" w:hAnsi="Arial"/>
          <w:sz w:val="16"/>
          <w:szCs w:val="16"/>
          <w:color w:val="auto"/>
        </w:rPr>
        <w:t>. The NEOs received the following benefits and perquisites:</w:t>
      </w:r>
    </w:p>
    <w:p>
      <w:pPr>
        <w:spacing w:after="0" w:line="136" w:lineRule="exact"/>
        <w:rPr>
          <w:sz w:val="20"/>
          <w:szCs w:val="20"/>
          <w:color w:val="auto"/>
        </w:rPr>
      </w:pPr>
    </w:p>
    <w:p>
      <w:pPr>
        <w:ind w:left="182" w:right="320" w:hanging="182"/>
        <w:spacing w:after="0" w:line="299" w:lineRule="auto"/>
        <w:tabs>
          <w:tab w:leader="none" w:pos="173"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t>Vehicle allowance or use of a Company-owned vehicle, with the value of any personal use of such vehicle is reported as taxable income to the NEO, and</w:t>
      </w:r>
    </w:p>
    <w:p>
      <w:pPr>
        <w:spacing w:after="0" w:line="9" w:lineRule="exact"/>
        <w:rPr>
          <w:rFonts w:ascii="Arial" w:cs="Arial" w:eastAsia="Arial" w:hAnsi="Arial"/>
          <w:sz w:val="16"/>
          <w:szCs w:val="16"/>
          <w:b w:val="1"/>
          <w:bCs w:val="1"/>
          <w:color w:val="auto"/>
        </w:rPr>
      </w:pPr>
    </w:p>
    <w:p>
      <w:pPr>
        <w:ind w:left="182" w:right="180" w:hanging="182"/>
        <w:spacing w:after="0" w:line="299" w:lineRule="auto"/>
        <w:tabs>
          <w:tab w:leader="none" w:pos="173"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t>Group term life insurance coverage of 3x base salary, which amount is in excess of coverage generally available to all employees, for which premiums are reported as taxable income to the Executive and for which total policy coverage is capped at $1,500,000.</w:t>
      </w:r>
    </w:p>
    <w:p>
      <w:pPr>
        <w:spacing w:after="0" w:line="59"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Committee formally reviews all components of executive compensation on an annual basis.</w:t>
      </w:r>
    </w:p>
    <w:p>
      <w:pPr>
        <w:spacing w:after="0" w:line="287"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191769"/>
        </w:rPr>
        <w:t>Severance and Change-In-Control Agreements</w:t>
      </w:r>
    </w:p>
    <w:p>
      <w:pPr>
        <w:spacing w:after="0" w:line="8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0076A8"/>
        </w:rPr>
        <w:t>SEVERANCE ARRANGEMENTS</w:t>
      </w:r>
    </w:p>
    <w:p>
      <w:pPr>
        <w:spacing w:after="0" w:line="87" w:lineRule="exact"/>
        <w:rPr>
          <w:sz w:val="20"/>
          <w:szCs w:val="20"/>
          <w:color w:val="auto"/>
        </w:rPr>
      </w:pPr>
    </w:p>
    <w:p>
      <w:pPr>
        <w:ind w:left="2"/>
        <w:spacing w:after="0" w:line="278" w:lineRule="auto"/>
        <w:rPr>
          <w:sz w:val="20"/>
          <w:szCs w:val="20"/>
          <w:color w:val="auto"/>
        </w:rPr>
      </w:pPr>
      <w:r>
        <w:rPr>
          <w:rFonts w:ascii="Arial" w:cs="Arial" w:eastAsia="Arial" w:hAnsi="Arial"/>
          <w:sz w:val="16"/>
          <w:szCs w:val="16"/>
          <w:color w:val="auto"/>
        </w:rPr>
        <w:t>We have written employment agreements with our President and CEO, Chief Financial Officer and Chief Operating Officer that include severance provisions which provide for the payment of severance pay and benefits in the event of an executive’s termination of employment by us without cause or by the executive with good reason (other than in connection with a change in control of the Company or as a result of death, disability or normal retirement).</w:t>
      </w:r>
    </w:p>
    <w:p>
      <w:pPr>
        <w:spacing w:after="0" w:line="87" w:lineRule="exact"/>
        <w:rPr>
          <w:sz w:val="20"/>
          <w:szCs w:val="20"/>
          <w:color w:val="auto"/>
        </w:rPr>
      </w:pPr>
    </w:p>
    <w:p>
      <w:pPr>
        <w:ind w:left="2" w:right="320"/>
        <w:spacing w:after="0" w:line="267" w:lineRule="auto"/>
        <w:rPr>
          <w:sz w:val="20"/>
          <w:szCs w:val="20"/>
          <w:color w:val="auto"/>
        </w:rPr>
      </w:pPr>
      <w:r>
        <w:rPr>
          <w:rFonts w:ascii="Arial" w:cs="Arial" w:eastAsia="Arial" w:hAnsi="Arial"/>
          <w:sz w:val="16"/>
          <w:szCs w:val="16"/>
          <w:color w:val="auto"/>
        </w:rPr>
        <w:t>In general, with respect to severance benefits, upon a termination without cause or by the executive with good reason, the CEO would be eligible for a lump sum cash payment equal to (1) 50% of her annual target bonus, (2) 50% of the annual target long-term equity incentive under her employment agreement, and (3) an amount equal to the rate for 24 months of COBRA continuation coverage, provided the CEO executed an applicable release of claims. If the employment agreement was not renewed at the expiration of its term on December 31, 2030, then any unvested restricted common stock previously awarded to the CEO would immediately vest.</w:t>
      </w:r>
    </w:p>
    <w:p>
      <w:pPr>
        <w:spacing w:after="0" w:line="97" w:lineRule="exact"/>
        <w:rPr>
          <w:sz w:val="20"/>
          <w:szCs w:val="20"/>
          <w:color w:val="auto"/>
        </w:rPr>
      </w:pPr>
    </w:p>
    <w:p>
      <w:pPr>
        <w:ind w:left="2"/>
        <w:spacing w:after="0" w:line="271" w:lineRule="auto"/>
        <w:rPr>
          <w:sz w:val="20"/>
          <w:szCs w:val="20"/>
          <w:color w:val="auto"/>
        </w:rPr>
      </w:pPr>
      <w:r>
        <w:rPr>
          <w:rFonts w:ascii="Arial" w:cs="Arial" w:eastAsia="Arial" w:hAnsi="Arial"/>
          <w:sz w:val="16"/>
          <w:szCs w:val="16"/>
          <w:color w:val="auto"/>
        </w:rPr>
        <w:t>In general, with respect to severance benefits, upon a termination without cause or by the executive with good reason, the Chief Financial Officer and Chief Operating Officer would each be eligible for a lump sum cash payment equal to (1) twelve months of annual base salary, (2) a pro-rated amount of the annual target short-term incentive, (3) a pro-rated amount of the annual target long-term equity incentive, and (4) an amount equal to the rate for 18 months of COBRA continuation coverage, in each case subject to the NEO’s execution of an applicable release of claims.</w:t>
      </w:r>
    </w:p>
    <w:p>
      <w:pPr>
        <w:spacing w:after="0" w:line="80" w:lineRule="exact"/>
        <w:rPr>
          <w:sz w:val="20"/>
          <w:szCs w:val="20"/>
          <w:color w:val="auto"/>
        </w:rPr>
      </w:pPr>
    </w:p>
    <w:p>
      <w:pPr>
        <w:ind w:left="2" w:right="80"/>
        <w:spacing w:after="0" w:line="299" w:lineRule="auto"/>
        <w:rPr>
          <w:sz w:val="20"/>
          <w:szCs w:val="20"/>
          <w:color w:val="auto"/>
        </w:rPr>
      </w:pPr>
      <w:r>
        <w:rPr>
          <w:rFonts w:ascii="Arial" w:cs="Arial" w:eastAsia="Arial" w:hAnsi="Arial"/>
          <w:sz w:val="16"/>
          <w:szCs w:val="16"/>
          <w:color w:val="auto"/>
        </w:rPr>
        <w:t>See “Potential Payments upon a Termination or Change in Control,” which further describes the payments to which the participating NEOs may be entitled under the Severance Guidelines.</w:t>
      </w:r>
    </w:p>
    <w:p>
      <w:pPr>
        <w:spacing w:after="0" w:line="71" w:lineRule="exact"/>
        <w:rPr>
          <w:sz w:val="20"/>
          <w:szCs w:val="20"/>
          <w:color w:val="auto"/>
        </w:rPr>
      </w:pPr>
    </w:p>
    <w:p>
      <w:pPr>
        <w:jc w:val="both"/>
        <w:ind w:left="2" w:right="240"/>
        <w:spacing w:after="0" w:line="278" w:lineRule="auto"/>
        <w:rPr>
          <w:sz w:val="20"/>
          <w:szCs w:val="20"/>
          <w:color w:val="auto"/>
        </w:rPr>
      </w:pPr>
      <w:r>
        <w:rPr>
          <w:rFonts w:ascii="Arial" w:cs="Arial" w:eastAsia="Arial" w:hAnsi="Arial"/>
          <w:sz w:val="16"/>
          <w:szCs w:val="16"/>
          <w:color w:val="auto"/>
        </w:rPr>
        <w:t>Except as described above, there are no employment agreements for the other NEOs who are “at will” employees of the Company, but such officers are party to change in control severance agreements with the Company providing for severance payments in conjunction termination by the Company or for good reason by the NEO in connection with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347345</wp:posOffset>
            </wp:positionV>
            <wp:extent cx="7620" cy="132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462" w:hanging="445"/>
        <w:spacing w:after="0"/>
        <w:tabs>
          <w:tab w:leader="none" w:pos="462" w:val="left"/>
        </w:tabs>
        <w:numPr>
          <w:ilvl w:val="0"/>
          <w:numId w:val="67"/>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210185</wp:posOffset>
            </wp:positionV>
            <wp:extent cx="7169785" cy="412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2"/>
          </w:cols>
          <w:pgMar w:left="318" w:top="124"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4"/>
          <w:szCs w:val="14"/>
          <w:b w:val="1"/>
          <w:bCs w:val="1"/>
          <w:color w:val="191769"/>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CHANGE IN CONTROL ARRANGEMENTS</w:t>
      </w:r>
    </w:p>
    <w:p>
      <w:pPr>
        <w:spacing w:after="0" w:line="99" w:lineRule="exact"/>
        <w:rPr>
          <w:sz w:val="20"/>
          <w:szCs w:val="20"/>
          <w:color w:val="auto"/>
        </w:rPr>
      </w:pPr>
    </w:p>
    <w:p>
      <w:pPr>
        <w:ind w:right="340"/>
        <w:spacing w:after="0" w:line="267" w:lineRule="auto"/>
        <w:rPr>
          <w:sz w:val="20"/>
          <w:szCs w:val="20"/>
          <w:color w:val="auto"/>
        </w:rPr>
      </w:pPr>
      <w:r>
        <w:rPr>
          <w:rFonts w:ascii="Arial" w:cs="Arial" w:eastAsia="Arial" w:hAnsi="Arial"/>
          <w:sz w:val="16"/>
          <w:szCs w:val="16"/>
          <w:color w:val="auto"/>
        </w:rPr>
        <w:t>The Committee believes that the long-term interests of shareholders are best served by providing reasonable income protection for NEOs to address potential change in control situations in which they may otherwise be distracted by their potential loss of employment in the event of a successful transaction. The written change in control agreements with each of our continuing NEOs provide certain financial benefits in the event of a change in control. These are “double trigger” arrangements – i.e., severance benefits under these arrangements are only triggered by a qualifying event that also results in the NEO’s termination of employment under certain specified circumstances within two years following the event.</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See “Potential Payments upon a Termination or Change in Control”, below for further information.</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191769"/>
        </w:rPr>
        <w:t>Other Compensation Policies and Practices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EXECUTIVE STOCK OWNERSHIP GUIDELINES</w:t>
      </w:r>
    </w:p>
    <w:p>
      <w:pPr>
        <w:spacing w:after="0" w:line="99"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We believe that the Company and our shareholders are best served when executive officers manage the business with a long-term perspective. As such, we have implemented executive stock ownership guidelines, as we believe share ownership is an important tool to strengthen the alignment of interests among our executive officers and our shareholders, to reinforce executive officers’ commitment to us and to demonstrate our commitment to sound corporate governance. The current NEOs have five years from the date the guidelines were adopted to comply with the ownership guidelines. Any newly hired or promoted executive will have five years from the date of their hire or appointment to comply with the guidelines.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Borders>
              <w:bottom w:val="single" w:sz="8" w:color="00AEEF"/>
            </w:tcBorders>
          </w:tcPr>
          <w:p>
            <w:pPr>
              <w:ind w:left="20"/>
              <w:spacing w:after="0"/>
              <w:rPr>
                <w:sz w:val="20"/>
                <w:szCs w:val="20"/>
                <w:color w:val="auto"/>
              </w:rPr>
            </w:pPr>
            <w:r>
              <w:rPr>
                <w:rFonts w:ascii="Arial" w:cs="Arial" w:eastAsia="Arial" w:hAnsi="Arial"/>
                <w:sz w:val="13"/>
                <w:szCs w:val="13"/>
                <w:b w:val="1"/>
                <w:bCs w:val="1"/>
                <w:color w:val="191769"/>
              </w:rPr>
              <w:t>Position</w:t>
            </w:r>
          </w:p>
        </w:tc>
        <w:tc>
          <w:tcPr>
            <w:tcW w:w="6660" w:type="dxa"/>
            <w:vAlign w:val="bottom"/>
            <w:tcBorders>
              <w:bottom w:val="single" w:sz="8" w:color="00AEEF"/>
            </w:tcBorders>
          </w:tcPr>
          <w:p>
            <w:pPr>
              <w:jc w:val="right"/>
              <w:spacing w:after="0"/>
              <w:rPr>
                <w:sz w:val="20"/>
                <w:szCs w:val="20"/>
                <w:color w:val="auto"/>
              </w:rPr>
            </w:pPr>
            <w:r>
              <w:rPr>
                <w:rFonts w:ascii="Arial" w:cs="Arial" w:eastAsia="Arial" w:hAnsi="Arial"/>
                <w:sz w:val="13"/>
                <w:szCs w:val="13"/>
                <w:b w:val="1"/>
                <w:bCs w:val="1"/>
                <w:color w:val="191769"/>
              </w:rPr>
              <w:t>Beneficial Share Ownership Equal to a Multiple of Base Salary</w:t>
            </w:r>
          </w:p>
        </w:tc>
      </w:tr>
      <w:tr>
        <w:trPr>
          <w:trHeight w:val="223"/>
        </w:trPr>
        <w:tc>
          <w:tcPr>
            <w:tcW w:w="4580" w:type="dxa"/>
            <w:vAlign w:val="bottom"/>
          </w:tcPr>
          <w:p>
            <w:pPr>
              <w:ind w:left="20"/>
              <w:spacing w:after="0"/>
              <w:rPr>
                <w:sz w:val="20"/>
                <w:szCs w:val="20"/>
                <w:color w:val="auto"/>
              </w:rPr>
            </w:pPr>
            <w:r>
              <w:rPr>
                <w:rFonts w:ascii="Arial" w:cs="Arial" w:eastAsia="Arial" w:hAnsi="Arial"/>
                <w:sz w:val="16"/>
                <w:szCs w:val="16"/>
                <w:color w:val="auto"/>
              </w:rPr>
              <w:t>Chief Executive Officer</w:t>
            </w:r>
          </w:p>
        </w:tc>
        <w:tc>
          <w:tcPr>
            <w:tcW w:w="6660" w:type="dxa"/>
            <w:vAlign w:val="bottom"/>
          </w:tcPr>
          <w:p>
            <w:pPr>
              <w:jc w:val="right"/>
              <w:spacing w:after="0"/>
              <w:rPr>
                <w:sz w:val="20"/>
                <w:szCs w:val="20"/>
                <w:color w:val="auto"/>
              </w:rPr>
            </w:pPr>
            <w:r>
              <w:rPr>
                <w:rFonts w:ascii="Arial" w:cs="Arial" w:eastAsia="Arial" w:hAnsi="Arial"/>
                <w:sz w:val="16"/>
                <w:szCs w:val="16"/>
                <w:color w:val="auto"/>
              </w:rPr>
              <w:t>3x</w:t>
            </w:r>
          </w:p>
        </w:tc>
      </w:tr>
      <w:tr>
        <w:trPr>
          <w:trHeight w:val="22"/>
        </w:trPr>
        <w:tc>
          <w:tcPr>
            <w:tcW w:w="4580" w:type="dxa"/>
            <w:vAlign w:val="bottom"/>
            <w:tcBorders>
              <w:bottom w:val="single" w:sz="8" w:color="D9D9D9"/>
            </w:tcBorders>
          </w:tcPr>
          <w:p>
            <w:pPr>
              <w:spacing w:after="0" w:line="20" w:lineRule="exact"/>
              <w:rPr>
                <w:sz w:val="1"/>
                <w:szCs w:val="1"/>
                <w:color w:val="auto"/>
              </w:rPr>
            </w:pPr>
          </w:p>
        </w:tc>
        <w:tc>
          <w:tcPr>
            <w:tcW w:w="6660" w:type="dxa"/>
            <w:vAlign w:val="bottom"/>
            <w:tcBorders>
              <w:bottom w:val="single" w:sz="8" w:color="D9D9D9"/>
            </w:tcBorders>
          </w:tcPr>
          <w:p>
            <w:pPr>
              <w:spacing w:after="0" w:line="20" w:lineRule="exact"/>
              <w:rPr>
                <w:sz w:val="1"/>
                <w:szCs w:val="1"/>
                <w:color w:val="auto"/>
              </w:rPr>
            </w:pPr>
          </w:p>
        </w:tc>
      </w:tr>
      <w:tr>
        <w:trPr>
          <w:trHeight w:val="217"/>
        </w:trPr>
        <w:tc>
          <w:tcPr>
            <w:tcW w:w="458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6660" w:type="dxa"/>
            <w:vAlign w:val="bottom"/>
          </w:tcPr>
          <w:p>
            <w:pPr>
              <w:jc w:val="right"/>
              <w:spacing w:after="0"/>
              <w:rPr>
                <w:sz w:val="20"/>
                <w:szCs w:val="20"/>
                <w:color w:val="auto"/>
              </w:rPr>
            </w:pPr>
            <w:r>
              <w:rPr>
                <w:rFonts w:ascii="Arial" w:cs="Arial" w:eastAsia="Arial" w:hAnsi="Arial"/>
                <w:sz w:val="16"/>
                <w:szCs w:val="16"/>
                <w:color w:val="auto"/>
              </w:rPr>
              <w:t>1.5x</w:t>
            </w:r>
          </w:p>
        </w:tc>
      </w:tr>
      <w:tr>
        <w:trPr>
          <w:trHeight w:val="22"/>
        </w:trPr>
        <w:tc>
          <w:tcPr>
            <w:tcW w:w="4580" w:type="dxa"/>
            <w:vAlign w:val="bottom"/>
            <w:tcBorders>
              <w:bottom w:val="single" w:sz="8" w:color="D9D9D9"/>
            </w:tcBorders>
          </w:tcPr>
          <w:p>
            <w:pPr>
              <w:spacing w:after="0" w:line="20" w:lineRule="exact"/>
              <w:rPr>
                <w:sz w:val="1"/>
                <w:szCs w:val="1"/>
                <w:color w:val="auto"/>
              </w:rPr>
            </w:pPr>
          </w:p>
        </w:tc>
        <w:tc>
          <w:tcPr>
            <w:tcW w:w="6660" w:type="dxa"/>
            <w:vAlign w:val="bottom"/>
            <w:tcBorders>
              <w:bottom w:val="single" w:sz="8" w:color="D9D9D9"/>
            </w:tcBorders>
          </w:tcPr>
          <w:p>
            <w:pPr>
              <w:spacing w:after="0" w:line="20" w:lineRule="exact"/>
              <w:rPr>
                <w:sz w:val="1"/>
                <w:szCs w:val="1"/>
                <w:color w:val="auto"/>
              </w:rPr>
            </w:pPr>
          </w:p>
        </w:tc>
      </w:tr>
      <w:tr>
        <w:trPr>
          <w:trHeight w:val="217"/>
        </w:trPr>
        <w:tc>
          <w:tcPr>
            <w:tcW w:w="4580" w:type="dxa"/>
            <w:vAlign w:val="bottom"/>
          </w:tcPr>
          <w:p>
            <w:pPr>
              <w:ind w:left="20"/>
              <w:spacing w:after="0"/>
              <w:rPr>
                <w:sz w:val="20"/>
                <w:szCs w:val="20"/>
                <w:color w:val="auto"/>
              </w:rPr>
            </w:pPr>
            <w:r>
              <w:rPr>
                <w:rFonts w:ascii="Arial" w:cs="Arial" w:eastAsia="Arial" w:hAnsi="Arial"/>
                <w:sz w:val="16"/>
                <w:szCs w:val="16"/>
                <w:color w:val="auto"/>
              </w:rPr>
              <w:t>Other Executive Officers</w:t>
            </w:r>
          </w:p>
        </w:tc>
        <w:tc>
          <w:tcPr>
            <w:tcW w:w="6660" w:type="dxa"/>
            <w:vAlign w:val="bottom"/>
          </w:tcPr>
          <w:p>
            <w:pPr>
              <w:jc w:val="right"/>
              <w:spacing w:after="0"/>
              <w:rPr>
                <w:sz w:val="20"/>
                <w:szCs w:val="20"/>
                <w:color w:val="auto"/>
              </w:rPr>
            </w:pPr>
            <w:r>
              <w:rPr>
                <w:rFonts w:ascii="Arial" w:cs="Arial" w:eastAsia="Arial" w:hAnsi="Arial"/>
                <w:sz w:val="16"/>
                <w:szCs w:val="16"/>
                <w:color w:val="auto"/>
              </w:rPr>
              <w:t>1x</w:t>
            </w:r>
          </w:p>
        </w:tc>
      </w:tr>
      <w:tr>
        <w:trPr>
          <w:trHeight w:val="22"/>
        </w:trPr>
        <w:tc>
          <w:tcPr>
            <w:tcW w:w="4580" w:type="dxa"/>
            <w:vAlign w:val="bottom"/>
            <w:tcBorders>
              <w:bottom w:val="single" w:sz="8" w:color="00AEEF"/>
            </w:tcBorders>
          </w:tcPr>
          <w:p>
            <w:pPr>
              <w:spacing w:after="0" w:line="20" w:lineRule="exact"/>
              <w:rPr>
                <w:sz w:val="1"/>
                <w:szCs w:val="1"/>
                <w:color w:val="auto"/>
              </w:rPr>
            </w:pPr>
          </w:p>
        </w:tc>
        <w:tc>
          <w:tcPr>
            <w:tcW w:w="6660" w:type="dxa"/>
            <w:vAlign w:val="bottom"/>
            <w:tcBorders>
              <w:bottom w:val="single" w:sz="8" w:color="00AEEF"/>
            </w:tcBorders>
          </w:tcPr>
          <w:p>
            <w:pPr>
              <w:spacing w:after="0" w:line="20" w:lineRule="exact"/>
              <w:rPr>
                <w:sz w:val="1"/>
                <w:szCs w:val="1"/>
                <w:color w:val="auto"/>
              </w:rPr>
            </w:pPr>
          </w:p>
        </w:tc>
      </w:tr>
    </w:tbl>
    <w:p>
      <w:pPr>
        <w:spacing w:after="0" w:line="192"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Equity interests that count toward our stock ownership guidelines include shares owned outright by the executive officer and restricted shares subject to vesting requirements. The Committee monitors executive officers’ compliance with the stock ownership requirements. For 2025, the Committee has determined that all executive officers meet or exceed the applicable guidelines, or are on track to meet or exceed the guidelines within the five-year period.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EQUITY GRANT PRACTICES</w:t>
      </w:r>
    </w:p>
    <w:p>
      <w:pPr>
        <w:spacing w:after="0" w:line="99"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We do not currently grant stock options or stock appreciation rights as part of our long-term equity compensation plan. For this reason, the Company has not adopted a policy or practice on the timing of awards of options or stock appreciation rights in relation to the disclosure of material nonpublic information.</w:t>
      </w:r>
    </w:p>
    <w:p>
      <w:pPr>
        <w:spacing w:after="0" w:line="71" w:lineRule="exact"/>
        <w:rPr>
          <w:sz w:val="20"/>
          <w:szCs w:val="20"/>
          <w:color w:val="auto"/>
        </w:rPr>
      </w:pPr>
    </w:p>
    <w:p>
      <w:pPr>
        <w:ind w:right="380"/>
        <w:spacing w:after="0" w:line="267" w:lineRule="auto"/>
        <w:rPr>
          <w:sz w:val="20"/>
          <w:szCs w:val="20"/>
          <w:color w:val="auto"/>
        </w:rPr>
      </w:pPr>
      <w:r>
        <w:rPr>
          <w:rFonts w:ascii="Arial" w:cs="Arial" w:eastAsia="Arial" w:hAnsi="Arial"/>
          <w:sz w:val="16"/>
          <w:szCs w:val="16"/>
          <w:color w:val="auto"/>
        </w:rPr>
        <w:t>The Committee typically recommends to the non-employee members of the Board and the Board grants equity-based awards, in the form of restricted stock, to our executive officers on an annual grant cycle and may also make off cycle awards from time to time on an</w:t>
      </w:r>
    </w:p>
    <w:p>
      <w:pPr>
        <w:spacing w:after="0" w:line="1"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as-needed basis. The Company does not time the disclosure of material non-public information for the purpose of affecting the value of executive compensation, and it is the Committee’s practice to generally avoid granting equity awards during periods in which there is undisclosed material non-public information about the Company. Annual equity awards have been approved by the Board of Directors at its first quarter meeting, which has historically been scheduled several months in advance of that meeting.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INSIDER TRADING POLICY</w:t>
      </w:r>
    </w:p>
    <w:p>
      <w:pPr>
        <w:spacing w:after="0" w:line="99"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 xml:space="preserve">We have adopted an insider trading policy (our “Insider Trading Policy”) governing the purchase, sale, and/or other dispositions of the Company’s securities by directors, officers and employees that is designed to promote compliance with insider trading laws, rules and regulations, as well as procedures designed to further the foregoing purposes. Pursuant to our Insider Trading Policy, it is the Company’s policy to comply with applicable laws and regulations relating to insider trading when engaging in transactions in the Company’s securities. The Company’s Insider Trading Policy is available on our website at </w:t>
      </w:r>
      <w:r>
        <w:rPr>
          <w:rFonts w:ascii="Arial" w:cs="Arial" w:eastAsia="Arial" w:hAnsi="Arial"/>
          <w:sz w:val="16"/>
          <w:szCs w:val="16"/>
          <w:u w:val="single" w:color="auto"/>
          <w:color w:val="0076A8"/>
        </w:rPr>
        <w:t>www.MiddlesexWater.com</w:t>
      </w:r>
      <w:r>
        <w:rPr>
          <w:rFonts w:ascii="Arial" w:cs="Arial" w:eastAsia="Arial" w:hAnsi="Arial"/>
          <w:sz w:val="16"/>
          <w:szCs w:val="16"/>
          <w:color w:val="auto"/>
        </w:rPr>
        <w:t xml:space="preserve"> under the heading Investors – Governance, and a copy is filed as an exhibit to our Annual Report on Form 10-K for our fiscal year ended December 31, 2025.</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860" w:type="dxa"/>
            <w:vAlign w:val="bottom"/>
            <w:tcBorders>
              <w:right w:val="single" w:sz="8" w:color="00AEEF"/>
            </w:tcBorders>
          </w:tcPr>
          <w:p>
            <w:pPr>
              <w:ind w:left="94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49</w:t>
            </w:r>
          </w:p>
        </w:tc>
      </w:tr>
      <w:tr>
        <w:trPr>
          <w:trHeight w:val="312"/>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color w:val="191769"/>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PROHIBITION ON HEDGING AND PLEDGING</w:t>
      </w:r>
    </w:p>
    <w:p>
      <w:pPr>
        <w:spacing w:after="0" w:line="9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Our Insider Trading policy prohibits our directors, officers and employees from engaging in any hedging or derivative transactions involving the Company’s securities, including forward sale or purchase contracts, equity swaps, collars or exchange funds or transactions in puts, calls or other derivative instruments that relate to or involve Company securities. Our Insider Trading Policy also prohibits these covered persons from (i) pledging our securities to a lender as collateral for a loan, or (ii) holding them in a margin account as collateral for any obligation incurred in connection with a purchase of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RECOVERY OF INCENTIVE-BASED COMPENSATION</w:t>
      </w:r>
    </w:p>
    <w:p>
      <w:pPr>
        <w:spacing w:after="0" w:line="99"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We maintain a Dodd-Frank Act-compliant incentive compensation recovery policy applicable to each of our executive officers. Under this policy, if the Company is required to prepare a restatement, the Company will, as promptly as reasonably possible, recover any incentive-based compensation erroneously received by a covered executive during the recovery period. The amount of compensation erroneously received by a covered executive will be equal to the excess of the incentive-based compensation received by such covered executive based on the erroneous data in the financial statements over such compensation based on the restated results, without respect to any tax liabilities incurred or paid by such covered executive. To the extent the recalculated incentive compensation is less than the incentive compensation actually paid or credited to such executive officer for that period, the excess amount must be forfeited or returned to the Company.</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RISK MANAGEMENT CONSIDERATIONS</w:t>
      </w:r>
    </w:p>
    <w:p>
      <w:pPr>
        <w:spacing w:after="0" w:line="99"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The Committee evaluates the reasonableness of attaining designated incentive goals relative to the importance of such goals to the overall mission and strategies of the Company and the required effort to achieve such goals. The Committee recognizes that some level of calculated risk is required to achieve business objectives that ultimately benefit customers and shareholders. However, the Committee discourages taking risk that, in its judgment, is inappropriate relative to the expectations of our regulators and shareholders.</w:t>
      </w:r>
    </w:p>
    <w:p>
      <w:pPr>
        <w:spacing w:after="0" w:line="80"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The Committee believes that none of the Company’s compensation programs encourage or create excessive risk-taking, and therefore has determined that that our compensation policies and practices are not reasonably likely to have a material adverse effect on the Company. We believe our compensation program and policies include terms designed to mitigate any potential material risks created by the performance-based metrics used in the executive compensation program.</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ACCOUNTING AND TAX CONSIDERATIONS</w:t>
      </w:r>
    </w:p>
    <w:p>
      <w:pPr>
        <w:spacing w:after="0" w:line="87"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When appropriate, the Committee takes into consideration the accounting and tax treatment of the compensation and benefit arrangements for our Named Executive Officers. These considerations are in addition to those described above that were material to the pay decisions for the most recent fiscal year.</w:t>
      </w:r>
    </w:p>
    <w:p>
      <w:pPr>
        <w:spacing w:after="0" w:line="205" w:lineRule="exact"/>
        <w:rPr>
          <w:sz w:val="20"/>
          <w:szCs w:val="20"/>
          <w:color w:val="auto"/>
        </w:rPr>
      </w:pPr>
    </w:p>
    <w:p>
      <w:pPr>
        <w:spacing w:after="0"/>
        <w:rPr>
          <w:sz w:val="20"/>
          <w:szCs w:val="20"/>
          <w:color w:val="auto"/>
        </w:rPr>
      </w:pPr>
      <w:r>
        <w:rPr>
          <w:rFonts w:ascii="Arial" w:cs="Arial" w:eastAsia="Arial" w:hAnsi="Arial"/>
          <w:sz w:val="36"/>
          <w:szCs w:val="36"/>
          <w:b w:val="1"/>
          <w:bCs w:val="1"/>
          <w:color w:val="0076A8"/>
        </w:rPr>
        <w:t>Compensation Committee Report</w:t>
      </w:r>
    </w:p>
    <w:p>
      <w:pPr>
        <w:spacing w:after="0" w:line="178"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The Compensation Committee has reviewed and discussed the Compensation Discussion and Analysis (“CD&amp;A”) with management. Based on this review and discussion, the Compensation Committee has recommended to the Board that the CD&amp;A be included in this Proxy Statement and in the Company’s Annual Report on Form 10-K.</w:t>
      </w:r>
    </w:p>
    <w:p>
      <w:pPr>
        <w:spacing w:after="0" w:line="87"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This Compensation Committee Report shall not be deemed to be incorporated by reference into any filing made by the Company under the Securities Act of 1933, as amended, notwithstanding any general statement contained in any such filing incorporating this Proxy Statement by reference, except to the extent the Company incorporates such Report by specific reference.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Compensation Committee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Joshua Bershad, M.D. (Chair)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James F. Cosgrove, Jr.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Kim C. Hanemann</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Amy B. Mansue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203835</wp:posOffset>
            </wp:positionV>
            <wp:extent cx="7620" cy="132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318" w:lineRule="exact"/>
        <w:rPr>
          <w:sz w:val="20"/>
          <w:szCs w:val="20"/>
          <w:color w:val="auto"/>
        </w:rPr>
      </w:pPr>
    </w:p>
    <w:p>
      <w:pPr>
        <w:ind w:left="460" w:hanging="445"/>
        <w:spacing w:after="0"/>
        <w:tabs>
          <w:tab w:leader="none" w:pos="460" w:val="left"/>
        </w:tabs>
        <w:numPr>
          <w:ilvl w:val="0"/>
          <w:numId w:val="68"/>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217805</wp:posOffset>
            </wp:positionV>
            <wp:extent cx="7169785" cy="412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2" w:name="page53"/>
    <w:bookmarkEnd w:id="52"/>
    <w:p>
      <w:pPr>
        <w:ind w:left="9602"/>
        <w:spacing w:after="0"/>
        <w:rPr>
          <w:sz w:val="20"/>
          <w:szCs w:val="20"/>
          <w:color w:val="auto"/>
        </w:rPr>
      </w:pPr>
      <w:r>
        <w:rPr>
          <w:rFonts w:ascii="Arial" w:cs="Arial" w:eastAsia="Arial" w:hAnsi="Arial"/>
          <w:sz w:val="13"/>
          <w:szCs w:val="13"/>
          <w:b w:val="1"/>
          <w:bCs w:val="1"/>
          <w:color w:val="191769"/>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
        <w:spacing w:after="0"/>
        <w:rPr>
          <w:sz w:val="20"/>
          <w:szCs w:val="20"/>
          <w:color w:val="auto"/>
        </w:rPr>
      </w:pPr>
      <w:r>
        <w:rPr>
          <w:rFonts w:ascii="Arial" w:cs="Arial" w:eastAsia="Arial" w:hAnsi="Arial"/>
          <w:sz w:val="36"/>
          <w:szCs w:val="36"/>
          <w:b w:val="1"/>
          <w:bCs w:val="1"/>
          <w:color w:val="0076A8"/>
        </w:rPr>
        <w:t>Summary Compensation Table</w:t>
      </w:r>
    </w:p>
    <w:p>
      <w:pPr>
        <w:spacing w:after="0" w:line="191"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table details compensation earned or accrued by our NEOs for the three years ended December 31, 2025, 2024 and 2023, respectively.</w:t>
      </w:r>
    </w:p>
    <w:p>
      <w:pPr>
        <w:spacing w:after="0" w:line="122"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80" w:type="dxa"/>
            <w:vAlign w:val="bottom"/>
          </w:tcPr>
          <w:p>
            <w:pPr>
              <w:jc w:val="right"/>
              <w:ind w:right="262"/>
              <w:spacing w:after="0"/>
              <w:rPr>
                <w:sz w:val="20"/>
                <w:szCs w:val="20"/>
                <w:color w:val="auto"/>
              </w:rPr>
            </w:pPr>
            <w:r>
              <w:rPr>
                <w:rFonts w:ascii="Arial" w:cs="Arial" w:eastAsia="Arial" w:hAnsi="Arial"/>
                <w:sz w:val="17"/>
                <w:szCs w:val="17"/>
                <w:b w:val="1"/>
                <w:bCs w:val="1"/>
                <w:color w:val="191769"/>
                <w:vertAlign w:val="superscript"/>
              </w:rPr>
              <w:t>(3)</w:t>
            </w:r>
            <w:r>
              <w:rPr>
                <w:rFonts w:ascii="Arial" w:cs="Arial" w:eastAsia="Arial" w:hAnsi="Arial"/>
                <w:sz w:val="13"/>
                <w:szCs w:val="13"/>
                <w:b w:val="1"/>
                <w:bCs w:val="1"/>
                <w:color w:val="191769"/>
              </w:rPr>
              <w:t xml:space="preserve"> Non-Equity</w:t>
            </w:r>
          </w:p>
        </w:tc>
        <w:tc>
          <w:tcPr>
            <w:tcW w:w="1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jc w:val="right"/>
              <w:ind w:right="204"/>
              <w:spacing w:after="0"/>
              <w:rPr>
                <w:sz w:val="20"/>
                <w:szCs w:val="20"/>
                <w:color w:val="auto"/>
              </w:rPr>
            </w:pPr>
            <w:r>
              <w:rPr>
                <w:rFonts w:ascii="Arial" w:cs="Arial" w:eastAsia="Arial" w:hAnsi="Arial"/>
                <w:sz w:val="9"/>
                <w:szCs w:val="9"/>
                <w:b w:val="1"/>
                <w:bCs w:val="1"/>
                <w:color w:val="191769"/>
              </w:rPr>
              <w:t>(1)</w:t>
            </w:r>
          </w:p>
        </w:tc>
        <w:tc>
          <w:tcPr>
            <w:tcW w:w="1200" w:type="dxa"/>
            <w:vAlign w:val="bottom"/>
          </w:tcPr>
          <w:p>
            <w:pPr>
              <w:jc w:val="right"/>
              <w:ind w:right="241"/>
              <w:spacing w:after="0" w:line="160" w:lineRule="exact"/>
              <w:rPr>
                <w:sz w:val="20"/>
                <w:szCs w:val="20"/>
                <w:color w:val="auto"/>
              </w:rPr>
            </w:pPr>
            <w:r>
              <w:rPr>
                <w:rFonts w:ascii="Arial" w:cs="Arial" w:eastAsia="Arial" w:hAnsi="Arial"/>
                <w:sz w:val="17"/>
                <w:szCs w:val="17"/>
                <w:b w:val="1"/>
                <w:bCs w:val="1"/>
                <w:color w:val="191769"/>
                <w:vertAlign w:val="superscript"/>
              </w:rPr>
              <w:t>(2)</w:t>
            </w:r>
            <w:r>
              <w:rPr>
                <w:rFonts w:ascii="Arial" w:cs="Arial" w:eastAsia="Arial" w:hAnsi="Arial"/>
                <w:sz w:val="13"/>
                <w:szCs w:val="13"/>
                <w:b w:val="1"/>
                <w:bCs w:val="1"/>
                <w:color w:val="191769"/>
              </w:rPr>
              <w:t xml:space="preserve"> Stock</w:t>
            </w:r>
          </w:p>
        </w:tc>
        <w:tc>
          <w:tcPr>
            <w:tcW w:w="1580" w:type="dxa"/>
            <w:vAlign w:val="bottom"/>
          </w:tcPr>
          <w:p>
            <w:pPr>
              <w:jc w:val="right"/>
              <w:ind w:right="262"/>
              <w:spacing w:after="0"/>
              <w:rPr>
                <w:sz w:val="20"/>
                <w:szCs w:val="20"/>
                <w:color w:val="auto"/>
              </w:rPr>
            </w:pPr>
            <w:r>
              <w:rPr>
                <w:rFonts w:ascii="Arial" w:cs="Arial" w:eastAsia="Arial" w:hAnsi="Arial"/>
                <w:sz w:val="13"/>
                <w:szCs w:val="13"/>
                <w:b w:val="1"/>
                <w:bCs w:val="1"/>
                <w:color w:val="191769"/>
              </w:rPr>
              <w:t>Incentive</w:t>
            </w:r>
          </w:p>
        </w:tc>
        <w:tc>
          <w:tcPr>
            <w:tcW w:w="1440" w:type="dxa"/>
            <w:vAlign w:val="bottom"/>
          </w:tcPr>
          <w:p>
            <w:pPr>
              <w:jc w:val="right"/>
              <w:ind w:right="121"/>
              <w:spacing w:after="0" w:line="160" w:lineRule="exact"/>
              <w:rPr>
                <w:sz w:val="20"/>
                <w:szCs w:val="20"/>
                <w:color w:val="auto"/>
              </w:rPr>
            </w:pPr>
            <w:r>
              <w:rPr>
                <w:rFonts w:ascii="Arial" w:cs="Arial" w:eastAsia="Arial" w:hAnsi="Arial"/>
                <w:sz w:val="17"/>
                <w:szCs w:val="17"/>
                <w:b w:val="1"/>
                <w:bCs w:val="1"/>
                <w:color w:val="191769"/>
                <w:vertAlign w:val="superscript"/>
              </w:rPr>
              <w:t>(4)</w:t>
            </w:r>
            <w:r>
              <w:rPr>
                <w:rFonts w:ascii="Arial" w:cs="Arial" w:eastAsia="Arial" w:hAnsi="Arial"/>
                <w:sz w:val="13"/>
                <w:szCs w:val="13"/>
                <w:b w:val="1"/>
                <w:bCs w:val="1"/>
                <w:color w:val="191769"/>
              </w:rPr>
              <w:t xml:space="preserve"> All other</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jc w:val="right"/>
              <w:ind w:right="80"/>
              <w:spacing w:after="0" w:line="148" w:lineRule="exact"/>
              <w:rPr>
                <w:sz w:val="20"/>
                <w:szCs w:val="20"/>
                <w:color w:val="auto"/>
              </w:rPr>
            </w:pPr>
            <w:r>
              <w:rPr>
                <w:rFonts w:ascii="Arial" w:cs="Arial" w:eastAsia="Arial" w:hAnsi="Arial"/>
                <w:sz w:val="13"/>
                <w:szCs w:val="13"/>
                <w:b w:val="1"/>
                <w:bCs w:val="1"/>
                <w:color w:val="191769"/>
              </w:rPr>
              <w:t>Salary</w:t>
            </w:r>
          </w:p>
        </w:tc>
        <w:tc>
          <w:tcPr>
            <w:tcW w:w="1020" w:type="dxa"/>
            <w:vAlign w:val="bottom"/>
          </w:tcPr>
          <w:p>
            <w:pPr>
              <w:jc w:val="right"/>
              <w:ind w:right="204"/>
              <w:spacing w:after="0" w:line="148" w:lineRule="exact"/>
              <w:rPr>
                <w:sz w:val="20"/>
                <w:szCs w:val="20"/>
                <w:color w:val="auto"/>
              </w:rPr>
            </w:pPr>
            <w:r>
              <w:rPr>
                <w:rFonts w:ascii="Arial" w:cs="Arial" w:eastAsia="Arial" w:hAnsi="Arial"/>
                <w:sz w:val="13"/>
                <w:szCs w:val="13"/>
                <w:b w:val="1"/>
                <w:bCs w:val="1"/>
                <w:color w:val="191769"/>
              </w:rPr>
              <w:t>Bonus</w:t>
            </w:r>
          </w:p>
        </w:tc>
        <w:tc>
          <w:tcPr>
            <w:tcW w:w="1200" w:type="dxa"/>
            <w:vAlign w:val="bottom"/>
          </w:tcPr>
          <w:p>
            <w:pPr>
              <w:jc w:val="right"/>
              <w:ind w:right="241"/>
              <w:spacing w:after="0" w:line="148" w:lineRule="exact"/>
              <w:rPr>
                <w:sz w:val="20"/>
                <w:szCs w:val="20"/>
                <w:color w:val="auto"/>
              </w:rPr>
            </w:pPr>
            <w:r>
              <w:rPr>
                <w:rFonts w:ascii="Arial" w:cs="Arial" w:eastAsia="Arial" w:hAnsi="Arial"/>
                <w:sz w:val="13"/>
                <w:szCs w:val="13"/>
                <w:b w:val="1"/>
                <w:bCs w:val="1"/>
                <w:color w:val="191769"/>
              </w:rPr>
              <w:t>Awards</w:t>
            </w:r>
          </w:p>
        </w:tc>
        <w:tc>
          <w:tcPr>
            <w:tcW w:w="1580" w:type="dxa"/>
            <w:vAlign w:val="bottom"/>
          </w:tcPr>
          <w:p>
            <w:pPr>
              <w:jc w:val="right"/>
              <w:ind w:right="262"/>
              <w:spacing w:after="0" w:line="148" w:lineRule="exact"/>
              <w:rPr>
                <w:sz w:val="20"/>
                <w:szCs w:val="20"/>
                <w:color w:val="auto"/>
              </w:rPr>
            </w:pPr>
            <w:r>
              <w:rPr>
                <w:rFonts w:ascii="Arial" w:cs="Arial" w:eastAsia="Arial" w:hAnsi="Arial"/>
                <w:sz w:val="13"/>
                <w:szCs w:val="13"/>
                <w:b w:val="1"/>
                <w:bCs w:val="1"/>
                <w:color w:val="191769"/>
              </w:rPr>
              <w:t>Compensation</w:t>
            </w:r>
          </w:p>
        </w:tc>
        <w:tc>
          <w:tcPr>
            <w:tcW w:w="1440" w:type="dxa"/>
            <w:vAlign w:val="bottom"/>
          </w:tcPr>
          <w:p>
            <w:pPr>
              <w:jc w:val="right"/>
              <w:ind w:right="121"/>
              <w:spacing w:after="0" w:line="148" w:lineRule="exact"/>
              <w:rPr>
                <w:sz w:val="20"/>
                <w:szCs w:val="20"/>
                <w:color w:val="auto"/>
              </w:rPr>
            </w:pPr>
            <w:r>
              <w:rPr>
                <w:rFonts w:ascii="Arial" w:cs="Arial" w:eastAsia="Arial" w:hAnsi="Arial"/>
                <w:sz w:val="13"/>
                <w:szCs w:val="13"/>
                <w:b w:val="1"/>
                <w:bCs w:val="1"/>
                <w:color w:val="191769"/>
              </w:rPr>
              <w:t>Compensation</w:t>
            </w:r>
          </w:p>
        </w:tc>
        <w:tc>
          <w:tcPr>
            <w:tcW w:w="940" w:type="dxa"/>
            <w:vAlign w:val="bottom"/>
          </w:tcPr>
          <w:p>
            <w:pPr>
              <w:jc w:val="right"/>
              <w:spacing w:after="0" w:line="148" w:lineRule="exact"/>
              <w:rPr>
                <w:sz w:val="20"/>
                <w:szCs w:val="20"/>
                <w:color w:val="auto"/>
              </w:rPr>
            </w:pPr>
            <w:r>
              <w:rPr>
                <w:rFonts w:ascii="Arial" w:cs="Arial" w:eastAsia="Arial" w:hAnsi="Arial"/>
                <w:sz w:val="13"/>
                <w:szCs w:val="13"/>
                <w:b w:val="1"/>
                <w:bCs w:val="1"/>
                <w:color w:val="191769"/>
              </w:rPr>
              <w:t>Total</w:t>
            </w:r>
          </w:p>
        </w:tc>
        <w:tc>
          <w:tcPr>
            <w:tcW w:w="0" w:type="dxa"/>
            <w:vAlign w:val="bottom"/>
          </w:tcPr>
          <w:p>
            <w:pPr>
              <w:spacing w:after="0"/>
              <w:rPr>
                <w:sz w:val="1"/>
                <w:szCs w:val="1"/>
                <w:color w:val="auto"/>
              </w:rPr>
            </w:pPr>
          </w:p>
        </w:tc>
      </w:tr>
      <w:tr>
        <w:trPr>
          <w:trHeight w:val="198"/>
        </w:trPr>
        <w:tc>
          <w:tcPr>
            <w:tcW w:w="3340" w:type="dxa"/>
            <w:vAlign w:val="bottom"/>
            <w:tcBorders>
              <w:bottom w:val="single" w:sz="8" w:color="00AEEF"/>
            </w:tcBorders>
          </w:tcPr>
          <w:p>
            <w:pPr>
              <w:ind w:left="20"/>
              <w:spacing w:after="0"/>
              <w:rPr>
                <w:sz w:val="20"/>
                <w:szCs w:val="20"/>
                <w:color w:val="auto"/>
              </w:rPr>
            </w:pPr>
            <w:r>
              <w:rPr>
                <w:rFonts w:ascii="Arial" w:cs="Arial" w:eastAsia="Arial" w:hAnsi="Arial"/>
                <w:sz w:val="13"/>
                <w:szCs w:val="13"/>
                <w:b w:val="1"/>
                <w:bCs w:val="1"/>
                <w:color w:val="191769"/>
              </w:rPr>
              <w:t>Name and Principal Position</w:t>
            </w:r>
          </w:p>
        </w:tc>
        <w:tc>
          <w:tcPr>
            <w:tcW w:w="780" w:type="dxa"/>
            <w:vAlign w:val="bottom"/>
            <w:tcBorders>
              <w:bottom w:val="single" w:sz="8" w:color="00AEEF"/>
            </w:tcBorders>
          </w:tcPr>
          <w:p>
            <w:pPr>
              <w:jc w:val="right"/>
              <w:ind w:right="99"/>
              <w:spacing w:after="0"/>
              <w:rPr>
                <w:sz w:val="20"/>
                <w:szCs w:val="20"/>
                <w:color w:val="auto"/>
              </w:rPr>
            </w:pPr>
            <w:r>
              <w:rPr>
                <w:rFonts w:ascii="Arial" w:cs="Arial" w:eastAsia="Arial" w:hAnsi="Arial"/>
                <w:sz w:val="13"/>
                <w:szCs w:val="13"/>
                <w:b w:val="1"/>
                <w:bCs w:val="1"/>
                <w:color w:val="191769"/>
              </w:rPr>
              <w:t>Year</w:t>
            </w:r>
          </w:p>
        </w:tc>
        <w:tc>
          <w:tcPr>
            <w:tcW w:w="940" w:type="dxa"/>
            <w:vAlign w:val="bottom"/>
            <w:tcBorders>
              <w:bottom w:val="single" w:sz="8" w:color="00AEEF"/>
            </w:tcBorders>
          </w:tcPr>
          <w:p>
            <w:pPr>
              <w:jc w:val="right"/>
              <w:ind w:right="80"/>
              <w:spacing w:after="0"/>
              <w:rPr>
                <w:sz w:val="20"/>
                <w:szCs w:val="20"/>
                <w:color w:val="auto"/>
              </w:rPr>
            </w:pPr>
            <w:r>
              <w:rPr>
                <w:rFonts w:ascii="Arial" w:cs="Arial" w:eastAsia="Arial" w:hAnsi="Arial"/>
                <w:sz w:val="13"/>
                <w:szCs w:val="13"/>
                <w:b w:val="1"/>
                <w:bCs w:val="1"/>
                <w:color w:val="191769"/>
              </w:rPr>
              <w:t>($)</w:t>
            </w:r>
          </w:p>
        </w:tc>
        <w:tc>
          <w:tcPr>
            <w:tcW w:w="1020" w:type="dxa"/>
            <w:vAlign w:val="bottom"/>
            <w:tcBorders>
              <w:bottom w:val="single" w:sz="8" w:color="00AEEF"/>
            </w:tcBorders>
          </w:tcPr>
          <w:p>
            <w:pPr>
              <w:jc w:val="right"/>
              <w:ind w:right="204"/>
              <w:spacing w:after="0"/>
              <w:rPr>
                <w:sz w:val="20"/>
                <w:szCs w:val="20"/>
                <w:color w:val="auto"/>
              </w:rPr>
            </w:pPr>
            <w:r>
              <w:rPr>
                <w:rFonts w:ascii="Arial" w:cs="Arial" w:eastAsia="Arial" w:hAnsi="Arial"/>
                <w:sz w:val="13"/>
                <w:szCs w:val="13"/>
                <w:b w:val="1"/>
                <w:bCs w:val="1"/>
                <w:color w:val="191769"/>
              </w:rPr>
              <w:t>($)</w:t>
            </w:r>
          </w:p>
        </w:tc>
        <w:tc>
          <w:tcPr>
            <w:tcW w:w="1200" w:type="dxa"/>
            <w:vAlign w:val="bottom"/>
            <w:tcBorders>
              <w:bottom w:val="single" w:sz="8" w:color="00AEEF"/>
            </w:tcBorders>
          </w:tcPr>
          <w:p>
            <w:pPr>
              <w:jc w:val="right"/>
              <w:ind w:right="241"/>
              <w:spacing w:after="0"/>
              <w:rPr>
                <w:sz w:val="20"/>
                <w:szCs w:val="20"/>
                <w:color w:val="auto"/>
              </w:rPr>
            </w:pPr>
            <w:r>
              <w:rPr>
                <w:rFonts w:ascii="Arial" w:cs="Arial" w:eastAsia="Arial" w:hAnsi="Arial"/>
                <w:sz w:val="13"/>
                <w:szCs w:val="13"/>
                <w:b w:val="1"/>
                <w:bCs w:val="1"/>
                <w:color w:val="191769"/>
              </w:rPr>
              <w:t>($)</w:t>
            </w:r>
          </w:p>
        </w:tc>
        <w:tc>
          <w:tcPr>
            <w:tcW w:w="1580" w:type="dxa"/>
            <w:vAlign w:val="bottom"/>
            <w:tcBorders>
              <w:bottom w:val="single" w:sz="8" w:color="00AEEF"/>
            </w:tcBorders>
          </w:tcPr>
          <w:p>
            <w:pPr>
              <w:jc w:val="right"/>
              <w:ind w:right="262"/>
              <w:spacing w:after="0"/>
              <w:rPr>
                <w:sz w:val="20"/>
                <w:szCs w:val="20"/>
                <w:color w:val="auto"/>
              </w:rPr>
            </w:pPr>
            <w:r>
              <w:rPr>
                <w:rFonts w:ascii="Arial" w:cs="Arial" w:eastAsia="Arial" w:hAnsi="Arial"/>
                <w:sz w:val="13"/>
                <w:szCs w:val="13"/>
                <w:b w:val="1"/>
                <w:bCs w:val="1"/>
                <w:color w:val="191769"/>
              </w:rPr>
              <w:t>($)</w:t>
            </w:r>
          </w:p>
        </w:tc>
        <w:tc>
          <w:tcPr>
            <w:tcW w:w="1440" w:type="dxa"/>
            <w:vAlign w:val="bottom"/>
            <w:tcBorders>
              <w:bottom w:val="single" w:sz="8" w:color="00AEEF"/>
            </w:tcBorders>
          </w:tcPr>
          <w:p>
            <w:pPr>
              <w:jc w:val="right"/>
              <w:ind w:right="121"/>
              <w:spacing w:after="0"/>
              <w:rPr>
                <w:sz w:val="20"/>
                <w:szCs w:val="20"/>
                <w:color w:val="auto"/>
              </w:rPr>
            </w:pPr>
            <w:r>
              <w:rPr>
                <w:rFonts w:ascii="Arial" w:cs="Arial" w:eastAsia="Arial" w:hAnsi="Arial"/>
                <w:sz w:val="13"/>
                <w:szCs w:val="13"/>
                <w:b w:val="1"/>
                <w:bCs w:val="1"/>
                <w:color w:val="191769"/>
              </w:rPr>
              <w:t>($)</w:t>
            </w:r>
          </w:p>
        </w:tc>
        <w:tc>
          <w:tcPr>
            <w:tcW w:w="940" w:type="dxa"/>
            <w:vAlign w:val="bottom"/>
            <w:tcBorders>
              <w:bottom w:val="single" w:sz="8" w:color="00AEEF"/>
            </w:tcBorders>
          </w:tcPr>
          <w:p>
            <w:pPr>
              <w:jc w:val="right"/>
              <w:spacing w:after="0"/>
              <w:rPr>
                <w:sz w:val="20"/>
                <w:szCs w:val="20"/>
                <w:color w:val="auto"/>
              </w:rPr>
            </w:pPr>
            <w:r>
              <w:rPr>
                <w:rFonts w:ascii="Arial" w:cs="Arial" w:eastAsia="Arial" w:hAnsi="Arial"/>
                <w:sz w:val="13"/>
                <w:szCs w:val="13"/>
                <w:b w:val="1"/>
                <w:bCs w:val="1"/>
                <w:color w:val="191769"/>
              </w:rPr>
              <w:t>($)</w:t>
            </w:r>
          </w:p>
        </w:tc>
        <w:tc>
          <w:tcPr>
            <w:tcW w:w="0" w:type="dxa"/>
            <w:vAlign w:val="bottom"/>
          </w:tcPr>
          <w:p>
            <w:pPr>
              <w:spacing w:after="0"/>
              <w:rPr>
                <w:sz w:val="1"/>
                <w:szCs w:val="1"/>
                <w:color w:val="auto"/>
              </w:rPr>
            </w:pPr>
          </w:p>
        </w:tc>
      </w:tr>
      <w:tr>
        <w:trPr>
          <w:trHeight w:val="204"/>
        </w:trPr>
        <w:tc>
          <w:tcPr>
            <w:tcW w:w="3340" w:type="dxa"/>
            <w:vAlign w:val="bottom"/>
          </w:tcPr>
          <w:p>
            <w:pPr>
              <w:ind w:left="20"/>
              <w:spacing w:after="0" w:line="204" w:lineRule="exact"/>
              <w:rPr>
                <w:sz w:val="20"/>
                <w:szCs w:val="20"/>
                <w:color w:val="auto"/>
              </w:rPr>
            </w:pPr>
            <w:r>
              <w:rPr>
                <w:rFonts w:ascii="Arial" w:cs="Arial" w:eastAsia="Arial" w:hAnsi="Arial"/>
                <w:sz w:val="16"/>
                <w:szCs w:val="16"/>
                <w:b w:val="1"/>
                <w:bCs w:val="1"/>
                <w:color w:val="191769"/>
              </w:rPr>
              <w:t>Nadine Leslie</w:t>
            </w:r>
            <w:r>
              <w:rPr>
                <w:rFonts w:ascii="Arial" w:cs="Arial" w:eastAsia="Arial" w:hAnsi="Arial"/>
                <w:sz w:val="21"/>
                <w:szCs w:val="21"/>
                <w:b w:val="1"/>
                <w:bCs w:val="1"/>
                <w:color w:val="191769"/>
                <w:vertAlign w:val="superscript"/>
              </w:rPr>
              <w:t>(5)</w:t>
            </w: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2025</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754,000</w:t>
            </w:r>
          </w:p>
        </w:tc>
        <w:tc>
          <w:tcPr>
            <w:tcW w:w="1020" w:type="dxa"/>
            <w:vAlign w:val="bottom"/>
          </w:tcPr>
          <w:p>
            <w:pPr>
              <w:jc w:val="right"/>
              <w:ind w:right="204"/>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41"/>
              <w:spacing w:after="0"/>
              <w:rPr>
                <w:sz w:val="20"/>
                <w:szCs w:val="20"/>
                <w:color w:val="auto"/>
              </w:rPr>
            </w:pPr>
            <w:r>
              <w:rPr>
                <w:rFonts w:ascii="Arial" w:cs="Arial" w:eastAsia="Arial" w:hAnsi="Arial"/>
                <w:sz w:val="16"/>
                <w:szCs w:val="16"/>
                <w:color w:val="auto"/>
              </w:rPr>
              <w:t>678,000</w:t>
            </w:r>
          </w:p>
        </w:tc>
        <w:tc>
          <w:tcPr>
            <w:tcW w:w="1580" w:type="dxa"/>
            <w:vAlign w:val="bottom"/>
          </w:tcPr>
          <w:p>
            <w:pPr>
              <w:jc w:val="right"/>
              <w:ind w:right="262"/>
              <w:spacing w:after="0"/>
              <w:rPr>
                <w:sz w:val="20"/>
                <w:szCs w:val="20"/>
                <w:color w:val="auto"/>
              </w:rPr>
            </w:pPr>
            <w:r>
              <w:rPr>
                <w:rFonts w:ascii="Arial" w:cs="Arial" w:eastAsia="Arial" w:hAnsi="Arial"/>
                <w:sz w:val="16"/>
                <w:szCs w:val="16"/>
                <w:color w:val="auto"/>
              </w:rPr>
              <w:t>427,525</w:t>
            </w:r>
          </w:p>
        </w:tc>
        <w:tc>
          <w:tcPr>
            <w:tcW w:w="1440" w:type="dxa"/>
            <w:vAlign w:val="bottom"/>
          </w:tcPr>
          <w:p>
            <w:pPr>
              <w:jc w:val="right"/>
              <w:ind w:right="121"/>
              <w:spacing w:after="0"/>
              <w:rPr>
                <w:sz w:val="20"/>
                <w:szCs w:val="20"/>
                <w:color w:val="auto"/>
              </w:rPr>
            </w:pPr>
            <w:r>
              <w:rPr>
                <w:rFonts w:ascii="Arial" w:cs="Arial" w:eastAsia="Arial" w:hAnsi="Arial"/>
                <w:sz w:val="16"/>
                <w:szCs w:val="16"/>
                <w:color w:val="auto"/>
              </w:rPr>
              <w:t>46,499</w:t>
            </w:r>
          </w:p>
        </w:tc>
        <w:tc>
          <w:tcPr>
            <w:tcW w:w="940" w:type="dxa"/>
            <w:vAlign w:val="bottom"/>
          </w:tcPr>
          <w:p>
            <w:pPr>
              <w:jc w:val="right"/>
              <w:spacing w:after="0"/>
              <w:rPr>
                <w:sz w:val="20"/>
                <w:szCs w:val="20"/>
                <w:color w:val="auto"/>
              </w:rPr>
            </w:pPr>
            <w:r>
              <w:rPr>
                <w:rFonts w:ascii="Arial" w:cs="Arial" w:eastAsia="Arial" w:hAnsi="Arial"/>
                <w:sz w:val="16"/>
                <w:szCs w:val="16"/>
                <w:color w:val="auto"/>
              </w:rPr>
              <w:t>1,906,024</w:t>
            </w:r>
          </w:p>
        </w:tc>
        <w:tc>
          <w:tcPr>
            <w:tcW w:w="0" w:type="dxa"/>
            <w:vAlign w:val="bottom"/>
          </w:tcPr>
          <w:p>
            <w:pPr>
              <w:spacing w:after="0"/>
              <w:rPr>
                <w:sz w:val="1"/>
                <w:szCs w:val="1"/>
                <w:color w:val="auto"/>
              </w:rPr>
            </w:pPr>
          </w:p>
        </w:tc>
      </w:tr>
      <w:tr>
        <w:trPr>
          <w:trHeight w:val="177"/>
        </w:trPr>
        <w:tc>
          <w:tcPr>
            <w:tcW w:w="3340" w:type="dxa"/>
            <w:vAlign w:val="bottom"/>
          </w:tcPr>
          <w:p>
            <w:pPr>
              <w:ind w:left="20"/>
              <w:spacing w:after="0" w:line="177" w:lineRule="exact"/>
              <w:rPr>
                <w:sz w:val="20"/>
                <w:szCs w:val="20"/>
                <w:color w:val="auto"/>
              </w:rPr>
            </w:pPr>
            <w:r>
              <w:rPr>
                <w:rFonts w:ascii="Arial" w:cs="Arial" w:eastAsia="Arial" w:hAnsi="Arial"/>
                <w:sz w:val="16"/>
                <w:szCs w:val="16"/>
                <w:color w:val="auto"/>
              </w:rPr>
              <w:t>Chair, President and</w:t>
            </w:r>
          </w:p>
        </w:tc>
        <w:tc>
          <w:tcPr>
            <w:tcW w:w="780" w:type="dxa"/>
            <w:vAlign w:val="bottom"/>
            <w:tcBorders>
              <w:bottom w:val="single" w:sz="8" w:color="D9D9D9"/>
            </w:tcBorders>
          </w:tcPr>
          <w:p>
            <w:pPr>
              <w:spacing w:after="0"/>
              <w:rPr>
                <w:sz w:val="15"/>
                <w:szCs w:val="15"/>
                <w:color w:val="auto"/>
              </w:rPr>
            </w:pPr>
          </w:p>
        </w:tc>
        <w:tc>
          <w:tcPr>
            <w:tcW w:w="940" w:type="dxa"/>
            <w:vAlign w:val="bottom"/>
            <w:tcBorders>
              <w:bottom w:val="single" w:sz="8" w:color="D9D9D9"/>
            </w:tcBorders>
          </w:tcPr>
          <w:p>
            <w:pPr>
              <w:spacing w:after="0"/>
              <w:rPr>
                <w:sz w:val="15"/>
                <w:szCs w:val="15"/>
                <w:color w:val="auto"/>
              </w:rPr>
            </w:pPr>
          </w:p>
        </w:tc>
        <w:tc>
          <w:tcPr>
            <w:tcW w:w="1020" w:type="dxa"/>
            <w:vAlign w:val="bottom"/>
            <w:tcBorders>
              <w:bottom w:val="single" w:sz="8" w:color="D9D9D9"/>
            </w:tcBorders>
          </w:tcPr>
          <w:p>
            <w:pPr>
              <w:spacing w:after="0"/>
              <w:rPr>
                <w:sz w:val="15"/>
                <w:szCs w:val="15"/>
                <w:color w:val="auto"/>
              </w:rPr>
            </w:pPr>
          </w:p>
        </w:tc>
        <w:tc>
          <w:tcPr>
            <w:tcW w:w="1200" w:type="dxa"/>
            <w:vAlign w:val="bottom"/>
            <w:tcBorders>
              <w:bottom w:val="single" w:sz="8" w:color="D9D9D9"/>
            </w:tcBorders>
          </w:tcPr>
          <w:p>
            <w:pPr>
              <w:spacing w:after="0"/>
              <w:rPr>
                <w:sz w:val="15"/>
                <w:szCs w:val="15"/>
                <w:color w:val="auto"/>
              </w:rPr>
            </w:pPr>
          </w:p>
        </w:tc>
        <w:tc>
          <w:tcPr>
            <w:tcW w:w="1580" w:type="dxa"/>
            <w:vAlign w:val="bottom"/>
            <w:tcBorders>
              <w:bottom w:val="single" w:sz="8" w:color="D9D9D9"/>
            </w:tcBorders>
          </w:tcPr>
          <w:p>
            <w:pPr>
              <w:spacing w:after="0"/>
              <w:rPr>
                <w:sz w:val="15"/>
                <w:szCs w:val="15"/>
                <w:color w:val="auto"/>
              </w:rPr>
            </w:pPr>
          </w:p>
        </w:tc>
        <w:tc>
          <w:tcPr>
            <w:tcW w:w="1440" w:type="dxa"/>
            <w:vAlign w:val="bottom"/>
            <w:tcBorders>
              <w:bottom w:val="single" w:sz="8" w:color="D9D9D9"/>
            </w:tcBorders>
          </w:tcPr>
          <w:p>
            <w:pPr>
              <w:spacing w:after="0"/>
              <w:rPr>
                <w:sz w:val="15"/>
                <w:szCs w:val="15"/>
                <w:color w:val="auto"/>
              </w:rPr>
            </w:pPr>
          </w:p>
        </w:tc>
        <w:tc>
          <w:tcPr>
            <w:tcW w:w="940" w:type="dxa"/>
            <w:vAlign w:val="bottom"/>
            <w:tcBorders>
              <w:bottom w:val="single" w:sz="8" w:color="D9D9D9"/>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340" w:type="dxa"/>
            <w:vAlign w:val="bottom"/>
          </w:tcPr>
          <w:p>
            <w:pPr>
              <w:ind w:left="20"/>
              <w:spacing w:after="0"/>
              <w:rPr>
                <w:sz w:val="20"/>
                <w:szCs w:val="20"/>
                <w:color w:val="auto"/>
              </w:rPr>
            </w:pPr>
            <w:r>
              <w:rPr>
                <w:rFonts w:ascii="Arial" w:cs="Arial" w:eastAsia="Arial" w:hAnsi="Arial"/>
                <w:sz w:val="16"/>
                <w:szCs w:val="16"/>
                <w:color w:val="auto"/>
              </w:rPr>
              <w:t>Chief Executive Officer</w:t>
            </w: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2024</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574,423</w:t>
            </w:r>
          </w:p>
        </w:tc>
        <w:tc>
          <w:tcPr>
            <w:tcW w:w="1020" w:type="dxa"/>
            <w:vAlign w:val="bottom"/>
          </w:tcPr>
          <w:p>
            <w:pPr>
              <w:jc w:val="right"/>
              <w:ind w:right="204"/>
              <w:spacing w:after="0"/>
              <w:rPr>
                <w:sz w:val="20"/>
                <w:szCs w:val="20"/>
                <w:color w:val="auto"/>
              </w:rPr>
            </w:pPr>
            <w:r>
              <w:rPr>
                <w:rFonts w:ascii="Arial" w:cs="Arial" w:eastAsia="Arial" w:hAnsi="Arial"/>
                <w:sz w:val="16"/>
                <w:szCs w:val="16"/>
                <w:color w:val="auto"/>
              </w:rPr>
              <w:t>390,385</w:t>
            </w:r>
          </w:p>
        </w:tc>
        <w:tc>
          <w:tcPr>
            <w:tcW w:w="1200" w:type="dxa"/>
            <w:vAlign w:val="bottom"/>
          </w:tcPr>
          <w:p>
            <w:pPr>
              <w:jc w:val="right"/>
              <w:ind w:right="241"/>
              <w:spacing w:after="0"/>
              <w:rPr>
                <w:sz w:val="20"/>
                <w:szCs w:val="20"/>
                <w:color w:val="auto"/>
              </w:rPr>
            </w:pPr>
            <w:r>
              <w:rPr>
                <w:rFonts w:ascii="Arial" w:cs="Arial" w:eastAsia="Arial" w:hAnsi="Arial"/>
                <w:sz w:val="16"/>
                <w:szCs w:val="16"/>
                <w:color w:val="auto"/>
              </w:rPr>
              <w:t>250,000</w:t>
            </w:r>
          </w:p>
        </w:tc>
        <w:tc>
          <w:tcPr>
            <w:tcW w:w="158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21"/>
              <w:spacing w:after="0"/>
              <w:rPr>
                <w:sz w:val="20"/>
                <w:szCs w:val="20"/>
                <w:color w:val="auto"/>
              </w:rPr>
            </w:pPr>
            <w:r>
              <w:rPr>
                <w:rFonts w:ascii="Arial" w:cs="Arial" w:eastAsia="Arial" w:hAnsi="Arial"/>
                <w:sz w:val="16"/>
                <w:szCs w:val="16"/>
                <w:color w:val="auto"/>
              </w:rPr>
              <w:t>34,768</w:t>
            </w:r>
          </w:p>
        </w:tc>
        <w:tc>
          <w:tcPr>
            <w:tcW w:w="940" w:type="dxa"/>
            <w:vAlign w:val="bottom"/>
          </w:tcPr>
          <w:p>
            <w:pPr>
              <w:jc w:val="right"/>
              <w:spacing w:after="0"/>
              <w:rPr>
                <w:sz w:val="20"/>
                <w:szCs w:val="20"/>
                <w:color w:val="auto"/>
              </w:rPr>
            </w:pPr>
            <w:r>
              <w:rPr>
                <w:rFonts w:ascii="Arial" w:cs="Arial" w:eastAsia="Arial" w:hAnsi="Arial"/>
                <w:sz w:val="16"/>
                <w:szCs w:val="16"/>
                <w:color w:val="auto"/>
              </w:rPr>
              <w:t>1,249,576</w:t>
            </w:r>
          </w:p>
        </w:tc>
        <w:tc>
          <w:tcPr>
            <w:tcW w:w="0" w:type="dxa"/>
            <w:vAlign w:val="bottom"/>
          </w:tcPr>
          <w:p>
            <w:pPr>
              <w:spacing w:after="0"/>
              <w:rPr>
                <w:sz w:val="1"/>
                <w:szCs w:val="1"/>
                <w:color w:val="auto"/>
              </w:rPr>
            </w:pPr>
          </w:p>
        </w:tc>
      </w:tr>
      <w:tr>
        <w:trPr>
          <w:trHeight w:val="243"/>
        </w:trPr>
        <w:tc>
          <w:tcPr>
            <w:tcW w:w="3340" w:type="dxa"/>
            <w:vAlign w:val="bottom"/>
            <w:vMerge w:val="restart"/>
          </w:tcPr>
          <w:p>
            <w:pPr>
              <w:ind w:left="20"/>
              <w:spacing w:after="0"/>
              <w:rPr>
                <w:sz w:val="20"/>
                <w:szCs w:val="20"/>
                <w:color w:val="auto"/>
              </w:rPr>
            </w:pPr>
            <w:r>
              <w:rPr>
                <w:rFonts w:ascii="Arial" w:cs="Arial" w:eastAsia="Arial" w:hAnsi="Arial"/>
                <w:sz w:val="16"/>
                <w:szCs w:val="16"/>
                <w:b w:val="1"/>
                <w:bCs w:val="1"/>
                <w:color w:val="191769"/>
              </w:rPr>
              <w:t>Mohammed G. Zerhouni</w:t>
            </w:r>
            <w:r>
              <w:rPr>
                <w:rFonts w:ascii="Arial" w:cs="Arial" w:eastAsia="Arial" w:hAnsi="Arial"/>
                <w:sz w:val="21"/>
                <w:szCs w:val="21"/>
                <w:b w:val="1"/>
                <w:bCs w:val="1"/>
                <w:color w:val="191769"/>
                <w:vertAlign w:val="superscript"/>
              </w:rPr>
              <w:t>(6)</w:t>
            </w:r>
          </w:p>
        </w:tc>
        <w:tc>
          <w:tcPr>
            <w:tcW w:w="780" w:type="dxa"/>
            <w:vAlign w:val="bottom"/>
            <w:tcBorders>
              <w:bottom w:val="single" w:sz="8" w:color="D9D9D9"/>
            </w:tcBorders>
          </w:tcPr>
          <w:p>
            <w:pPr>
              <w:spacing w:after="0"/>
              <w:rPr>
                <w:sz w:val="21"/>
                <w:szCs w:val="21"/>
                <w:color w:val="auto"/>
              </w:rPr>
            </w:pPr>
          </w:p>
        </w:tc>
        <w:tc>
          <w:tcPr>
            <w:tcW w:w="940" w:type="dxa"/>
            <w:vAlign w:val="bottom"/>
            <w:tcBorders>
              <w:bottom w:val="single" w:sz="8" w:color="D9D9D9"/>
            </w:tcBorders>
          </w:tcPr>
          <w:p>
            <w:pPr>
              <w:spacing w:after="0"/>
              <w:rPr>
                <w:sz w:val="21"/>
                <w:szCs w:val="21"/>
                <w:color w:val="auto"/>
              </w:rPr>
            </w:pPr>
          </w:p>
        </w:tc>
        <w:tc>
          <w:tcPr>
            <w:tcW w:w="1020" w:type="dxa"/>
            <w:vAlign w:val="bottom"/>
            <w:tcBorders>
              <w:bottom w:val="single" w:sz="8" w:color="D9D9D9"/>
            </w:tcBorders>
          </w:tcPr>
          <w:p>
            <w:pPr>
              <w:spacing w:after="0"/>
              <w:rPr>
                <w:sz w:val="21"/>
                <w:szCs w:val="21"/>
                <w:color w:val="auto"/>
              </w:rPr>
            </w:pPr>
          </w:p>
        </w:tc>
        <w:tc>
          <w:tcPr>
            <w:tcW w:w="1200" w:type="dxa"/>
            <w:vAlign w:val="bottom"/>
            <w:tcBorders>
              <w:bottom w:val="single" w:sz="8" w:color="D9D9D9"/>
            </w:tcBorders>
          </w:tcPr>
          <w:p>
            <w:pPr>
              <w:spacing w:after="0"/>
              <w:rPr>
                <w:sz w:val="21"/>
                <w:szCs w:val="21"/>
                <w:color w:val="auto"/>
              </w:rPr>
            </w:pPr>
          </w:p>
        </w:tc>
        <w:tc>
          <w:tcPr>
            <w:tcW w:w="1580" w:type="dxa"/>
            <w:vAlign w:val="bottom"/>
            <w:tcBorders>
              <w:bottom w:val="single" w:sz="8" w:color="D9D9D9"/>
            </w:tcBorders>
          </w:tcPr>
          <w:p>
            <w:pPr>
              <w:spacing w:after="0"/>
              <w:rPr>
                <w:sz w:val="21"/>
                <w:szCs w:val="21"/>
                <w:color w:val="auto"/>
              </w:rPr>
            </w:pPr>
          </w:p>
        </w:tc>
        <w:tc>
          <w:tcPr>
            <w:tcW w:w="1440" w:type="dxa"/>
            <w:vAlign w:val="bottom"/>
            <w:tcBorders>
              <w:bottom w:val="single" w:sz="8" w:color="D9D9D9"/>
            </w:tcBorders>
          </w:tcPr>
          <w:p>
            <w:pPr>
              <w:spacing w:after="0"/>
              <w:rPr>
                <w:sz w:val="21"/>
                <w:szCs w:val="21"/>
                <w:color w:val="auto"/>
              </w:rPr>
            </w:pPr>
          </w:p>
        </w:tc>
        <w:tc>
          <w:tcPr>
            <w:tcW w:w="940" w:type="dxa"/>
            <w:vAlign w:val="bottom"/>
            <w:tcBorders>
              <w:bottom w:val="single" w:sz="8" w:color="D9D9D9"/>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3340" w:type="dxa"/>
            <w:vAlign w:val="bottom"/>
            <w:vMerge w:val="continue"/>
          </w:tcPr>
          <w:p>
            <w:pPr>
              <w:spacing w:after="0"/>
              <w:rPr>
                <w:sz w:val="16"/>
                <w:szCs w:val="16"/>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2025</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587,600</w:t>
            </w:r>
          </w:p>
        </w:tc>
        <w:tc>
          <w:tcPr>
            <w:tcW w:w="1020" w:type="dxa"/>
            <w:vAlign w:val="bottom"/>
          </w:tcPr>
          <w:p>
            <w:pPr>
              <w:jc w:val="right"/>
              <w:ind w:right="204"/>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41"/>
              <w:spacing w:after="0"/>
              <w:rPr>
                <w:sz w:val="20"/>
                <w:szCs w:val="20"/>
                <w:color w:val="auto"/>
              </w:rPr>
            </w:pPr>
            <w:r>
              <w:rPr>
                <w:rFonts w:ascii="Arial" w:cs="Arial" w:eastAsia="Arial" w:hAnsi="Arial"/>
                <w:sz w:val="16"/>
                <w:szCs w:val="16"/>
                <w:color w:val="auto"/>
              </w:rPr>
              <w:t>200,000</w:t>
            </w:r>
          </w:p>
        </w:tc>
        <w:tc>
          <w:tcPr>
            <w:tcW w:w="1580" w:type="dxa"/>
            <w:vAlign w:val="bottom"/>
          </w:tcPr>
          <w:p>
            <w:pPr>
              <w:jc w:val="right"/>
              <w:ind w:right="262"/>
              <w:spacing w:after="0"/>
              <w:rPr>
                <w:sz w:val="20"/>
                <w:szCs w:val="20"/>
                <w:color w:val="auto"/>
              </w:rPr>
            </w:pPr>
            <w:r>
              <w:rPr>
                <w:rFonts w:ascii="Arial" w:cs="Arial" w:eastAsia="Arial" w:hAnsi="Arial"/>
                <w:sz w:val="16"/>
                <w:szCs w:val="16"/>
                <w:color w:val="auto"/>
              </w:rPr>
              <w:t>199,905</w:t>
            </w:r>
          </w:p>
        </w:tc>
        <w:tc>
          <w:tcPr>
            <w:tcW w:w="1440" w:type="dxa"/>
            <w:vAlign w:val="bottom"/>
          </w:tcPr>
          <w:p>
            <w:pPr>
              <w:jc w:val="right"/>
              <w:ind w:right="121"/>
              <w:spacing w:after="0"/>
              <w:rPr>
                <w:sz w:val="20"/>
                <w:szCs w:val="20"/>
                <w:color w:val="auto"/>
              </w:rPr>
            </w:pPr>
            <w:r>
              <w:rPr>
                <w:rFonts w:ascii="Arial" w:cs="Arial" w:eastAsia="Arial" w:hAnsi="Arial"/>
                <w:sz w:val="16"/>
                <w:szCs w:val="16"/>
                <w:color w:val="auto"/>
              </w:rPr>
              <w:t>37,191</w:t>
            </w:r>
          </w:p>
        </w:tc>
        <w:tc>
          <w:tcPr>
            <w:tcW w:w="940" w:type="dxa"/>
            <w:vAlign w:val="bottom"/>
          </w:tcPr>
          <w:p>
            <w:pPr>
              <w:jc w:val="right"/>
              <w:spacing w:after="0"/>
              <w:rPr>
                <w:sz w:val="20"/>
                <w:szCs w:val="20"/>
                <w:color w:val="auto"/>
              </w:rPr>
            </w:pPr>
            <w:r>
              <w:rPr>
                <w:rFonts w:ascii="Arial" w:cs="Arial" w:eastAsia="Arial" w:hAnsi="Arial"/>
                <w:sz w:val="16"/>
                <w:szCs w:val="16"/>
                <w:color w:val="auto"/>
              </w:rPr>
              <w:t>1,024,696</w:t>
            </w:r>
          </w:p>
        </w:tc>
        <w:tc>
          <w:tcPr>
            <w:tcW w:w="0" w:type="dxa"/>
            <w:vAlign w:val="bottom"/>
          </w:tcPr>
          <w:p>
            <w:pPr>
              <w:spacing w:after="0"/>
              <w:rPr>
                <w:sz w:val="1"/>
                <w:szCs w:val="1"/>
                <w:color w:val="auto"/>
              </w:rPr>
            </w:pPr>
          </w:p>
        </w:tc>
      </w:tr>
      <w:tr>
        <w:trPr>
          <w:trHeight w:val="197"/>
        </w:trPr>
        <w:tc>
          <w:tcPr>
            <w:tcW w:w="3340" w:type="dxa"/>
            <w:vAlign w:val="bottom"/>
          </w:tcPr>
          <w:p>
            <w:pPr>
              <w:ind w:left="20"/>
              <w:spacing w:after="0"/>
              <w:rPr>
                <w:sz w:val="20"/>
                <w:szCs w:val="20"/>
                <w:color w:val="auto"/>
              </w:rPr>
            </w:pPr>
            <w:r>
              <w:rPr>
                <w:rFonts w:ascii="Arial" w:cs="Arial" w:eastAsia="Arial" w:hAnsi="Arial"/>
                <w:sz w:val="16"/>
                <w:szCs w:val="16"/>
                <w:color w:val="auto"/>
              </w:rPr>
              <w:t>Senior Vice President,</w:t>
            </w: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3340" w:type="dxa"/>
            <w:vAlign w:val="bottom"/>
            <w:vMerge w:val="restart"/>
          </w:tcPr>
          <w:p>
            <w:pPr>
              <w:ind w:left="20"/>
              <w:spacing w:after="0"/>
              <w:rPr>
                <w:sz w:val="20"/>
                <w:szCs w:val="20"/>
                <w:color w:val="auto"/>
              </w:rPr>
            </w:pPr>
            <w:r>
              <w:rPr>
                <w:rFonts w:ascii="Arial" w:cs="Arial" w:eastAsia="Arial" w:hAnsi="Arial"/>
                <w:sz w:val="16"/>
                <w:szCs w:val="16"/>
                <w:color w:val="auto"/>
              </w:rPr>
              <w:t>Chief Financial Officer and Treasurer</w:t>
            </w:r>
          </w:p>
        </w:tc>
        <w:tc>
          <w:tcPr>
            <w:tcW w:w="780" w:type="dxa"/>
            <w:vAlign w:val="bottom"/>
            <w:tcBorders>
              <w:bottom w:val="single" w:sz="8" w:color="D9D9D9"/>
            </w:tcBorders>
          </w:tcPr>
          <w:p>
            <w:pPr>
              <w:spacing w:after="0"/>
              <w:rPr>
                <w:sz w:val="2"/>
                <w:szCs w:val="2"/>
                <w:color w:val="auto"/>
              </w:rPr>
            </w:pPr>
          </w:p>
        </w:tc>
        <w:tc>
          <w:tcPr>
            <w:tcW w:w="940" w:type="dxa"/>
            <w:vAlign w:val="bottom"/>
            <w:tcBorders>
              <w:bottom w:val="single" w:sz="8" w:color="D9D9D9"/>
            </w:tcBorders>
          </w:tcPr>
          <w:p>
            <w:pPr>
              <w:spacing w:after="0"/>
              <w:rPr>
                <w:sz w:val="2"/>
                <w:szCs w:val="2"/>
                <w:color w:val="auto"/>
              </w:rPr>
            </w:pPr>
          </w:p>
        </w:tc>
        <w:tc>
          <w:tcPr>
            <w:tcW w:w="1020" w:type="dxa"/>
            <w:vAlign w:val="bottom"/>
            <w:tcBorders>
              <w:bottom w:val="single" w:sz="8" w:color="D9D9D9"/>
            </w:tcBorders>
          </w:tcPr>
          <w:p>
            <w:pPr>
              <w:spacing w:after="0"/>
              <w:rPr>
                <w:sz w:val="2"/>
                <w:szCs w:val="2"/>
                <w:color w:val="auto"/>
              </w:rPr>
            </w:pPr>
          </w:p>
        </w:tc>
        <w:tc>
          <w:tcPr>
            <w:tcW w:w="1200" w:type="dxa"/>
            <w:vAlign w:val="bottom"/>
            <w:tcBorders>
              <w:bottom w:val="single" w:sz="8" w:color="D9D9D9"/>
            </w:tcBorders>
          </w:tcPr>
          <w:p>
            <w:pPr>
              <w:spacing w:after="0"/>
              <w:rPr>
                <w:sz w:val="2"/>
                <w:szCs w:val="2"/>
                <w:color w:val="auto"/>
              </w:rPr>
            </w:pPr>
          </w:p>
        </w:tc>
        <w:tc>
          <w:tcPr>
            <w:tcW w:w="1580" w:type="dxa"/>
            <w:vAlign w:val="bottom"/>
            <w:tcBorders>
              <w:bottom w:val="single" w:sz="8" w:color="D9D9D9"/>
            </w:tcBorders>
          </w:tcPr>
          <w:p>
            <w:pPr>
              <w:spacing w:after="0"/>
              <w:rPr>
                <w:sz w:val="2"/>
                <w:szCs w:val="2"/>
                <w:color w:val="auto"/>
              </w:rPr>
            </w:pPr>
          </w:p>
        </w:tc>
        <w:tc>
          <w:tcPr>
            <w:tcW w:w="1440" w:type="dxa"/>
            <w:vAlign w:val="bottom"/>
            <w:tcBorders>
              <w:bottom w:val="single" w:sz="8" w:color="D9D9D9"/>
            </w:tcBorders>
          </w:tcPr>
          <w:p>
            <w:pPr>
              <w:spacing w:after="0"/>
              <w:rPr>
                <w:sz w:val="2"/>
                <w:szCs w:val="2"/>
                <w:color w:val="auto"/>
              </w:rPr>
            </w:pPr>
          </w:p>
        </w:tc>
        <w:tc>
          <w:tcPr>
            <w:tcW w:w="940" w:type="dxa"/>
            <w:vAlign w:val="bottom"/>
            <w:tcBorders>
              <w:bottom w:val="single" w:sz="8" w:color="D9D9D9"/>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340" w:type="dxa"/>
            <w:vAlign w:val="bottom"/>
            <w:vMerge w:val="continue"/>
          </w:tcPr>
          <w:p>
            <w:pPr>
              <w:spacing w:after="0"/>
              <w:rPr>
                <w:sz w:val="14"/>
                <w:szCs w:val="14"/>
                <w:color w:val="auto"/>
              </w:rPr>
            </w:pPr>
          </w:p>
        </w:tc>
        <w:tc>
          <w:tcPr>
            <w:tcW w:w="780" w:type="dxa"/>
            <w:vAlign w:val="bottom"/>
            <w:vMerge w:val="restart"/>
          </w:tcPr>
          <w:p>
            <w:pPr>
              <w:jc w:val="right"/>
              <w:ind w:right="199"/>
              <w:spacing w:after="0"/>
              <w:rPr>
                <w:sz w:val="20"/>
                <w:szCs w:val="20"/>
                <w:color w:val="auto"/>
              </w:rPr>
            </w:pPr>
            <w:r>
              <w:rPr>
                <w:rFonts w:ascii="Arial" w:cs="Arial" w:eastAsia="Arial" w:hAnsi="Arial"/>
                <w:sz w:val="16"/>
                <w:szCs w:val="16"/>
                <w:color w:val="auto"/>
              </w:rPr>
              <w:t>2024</w:t>
            </w:r>
          </w:p>
        </w:tc>
        <w:tc>
          <w:tcPr>
            <w:tcW w:w="940" w:type="dxa"/>
            <w:vAlign w:val="bottom"/>
            <w:vMerge w:val="restart"/>
          </w:tcPr>
          <w:p>
            <w:pPr>
              <w:jc w:val="right"/>
              <w:ind w:right="80"/>
              <w:spacing w:after="0"/>
              <w:rPr>
                <w:sz w:val="20"/>
                <w:szCs w:val="20"/>
                <w:color w:val="auto"/>
              </w:rPr>
            </w:pPr>
            <w:r>
              <w:rPr>
                <w:rFonts w:ascii="Arial" w:cs="Arial" w:eastAsia="Arial" w:hAnsi="Arial"/>
                <w:sz w:val="16"/>
                <w:szCs w:val="16"/>
                <w:color w:val="auto"/>
              </w:rPr>
              <w:t>271,634</w:t>
            </w:r>
          </w:p>
        </w:tc>
        <w:tc>
          <w:tcPr>
            <w:tcW w:w="1020" w:type="dxa"/>
            <w:vAlign w:val="bottom"/>
            <w:vMerge w:val="restart"/>
          </w:tcPr>
          <w:p>
            <w:pPr>
              <w:jc w:val="right"/>
              <w:ind w:right="204"/>
              <w:spacing w:after="0"/>
              <w:rPr>
                <w:sz w:val="20"/>
                <w:szCs w:val="20"/>
                <w:color w:val="auto"/>
              </w:rPr>
            </w:pPr>
            <w:r>
              <w:rPr>
                <w:rFonts w:ascii="Arial" w:cs="Arial" w:eastAsia="Arial" w:hAnsi="Arial"/>
                <w:sz w:val="16"/>
                <w:szCs w:val="16"/>
                <w:color w:val="auto"/>
              </w:rPr>
              <w:t>81,731</w:t>
            </w:r>
          </w:p>
        </w:tc>
        <w:tc>
          <w:tcPr>
            <w:tcW w:w="1200" w:type="dxa"/>
            <w:vAlign w:val="bottom"/>
            <w:vMerge w:val="restart"/>
          </w:tcPr>
          <w:p>
            <w:pPr>
              <w:jc w:val="right"/>
              <w:ind w:right="241"/>
              <w:spacing w:after="0"/>
              <w:rPr>
                <w:sz w:val="20"/>
                <w:szCs w:val="20"/>
                <w:color w:val="auto"/>
              </w:rPr>
            </w:pPr>
            <w:r>
              <w:rPr>
                <w:rFonts w:ascii="Arial" w:cs="Arial" w:eastAsia="Arial" w:hAnsi="Arial"/>
                <w:sz w:val="16"/>
                <w:szCs w:val="16"/>
                <w:color w:val="auto"/>
              </w:rPr>
              <w:t>105,000</w:t>
            </w:r>
          </w:p>
        </w:tc>
        <w:tc>
          <w:tcPr>
            <w:tcW w:w="1580" w:type="dxa"/>
            <w:vAlign w:val="bottom"/>
            <w:vMerge w:val="restart"/>
          </w:tcPr>
          <w:p>
            <w:pPr>
              <w:jc w:val="right"/>
              <w:ind w:right="262"/>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jc w:val="right"/>
              <w:ind w:right="121"/>
              <w:spacing w:after="0"/>
              <w:rPr>
                <w:sz w:val="20"/>
                <w:szCs w:val="20"/>
                <w:color w:val="auto"/>
              </w:rPr>
            </w:pPr>
            <w:r>
              <w:rPr>
                <w:rFonts w:ascii="Arial" w:cs="Arial" w:eastAsia="Arial" w:hAnsi="Arial"/>
                <w:sz w:val="16"/>
                <w:szCs w:val="16"/>
                <w:color w:val="auto"/>
              </w:rPr>
              <w:t>209,829</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668,194</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40" w:type="dxa"/>
            <w:vAlign w:val="bottom"/>
            <w:vMerge w:val="restart"/>
          </w:tcPr>
          <w:p>
            <w:pPr>
              <w:ind w:left="20"/>
              <w:spacing w:after="0"/>
              <w:rPr>
                <w:sz w:val="20"/>
                <w:szCs w:val="20"/>
                <w:color w:val="auto"/>
              </w:rPr>
            </w:pPr>
            <w:r>
              <w:rPr>
                <w:rFonts w:ascii="Arial" w:cs="Arial" w:eastAsia="Arial" w:hAnsi="Arial"/>
                <w:sz w:val="16"/>
                <w:szCs w:val="16"/>
                <w:b w:val="1"/>
                <w:bCs w:val="1"/>
                <w:color w:val="191769"/>
              </w:rPr>
              <w:t>Gregory S. Sorensen</w:t>
            </w:r>
            <w:r>
              <w:rPr>
                <w:rFonts w:ascii="Arial" w:cs="Arial" w:eastAsia="Arial" w:hAnsi="Arial"/>
                <w:sz w:val="21"/>
                <w:szCs w:val="21"/>
                <w:b w:val="1"/>
                <w:bCs w:val="1"/>
                <w:color w:val="191769"/>
                <w:vertAlign w:val="superscript"/>
              </w:rPr>
              <w:t>(7)</w:t>
            </w:r>
          </w:p>
        </w:tc>
        <w:tc>
          <w:tcPr>
            <w:tcW w:w="780" w:type="dxa"/>
            <w:vAlign w:val="bottom"/>
            <w:tcBorders>
              <w:bottom w:val="single" w:sz="8" w:color="D9D9D9"/>
            </w:tcBorders>
          </w:tcPr>
          <w:p>
            <w:pPr>
              <w:spacing w:after="0"/>
              <w:rPr>
                <w:sz w:val="9"/>
                <w:szCs w:val="9"/>
                <w:color w:val="auto"/>
              </w:rPr>
            </w:pPr>
          </w:p>
        </w:tc>
        <w:tc>
          <w:tcPr>
            <w:tcW w:w="940" w:type="dxa"/>
            <w:vAlign w:val="bottom"/>
            <w:tcBorders>
              <w:bottom w:val="single" w:sz="8" w:color="D9D9D9"/>
            </w:tcBorders>
          </w:tcPr>
          <w:p>
            <w:pPr>
              <w:spacing w:after="0"/>
              <w:rPr>
                <w:sz w:val="9"/>
                <w:szCs w:val="9"/>
                <w:color w:val="auto"/>
              </w:rPr>
            </w:pPr>
          </w:p>
        </w:tc>
        <w:tc>
          <w:tcPr>
            <w:tcW w:w="1020" w:type="dxa"/>
            <w:vAlign w:val="bottom"/>
            <w:tcBorders>
              <w:bottom w:val="single" w:sz="8" w:color="D9D9D9"/>
            </w:tcBorders>
          </w:tcPr>
          <w:p>
            <w:pPr>
              <w:spacing w:after="0"/>
              <w:rPr>
                <w:sz w:val="9"/>
                <w:szCs w:val="9"/>
                <w:color w:val="auto"/>
              </w:rPr>
            </w:pPr>
          </w:p>
        </w:tc>
        <w:tc>
          <w:tcPr>
            <w:tcW w:w="1200" w:type="dxa"/>
            <w:vAlign w:val="bottom"/>
            <w:tcBorders>
              <w:bottom w:val="single" w:sz="8" w:color="D9D9D9"/>
            </w:tcBorders>
          </w:tcPr>
          <w:p>
            <w:pPr>
              <w:spacing w:after="0"/>
              <w:rPr>
                <w:sz w:val="9"/>
                <w:szCs w:val="9"/>
                <w:color w:val="auto"/>
              </w:rPr>
            </w:pPr>
          </w:p>
        </w:tc>
        <w:tc>
          <w:tcPr>
            <w:tcW w:w="1580" w:type="dxa"/>
            <w:vAlign w:val="bottom"/>
            <w:tcBorders>
              <w:bottom w:val="single" w:sz="8" w:color="D9D9D9"/>
            </w:tcBorders>
          </w:tcPr>
          <w:p>
            <w:pPr>
              <w:spacing w:after="0"/>
              <w:rPr>
                <w:sz w:val="9"/>
                <w:szCs w:val="9"/>
                <w:color w:val="auto"/>
              </w:rPr>
            </w:pPr>
          </w:p>
        </w:tc>
        <w:tc>
          <w:tcPr>
            <w:tcW w:w="1440" w:type="dxa"/>
            <w:vAlign w:val="bottom"/>
            <w:tcBorders>
              <w:bottom w:val="single" w:sz="8" w:color="D9D9D9"/>
            </w:tcBorders>
          </w:tcPr>
          <w:p>
            <w:pPr>
              <w:spacing w:after="0"/>
              <w:rPr>
                <w:sz w:val="9"/>
                <w:szCs w:val="9"/>
                <w:color w:val="auto"/>
              </w:rPr>
            </w:pPr>
          </w:p>
        </w:tc>
        <w:tc>
          <w:tcPr>
            <w:tcW w:w="940" w:type="dxa"/>
            <w:vAlign w:val="bottom"/>
            <w:tcBorders>
              <w:bottom w:val="single" w:sz="8" w:color="D9D9D9"/>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3340" w:type="dxa"/>
            <w:vAlign w:val="bottom"/>
            <w:vMerge w:val="continue"/>
          </w:tcPr>
          <w:p>
            <w:pPr>
              <w:spacing w:after="0"/>
              <w:rPr>
                <w:sz w:val="16"/>
                <w:szCs w:val="16"/>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2025</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494,000</w:t>
            </w:r>
          </w:p>
        </w:tc>
        <w:tc>
          <w:tcPr>
            <w:tcW w:w="1020" w:type="dxa"/>
            <w:vAlign w:val="bottom"/>
          </w:tcPr>
          <w:p>
            <w:pPr>
              <w:jc w:val="right"/>
              <w:ind w:right="204"/>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62"/>
              <w:spacing w:after="0"/>
              <w:rPr>
                <w:sz w:val="20"/>
                <w:szCs w:val="20"/>
                <w:color w:val="auto"/>
              </w:rPr>
            </w:pPr>
            <w:r>
              <w:rPr>
                <w:rFonts w:ascii="Arial" w:cs="Arial" w:eastAsia="Arial" w:hAnsi="Arial"/>
                <w:sz w:val="16"/>
                <w:szCs w:val="16"/>
                <w:color w:val="auto"/>
              </w:rPr>
              <w:t>165,098</w:t>
            </w:r>
          </w:p>
        </w:tc>
        <w:tc>
          <w:tcPr>
            <w:tcW w:w="1440" w:type="dxa"/>
            <w:vAlign w:val="bottom"/>
          </w:tcPr>
          <w:p>
            <w:pPr>
              <w:jc w:val="right"/>
              <w:ind w:right="121"/>
              <w:spacing w:after="0"/>
              <w:rPr>
                <w:sz w:val="20"/>
                <w:szCs w:val="20"/>
                <w:color w:val="auto"/>
              </w:rPr>
            </w:pPr>
            <w:r>
              <w:rPr>
                <w:rFonts w:ascii="Arial" w:cs="Arial" w:eastAsia="Arial" w:hAnsi="Arial"/>
                <w:sz w:val="16"/>
                <w:szCs w:val="16"/>
                <w:color w:val="auto"/>
              </w:rPr>
              <w:t>37,416</w:t>
            </w:r>
          </w:p>
        </w:tc>
        <w:tc>
          <w:tcPr>
            <w:tcW w:w="940" w:type="dxa"/>
            <w:vAlign w:val="bottom"/>
          </w:tcPr>
          <w:p>
            <w:pPr>
              <w:jc w:val="right"/>
              <w:spacing w:after="0"/>
              <w:rPr>
                <w:sz w:val="20"/>
                <w:szCs w:val="20"/>
                <w:color w:val="auto"/>
              </w:rPr>
            </w:pPr>
            <w:r>
              <w:rPr>
                <w:rFonts w:ascii="Arial" w:cs="Arial" w:eastAsia="Arial" w:hAnsi="Arial"/>
                <w:sz w:val="16"/>
                <w:szCs w:val="16"/>
                <w:color w:val="auto"/>
              </w:rPr>
              <w:t>696,514</w:t>
            </w:r>
          </w:p>
        </w:tc>
        <w:tc>
          <w:tcPr>
            <w:tcW w:w="0" w:type="dxa"/>
            <w:vAlign w:val="bottom"/>
          </w:tcPr>
          <w:p>
            <w:pPr>
              <w:spacing w:after="0"/>
              <w:rPr>
                <w:sz w:val="1"/>
                <w:szCs w:val="1"/>
                <w:color w:val="auto"/>
              </w:rPr>
            </w:pPr>
          </w:p>
        </w:tc>
      </w:tr>
      <w:tr>
        <w:trPr>
          <w:trHeight w:val="78"/>
        </w:trPr>
        <w:tc>
          <w:tcPr>
            <w:tcW w:w="3340" w:type="dxa"/>
            <w:vAlign w:val="bottom"/>
            <w:vMerge w:val="restart"/>
          </w:tcPr>
          <w:p>
            <w:pPr>
              <w:ind w:left="20"/>
              <w:spacing w:after="0"/>
              <w:rPr>
                <w:sz w:val="20"/>
                <w:szCs w:val="20"/>
                <w:color w:val="auto"/>
              </w:rPr>
            </w:pPr>
            <w:r>
              <w:rPr>
                <w:rFonts w:ascii="Arial" w:cs="Arial" w:eastAsia="Arial" w:hAnsi="Arial"/>
                <w:sz w:val="16"/>
                <w:szCs w:val="16"/>
                <w:color w:val="auto"/>
              </w:rPr>
              <w:t>Vice President, Chief Operating Officer</w:t>
            </w:r>
          </w:p>
        </w:tc>
        <w:tc>
          <w:tcPr>
            <w:tcW w:w="780" w:type="dxa"/>
            <w:vAlign w:val="bottom"/>
            <w:tcBorders>
              <w:bottom w:val="single" w:sz="8" w:color="D9D9D9"/>
            </w:tcBorders>
          </w:tcPr>
          <w:p>
            <w:pPr>
              <w:spacing w:after="0"/>
              <w:rPr>
                <w:sz w:val="6"/>
                <w:szCs w:val="6"/>
                <w:color w:val="auto"/>
              </w:rPr>
            </w:pPr>
          </w:p>
        </w:tc>
        <w:tc>
          <w:tcPr>
            <w:tcW w:w="940" w:type="dxa"/>
            <w:vAlign w:val="bottom"/>
            <w:tcBorders>
              <w:bottom w:val="single" w:sz="8" w:color="D9D9D9"/>
            </w:tcBorders>
          </w:tcPr>
          <w:p>
            <w:pPr>
              <w:spacing w:after="0"/>
              <w:rPr>
                <w:sz w:val="6"/>
                <w:szCs w:val="6"/>
                <w:color w:val="auto"/>
              </w:rPr>
            </w:pPr>
          </w:p>
        </w:tc>
        <w:tc>
          <w:tcPr>
            <w:tcW w:w="1020" w:type="dxa"/>
            <w:vAlign w:val="bottom"/>
            <w:tcBorders>
              <w:bottom w:val="single" w:sz="8" w:color="D9D9D9"/>
            </w:tcBorders>
          </w:tcPr>
          <w:p>
            <w:pPr>
              <w:spacing w:after="0"/>
              <w:rPr>
                <w:sz w:val="6"/>
                <w:szCs w:val="6"/>
                <w:color w:val="auto"/>
              </w:rPr>
            </w:pPr>
          </w:p>
        </w:tc>
        <w:tc>
          <w:tcPr>
            <w:tcW w:w="1200" w:type="dxa"/>
            <w:vAlign w:val="bottom"/>
            <w:tcBorders>
              <w:bottom w:val="single" w:sz="8" w:color="D9D9D9"/>
            </w:tcBorders>
          </w:tcPr>
          <w:p>
            <w:pPr>
              <w:spacing w:after="0"/>
              <w:rPr>
                <w:sz w:val="6"/>
                <w:szCs w:val="6"/>
                <w:color w:val="auto"/>
              </w:rPr>
            </w:pPr>
          </w:p>
        </w:tc>
        <w:tc>
          <w:tcPr>
            <w:tcW w:w="1580" w:type="dxa"/>
            <w:vAlign w:val="bottom"/>
            <w:tcBorders>
              <w:bottom w:val="single" w:sz="8" w:color="D9D9D9"/>
            </w:tcBorders>
          </w:tcPr>
          <w:p>
            <w:pPr>
              <w:spacing w:after="0"/>
              <w:rPr>
                <w:sz w:val="6"/>
                <w:szCs w:val="6"/>
                <w:color w:val="auto"/>
              </w:rPr>
            </w:pPr>
          </w:p>
        </w:tc>
        <w:tc>
          <w:tcPr>
            <w:tcW w:w="1440" w:type="dxa"/>
            <w:vAlign w:val="bottom"/>
            <w:tcBorders>
              <w:bottom w:val="single" w:sz="8" w:color="D9D9D9"/>
            </w:tcBorders>
          </w:tcPr>
          <w:p>
            <w:pPr>
              <w:spacing w:after="0"/>
              <w:rPr>
                <w:sz w:val="6"/>
                <w:szCs w:val="6"/>
                <w:color w:val="auto"/>
              </w:rPr>
            </w:pPr>
          </w:p>
        </w:tc>
        <w:tc>
          <w:tcPr>
            <w:tcW w:w="94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3340" w:type="dxa"/>
            <w:vAlign w:val="bottom"/>
            <w:vMerge w:val="continue"/>
          </w:tcPr>
          <w:p>
            <w:pPr>
              <w:spacing w:after="0"/>
              <w:rPr>
                <w:sz w:val="10"/>
                <w:szCs w:val="10"/>
                <w:color w:val="auto"/>
              </w:rPr>
            </w:pPr>
          </w:p>
        </w:tc>
        <w:tc>
          <w:tcPr>
            <w:tcW w:w="780" w:type="dxa"/>
            <w:vAlign w:val="bottom"/>
            <w:vMerge w:val="restart"/>
          </w:tcPr>
          <w:p>
            <w:pPr>
              <w:jc w:val="right"/>
              <w:ind w:right="199"/>
              <w:spacing w:after="0"/>
              <w:rPr>
                <w:sz w:val="20"/>
                <w:szCs w:val="20"/>
                <w:color w:val="auto"/>
              </w:rPr>
            </w:pPr>
            <w:r>
              <w:rPr>
                <w:rFonts w:ascii="Arial" w:cs="Arial" w:eastAsia="Arial" w:hAnsi="Arial"/>
                <w:sz w:val="16"/>
                <w:szCs w:val="16"/>
                <w:color w:val="auto"/>
              </w:rPr>
              <w:t>2024</w:t>
            </w:r>
          </w:p>
        </w:tc>
        <w:tc>
          <w:tcPr>
            <w:tcW w:w="94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ind w:right="204"/>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41"/>
              <w:spacing w:after="0"/>
              <w:rPr>
                <w:sz w:val="20"/>
                <w:szCs w:val="20"/>
                <w:color w:val="auto"/>
              </w:rPr>
            </w:pPr>
            <w:r>
              <w:rPr>
                <w:rFonts w:ascii="Arial" w:cs="Arial" w:eastAsia="Arial" w:hAnsi="Arial"/>
                <w:sz w:val="16"/>
                <w:szCs w:val="16"/>
                <w:color w:val="auto"/>
              </w:rPr>
              <w:t>120,000</w:t>
            </w:r>
          </w:p>
        </w:tc>
        <w:tc>
          <w:tcPr>
            <w:tcW w:w="1580" w:type="dxa"/>
            <w:vAlign w:val="bottom"/>
            <w:vMerge w:val="restart"/>
          </w:tcPr>
          <w:p>
            <w:pPr>
              <w:jc w:val="right"/>
              <w:ind w:right="262"/>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jc w:val="right"/>
              <w:ind w:right="121"/>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120,000</w:t>
            </w:r>
          </w:p>
        </w:tc>
        <w:tc>
          <w:tcPr>
            <w:tcW w:w="0" w:type="dxa"/>
            <w:vAlign w:val="bottom"/>
          </w:tcPr>
          <w:p>
            <w:pPr>
              <w:spacing w:after="0"/>
              <w:rPr>
                <w:sz w:val="1"/>
                <w:szCs w:val="1"/>
                <w:color w:val="auto"/>
              </w:rPr>
            </w:pPr>
          </w:p>
        </w:tc>
      </w:tr>
      <w:tr>
        <w:trPr>
          <w:trHeight w:val="98"/>
        </w:trPr>
        <w:tc>
          <w:tcPr>
            <w:tcW w:w="3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340" w:type="dxa"/>
            <w:vAlign w:val="bottom"/>
            <w:vMerge w:val="restart"/>
          </w:tcPr>
          <w:p>
            <w:pPr>
              <w:ind w:left="20"/>
              <w:spacing w:after="0"/>
              <w:rPr>
                <w:sz w:val="20"/>
                <w:szCs w:val="20"/>
                <w:color w:val="auto"/>
              </w:rPr>
            </w:pPr>
            <w:r>
              <w:rPr>
                <w:rFonts w:ascii="Arial" w:cs="Arial" w:eastAsia="Arial" w:hAnsi="Arial"/>
                <w:sz w:val="16"/>
                <w:szCs w:val="16"/>
                <w:b w:val="1"/>
                <w:bCs w:val="1"/>
                <w:color w:val="191769"/>
              </w:rPr>
              <w:t>Jay L. Kooper</w:t>
            </w:r>
          </w:p>
        </w:tc>
        <w:tc>
          <w:tcPr>
            <w:tcW w:w="780" w:type="dxa"/>
            <w:vAlign w:val="bottom"/>
            <w:tcBorders>
              <w:bottom w:val="single" w:sz="8" w:color="D9D9D9"/>
            </w:tcBorders>
          </w:tcPr>
          <w:p>
            <w:pPr>
              <w:spacing w:after="0"/>
              <w:rPr>
                <w:sz w:val="4"/>
                <w:szCs w:val="4"/>
                <w:color w:val="auto"/>
              </w:rPr>
            </w:pPr>
          </w:p>
        </w:tc>
        <w:tc>
          <w:tcPr>
            <w:tcW w:w="940" w:type="dxa"/>
            <w:vAlign w:val="bottom"/>
            <w:tcBorders>
              <w:bottom w:val="single" w:sz="8" w:color="D9D9D9"/>
            </w:tcBorders>
          </w:tcPr>
          <w:p>
            <w:pPr>
              <w:spacing w:after="0"/>
              <w:rPr>
                <w:sz w:val="4"/>
                <w:szCs w:val="4"/>
                <w:color w:val="auto"/>
              </w:rPr>
            </w:pPr>
          </w:p>
        </w:tc>
        <w:tc>
          <w:tcPr>
            <w:tcW w:w="1020" w:type="dxa"/>
            <w:vAlign w:val="bottom"/>
            <w:tcBorders>
              <w:bottom w:val="single" w:sz="8" w:color="D9D9D9"/>
            </w:tcBorders>
          </w:tcPr>
          <w:p>
            <w:pPr>
              <w:spacing w:after="0"/>
              <w:rPr>
                <w:sz w:val="4"/>
                <w:szCs w:val="4"/>
                <w:color w:val="auto"/>
              </w:rPr>
            </w:pPr>
          </w:p>
        </w:tc>
        <w:tc>
          <w:tcPr>
            <w:tcW w:w="1200" w:type="dxa"/>
            <w:vAlign w:val="bottom"/>
            <w:tcBorders>
              <w:bottom w:val="single" w:sz="8" w:color="D9D9D9"/>
            </w:tcBorders>
          </w:tcPr>
          <w:p>
            <w:pPr>
              <w:spacing w:after="0"/>
              <w:rPr>
                <w:sz w:val="4"/>
                <w:szCs w:val="4"/>
                <w:color w:val="auto"/>
              </w:rPr>
            </w:pPr>
          </w:p>
        </w:tc>
        <w:tc>
          <w:tcPr>
            <w:tcW w:w="1580" w:type="dxa"/>
            <w:vAlign w:val="bottom"/>
            <w:tcBorders>
              <w:bottom w:val="single" w:sz="8" w:color="D9D9D9"/>
            </w:tcBorders>
          </w:tcPr>
          <w:p>
            <w:pPr>
              <w:spacing w:after="0"/>
              <w:rPr>
                <w:sz w:val="4"/>
                <w:szCs w:val="4"/>
                <w:color w:val="auto"/>
              </w:rPr>
            </w:pPr>
          </w:p>
        </w:tc>
        <w:tc>
          <w:tcPr>
            <w:tcW w:w="1440" w:type="dxa"/>
            <w:vAlign w:val="bottom"/>
            <w:tcBorders>
              <w:bottom w:val="single" w:sz="8" w:color="D9D9D9"/>
            </w:tcBorders>
          </w:tcPr>
          <w:p>
            <w:pPr>
              <w:spacing w:after="0"/>
              <w:rPr>
                <w:sz w:val="4"/>
                <w:szCs w:val="4"/>
                <w:color w:val="auto"/>
              </w:rPr>
            </w:pPr>
          </w:p>
        </w:tc>
        <w:tc>
          <w:tcPr>
            <w:tcW w:w="940" w:type="dxa"/>
            <w:vAlign w:val="bottom"/>
            <w:tcBorders>
              <w:bottom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340" w:type="dxa"/>
            <w:vAlign w:val="bottom"/>
            <w:vMerge w:val="continue"/>
          </w:tcPr>
          <w:p>
            <w:pPr>
              <w:spacing w:after="0"/>
              <w:rPr>
                <w:sz w:val="16"/>
                <w:szCs w:val="16"/>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2025</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386,227</w:t>
            </w:r>
          </w:p>
        </w:tc>
        <w:tc>
          <w:tcPr>
            <w:tcW w:w="1020" w:type="dxa"/>
            <w:vAlign w:val="bottom"/>
          </w:tcPr>
          <w:p>
            <w:pPr>
              <w:spacing w:after="0"/>
              <w:rPr>
                <w:sz w:val="16"/>
                <w:szCs w:val="16"/>
                <w:color w:val="auto"/>
              </w:rPr>
            </w:pPr>
          </w:p>
        </w:tc>
        <w:tc>
          <w:tcPr>
            <w:tcW w:w="1200" w:type="dxa"/>
            <w:vAlign w:val="bottom"/>
          </w:tcPr>
          <w:p>
            <w:pPr>
              <w:jc w:val="right"/>
              <w:ind w:right="241"/>
              <w:spacing w:after="0"/>
              <w:rPr>
                <w:sz w:val="20"/>
                <w:szCs w:val="20"/>
                <w:color w:val="auto"/>
              </w:rPr>
            </w:pPr>
            <w:r>
              <w:rPr>
                <w:rFonts w:ascii="Arial" w:cs="Arial" w:eastAsia="Arial" w:hAnsi="Arial"/>
                <w:sz w:val="16"/>
                <w:szCs w:val="16"/>
                <w:color w:val="auto"/>
              </w:rPr>
              <w:t>103,000</w:t>
            </w:r>
          </w:p>
        </w:tc>
        <w:tc>
          <w:tcPr>
            <w:tcW w:w="1580" w:type="dxa"/>
            <w:vAlign w:val="bottom"/>
          </w:tcPr>
          <w:p>
            <w:pPr>
              <w:jc w:val="right"/>
              <w:ind w:right="262"/>
              <w:spacing w:after="0"/>
              <w:rPr>
                <w:sz w:val="20"/>
                <w:szCs w:val="20"/>
                <w:color w:val="auto"/>
              </w:rPr>
            </w:pPr>
            <w:r>
              <w:rPr>
                <w:rFonts w:ascii="Arial" w:cs="Arial" w:eastAsia="Arial" w:hAnsi="Arial"/>
                <w:sz w:val="16"/>
                <w:szCs w:val="16"/>
                <w:color w:val="auto"/>
              </w:rPr>
              <w:t>63,960</w:t>
            </w:r>
          </w:p>
        </w:tc>
        <w:tc>
          <w:tcPr>
            <w:tcW w:w="1440" w:type="dxa"/>
            <w:vAlign w:val="bottom"/>
          </w:tcPr>
          <w:p>
            <w:pPr>
              <w:jc w:val="right"/>
              <w:ind w:right="121"/>
              <w:spacing w:after="0"/>
              <w:rPr>
                <w:sz w:val="20"/>
                <w:szCs w:val="20"/>
                <w:color w:val="auto"/>
              </w:rPr>
            </w:pPr>
            <w:r>
              <w:rPr>
                <w:rFonts w:ascii="Arial" w:cs="Arial" w:eastAsia="Arial" w:hAnsi="Arial"/>
                <w:sz w:val="16"/>
                <w:szCs w:val="16"/>
                <w:color w:val="auto"/>
              </w:rPr>
              <w:t>33,056</w:t>
            </w:r>
          </w:p>
        </w:tc>
        <w:tc>
          <w:tcPr>
            <w:tcW w:w="940" w:type="dxa"/>
            <w:vAlign w:val="bottom"/>
          </w:tcPr>
          <w:p>
            <w:pPr>
              <w:jc w:val="right"/>
              <w:spacing w:after="0"/>
              <w:rPr>
                <w:sz w:val="20"/>
                <w:szCs w:val="20"/>
                <w:color w:val="auto"/>
              </w:rPr>
            </w:pPr>
            <w:r>
              <w:rPr>
                <w:rFonts w:ascii="Arial" w:cs="Arial" w:eastAsia="Arial" w:hAnsi="Arial"/>
                <w:sz w:val="16"/>
                <w:szCs w:val="16"/>
                <w:color w:val="auto"/>
              </w:rPr>
              <w:t>586,243</w:t>
            </w:r>
          </w:p>
        </w:tc>
        <w:tc>
          <w:tcPr>
            <w:tcW w:w="0" w:type="dxa"/>
            <w:vAlign w:val="bottom"/>
          </w:tcPr>
          <w:p>
            <w:pPr>
              <w:spacing w:after="0"/>
              <w:rPr>
                <w:sz w:val="1"/>
                <w:szCs w:val="1"/>
                <w:color w:val="auto"/>
              </w:rPr>
            </w:pPr>
          </w:p>
        </w:tc>
      </w:tr>
      <w:tr>
        <w:trPr>
          <w:trHeight w:val="54"/>
        </w:trPr>
        <w:tc>
          <w:tcPr>
            <w:tcW w:w="3340" w:type="dxa"/>
            <w:vAlign w:val="bottom"/>
            <w:vMerge w:val="restart"/>
          </w:tcPr>
          <w:p>
            <w:pPr>
              <w:ind w:left="20"/>
              <w:spacing w:after="0"/>
              <w:rPr>
                <w:sz w:val="20"/>
                <w:szCs w:val="20"/>
                <w:color w:val="auto"/>
              </w:rPr>
            </w:pPr>
            <w:r>
              <w:rPr>
                <w:rFonts w:ascii="Arial" w:cs="Arial" w:eastAsia="Arial" w:hAnsi="Arial"/>
                <w:sz w:val="16"/>
                <w:szCs w:val="16"/>
                <w:color w:val="auto"/>
              </w:rPr>
              <w:t>Vice President,</w:t>
            </w:r>
          </w:p>
        </w:tc>
        <w:tc>
          <w:tcPr>
            <w:tcW w:w="780" w:type="dxa"/>
            <w:vAlign w:val="bottom"/>
            <w:tcBorders>
              <w:bottom w:val="single" w:sz="8" w:color="D9D9D9"/>
            </w:tcBorders>
          </w:tcPr>
          <w:p>
            <w:pPr>
              <w:spacing w:after="0"/>
              <w:rPr>
                <w:sz w:val="4"/>
                <w:szCs w:val="4"/>
                <w:color w:val="auto"/>
              </w:rPr>
            </w:pPr>
          </w:p>
        </w:tc>
        <w:tc>
          <w:tcPr>
            <w:tcW w:w="940" w:type="dxa"/>
            <w:vAlign w:val="bottom"/>
            <w:tcBorders>
              <w:bottom w:val="single" w:sz="8" w:color="D9D9D9"/>
            </w:tcBorders>
          </w:tcPr>
          <w:p>
            <w:pPr>
              <w:spacing w:after="0"/>
              <w:rPr>
                <w:sz w:val="4"/>
                <w:szCs w:val="4"/>
                <w:color w:val="auto"/>
              </w:rPr>
            </w:pPr>
          </w:p>
        </w:tc>
        <w:tc>
          <w:tcPr>
            <w:tcW w:w="1020" w:type="dxa"/>
            <w:vAlign w:val="bottom"/>
            <w:tcBorders>
              <w:bottom w:val="single" w:sz="8" w:color="D9D9D9"/>
            </w:tcBorders>
          </w:tcPr>
          <w:p>
            <w:pPr>
              <w:spacing w:after="0"/>
              <w:rPr>
                <w:sz w:val="4"/>
                <w:szCs w:val="4"/>
                <w:color w:val="auto"/>
              </w:rPr>
            </w:pPr>
          </w:p>
        </w:tc>
        <w:tc>
          <w:tcPr>
            <w:tcW w:w="1200" w:type="dxa"/>
            <w:vAlign w:val="bottom"/>
            <w:tcBorders>
              <w:bottom w:val="single" w:sz="8" w:color="D9D9D9"/>
            </w:tcBorders>
          </w:tcPr>
          <w:p>
            <w:pPr>
              <w:spacing w:after="0"/>
              <w:rPr>
                <w:sz w:val="4"/>
                <w:szCs w:val="4"/>
                <w:color w:val="auto"/>
              </w:rPr>
            </w:pPr>
          </w:p>
        </w:tc>
        <w:tc>
          <w:tcPr>
            <w:tcW w:w="1580" w:type="dxa"/>
            <w:vAlign w:val="bottom"/>
            <w:tcBorders>
              <w:bottom w:val="single" w:sz="8" w:color="D9D9D9"/>
            </w:tcBorders>
          </w:tcPr>
          <w:p>
            <w:pPr>
              <w:spacing w:after="0"/>
              <w:rPr>
                <w:sz w:val="4"/>
                <w:szCs w:val="4"/>
                <w:color w:val="auto"/>
              </w:rPr>
            </w:pPr>
          </w:p>
        </w:tc>
        <w:tc>
          <w:tcPr>
            <w:tcW w:w="1440" w:type="dxa"/>
            <w:vAlign w:val="bottom"/>
            <w:tcBorders>
              <w:bottom w:val="single" w:sz="8" w:color="D9D9D9"/>
            </w:tcBorders>
          </w:tcPr>
          <w:p>
            <w:pPr>
              <w:spacing w:after="0"/>
              <w:rPr>
                <w:sz w:val="4"/>
                <w:szCs w:val="4"/>
                <w:color w:val="auto"/>
              </w:rPr>
            </w:pPr>
          </w:p>
        </w:tc>
        <w:tc>
          <w:tcPr>
            <w:tcW w:w="940" w:type="dxa"/>
            <w:vAlign w:val="bottom"/>
            <w:tcBorders>
              <w:bottom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3340" w:type="dxa"/>
            <w:vAlign w:val="bottom"/>
            <w:vMerge w:val="continue"/>
          </w:tcPr>
          <w:p>
            <w:pPr>
              <w:spacing w:after="0"/>
              <w:rPr>
                <w:sz w:val="10"/>
                <w:szCs w:val="10"/>
                <w:color w:val="auto"/>
              </w:rPr>
            </w:pPr>
          </w:p>
        </w:tc>
        <w:tc>
          <w:tcPr>
            <w:tcW w:w="780" w:type="dxa"/>
            <w:vAlign w:val="bottom"/>
            <w:vMerge w:val="restart"/>
          </w:tcPr>
          <w:p>
            <w:pPr>
              <w:jc w:val="right"/>
              <w:ind w:right="199"/>
              <w:spacing w:after="0"/>
              <w:rPr>
                <w:sz w:val="20"/>
                <w:szCs w:val="20"/>
                <w:color w:val="auto"/>
              </w:rPr>
            </w:pPr>
            <w:r>
              <w:rPr>
                <w:rFonts w:ascii="Arial" w:cs="Arial" w:eastAsia="Arial" w:hAnsi="Arial"/>
                <w:sz w:val="16"/>
                <w:szCs w:val="16"/>
                <w:color w:val="auto"/>
              </w:rPr>
              <w:t>2024</w:t>
            </w:r>
          </w:p>
        </w:tc>
        <w:tc>
          <w:tcPr>
            <w:tcW w:w="940" w:type="dxa"/>
            <w:vAlign w:val="bottom"/>
            <w:vMerge w:val="restart"/>
          </w:tcPr>
          <w:p>
            <w:pPr>
              <w:jc w:val="right"/>
              <w:ind w:right="80"/>
              <w:spacing w:after="0"/>
              <w:rPr>
                <w:sz w:val="20"/>
                <w:szCs w:val="20"/>
                <w:color w:val="auto"/>
              </w:rPr>
            </w:pPr>
            <w:r>
              <w:rPr>
                <w:rFonts w:ascii="Arial" w:cs="Arial" w:eastAsia="Arial" w:hAnsi="Arial"/>
                <w:sz w:val="16"/>
                <w:szCs w:val="16"/>
                <w:color w:val="auto"/>
              </w:rPr>
              <w:t>368,591</w:t>
            </w:r>
          </w:p>
        </w:tc>
        <w:tc>
          <w:tcPr>
            <w:tcW w:w="1020" w:type="dxa"/>
            <w:vAlign w:val="bottom"/>
            <w:vMerge w:val="restart"/>
          </w:tcPr>
          <w:p>
            <w:pPr>
              <w:jc w:val="right"/>
              <w:ind w:right="204"/>
              <w:spacing w:after="0"/>
              <w:rPr>
                <w:sz w:val="20"/>
                <w:szCs w:val="20"/>
                <w:color w:val="auto"/>
              </w:rPr>
            </w:pPr>
            <w:r>
              <w:rPr>
                <w:rFonts w:ascii="Arial" w:cs="Arial" w:eastAsia="Arial" w:hAnsi="Arial"/>
                <w:sz w:val="16"/>
                <w:szCs w:val="16"/>
                <w:color w:val="auto"/>
              </w:rPr>
              <w:t>14,284</w:t>
            </w:r>
          </w:p>
        </w:tc>
        <w:tc>
          <w:tcPr>
            <w:tcW w:w="1200" w:type="dxa"/>
            <w:vAlign w:val="bottom"/>
            <w:vMerge w:val="restart"/>
          </w:tcPr>
          <w:p>
            <w:pPr>
              <w:jc w:val="right"/>
              <w:ind w:right="241"/>
              <w:spacing w:after="0"/>
              <w:rPr>
                <w:sz w:val="20"/>
                <w:szCs w:val="20"/>
                <w:color w:val="auto"/>
              </w:rPr>
            </w:pPr>
            <w:r>
              <w:rPr>
                <w:rFonts w:ascii="Arial" w:cs="Arial" w:eastAsia="Arial" w:hAnsi="Arial"/>
                <w:sz w:val="16"/>
                <w:szCs w:val="16"/>
                <w:color w:val="auto"/>
              </w:rPr>
              <w:t>60,000</w:t>
            </w:r>
          </w:p>
        </w:tc>
        <w:tc>
          <w:tcPr>
            <w:tcW w:w="1580" w:type="dxa"/>
            <w:vAlign w:val="bottom"/>
            <w:vMerge w:val="restart"/>
          </w:tcPr>
          <w:p>
            <w:pPr>
              <w:jc w:val="right"/>
              <w:ind w:right="262"/>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jc w:val="right"/>
              <w:ind w:right="121"/>
              <w:spacing w:after="0"/>
              <w:rPr>
                <w:sz w:val="20"/>
                <w:szCs w:val="20"/>
                <w:color w:val="auto"/>
              </w:rPr>
            </w:pPr>
            <w:r>
              <w:rPr>
                <w:rFonts w:ascii="Arial" w:cs="Arial" w:eastAsia="Arial" w:hAnsi="Arial"/>
                <w:sz w:val="16"/>
                <w:szCs w:val="16"/>
                <w:color w:val="auto"/>
              </w:rPr>
              <w:t>30,121</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472,996</w:t>
            </w:r>
          </w:p>
        </w:tc>
        <w:tc>
          <w:tcPr>
            <w:tcW w:w="0" w:type="dxa"/>
            <w:vAlign w:val="bottom"/>
          </w:tcPr>
          <w:p>
            <w:pPr>
              <w:spacing w:after="0"/>
              <w:rPr>
                <w:sz w:val="1"/>
                <w:szCs w:val="1"/>
                <w:color w:val="auto"/>
              </w:rPr>
            </w:pPr>
          </w:p>
        </w:tc>
      </w:tr>
      <w:tr>
        <w:trPr>
          <w:trHeight w:val="93"/>
        </w:trPr>
        <w:tc>
          <w:tcPr>
            <w:tcW w:w="3340" w:type="dxa"/>
            <w:vAlign w:val="bottom"/>
            <w:vMerge w:val="restart"/>
          </w:tcPr>
          <w:p>
            <w:pPr>
              <w:ind w:left="20"/>
              <w:spacing w:after="0"/>
              <w:rPr>
                <w:sz w:val="20"/>
                <w:szCs w:val="20"/>
                <w:color w:val="auto"/>
              </w:rPr>
            </w:pPr>
            <w:r>
              <w:rPr>
                <w:rFonts w:ascii="Arial" w:cs="Arial" w:eastAsia="Arial" w:hAnsi="Arial"/>
                <w:sz w:val="16"/>
                <w:szCs w:val="16"/>
                <w:color w:val="auto"/>
              </w:rPr>
              <w:t>General Counsel and Secretary</w:t>
            </w:r>
          </w:p>
        </w:tc>
        <w:tc>
          <w:tcPr>
            <w:tcW w:w="7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340" w:type="dxa"/>
            <w:vAlign w:val="bottom"/>
            <w:vMerge w:val="continue"/>
          </w:tcPr>
          <w:p>
            <w:pPr>
              <w:spacing w:after="0" w:line="20" w:lineRule="exact"/>
              <w:rPr>
                <w:sz w:val="1"/>
                <w:szCs w:val="1"/>
                <w:color w:val="auto"/>
              </w:rPr>
            </w:pPr>
          </w:p>
        </w:tc>
        <w:tc>
          <w:tcPr>
            <w:tcW w:w="780" w:type="dxa"/>
            <w:vAlign w:val="bottom"/>
            <w:tcBorders>
              <w:bottom w:val="single" w:sz="8" w:color="D9D9D9"/>
            </w:tcBorders>
          </w:tcPr>
          <w:p>
            <w:pPr>
              <w:spacing w:after="0" w:line="20" w:lineRule="exact"/>
              <w:rPr>
                <w:sz w:val="1"/>
                <w:szCs w:val="1"/>
                <w:color w:val="auto"/>
              </w:rPr>
            </w:pPr>
          </w:p>
        </w:tc>
        <w:tc>
          <w:tcPr>
            <w:tcW w:w="940" w:type="dxa"/>
            <w:vAlign w:val="bottom"/>
            <w:tcBorders>
              <w:bottom w:val="single" w:sz="8" w:color="D9D9D9"/>
            </w:tcBorders>
          </w:tcPr>
          <w:p>
            <w:pPr>
              <w:spacing w:after="0" w:line="20" w:lineRule="exact"/>
              <w:rPr>
                <w:sz w:val="1"/>
                <w:szCs w:val="1"/>
                <w:color w:val="auto"/>
              </w:rPr>
            </w:pPr>
          </w:p>
        </w:tc>
        <w:tc>
          <w:tcPr>
            <w:tcW w:w="1020" w:type="dxa"/>
            <w:vAlign w:val="bottom"/>
            <w:tcBorders>
              <w:bottom w:val="single" w:sz="8" w:color="D9D9D9"/>
            </w:tcBorders>
          </w:tcPr>
          <w:p>
            <w:pPr>
              <w:spacing w:after="0" w:line="20" w:lineRule="exact"/>
              <w:rPr>
                <w:sz w:val="1"/>
                <w:szCs w:val="1"/>
                <w:color w:val="auto"/>
              </w:rPr>
            </w:pPr>
          </w:p>
        </w:tc>
        <w:tc>
          <w:tcPr>
            <w:tcW w:w="1200" w:type="dxa"/>
            <w:vAlign w:val="bottom"/>
            <w:tcBorders>
              <w:bottom w:val="single" w:sz="8" w:color="D9D9D9"/>
            </w:tcBorders>
          </w:tcPr>
          <w:p>
            <w:pPr>
              <w:spacing w:after="0" w:line="20" w:lineRule="exact"/>
              <w:rPr>
                <w:sz w:val="1"/>
                <w:szCs w:val="1"/>
                <w:color w:val="auto"/>
              </w:rPr>
            </w:pPr>
          </w:p>
        </w:tc>
        <w:tc>
          <w:tcPr>
            <w:tcW w:w="1580" w:type="dxa"/>
            <w:vAlign w:val="bottom"/>
            <w:tcBorders>
              <w:bottom w:val="single" w:sz="8" w:color="D9D9D9"/>
            </w:tcBorders>
          </w:tcPr>
          <w:p>
            <w:pPr>
              <w:spacing w:after="0" w:line="20" w:lineRule="exact"/>
              <w:rPr>
                <w:sz w:val="1"/>
                <w:szCs w:val="1"/>
                <w:color w:val="auto"/>
              </w:rPr>
            </w:pPr>
          </w:p>
        </w:tc>
        <w:tc>
          <w:tcPr>
            <w:tcW w:w="1440" w:type="dxa"/>
            <w:vAlign w:val="bottom"/>
            <w:tcBorders>
              <w:bottom w:val="single" w:sz="8" w:color="D9D9D9"/>
            </w:tcBorders>
          </w:tcPr>
          <w:p>
            <w:pPr>
              <w:spacing w:after="0" w:line="20" w:lineRule="exact"/>
              <w:rPr>
                <w:sz w:val="1"/>
                <w:szCs w:val="1"/>
                <w:color w:val="auto"/>
              </w:rPr>
            </w:pPr>
          </w:p>
        </w:tc>
        <w:tc>
          <w:tcPr>
            <w:tcW w:w="940" w:type="dxa"/>
            <w:vAlign w:val="bottom"/>
            <w:tcBorders>
              <w:bottom w:val="single" w:sz="8" w:color="D9D9D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
        </w:trPr>
        <w:tc>
          <w:tcPr>
            <w:tcW w:w="3340" w:type="dxa"/>
            <w:vAlign w:val="bottom"/>
            <w:vMerge w:val="continue"/>
          </w:tcPr>
          <w:p>
            <w:pPr>
              <w:spacing w:after="0"/>
              <w:rPr>
                <w:sz w:val="7"/>
                <w:szCs w:val="7"/>
                <w:color w:val="auto"/>
              </w:rPr>
            </w:pPr>
          </w:p>
        </w:tc>
        <w:tc>
          <w:tcPr>
            <w:tcW w:w="780" w:type="dxa"/>
            <w:vAlign w:val="bottom"/>
            <w:vMerge w:val="restart"/>
          </w:tcPr>
          <w:p>
            <w:pPr>
              <w:jc w:val="right"/>
              <w:ind w:right="199"/>
              <w:spacing w:after="0"/>
              <w:rPr>
                <w:sz w:val="20"/>
                <w:szCs w:val="20"/>
                <w:color w:val="auto"/>
              </w:rPr>
            </w:pPr>
            <w:r>
              <w:rPr>
                <w:rFonts w:ascii="Arial" w:cs="Arial" w:eastAsia="Arial" w:hAnsi="Arial"/>
                <w:sz w:val="16"/>
                <w:szCs w:val="16"/>
                <w:color w:val="auto"/>
              </w:rPr>
              <w:t>2023</w:t>
            </w:r>
          </w:p>
        </w:tc>
        <w:tc>
          <w:tcPr>
            <w:tcW w:w="940" w:type="dxa"/>
            <w:vAlign w:val="bottom"/>
            <w:vMerge w:val="restart"/>
          </w:tcPr>
          <w:p>
            <w:pPr>
              <w:jc w:val="right"/>
              <w:ind w:right="80"/>
              <w:spacing w:after="0"/>
              <w:rPr>
                <w:sz w:val="20"/>
                <w:szCs w:val="20"/>
                <w:color w:val="auto"/>
              </w:rPr>
            </w:pPr>
            <w:r>
              <w:rPr>
                <w:rFonts w:ascii="Arial" w:cs="Arial" w:eastAsia="Arial" w:hAnsi="Arial"/>
                <w:sz w:val="16"/>
                <w:szCs w:val="16"/>
                <w:color w:val="auto"/>
              </w:rPr>
              <w:t>355,698</w:t>
            </w:r>
          </w:p>
        </w:tc>
        <w:tc>
          <w:tcPr>
            <w:tcW w:w="1020" w:type="dxa"/>
            <w:vAlign w:val="bottom"/>
            <w:vMerge w:val="restart"/>
          </w:tcPr>
          <w:p>
            <w:pPr>
              <w:jc w:val="right"/>
              <w:ind w:right="204"/>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41"/>
              <w:spacing w:after="0"/>
              <w:rPr>
                <w:sz w:val="20"/>
                <w:szCs w:val="20"/>
                <w:color w:val="auto"/>
              </w:rPr>
            </w:pPr>
            <w:r>
              <w:rPr>
                <w:rFonts w:ascii="Arial" w:cs="Arial" w:eastAsia="Arial" w:hAnsi="Arial"/>
                <w:sz w:val="16"/>
                <w:szCs w:val="16"/>
                <w:color w:val="auto"/>
              </w:rPr>
              <w:t>60,000</w:t>
            </w:r>
          </w:p>
        </w:tc>
        <w:tc>
          <w:tcPr>
            <w:tcW w:w="1580" w:type="dxa"/>
            <w:vAlign w:val="bottom"/>
            <w:vMerge w:val="restart"/>
          </w:tcPr>
          <w:p>
            <w:pPr>
              <w:jc w:val="right"/>
              <w:ind w:right="262"/>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jc w:val="right"/>
              <w:ind w:right="121"/>
              <w:spacing w:after="0"/>
              <w:rPr>
                <w:sz w:val="20"/>
                <w:szCs w:val="20"/>
                <w:color w:val="auto"/>
              </w:rPr>
            </w:pPr>
            <w:r>
              <w:rPr>
                <w:rFonts w:ascii="Arial" w:cs="Arial" w:eastAsia="Arial" w:hAnsi="Arial"/>
                <w:sz w:val="16"/>
                <w:szCs w:val="16"/>
                <w:color w:val="auto"/>
              </w:rPr>
              <w:t>43,992</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459,690</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340" w:type="dxa"/>
            <w:vAlign w:val="bottom"/>
            <w:vMerge w:val="restart"/>
          </w:tcPr>
          <w:p>
            <w:pPr>
              <w:ind w:left="20"/>
              <w:spacing w:after="0"/>
              <w:rPr>
                <w:sz w:val="20"/>
                <w:szCs w:val="20"/>
                <w:color w:val="auto"/>
              </w:rPr>
            </w:pPr>
            <w:r>
              <w:rPr>
                <w:rFonts w:ascii="Arial" w:cs="Arial" w:eastAsia="Arial" w:hAnsi="Arial"/>
                <w:sz w:val="16"/>
                <w:szCs w:val="16"/>
                <w:b w:val="1"/>
                <w:bCs w:val="1"/>
                <w:color w:val="191769"/>
              </w:rPr>
              <w:t>Georgia M. Simpson</w:t>
            </w:r>
          </w:p>
        </w:tc>
        <w:tc>
          <w:tcPr>
            <w:tcW w:w="780" w:type="dxa"/>
            <w:vAlign w:val="bottom"/>
            <w:tcBorders>
              <w:bottom w:val="single" w:sz="8" w:color="D9D9D9"/>
            </w:tcBorders>
          </w:tcPr>
          <w:p>
            <w:pPr>
              <w:spacing w:after="0" w:line="20" w:lineRule="exact"/>
              <w:rPr>
                <w:sz w:val="1"/>
                <w:szCs w:val="1"/>
                <w:color w:val="auto"/>
              </w:rPr>
            </w:pPr>
          </w:p>
        </w:tc>
        <w:tc>
          <w:tcPr>
            <w:tcW w:w="940" w:type="dxa"/>
            <w:vAlign w:val="bottom"/>
            <w:tcBorders>
              <w:bottom w:val="single" w:sz="8" w:color="D9D9D9"/>
            </w:tcBorders>
          </w:tcPr>
          <w:p>
            <w:pPr>
              <w:spacing w:after="0" w:line="20" w:lineRule="exact"/>
              <w:rPr>
                <w:sz w:val="1"/>
                <w:szCs w:val="1"/>
                <w:color w:val="auto"/>
              </w:rPr>
            </w:pPr>
          </w:p>
        </w:tc>
        <w:tc>
          <w:tcPr>
            <w:tcW w:w="1020" w:type="dxa"/>
            <w:vAlign w:val="bottom"/>
            <w:tcBorders>
              <w:bottom w:val="single" w:sz="8" w:color="D9D9D9"/>
            </w:tcBorders>
          </w:tcPr>
          <w:p>
            <w:pPr>
              <w:spacing w:after="0" w:line="20" w:lineRule="exact"/>
              <w:rPr>
                <w:sz w:val="1"/>
                <w:szCs w:val="1"/>
                <w:color w:val="auto"/>
              </w:rPr>
            </w:pPr>
          </w:p>
        </w:tc>
        <w:tc>
          <w:tcPr>
            <w:tcW w:w="1200" w:type="dxa"/>
            <w:vAlign w:val="bottom"/>
            <w:tcBorders>
              <w:bottom w:val="single" w:sz="8" w:color="D9D9D9"/>
            </w:tcBorders>
          </w:tcPr>
          <w:p>
            <w:pPr>
              <w:spacing w:after="0" w:line="20" w:lineRule="exact"/>
              <w:rPr>
                <w:sz w:val="1"/>
                <w:szCs w:val="1"/>
                <w:color w:val="auto"/>
              </w:rPr>
            </w:pPr>
          </w:p>
        </w:tc>
        <w:tc>
          <w:tcPr>
            <w:tcW w:w="1580" w:type="dxa"/>
            <w:vAlign w:val="bottom"/>
            <w:tcBorders>
              <w:bottom w:val="single" w:sz="8" w:color="D9D9D9"/>
            </w:tcBorders>
          </w:tcPr>
          <w:p>
            <w:pPr>
              <w:spacing w:after="0" w:line="20" w:lineRule="exact"/>
              <w:rPr>
                <w:sz w:val="1"/>
                <w:szCs w:val="1"/>
                <w:color w:val="auto"/>
              </w:rPr>
            </w:pPr>
          </w:p>
        </w:tc>
        <w:tc>
          <w:tcPr>
            <w:tcW w:w="1440" w:type="dxa"/>
            <w:vAlign w:val="bottom"/>
            <w:tcBorders>
              <w:bottom w:val="single" w:sz="8" w:color="D9D9D9"/>
            </w:tcBorders>
          </w:tcPr>
          <w:p>
            <w:pPr>
              <w:spacing w:after="0" w:line="20" w:lineRule="exact"/>
              <w:rPr>
                <w:sz w:val="1"/>
                <w:szCs w:val="1"/>
                <w:color w:val="auto"/>
              </w:rPr>
            </w:pPr>
          </w:p>
        </w:tc>
        <w:tc>
          <w:tcPr>
            <w:tcW w:w="940" w:type="dxa"/>
            <w:vAlign w:val="bottom"/>
            <w:tcBorders>
              <w:bottom w:val="single" w:sz="8" w:color="D9D9D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3340" w:type="dxa"/>
            <w:vAlign w:val="bottom"/>
            <w:vMerge w:val="continue"/>
          </w:tcPr>
          <w:p>
            <w:pPr>
              <w:spacing w:after="0"/>
              <w:rPr>
                <w:sz w:val="16"/>
                <w:szCs w:val="16"/>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2025</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318,210</w:t>
            </w:r>
          </w:p>
        </w:tc>
        <w:tc>
          <w:tcPr>
            <w:tcW w:w="1020" w:type="dxa"/>
            <w:vAlign w:val="bottom"/>
          </w:tcPr>
          <w:p>
            <w:pPr>
              <w:spacing w:after="0"/>
              <w:rPr>
                <w:sz w:val="16"/>
                <w:szCs w:val="16"/>
                <w:color w:val="auto"/>
              </w:rPr>
            </w:pPr>
          </w:p>
        </w:tc>
        <w:tc>
          <w:tcPr>
            <w:tcW w:w="1200" w:type="dxa"/>
            <w:vAlign w:val="bottom"/>
          </w:tcPr>
          <w:p>
            <w:pPr>
              <w:jc w:val="right"/>
              <w:ind w:right="241"/>
              <w:spacing w:after="0"/>
              <w:rPr>
                <w:sz w:val="20"/>
                <w:szCs w:val="20"/>
                <w:color w:val="auto"/>
              </w:rPr>
            </w:pPr>
            <w:r>
              <w:rPr>
                <w:rFonts w:ascii="Arial" w:cs="Arial" w:eastAsia="Arial" w:hAnsi="Arial"/>
                <w:sz w:val="16"/>
                <w:szCs w:val="16"/>
                <w:color w:val="auto"/>
              </w:rPr>
              <w:t>72,000</w:t>
            </w:r>
          </w:p>
        </w:tc>
        <w:tc>
          <w:tcPr>
            <w:tcW w:w="1580" w:type="dxa"/>
            <w:vAlign w:val="bottom"/>
          </w:tcPr>
          <w:p>
            <w:pPr>
              <w:jc w:val="right"/>
              <w:ind w:right="262"/>
              <w:spacing w:after="0"/>
              <w:rPr>
                <w:sz w:val="20"/>
                <w:szCs w:val="20"/>
                <w:color w:val="auto"/>
              </w:rPr>
            </w:pPr>
            <w:r>
              <w:rPr>
                <w:rFonts w:ascii="Arial" w:cs="Arial" w:eastAsia="Arial" w:hAnsi="Arial"/>
                <w:sz w:val="16"/>
                <w:szCs w:val="16"/>
                <w:color w:val="auto"/>
              </w:rPr>
              <w:t>52,696</w:t>
            </w:r>
          </w:p>
        </w:tc>
        <w:tc>
          <w:tcPr>
            <w:tcW w:w="1440" w:type="dxa"/>
            <w:vAlign w:val="bottom"/>
          </w:tcPr>
          <w:p>
            <w:pPr>
              <w:jc w:val="right"/>
              <w:ind w:right="121"/>
              <w:spacing w:after="0"/>
              <w:rPr>
                <w:sz w:val="20"/>
                <w:szCs w:val="20"/>
                <w:color w:val="auto"/>
              </w:rPr>
            </w:pPr>
            <w:r>
              <w:rPr>
                <w:rFonts w:ascii="Arial" w:cs="Arial" w:eastAsia="Arial" w:hAnsi="Arial"/>
                <w:sz w:val="16"/>
                <w:szCs w:val="16"/>
                <w:color w:val="auto"/>
              </w:rPr>
              <w:t>24,682</w:t>
            </w:r>
          </w:p>
        </w:tc>
        <w:tc>
          <w:tcPr>
            <w:tcW w:w="940" w:type="dxa"/>
            <w:vAlign w:val="bottom"/>
          </w:tcPr>
          <w:p>
            <w:pPr>
              <w:jc w:val="right"/>
              <w:spacing w:after="0"/>
              <w:rPr>
                <w:sz w:val="20"/>
                <w:szCs w:val="20"/>
                <w:color w:val="auto"/>
              </w:rPr>
            </w:pPr>
            <w:r>
              <w:rPr>
                <w:rFonts w:ascii="Arial" w:cs="Arial" w:eastAsia="Arial" w:hAnsi="Arial"/>
                <w:sz w:val="16"/>
                <w:szCs w:val="16"/>
                <w:color w:val="auto"/>
              </w:rPr>
              <w:t>467,588</w:t>
            </w:r>
          </w:p>
        </w:tc>
        <w:tc>
          <w:tcPr>
            <w:tcW w:w="0" w:type="dxa"/>
            <w:vAlign w:val="bottom"/>
          </w:tcPr>
          <w:p>
            <w:pPr>
              <w:spacing w:after="0"/>
              <w:rPr>
                <w:sz w:val="1"/>
                <w:szCs w:val="1"/>
                <w:color w:val="auto"/>
              </w:rPr>
            </w:pPr>
          </w:p>
        </w:tc>
      </w:tr>
      <w:tr>
        <w:trPr>
          <w:trHeight w:val="54"/>
        </w:trPr>
        <w:tc>
          <w:tcPr>
            <w:tcW w:w="3340" w:type="dxa"/>
            <w:vAlign w:val="bottom"/>
            <w:vMerge w:val="restart"/>
          </w:tcPr>
          <w:p>
            <w:pPr>
              <w:ind w:left="20"/>
              <w:spacing w:after="0"/>
              <w:rPr>
                <w:sz w:val="20"/>
                <w:szCs w:val="20"/>
                <w:color w:val="auto"/>
              </w:rPr>
            </w:pPr>
            <w:r>
              <w:rPr>
                <w:rFonts w:ascii="Arial" w:cs="Arial" w:eastAsia="Arial" w:hAnsi="Arial"/>
                <w:sz w:val="16"/>
                <w:szCs w:val="16"/>
                <w:color w:val="auto"/>
              </w:rPr>
              <w:t>Vice President, Information Technology and</w:t>
            </w:r>
          </w:p>
        </w:tc>
        <w:tc>
          <w:tcPr>
            <w:tcW w:w="780" w:type="dxa"/>
            <w:vAlign w:val="bottom"/>
            <w:tcBorders>
              <w:bottom w:val="single" w:sz="8" w:color="D9D9D9"/>
            </w:tcBorders>
          </w:tcPr>
          <w:p>
            <w:pPr>
              <w:spacing w:after="0"/>
              <w:rPr>
                <w:sz w:val="4"/>
                <w:szCs w:val="4"/>
                <w:color w:val="auto"/>
              </w:rPr>
            </w:pPr>
          </w:p>
        </w:tc>
        <w:tc>
          <w:tcPr>
            <w:tcW w:w="940" w:type="dxa"/>
            <w:vAlign w:val="bottom"/>
            <w:tcBorders>
              <w:bottom w:val="single" w:sz="8" w:color="D9D9D9"/>
            </w:tcBorders>
          </w:tcPr>
          <w:p>
            <w:pPr>
              <w:spacing w:after="0"/>
              <w:rPr>
                <w:sz w:val="4"/>
                <w:szCs w:val="4"/>
                <w:color w:val="auto"/>
              </w:rPr>
            </w:pPr>
          </w:p>
        </w:tc>
        <w:tc>
          <w:tcPr>
            <w:tcW w:w="1020" w:type="dxa"/>
            <w:vAlign w:val="bottom"/>
            <w:tcBorders>
              <w:bottom w:val="single" w:sz="8" w:color="D9D9D9"/>
            </w:tcBorders>
          </w:tcPr>
          <w:p>
            <w:pPr>
              <w:spacing w:after="0"/>
              <w:rPr>
                <w:sz w:val="4"/>
                <w:szCs w:val="4"/>
                <w:color w:val="auto"/>
              </w:rPr>
            </w:pPr>
          </w:p>
        </w:tc>
        <w:tc>
          <w:tcPr>
            <w:tcW w:w="1200" w:type="dxa"/>
            <w:vAlign w:val="bottom"/>
            <w:tcBorders>
              <w:bottom w:val="single" w:sz="8" w:color="D9D9D9"/>
            </w:tcBorders>
          </w:tcPr>
          <w:p>
            <w:pPr>
              <w:spacing w:after="0"/>
              <w:rPr>
                <w:sz w:val="4"/>
                <w:szCs w:val="4"/>
                <w:color w:val="auto"/>
              </w:rPr>
            </w:pPr>
          </w:p>
        </w:tc>
        <w:tc>
          <w:tcPr>
            <w:tcW w:w="1580" w:type="dxa"/>
            <w:vAlign w:val="bottom"/>
            <w:tcBorders>
              <w:bottom w:val="single" w:sz="8" w:color="D9D9D9"/>
            </w:tcBorders>
          </w:tcPr>
          <w:p>
            <w:pPr>
              <w:spacing w:after="0"/>
              <w:rPr>
                <w:sz w:val="4"/>
                <w:szCs w:val="4"/>
                <w:color w:val="auto"/>
              </w:rPr>
            </w:pPr>
          </w:p>
        </w:tc>
        <w:tc>
          <w:tcPr>
            <w:tcW w:w="1440" w:type="dxa"/>
            <w:vAlign w:val="bottom"/>
            <w:tcBorders>
              <w:bottom w:val="single" w:sz="8" w:color="D9D9D9"/>
            </w:tcBorders>
          </w:tcPr>
          <w:p>
            <w:pPr>
              <w:spacing w:after="0"/>
              <w:rPr>
                <w:sz w:val="4"/>
                <w:szCs w:val="4"/>
                <w:color w:val="auto"/>
              </w:rPr>
            </w:pPr>
          </w:p>
        </w:tc>
        <w:tc>
          <w:tcPr>
            <w:tcW w:w="940" w:type="dxa"/>
            <w:vAlign w:val="bottom"/>
            <w:tcBorders>
              <w:bottom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3340" w:type="dxa"/>
            <w:vAlign w:val="bottom"/>
            <w:vMerge w:val="continue"/>
          </w:tcPr>
          <w:p>
            <w:pPr>
              <w:spacing w:after="0"/>
              <w:rPr>
                <w:sz w:val="10"/>
                <w:szCs w:val="10"/>
                <w:color w:val="auto"/>
              </w:rPr>
            </w:pPr>
          </w:p>
        </w:tc>
        <w:tc>
          <w:tcPr>
            <w:tcW w:w="780" w:type="dxa"/>
            <w:vAlign w:val="bottom"/>
            <w:vMerge w:val="restart"/>
          </w:tcPr>
          <w:p>
            <w:pPr>
              <w:jc w:val="right"/>
              <w:ind w:right="199"/>
              <w:spacing w:after="0"/>
              <w:rPr>
                <w:sz w:val="20"/>
                <w:szCs w:val="20"/>
                <w:color w:val="auto"/>
              </w:rPr>
            </w:pPr>
            <w:r>
              <w:rPr>
                <w:rFonts w:ascii="Arial" w:cs="Arial" w:eastAsia="Arial" w:hAnsi="Arial"/>
                <w:sz w:val="16"/>
                <w:szCs w:val="16"/>
                <w:color w:val="auto"/>
              </w:rPr>
              <w:t>2024</w:t>
            </w:r>
          </w:p>
        </w:tc>
        <w:tc>
          <w:tcPr>
            <w:tcW w:w="940" w:type="dxa"/>
            <w:vAlign w:val="bottom"/>
            <w:vMerge w:val="restart"/>
          </w:tcPr>
          <w:p>
            <w:pPr>
              <w:jc w:val="right"/>
              <w:ind w:right="80"/>
              <w:spacing w:after="0"/>
              <w:rPr>
                <w:sz w:val="20"/>
                <w:szCs w:val="20"/>
                <w:color w:val="auto"/>
              </w:rPr>
            </w:pPr>
            <w:r>
              <w:rPr>
                <w:rFonts w:ascii="Arial" w:cs="Arial" w:eastAsia="Arial" w:hAnsi="Arial"/>
                <w:sz w:val="16"/>
                <w:szCs w:val="16"/>
                <w:color w:val="auto"/>
              </w:rPr>
              <w:t>303,185</w:t>
            </w:r>
          </w:p>
        </w:tc>
        <w:tc>
          <w:tcPr>
            <w:tcW w:w="1020" w:type="dxa"/>
            <w:vAlign w:val="bottom"/>
            <w:vMerge w:val="restart"/>
          </w:tcPr>
          <w:p>
            <w:pPr>
              <w:jc w:val="right"/>
              <w:ind w:right="204"/>
              <w:spacing w:after="0"/>
              <w:rPr>
                <w:sz w:val="20"/>
                <w:szCs w:val="20"/>
                <w:color w:val="auto"/>
              </w:rPr>
            </w:pPr>
            <w:r>
              <w:rPr>
                <w:rFonts w:ascii="Arial" w:cs="Arial" w:eastAsia="Arial" w:hAnsi="Arial"/>
                <w:sz w:val="16"/>
                <w:szCs w:val="16"/>
                <w:color w:val="auto"/>
              </w:rPr>
              <w:t>11,768</w:t>
            </w:r>
          </w:p>
        </w:tc>
        <w:tc>
          <w:tcPr>
            <w:tcW w:w="1200" w:type="dxa"/>
            <w:vAlign w:val="bottom"/>
            <w:vMerge w:val="restart"/>
          </w:tcPr>
          <w:p>
            <w:pPr>
              <w:jc w:val="right"/>
              <w:ind w:right="241"/>
              <w:spacing w:after="0"/>
              <w:rPr>
                <w:sz w:val="20"/>
                <w:szCs w:val="20"/>
                <w:color w:val="auto"/>
              </w:rPr>
            </w:pPr>
            <w:r>
              <w:rPr>
                <w:rFonts w:ascii="Arial" w:cs="Arial" w:eastAsia="Arial" w:hAnsi="Arial"/>
                <w:sz w:val="16"/>
                <w:szCs w:val="16"/>
                <w:color w:val="auto"/>
              </w:rPr>
              <w:t>50,256</w:t>
            </w:r>
          </w:p>
        </w:tc>
        <w:tc>
          <w:tcPr>
            <w:tcW w:w="1580" w:type="dxa"/>
            <w:vAlign w:val="bottom"/>
            <w:vMerge w:val="restart"/>
          </w:tcPr>
          <w:p>
            <w:pPr>
              <w:jc w:val="right"/>
              <w:ind w:right="262"/>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jc w:val="right"/>
              <w:ind w:right="121"/>
              <w:spacing w:after="0"/>
              <w:rPr>
                <w:sz w:val="20"/>
                <w:szCs w:val="20"/>
                <w:color w:val="auto"/>
              </w:rPr>
            </w:pPr>
            <w:r>
              <w:rPr>
                <w:rFonts w:ascii="Arial" w:cs="Arial" w:eastAsia="Arial" w:hAnsi="Arial"/>
                <w:sz w:val="16"/>
                <w:szCs w:val="16"/>
                <w:color w:val="auto"/>
              </w:rPr>
              <w:t>20,720</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385,929</w:t>
            </w:r>
          </w:p>
        </w:tc>
        <w:tc>
          <w:tcPr>
            <w:tcW w:w="0" w:type="dxa"/>
            <w:vAlign w:val="bottom"/>
          </w:tcPr>
          <w:p>
            <w:pPr>
              <w:spacing w:after="0"/>
              <w:rPr>
                <w:sz w:val="1"/>
                <w:szCs w:val="1"/>
                <w:color w:val="auto"/>
              </w:rPr>
            </w:pPr>
          </w:p>
        </w:tc>
      </w:tr>
      <w:tr>
        <w:trPr>
          <w:trHeight w:val="93"/>
        </w:trPr>
        <w:tc>
          <w:tcPr>
            <w:tcW w:w="3340" w:type="dxa"/>
            <w:vAlign w:val="bottom"/>
            <w:vMerge w:val="restart"/>
          </w:tcPr>
          <w:p>
            <w:pPr>
              <w:ind w:left="20"/>
              <w:spacing w:after="0"/>
              <w:rPr>
                <w:sz w:val="20"/>
                <w:szCs w:val="20"/>
                <w:color w:val="auto"/>
              </w:rPr>
            </w:pPr>
            <w:r>
              <w:rPr>
                <w:rFonts w:ascii="Arial" w:cs="Arial" w:eastAsia="Arial" w:hAnsi="Arial"/>
                <w:sz w:val="16"/>
                <w:szCs w:val="16"/>
                <w:color w:val="auto"/>
              </w:rPr>
              <w:t>Chief Technology Officer</w:t>
            </w:r>
          </w:p>
        </w:tc>
        <w:tc>
          <w:tcPr>
            <w:tcW w:w="7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340" w:type="dxa"/>
            <w:vAlign w:val="bottom"/>
            <w:vMerge w:val="continue"/>
          </w:tcPr>
          <w:p>
            <w:pPr>
              <w:spacing w:after="0" w:line="20" w:lineRule="exact"/>
              <w:rPr>
                <w:sz w:val="1"/>
                <w:szCs w:val="1"/>
                <w:color w:val="auto"/>
              </w:rPr>
            </w:pPr>
          </w:p>
        </w:tc>
        <w:tc>
          <w:tcPr>
            <w:tcW w:w="780" w:type="dxa"/>
            <w:vAlign w:val="bottom"/>
            <w:tcBorders>
              <w:bottom w:val="single" w:sz="8" w:color="D9D9D9"/>
            </w:tcBorders>
          </w:tcPr>
          <w:p>
            <w:pPr>
              <w:spacing w:after="0" w:line="20" w:lineRule="exact"/>
              <w:rPr>
                <w:sz w:val="1"/>
                <w:szCs w:val="1"/>
                <w:color w:val="auto"/>
              </w:rPr>
            </w:pPr>
          </w:p>
        </w:tc>
        <w:tc>
          <w:tcPr>
            <w:tcW w:w="940" w:type="dxa"/>
            <w:vAlign w:val="bottom"/>
            <w:tcBorders>
              <w:bottom w:val="single" w:sz="8" w:color="D9D9D9"/>
            </w:tcBorders>
          </w:tcPr>
          <w:p>
            <w:pPr>
              <w:spacing w:after="0" w:line="20" w:lineRule="exact"/>
              <w:rPr>
                <w:sz w:val="1"/>
                <w:szCs w:val="1"/>
                <w:color w:val="auto"/>
              </w:rPr>
            </w:pPr>
          </w:p>
        </w:tc>
        <w:tc>
          <w:tcPr>
            <w:tcW w:w="1020" w:type="dxa"/>
            <w:vAlign w:val="bottom"/>
            <w:tcBorders>
              <w:bottom w:val="single" w:sz="8" w:color="D9D9D9"/>
            </w:tcBorders>
          </w:tcPr>
          <w:p>
            <w:pPr>
              <w:spacing w:after="0" w:line="20" w:lineRule="exact"/>
              <w:rPr>
                <w:sz w:val="1"/>
                <w:szCs w:val="1"/>
                <w:color w:val="auto"/>
              </w:rPr>
            </w:pPr>
          </w:p>
        </w:tc>
        <w:tc>
          <w:tcPr>
            <w:tcW w:w="1200" w:type="dxa"/>
            <w:vAlign w:val="bottom"/>
            <w:tcBorders>
              <w:bottom w:val="single" w:sz="8" w:color="D9D9D9"/>
            </w:tcBorders>
          </w:tcPr>
          <w:p>
            <w:pPr>
              <w:spacing w:after="0" w:line="20" w:lineRule="exact"/>
              <w:rPr>
                <w:sz w:val="1"/>
                <w:szCs w:val="1"/>
                <w:color w:val="auto"/>
              </w:rPr>
            </w:pPr>
          </w:p>
        </w:tc>
        <w:tc>
          <w:tcPr>
            <w:tcW w:w="1580" w:type="dxa"/>
            <w:vAlign w:val="bottom"/>
            <w:tcBorders>
              <w:bottom w:val="single" w:sz="8" w:color="D9D9D9"/>
            </w:tcBorders>
          </w:tcPr>
          <w:p>
            <w:pPr>
              <w:spacing w:after="0" w:line="20" w:lineRule="exact"/>
              <w:rPr>
                <w:sz w:val="1"/>
                <w:szCs w:val="1"/>
                <w:color w:val="auto"/>
              </w:rPr>
            </w:pPr>
          </w:p>
        </w:tc>
        <w:tc>
          <w:tcPr>
            <w:tcW w:w="1440" w:type="dxa"/>
            <w:vAlign w:val="bottom"/>
            <w:tcBorders>
              <w:bottom w:val="single" w:sz="8" w:color="D9D9D9"/>
            </w:tcBorders>
          </w:tcPr>
          <w:p>
            <w:pPr>
              <w:spacing w:after="0" w:line="20" w:lineRule="exact"/>
              <w:rPr>
                <w:sz w:val="1"/>
                <w:szCs w:val="1"/>
                <w:color w:val="auto"/>
              </w:rPr>
            </w:pPr>
          </w:p>
        </w:tc>
        <w:tc>
          <w:tcPr>
            <w:tcW w:w="940" w:type="dxa"/>
            <w:vAlign w:val="bottom"/>
            <w:tcBorders>
              <w:bottom w:val="single" w:sz="8" w:color="D9D9D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
        </w:trPr>
        <w:tc>
          <w:tcPr>
            <w:tcW w:w="3340" w:type="dxa"/>
            <w:vAlign w:val="bottom"/>
            <w:vMerge w:val="continue"/>
          </w:tcPr>
          <w:p>
            <w:pPr>
              <w:spacing w:after="0"/>
              <w:rPr>
                <w:sz w:val="7"/>
                <w:szCs w:val="7"/>
                <w:color w:val="auto"/>
              </w:rPr>
            </w:pPr>
          </w:p>
        </w:tc>
        <w:tc>
          <w:tcPr>
            <w:tcW w:w="780" w:type="dxa"/>
            <w:vAlign w:val="bottom"/>
            <w:vMerge w:val="restart"/>
          </w:tcPr>
          <w:p>
            <w:pPr>
              <w:jc w:val="right"/>
              <w:ind w:right="199"/>
              <w:spacing w:after="0"/>
              <w:rPr>
                <w:sz w:val="20"/>
                <w:szCs w:val="20"/>
                <w:color w:val="auto"/>
              </w:rPr>
            </w:pPr>
            <w:r>
              <w:rPr>
                <w:rFonts w:ascii="Arial" w:cs="Arial" w:eastAsia="Arial" w:hAnsi="Arial"/>
                <w:sz w:val="16"/>
                <w:szCs w:val="16"/>
                <w:color w:val="auto"/>
              </w:rPr>
              <w:t>2023</w:t>
            </w:r>
          </w:p>
        </w:tc>
        <w:tc>
          <w:tcPr>
            <w:tcW w:w="940" w:type="dxa"/>
            <w:vAlign w:val="bottom"/>
            <w:vMerge w:val="restart"/>
          </w:tcPr>
          <w:p>
            <w:pPr>
              <w:jc w:val="right"/>
              <w:ind w:right="80"/>
              <w:spacing w:after="0"/>
              <w:rPr>
                <w:sz w:val="20"/>
                <w:szCs w:val="20"/>
                <w:color w:val="auto"/>
              </w:rPr>
            </w:pPr>
            <w:r>
              <w:rPr>
                <w:rFonts w:ascii="Arial" w:cs="Arial" w:eastAsia="Arial" w:hAnsi="Arial"/>
                <w:sz w:val="16"/>
                <w:szCs w:val="16"/>
                <w:color w:val="auto"/>
              </w:rPr>
              <w:t>292,197</w:t>
            </w:r>
          </w:p>
        </w:tc>
        <w:tc>
          <w:tcPr>
            <w:tcW w:w="1020" w:type="dxa"/>
            <w:vAlign w:val="bottom"/>
            <w:vMerge w:val="restart"/>
          </w:tcPr>
          <w:p>
            <w:pPr>
              <w:jc w:val="right"/>
              <w:ind w:right="204"/>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41"/>
              <w:spacing w:after="0"/>
              <w:rPr>
                <w:sz w:val="20"/>
                <w:szCs w:val="20"/>
                <w:color w:val="auto"/>
              </w:rPr>
            </w:pPr>
            <w:r>
              <w:rPr>
                <w:rFonts w:ascii="Arial" w:cs="Arial" w:eastAsia="Arial" w:hAnsi="Arial"/>
                <w:sz w:val="16"/>
                <w:szCs w:val="16"/>
                <w:color w:val="auto"/>
              </w:rPr>
              <w:t>60,000</w:t>
            </w:r>
          </w:p>
        </w:tc>
        <w:tc>
          <w:tcPr>
            <w:tcW w:w="1580" w:type="dxa"/>
            <w:vAlign w:val="bottom"/>
            <w:vMerge w:val="restart"/>
          </w:tcPr>
          <w:p>
            <w:pPr>
              <w:jc w:val="right"/>
              <w:ind w:right="262"/>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jc w:val="right"/>
              <w:ind w:right="121"/>
              <w:spacing w:after="0"/>
              <w:rPr>
                <w:sz w:val="20"/>
                <w:szCs w:val="20"/>
                <w:color w:val="auto"/>
              </w:rPr>
            </w:pPr>
            <w:r>
              <w:rPr>
                <w:rFonts w:ascii="Arial" w:cs="Arial" w:eastAsia="Arial" w:hAnsi="Arial"/>
                <w:sz w:val="16"/>
                <w:szCs w:val="16"/>
                <w:color w:val="auto"/>
              </w:rPr>
              <w:t>33,367</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385,564</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340" w:type="dxa"/>
            <w:vAlign w:val="bottom"/>
            <w:tcBorders>
              <w:bottom w:val="single" w:sz="8" w:color="00AEEF"/>
            </w:tcBorders>
          </w:tcPr>
          <w:p>
            <w:pPr>
              <w:spacing w:after="0" w:line="20" w:lineRule="exact"/>
              <w:rPr>
                <w:sz w:val="1"/>
                <w:szCs w:val="1"/>
                <w:color w:val="auto"/>
              </w:rPr>
            </w:pPr>
          </w:p>
        </w:tc>
        <w:tc>
          <w:tcPr>
            <w:tcW w:w="780" w:type="dxa"/>
            <w:vAlign w:val="bottom"/>
            <w:tcBorders>
              <w:bottom w:val="single" w:sz="8" w:color="00AEEF"/>
            </w:tcBorders>
          </w:tcPr>
          <w:p>
            <w:pPr>
              <w:spacing w:after="0" w:line="20" w:lineRule="exact"/>
              <w:rPr>
                <w:sz w:val="1"/>
                <w:szCs w:val="1"/>
                <w:color w:val="auto"/>
              </w:rPr>
            </w:pPr>
          </w:p>
        </w:tc>
        <w:tc>
          <w:tcPr>
            <w:tcW w:w="940" w:type="dxa"/>
            <w:vAlign w:val="bottom"/>
            <w:tcBorders>
              <w:bottom w:val="single" w:sz="8" w:color="00AEEF"/>
            </w:tcBorders>
          </w:tcPr>
          <w:p>
            <w:pPr>
              <w:spacing w:after="0" w:line="20" w:lineRule="exact"/>
              <w:rPr>
                <w:sz w:val="1"/>
                <w:szCs w:val="1"/>
                <w:color w:val="auto"/>
              </w:rPr>
            </w:pPr>
          </w:p>
        </w:tc>
        <w:tc>
          <w:tcPr>
            <w:tcW w:w="1020" w:type="dxa"/>
            <w:vAlign w:val="bottom"/>
            <w:tcBorders>
              <w:bottom w:val="single" w:sz="8" w:color="00AEEF"/>
            </w:tcBorders>
          </w:tcPr>
          <w:p>
            <w:pPr>
              <w:spacing w:after="0" w:line="20" w:lineRule="exact"/>
              <w:rPr>
                <w:sz w:val="1"/>
                <w:szCs w:val="1"/>
                <w:color w:val="auto"/>
              </w:rPr>
            </w:pPr>
          </w:p>
        </w:tc>
        <w:tc>
          <w:tcPr>
            <w:tcW w:w="1200" w:type="dxa"/>
            <w:vAlign w:val="bottom"/>
            <w:tcBorders>
              <w:bottom w:val="single" w:sz="8" w:color="00AEEF"/>
            </w:tcBorders>
          </w:tcPr>
          <w:p>
            <w:pPr>
              <w:spacing w:after="0" w:line="20" w:lineRule="exact"/>
              <w:rPr>
                <w:sz w:val="1"/>
                <w:szCs w:val="1"/>
                <w:color w:val="auto"/>
              </w:rPr>
            </w:pPr>
          </w:p>
        </w:tc>
        <w:tc>
          <w:tcPr>
            <w:tcW w:w="1580" w:type="dxa"/>
            <w:vAlign w:val="bottom"/>
            <w:tcBorders>
              <w:bottom w:val="single" w:sz="8" w:color="00AEEF"/>
            </w:tcBorders>
          </w:tcPr>
          <w:p>
            <w:pPr>
              <w:spacing w:after="0" w:line="20" w:lineRule="exact"/>
              <w:rPr>
                <w:sz w:val="1"/>
                <w:szCs w:val="1"/>
                <w:color w:val="auto"/>
              </w:rPr>
            </w:pPr>
          </w:p>
        </w:tc>
        <w:tc>
          <w:tcPr>
            <w:tcW w:w="1440" w:type="dxa"/>
            <w:vAlign w:val="bottom"/>
            <w:tcBorders>
              <w:bottom w:val="single" w:sz="8" w:color="00AEEF"/>
            </w:tcBorders>
          </w:tcPr>
          <w:p>
            <w:pPr>
              <w:spacing w:after="0" w:line="20" w:lineRule="exact"/>
              <w:rPr>
                <w:sz w:val="1"/>
                <w:szCs w:val="1"/>
                <w:color w:val="auto"/>
              </w:rPr>
            </w:pPr>
          </w:p>
        </w:tc>
        <w:tc>
          <w:tcPr>
            <w:tcW w:w="940" w:type="dxa"/>
            <w:vAlign w:val="bottom"/>
            <w:tcBorders>
              <w:bottom w:val="single" w:sz="8" w:color="00AEE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42" w:right="460" w:hanging="242"/>
        <w:spacing w:after="0" w:line="233" w:lineRule="auto"/>
        <w:tabs>
          <w:tab w:leader="none" w:pos="257" w:val="left"/>
        </w:tabs>
        <w:numPr>
          <w:ilvl w:val="0"/>
          <w:numId w:val="69"/>
        </w:numPr>
        <w:rPr>
          <w:rFonts w:ascii="Arial" w:cs="Arial" w:eastAsia="Arial" w:hAnsi="Arial"/>
          <w:sz w:val="17"/>
          <w:szCs w:val="17"/>
          <w:color w:val="auto"/>
          <w:vertAlign w:val="superscript"/>
        </w:rPr>
      </w:pPr>
      <w:r>
        <w:rPr>
          <w:rFonts w:ascii="Arial" w:cs="Arial" w:eastAsia="Arial" w:hAnsi="Arial"/>
          <w:sz w:val="13"/>
          <w:szCs w:val="13"/>
          <w:color w:val="auto"/>
        </w:rPr>
        <w:t>In recognition of the outstanding contributions in 2024 to the development of the company’s MWC 2030 vision, Mr. Zerhouni, Mr. Kooper, Ms. Simpson and Mr. Fullagar received a discretionary special cash bonus. Mr. Zerhouni cash bonus includes also a sign-on bonus of $60,000 for loss of previous employer equity awards. Ms. Leslie received a cash bonus in accordance with the short term incentive provision in her employment agreement.</w:t>
      </w:r>
    </w:p>
    <w:p>
      <w:pPr>
        <w:spacing w:after="0" w:line="49" w:lineRule="exact"/>
        <w:rPr>
          <w:rFonts w:ascii="Arial" w:cs="Arial" w:eastAsia="Arial" w:hAnsi="Arial"/>
          <w:sz w:val="17"/>
          <w:szCs w:val="17"/>
          <w:color w:val="auto"/>
          <w:vertAlign w:val="superscript"/>
        </w:rPr>
      </w:pPr>
    </w:p>
    <w:p>
      <w:pPr>
        <w:ind w:left="242" w:right="80" w:hanging="242"/>
        <w:spacing w:after="0" w:line="269" w:lineRule="auto"/>
        <w:tabs>
          <w:tab w:leader="none" w:pos="257" w:val="left"/>
        </w:tabs>
        <w:numPr>
          <w:ilvl w:val="0"/>
          <w:numId w:val="69"/>
        </w:numPr>
        <w:rPr>
          <w:rFonts w:ascii="Arial" w:cs="Arial" w:eastAsia="Arial" w:hAnsi="Arial"/>
          <w:sz w:val="9"/>
          <w:szCs w:val="9"/>
          <w:color w:val="auto"/>
        </w:rPr>
      </w:pPr>
      <w:r>
        <w:rPr>
          <w:rFonts w:ascii="Arial" w:cs="Arial" w:eastAsia="Arial" w:hAnsi="Arial"/>
          <w:sz w:val="13"/>
          <w:szCs w:val="13"/>
          <w:color w:val="auto"/>
        </w:rPr>
        <w:t>Reflects the value of Restricted Stock Plan awards in the applicable year. These awards generally do not vest to the participants until the expiration of three or five years from the date of such award. During such three- or five-year period, the participants have contingent ownership of such shares, including the right to vote the same and to receive dividends thereon. Ms. Leslie stock awards include $250,000 for each year 2024 and 2025 of equity awards received and vested in accordance with her employment agreement. Mr. Zerhouni stock awards include $105,000 equity awards received and vested in 2024 in accordance with his employment agreement.</w:t>
      </w:r>
    </w:p>
    <w:p>
      <w:pPr>
        <w:spacing w:after="0" w:line="8" w:lineRule="exact"/>
        <w:rPr>
          <w:rFonts w:ascii="Arial" w:cs="Arial" w:eastAsia="Arial" w:hAnsi="Arial"/>
          <w:sz w:val="9"/>
          <w:szCs w:val="9"/>
          <w:color w:val="auto"/>
        </w:rPr>
      </w:pPr>
    </w:p>
    <w:p>
      <w:pPr>
        <w:ind w:left="262" w:hanging="262"/>
        <w:spacing w:after="0"/>
        <w:tabs>
          <w:tab w:leader="none" w:pos="262" w:val="left"/>
        </w:tabs>
        <w:numPr>
          <w:ilvl w:val="0"/>
          <w:numId w:val="69"/>
        </w:numPr>
        <w:rPr>
          <w:rFonts w:ascii="Arial" w:cs="Arial" w:eastAsia="Arial" w:hAnsi="Arial"/>
          <w:sz w:val="17"/>
          <w:szCs w:val="17"/>
          <w:color w:val="auto"/>
          <w:vertAlign w:val="superscript"/>
        </w:rPr>
      </w:pPr>
      <w:r>
        <w:rPr>
          <w:rFonts w:ascii="Arial" w:cs="Arial" w:eastAsia="Arial" w:hAnsi="Arial"/>
          <w:sz w:val="13"/>
          <w:szCs w:val="13"/>
          <w:color w:val="auto"/>
        </w:rPr>
        <w:t xml:space="preserve">Represents earned annual cash incentive compensation in respect to 2025. See </w:t>
      </w:r>
      <w:r>
        <w:rPr>
          <w:rFonts w:ascii="Arial" w:cs="Arial" w:eastAsia="Arial" w:hAnsi="Arial"/>
          <w:sz w:val="13"/>
          <w:szCs w:val="13"/>
          <w:i w:val="1"/>
          <w:iCs w:val="1"/>
          <w:color w:val="auto"/>
        </w:rPr>
        <w:t>Short-Term Incentive</w:t>
      </w:r>
      <w:r>
        <w:rPr>
          <w:rFonts w:ascii="Arial" w:cs="Arial" w:eastAsia="Arial" w:hAnsi="Arial"/>
          <w:sz w:val="13"/>
          <w:szCs w:val="13"/>
          <w:color w:val="auto"/>
        </w:rPr>
        <w:t xml:space="preserve"> section under the </w:t>
      </w:r>
      <w:r>
        <w:rPr>
          <w:rFonts w:ascii="Arial" w:cs="Arial" w:eastAsia="Arial" w:hAnsi="Arial"/>
          <w:sz w:val="13"/>
          <w:szCs w:val="13"/>
          <w:i w:val="1"/>
          <w:iCs w:val="1"/>
          <w:color w:val="auto"/>
        </w:rPr>
        <w:t>Compensation and Discussion Analysis</w:t>
      </w:r>
      <w:r>
        <w:rPr>
          <w:rFonts w:ascii="Arial" w:cs="Arial" w:eastAsia="Arial" w:hAnsi="Arial"/>
          <w:sz w:val="13"/>
          <w:szCs w:val="13"/>
          <w:color w:val="auto"/>
        </w:rPr>
        <w:t xml:space="preserve"> for more details</w:t>
      </w:r>
      <w:r>
        <w:rPr>
          <w:rFonts w:ascii="Arial" w:cs="Arial" w:eastAsia="Arial" w:hAnsi="Arial"/>
          <w:sz w:val="13"/>
          <w:szCs w:val="13"/>
          <w:i w:val="1"/>
          <w:iCs w:val="1"/>
          <w:color w:val="auto"/>
        </w:rPr>
        <w:t>.</w:t>
      </w:r>
    </w:p>
    <w:p>
      <w:pPr>
        <w:spacing w:after="0" w:line="50" w:lineRule="exact"/>
        <w:rPr>
          <w:rFonts w:ascii="Arial" w:cs="Arial" w:eastAsia="Arial" w:hAnsi="Arial"/>
          <w:sz w:val="17"/>
          <w:szCs w:val="17"/>
          <w:color w:val="auto"/>
          <w:vertAlign w:val="superscript"/>
        </w:rPr>
      </w:pPr>
    </w:p>
    <w:p>
      <w:pPr>
        <w:ind w:left="262" w:hanging="262"/>
        <w:spacing w:after="0" w:line="209" w:lineRule="auto"/>
        <w:tabs>
          <w:tab w:leader="none" w:pos="262" w:val="left"/>
        </w:tabs>
        <w:numPr>
          <w:ilvl w:val="0"/>
          <w:numId w:val="69"/>
        </w:numPr>
        <w:rPr>
          <w:rFonts w:ascii="Arial" w:cs="Arial" w:eastAsia="Arial" w:hAnsi="Arial"/>
          <w:sz w:val="17"/>
          <w:szCs w:val="17"/>
          <w:color w:val="auto"/>
          <w:vertAlign w:val="superscript"/>
        </w:rPr>
      </w:pPr>
      <w:r>
        <w:rPr>
          <w:rFonts w:ascii="Arial" w:cs="Arial" w:eastAsia="Arial" w:hAnsi="Arial"/>
          <w:sz w:val="13"/>
          <w:szCs w:val="13"/>
          <w:color w:val="auto"/>
        </w:rPr>
        <w:t>The detail “All Other Compensation” recognized for the benefit of the NEOs is set forth in Schedule A as supplemental information to the Summary Compensation Table.</w:t>
      </w:r>
    </w:p>
    <w:p>
      <w:pPr>
        <w:spacing w:after="0" w:line="51" w:lineRule="exact"/>
        <w:rPr>
          <w:rFonts w:ascii="Arial" w:cs="Arial" w:eastAsia="Arial" w:hAnsi="Arial"/>
          <w:sz w:val="17"/>
          <w:szCs w:val="17"/>
          <w:color w:val="auto"/>
          <w:vertAlign w:val="superscript"/>
        </w:rPr>
      </w:pPr>
    </w:p>
    <w:p>
      <w:pPr>
        <w:ind w:left="262" w:hanging="262"/>
        <w:spacing w:after="0" w:line="209" w:lineRule="auto"/>
        <w:tabs>
          <w:tab w:leader="none" w:pos="262" w:val="left"/>
        </w:tabs>
        <w:numPr>
          <w:ilvl w:val="0"/>
          <w:numId w:val="69"/>
        </w:numPr>
        <w:rPr>
          <w:rFonts w:ascii="Arial" w:cs="Arial" w:eastAsia="Arial" w:hAnsi="Arial"/>
          <w:sz w:val="17"/>
          <w:szCs w:val="17"/>
          <w:color w:val="auto"/>
          <w:vertAlign w:val="superscript"/>
        </w:rPr>
      </w:pPr>
      <w:r>
        <w:rPr>
          <w:rFonts w:ascii="Arial" w:cs="Arial" w:eastAsia="Arial" w:hAnsi="Arial"/>
          <w:sz w:val="13"/>
          <w:szCs w:val="13"/>
          <w:color w:val="auto"/>
        </w:rPr>
        <w:t>Ms. Leslie was hired on March 1, 2024.</w:t>
      </w:r>
    </w:p>
    <w:p>
      <w:pPr>
        <w:spacing w:after="0" w:line="51" w:lineRule="exact"/>
        <w:rPr>
          <w:rFonts w:ascii="Arial" w:cs="Arial" w:eastAsia="Arial" w:hAnsi="Arial"/>
          <w:sz w:val="17"/>
          <w:szCs w:val="17"/>
          <w:color w:val="auto"/>
          <w:vertAlign w:val="superscript"/>
        </w:rPr>
      </w:pPr>
    </w:p>
    <w:p>
      <w:pPr>
        <w:ind w:left="262" w:hanging="262"/>
        <w:spacing w:after="0" w:line="209" w:lineRule="auto"/>
        <w:tabs>
          <w:tab w:leader="none" w:pos="262" w:val="left"/>
        </w:tabs>
        <w:numPr>
          <w:ilvl w:val="0"/>
          <w:numId w:val="69"/>
        </w:numPr>
        <w:rPr>
          <w:rFonts w:ascii="Arial" w:cs="Arial" w:eastAsia="Arial" w:hAnsi="Arial"/>
          <w:sz w:val="17"/>
          <w:szCs w:val="17"/>
          <w:color w:val="auto"/>
          <w:vertAlign w:val="superscript"/>
        </w:rPr>
      </w:pPr>
      <w:r>
        <w:rPr>
          <w:rFonts w:ascii="Arial" w:cs="Arial" w:eastAsia="Arial" w:hAnsi="Arial"/>
          <w:sz w:val="13"/>
          <w:szCs w:val="13"/>
          <w:color w:val="auto"/>
        </w:rPr>
        <w:t>Mr. Zerhouni was hired on June 24, 2024.</w:t>
      </w:r>
    </w:p>
    <w:p>
      <w:pPr>
        <w:spacing w:after="0" w:line="51" w:lineRule="exact"/>
        <w:rPr>
          <w:rFonts w:ascii="Arial" w:cs="Arial" w:eastAsia="Arial" w:hAnsi="Arial"/>
          <w:sz w:val="17"/>
          <w:szCs w:val="17"/>
          <w:color w:val="auto"/>
          <w:vertAlign w:val="superscript"/>
        </w:rPr>
      </w:pPr>
    </w:p>
    <w:p>
      <w:pPr>
        <w:ind w:left="262" w:hanging="262"/>
        <w:spacing w:after="0"/>
        <w:tabs>
          <w:tab w:leader="none" w:pos="262" w:val="left"/>
        </w:tabs>
        <w:numPr>
          <w:ilvl w:val="0"/>
          <w:numId w:val="69"/>
        </w:numPr>
        <w:rPr>
          <w:rFonts w:ascii="Arial" w:cs="Arial" w:eastAsia="Arial" w:hAnsi="Arial"/>
          <w:sz w:val="9"/>
          <w:szCs w:val="9"/>
          <w:color w:val="auto"/>
        </w:rPr>
      </w:pPr>
      <w:r>
        <w:rPr>
          <w:rFonts w:ascii="Arial" w:cs="Arial" w:eastAsia="Arial" w:hAnsi="Arial"/>
          <w:sz w:val="13"/>
          <w:szCs w:val="13"/>
          <w:color w:val="auto"/>
        </w:rPr>
        <w:t>Mr. Sorensen was hired on December 16, 2024.</w:t>
      </w:r>
    </w:p>
    <w:p>
      <w:pPr>
        <w:spacing w:after="0" w:line="398" w:lineRule="exact"/>
        <w:rPr>
          <w:sz w:val="20"/>
          <w:szCs w:val="20"/>
          <w:color w:val="auto"/>
        </w:rPr>
      </w:pPr>
    </w:p>
    <w:tbl>
      <w:tblPr>
        <w:tblLayout w:type="fixed"/>
        <w:tblInd w:w="2" w:type="dxa"/>
        <w:tblCellMar>
          <w:top w:w="0" w:type="dxa"/>
          <w:left w:w="0" w:type="dxa"/>
          <w:bottom w:w="0" w:type="dxa"/>
          <w:right w:w="0" w:type="dxa"/>
        </w:tblCellMar>
      </w:tblPr>
      <w:tr>
        <w:trPr>
          <w:trHeight w:val="209"/>
        </w:trPr>
        <w:tc>
          <w:tcPr>
            <w:tcW w:w="10860" w:type="dxa"/>
            <w:vAlign w:val="bottom"/>
            <w:tcBorders>
              <w:right w:val="single" w:sz="8" w:color="00AEEF"/>
            </w:tcBorders>
          </w:tcPr>
          <w:p>
            <w:pPr>
              <w:ind w:left="94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51</w:t>
            </w:r>
          </w:p>
        </w:tc>
      </w:tr>
      <w:tr>
        <w:trPr>
          <w:trHeight w:val="312"/>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-27940</wp:posOffset>
            </wp:positionV>
            <wp:extent cx="33020" cy="412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2"/>
          </w:cols>
          <w:pgMar w:left="318" w:top="124" w:right="339" w:bottom="1440" w:gutter="0" w:footer="0" w:header="0"/>
        </w:sectPr>
      </w:pPr>
    </w:p>
    <w:bookmarkStart w:id="53" w:name="page54"/>
    <w:bookmarkEnd w:id="53"/>
    <w:p>
      <w:pPr>
        <w:ind w:left="2"/>
        <w:spacing w:after="0"/>
        <w:rPr>
          <w:sz w:val="20"/>
          <w:szCs w:val="20"/>
          <w:color w:val="auto"/>
        </w:rPr>
      </w:pPr>
      <w:r>
        <w:rPr>
          <w:rFonts w:ascii="Arial" w:cs="Arial" w:eastAsia="Arial" w:hAnsi="Arial"/>
          <w:sz w:val="14"/>
          <w:szCs w:val="14"/>
          <w:b w:val="1"/>
          <w:bCs w:val="1"/>
          <w:color w:val="191769"/>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
        <w:spacing w:after="0"/>
        <w:rPr>
          <w:sz w:val="20"/>
          <w:szCs w:val="20"/>
          <w:color w:val="auto"/>
        </w:rPr>
      </w:pPr>
      <w:r>
        <w:rPr>
          <w:rFonts w:ascii="Arial" w:cs="Arial" w:eastAsia="Arial" w:hAnsi="Arial"/>
          <w:sz w:val="36"/>
          <w:szCs w:val="36"/>
          <w:b w:val="1"/>
          <w:bCs w:val="1"/>
          <w:color w:val="0076A8"/>
        </w:rPr>
        <w:t>Schedule A - Summary - All Other Compensation</w:t>
      </w:r>
    </w:p>
    <w:p>
      <w:pPr>
        <w:spacing w:after="0" w:line="191"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table details all other compensation earned or accrued for the three years ended December 31, 2025, 2024 and 2023, respectively.</w:t>
      </w:r>
    </w:p>
    <w:p>
      <w:pPr>
        <w:spacing w:after="0" w:line="160" w:lineRule="exact"/>
        <w:rPr>
          <w:sz w:val="20"/>
          <w:szCs w:val="20"/>
          <w:color w:val="auto"/>
        </w:rPr>
      </w:pPr>
    </w:p>
    <w:tbl>
      <w:tblPr>
        <w:tblLayout w:type="fixed"/>
        <w:tblInd w:w="22" w:type="dxa"/>
        <w:tblCellMar>
          <w:top w:w="0" w:type="dxa"/>
          <w:left w:w="0" w:type="dxa"/>
          <w:bottom w:w="0" w:type="dxa"/>
          <w:right w:w="0" w:type="dxa"/>
        </w:tblCellMar>
      </w:tblPr>
      <w:tr>
        <w:trPr>
          <w:trHeight w:val="135"/>
        </w:trPr>
        <w:tc>
          <w:tcPr>
            <w:tcW w:w="2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tcPr>
          <w:p>
            <w:pPr>
              <w:jc w:val="right"/>
              <w:ind w:right="203"/>
              <w:spacing w:after="0"/>
              <w:rPr>
                <w:sz w:val="20"/>
                <w:szCs w:val="20"/>
                <w:color w:val="auto"/>
              </w:rPr>
            </w:pPr>
            <w:r>
              <w:rPr>
                <w:rFonts w:ascii="Arial" w:cs="Arial" w:eastAsia="Arial" w:hAnsi="Arial"/>
                <w:sz w:val="11"/>
                <w:szCs w:val="11"/>
                <w:b w:val="1"/>
                <w:bCs w:val="1"/>
                <w:color w:val="191769"/>
              </w:rPr>
              <w:t>Personal</w:t>
            </w:r>
          </w:p>
        </w:tc>
        <w:tc>
          <w:tcPr>
            <w:tcW w:w="106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191769"/>
                <w:vertAlign w:val="superscript"/>
              </w:rPr>
              <w:t>(8)</w:t>
            </w:r>
            <w:r>
              <w:rPr>
                <w:rFonts w:ascii="Arial" w:cs="Arial" w:eastAsia="Arial" w:hAnsi="Arial"/>
                <w:sz w:val="11"/>
                <w:szCs w:val="11"/>
                <w:b w:val="1"/>
                <w:bCs w:val="1"/>
                <w:color w:val="191769"/>
              </w:rPr>
              <w:t xml:space="preserve"> Group</w:t>
            </w: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tcPr>
          <w:p>
            <w:pPr>
              <w:jc w:val="right"/>
              <w:ind w:right="203"/>
              <w:spacing w:after="0"/>
              <w:rPr>
                <w:sz w:val="20"/>
                <w:szCs w:val="20"/>
                <w:color w:val="auto"/>
              </w:rPr>
            </w:pPr>
            <w:r>
              <w:rPr>
                <w:rFonts w:ascii="Arial" w:cs="Arial" w:eastAsia="Arial" w:hAnsi="Arial"/>
                <w:sz w:val="11"/>
                <w:szCs w:val="11"/>
                <w:b w:val="1"/>
                <w:bCs w:val="1"/>
                <w:color w:val="191769"/>
              </w:rPr>
              <w:t>Automobile</w:t>
            </w:r>
          </w:p>
        </w:tc>
        <w:tc>
          <w:tcPr>
            <w:tcW w:w="1060" w:type="dxa"/>
            <w:vAlign w:val="bottom"/>
            <w:vMerge w:val="continue"/>
          </w:tcPr>
          <w:p>
            <w:pPr>
              <w:spacing w:after="0"/>
              <w:rPr>
                <w:sz w:val="11"/>
                <w:szCs w:val="11"/>
                <w:color w:val="auto"/>
              </w:rPr>
            </w:pPr>
          </w:p>
        </w:tc>
        <w:tc>
          <w:tcPr>
            <w:tcW w:w="114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191769"/>
                <w:vertAlign w:val="superscript"/>
              </w:rPr>
              <w:t>(8) (9)</w:t>
            </w:r>
            <w:r>
              <w:rPr>
                <w:rFonts w:ascii="Arial" w:cs="Arial" w:eastAsia="Arial" w:hAnsi="Arial"/>
                <w:sz w:val="11"/>
                <w:szCs w:val="11"/>
                <w:b w:val="1"/>
                <w:bCs w:val="1"/>
                <w:color w:val="191769"/>
              </w:rPr>
              <w:t xml:space="preserve"> 401(K) -</w:t>
            </w:r>
          </w:p>
        </w:tc>
        <w:tc>
          <w:tcPr>
            <w:tcW w:w="1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jc w:val="right"/>
              <w:ind w:right="163"/>
              <w:spacing w:after="0"/>
              <w:rPr>
                <w:sz w:val="20"/>
                <w:szCs w:val="20"/>
                <w:color w:val="auto"/>
              </w:rPr>
            </w:pPr>
            <w:r>
              <w:rPr>
                <w:rFonts w:ascii="Arial" w:cs="Arial" w:eastAsia="Arial" w:hAnsi="Arial"/>
                <w:sz w:val="11"/>
                <w:szCs w:val="11"/>
                <w:b w:val="1"/>
                <w:bCs w:val="1"/>
                <w:color w:val="191769"/>
              </w:rPr>
              <w:t>Dividends on</w:t>
            </w:r>
          </w:p>
        </w:tc>
        <w:tc>
          <w:tcPr>
            <w:tcW w:w="1120" w:type="dxa"/>
            <w:vAlign w:val="bottom"/>
          </w:tcPr>
          <w:p>
            <w:pPr>
              <w:jc w:val="right"/>
              <w:ind w:right="203"/>
              <w:spacing w:after="0"/>
              <w:rPr>
                <w:sz w:val="20"/>
                <w:szCs w:val="20"/>
                <w:color w:val="auto"/>
              </w:rPr>
            </w:pPr>
            <w:r>
              <w:rPr>
                <w:rFonts w:ascii="Arial" w:cs="Arial" w:eastAsia="Arial" w:hAnsi="Arial"/>
                <w:sz w:val="11"/>
                <w:szCs w:val="11"/>
                <w:b w:val="1"/>
                <w:bCs w:val="1"/>
                <w:color w:val="191769"/>
              </w:rPr>
              <w:t>Use or</w:t>
            </w:r>
          </w:p>
        </w:tc>
        <w:tc>
          <w:tcPr>
            <w:tcW w:w="1060" w:type="dxa"/>
            <w:vAlign w:val="bottom"/>
          </w:tcPr>
          <w:p>
            <w:pPr>
              <w:jc w:val="right"/>
              <w:ind w:right="183"/>
              <w:spacing w:after="0"/>
              <w:rPr>
                <w:sz w:val="20"/>
                <w:szCs w:val="20"/>
                <w:color w:val="auto"/>
              </w:rPr>
            </w:pPr>
            <w:r>
              <w:rPr>
                <w:rFonts w:ascii="Arial" w:cs="Arial" w:eastAsia="Arial" w:hAnsi="Arial"/>
                <w:sz w:val="11"/>
                <w:szCs w:val="11"/>
                <w:b w:val="1"/>
                <w:bCs w:val="1"/>
                <w:color w:val="191769"/>
              </w:rPr>
              <w:t>Term Life</w:t>
            </w:r>
          </w:p>
        </w:tc>
        <w:tc>
          <w:tcPr>
            <w:tcW w:w="1140" w:type="dxa"/>
            <w:vAlign w:val="bottom"/>
            <w:vMerge w:val="continue"/>
          </w:tcPr>
          <w:p>
            <w:pPr>
              <w:spacing w:after="0"/>
              <w:rPr>
                <w:sz w:val="11"/>
                <w:szCs w:val="11"/>
                <w:color w:val="auto"/>
              </w:rPr>
            </w:pPr>
          </w:p>
        </w:tc>
        <w:tc>
          <w:tcPr>
            <w:tcW w:w="116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191769"/>
                <w:vertAlign w:val="superscript"/>
              </w:rPr>
              <w:t>(10)</w:t>
            </w:r>
            <w:r>
              <w:rPr>
                <w:rFonts w:ascii="Arial" w:cs="Arial" w:eastAsia="Arial" w:hAnsi="Arial"/>
                <w:sz w:val="11"/>
                <w:szCs w:val="11"/>
                <w:b w:val="1"/>
                <w:bCs w:val="1"/>
                <w:color w:val="191769"/>
              </w:rPr>
              <w:t xml:space="preserve"> Relocation</w:t>
            </w: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jc w:val="right"/>
              <w:ind w:right="163"/>
              <w:spacing w:after="0"/>
              <w:rPr>
                <w:sz w:val="20"/>
                <w:szCs w:val="20"/>
                <w:color w:val="auto"/>
              </w:rPr>
            </w:pPr>
            <w:r>
              <w:rPr>
                <w:rFonts w:ascii="Arial" w:cs="Arial" w:eastAsia="Arial" w:hAnsi="Arial"/>
                <w:sz w:val="11"/>
                <w:szCs w:val="11"/>
                <w:b w:val="1"/>
                <w:bCs w:val="1"/>
                <w:color w:val="191769"/>
              </w:rPr>
              <w:t>Restricted</w:t>
            </w:r>
          </w:p>
        </w:tc>
        <w:tc>
          <w:tcPr>
            <w:tcW w:w="1120" w:type="dxa"/>
            <w:vAlign w:val="bottom"/>
          </w:tcPr>
          <w:p>
            <w:pPr>
              <w:jc w:val="right"/>
              <w:ind w:right="203"/>
              <w:spacing w:after="0"/>
              <w:rPr>
                <w:sz w:val="20"/>
                <w:szCs w:val="20"/>
                <w:color w:val="auto"/>
              </w:rPr>
            </w:pPr>
            <w:r>
              <w:rPr>
                <w:rFonts w:ascii="Arial" w:cs="Arial" w:eastAsia="Arial" w:hAnsi="Arial"/>
                <w:sz w:val="11"/>
                <w:szCs w:val="11"/>
                <w:b w:val="1"/>
                <w:bCs w:val="1"/>
                <w:color w:val="191769"/>
              </w:rPr>
              <w:t>Vehicle</w:t>
            </w:r>
          </w:p>
        </w:tc>
        <w:tc>
          <w:tcPr>
            <w:tcW w:w="1060" w:type="dxa"/>
            <w:vAlign w:val="bottom"/>
          </w:tcPr>
          <w:p>
            <w:pPr>
              <w:jc w:val="right"/>
              <w:ind w:right="183"/>
              <w:spacing w:after="0"/>
              <w:rPr>
                <w:sz w:val="20"/>
                <w:szCs w:val="20"/>
                <w:color w:val="auto"/>
              </w:rPr>
            </w:pPr>
            <w:r>
              <w:rPr>
                <w:rFonts w:ascii="Arial" w:cs="Arial" w:eastAsia="Arial" w:hAnsi="Arial"/>
                <w:sz w:val="11"/>
                <w:szCs w:val="11"/>
                <w:b w:val="1"/>
                <w:bCs w:val="1"/>
                <w:color w:val="191769"/>
              </w:rPr>
              <w:t>Insurance</w:t>
            </w:r>
          </w:p>
        </w:tc>
        <w:tc>
          <w:tcPr>
            <w:tcW w:w="1140" w:type="dxa"/>
            <w:vAlign w:val="bottom"/>
          </w:tcPr>
          <w:p>
            <w:pPr>
              <w:jc w:val="right"/>
              <w:ind w:right="183"/>
              <w:spacing w:after="0"/>
              <w:rPr>
                <w:sz w:val="20"/>
                <w:szCs w:val="20"/>
                <w:color w:val="auto"/>
              </w:rPr>
            </w:pPr>
            <w:r>
              <w:rPr>
                <w:rFonts w:ascii="Arial" w:cs="Arial" w:eastAsia="Arial" w:hAnsi="Arial"/>
                <w:sz w:val="11"/>
                <w:szCs w:val="11"/>
                <w:b w:val="1"/>
                <w:bCs w:val="1"/>
                <w:color w:val="191769"/>
              </w:rPr>
              <w:t>Employer</w:t>
            </w:r>
          </w:p>
        </w:tc>
        <w:tc>
          <w:tcPr>
            <w:tcW w:w="1160" w:type="dxa"/>
            <w:vAlign w:val="bottom"/>
            <w:vMerge w:val="continue"/>
          </w:tcPr>
          <w:p>
            <w:pPr>
              <w:spacing w:after="0"/>
              <w:rPr>
                <w:sz w:val="11"/>
                <w:szCs w:val="11"/>
                <w:color w:val="auto"/>
              </w:rPr>
            </w:pPr>
          </w:p>
        </w:tc>
        <w:tc>
          <w:tcPr>
            <w:tcW w:w="860" w:type="dxa"/>
            <w:vAlign w:val="bottom"/>
          </w:tcPr>
          <w:p>
            <w:pPr>
              <w:jc w:val="right"/>
              <w:ind w:right="183"/>
              <w:spacing w:after="0"/>
              <w:rPr>
                <w:sz w:val="20"/>
                <w:szCs w:val="20"/>
                <w:color w:val="auto"/>
              </w:rPr>
            </w:pPr>
            <w:r>
              <w:rPr>
                <w:rFonts w:ascii="Arial" w:cs="Arial" w:eastAsia="Arial" w:hAnsi="Arial"/>
                <w:sz w:val="11"/>
                <w:szCs w:val="11"/>
                <w:b w:val="1"/>
                <w:bCs w:val="1"/>
                <w:color w:val="191769"/>
              </w:rPr>
              <w:t>Spouse</w:t>
            </w:r>
          </w:p>
        </w:tc>
        <w:tc>
          <w:tcPr>
            <w:tcW w:w="1100" w:type="dxa"/>
            <w:vAlign w:val="bottom"/>
          </w:tcPr>
          <w:p>
            <w:pPr>
              <w:jc w:val="right"/>
              <w:spacing w:after="0"/>
              <w:rPr>
                <w:sz w:val="20"/>
                <w:szCs w:val="20"/>
                <w:color w:val="auto"/>
              </w:rPr>
            </w:pPr>
            <w:r>
              <w:rPr>
                <w:rFonts w:ascii="Arial" w:cs="Arial" w:eastAsia="Arial" w:hAnsi="Arial"/>
                <w:sz w:val="11"/>
                <w:szCs w:val="11"/>
                <w:b w:val="1"/>
                <w:bCs w:val="1"/>
                <w:color w:val="191769"/>
              </w:rPr>
              <w:t>Total - All Other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jc w:val="right"/>
              <w:ind w:right="163"/>
              <w:spacing w:after="0"/>
              <w:rPr>
                <w:sz w:val="20"/>
                <w:szCs w:val="20"/>
                <w:color w:val="auto"/>
              </w:rPr>
            </w:pPr>
            <w:r>
              <w:rPr>
                <w:rFonts w:ascii="Arial" w:cs="Arial" w:eastAsia="Arial" w:hAnsi="Arial"/>
                <w:sz w:val="11"/>
                <w:szCs w:val="11"/>
                <w:b w:val="1"/>
                <w:bCs w:val="1"/>
                <w:color w:val="191769"/>
              </w:rPr>
              <w:t>Stock</w:t>
            </w:r>
          </w:p>
        </w:tc>
        <w:tc>
          <w:tcPr>
            <w:tcW w:w="1120" w:type="dxa"/>
            <w:vAlign w:val="bottom"/>
          </w:tcPr>
          <w:p>
            <w:pPr>
              <w:jc w:val="right"/>
              <w:ind w:right="203"/>
              <w:spacing w:after="0"/>
              <w:rPr>
                <w:sz w:val="20"/>
                <w:szCs w:val="20"/>
                <w:color w:val="auto"/>
              </w:rPr>
            </w:pPr>
            <w:r>
              <w:rPr>
                <w:rFonts w:ascii="Arial" w:cs="Arial" w:eastAsia="Arial" w:hAnsi="Arial"/>
                <w:sz w:val="11"/>
                <w:szCs w:val="11"/>
                <w:b w:val="1"/>
                <w:bCs w:val="1"/>
                <w:color w:val="191769"/>
              </w:rPr>
              <w:t>Allowance</w:t>
            </w:r>
          </w:p>
        </w:tc>
        <w:tc>
          <w:tcPr>
            <w:tcW w:w="1060" w:type="dxa"/>
            <w:vAlign w:val="bottom"/>
          </w:tcPr>
          <w:p>
            <w:pPr>
              <w:jc w:val="right"/>
              <w:ind w:right="183"/>
              <w:spacing w:after="0"/>
              <w:rPr>
                <w:sz w:val="20"/>
                <w:szCs w:val="20"/>
                <w:color w:val="auto"/>
              </w:rPr>
            </w:pPr>
            <w:r>
              <w:rPr>
                <w:rFonts w:ascii="Arial" w:cs="Arial" w:eastAsia="Arial" w:hAnsi="Arial"/>
                <w:sz w:val="11"/>
                <w:szCs w:val="11"/>
                <w:b w:val="1"/>
                <w:bCs w:val="1"/>
                <w:color w:val="191769"/>
              </w:rPr>
              <w:t>Premiums</w:t>
            </w:r>
          </w:p>
        </w:tc>
        <w:tc>
          <w:tcPr>
            <w:tcW w:w="1140" w:type="dxa"/>
            <w:vAlign w:val="bottom"/>
          </w:tcPr>
          <w:p>
            <w:pPr>
              <w:jc w:val="right"/>
              <w:ind w:right="183"/>
              <w:spacing w:after="0"/>
              <w:rPr>
                <w:sz w:val="20"/>
                <w:szCs w:val="20"/>
                <w:color w:val="auto"/>
              </w:rPr>
            </w:pPr>
            <w:r>
              <w:rPr>
                <w:rFonts w:ascii="Arial" w:cs="Arial" w:eastAsia="Arial" w:hAnsi="Arial"/>
                <w:sz w:val="11"/>
                <w:szCs w:val="11"/>
                <w:b w:val="1"/>
                <w:bCs w:val="1"/>
                <w:color w:val="191769"/>
              </w:rPr>
              <w:t>Match</w:t>
            </w:r>
          </w:p>
        </w:tc>
        <w:tc>
          <w:tcPr>
            <w:tcW w:w="1160" w:type="dxa"/>
            <w:vAlign w:val="bottom"/>
          </w:tcPr>
          <w:p>
            <w:pPr>
              <w:jc w:val="right"/>
              <w:ind w:right="143"/>
              <w:spacing w:after="0"/>
              <w:rPr>
                <w:sz w:val="20"/>
                <w:szCs w:val="20"/>
                <w:color w:val="auto"/>
              </w:rPr>
            </w:pPr>
            <w:r>
              <w:rPr>
                <w:rFonts w:ascii="Arial" w:cs="Arial" w:eastAsia="Arial" w:hAnsi="Arial"/>
                <w:sz w:val="11"/>
                <w:szCs w:val="11"/>
                <w:b w:val="1"/>
                <w:bCs w:val="1"/>
                <w:color w:val="191769"/>
              </w:rPr>
              <w:t>Assistance</w:t>
            </w:r>
          </w:p>
        </w:tc>
        <w:tc>
          <w:tcPr>
            <w:tcW w:w="860" w:type="dxa"/>
            <w:vAlign w:val="bottom"/>
          </w:tcPr>
          <w:p>
            <w:pPr>
              <w:jc w:val="right"/>
              <w:ind w:right="183"/>
              <w:spacing w:after="0"/>
              <w:rPr>
                <w:sz w:val="20"/>
                <w:szCs w:val="20"/>
                <w:color w:val="auto"/>
              </w:rPr>
            </w:pPr>
            <w:r>
              <w:rPr>
                <w:rFonts w:ascii="Arial" w:cs="Arial" w:eastAsia="Arial" w:hAnsi="Arial"/>
                <w:sz w:val="11"/>
                <w:szCs w:val="11"/>
                <w:b w:val="1"/>
                <w:bCs w:val="1"/>
                <w:color w:val="191769"/>
              </w:rPr>
              <w:t>Travel</w:t>
            </w:r>
          </w:p>
        </w:tc>
        <w:tc>
          <w:tcPr>
            <w:tcW w:w="1100" w:type="dxa"/>
            <w:vAlign w:val="bottom"/>
          </w:tcPr>
          <w:p>
            <w:pPr>
              <w:jc w:val="right"/>
              <w:spacing w:after="0"/>
              <w:rPr>
                <w:sz w:val="20"/>
                <w:szCs w:val="20"/>
                <w:color w:val="auto"/>
              </w:rPr>
            </w:pPr>
            <w:r>
              <w:rPr>
                <w:rFonts w:ascii="Arial" w:cs="Arial" w:eastAsia="Arial" w:hAnsi="Arial"/>
                <w:sz w:val="11"/>
                <w:szCs w:val="11"/>
                <w:b w:val="1"/>
                <w:bCs w:val="1"/>
                <w:color w:val="191769"/>
              </w:rPr>
              <w:t>Compensation</w:t>
            </w:r>
          </w:p>
        </w:tc>
        <w:tc>
          <w:tcPr>
            <w:tcW w:w="0" w:type="dxa"/>
            <w:vAlign w:val="bottom"/>
          </w:tcPr>
          <w:p>
            <w:pPr>
              <w:spacing w:after="0"/>
              <w:rPr>
                <w:sz w:val="1"/>
                <w:szCs w:val="1"/>
                <w:color w:val="auto"/>
              </w:rPr>
            </w:pPr>
          </w:p>
        </w:tc>
      </w:tr>
      <w:tr>
        <w:trPr>
          <w:trHeight w:val="170"/>
        </w:trPr>
        <w:tc>
          <w:tcPr>
            <w:tcW w:w="2320" w:type="dxa"/>
            <w:vAlign w:val="bottom"/>
          </w:tcPr>
          <w:p>
            <w:pPr>
              <w:spacing w:after="0"/>
              <w:rPr>
                <w:sz w:val="20"/>
                <w:szCs w:val="20"/>
                <w:color w:val="auto"/>
              </w:rPr>
            </w:pPr>
            <w:r>
              <w:rPr>
                <w:rFonts w:ascii="Arial" w:cs="Arial" w:eastAsia="Arial" w:hAnsi="Arial"/>
                <w:sz w:val="11"/>
                <w:szCs w:val="11"/>
                <w:b w:val="1"/>
                <w:bCs w:val="1"/>
                <w:color w:val="191769"/>
              </w:rPr>
              <w:t>Name and Principal Position</w:t>
            </w:r>
          </w:p>
        </w:tc>
        <w:tc>
          <w:tcPr>
            <w:tcW w:w="1260" w:type="dxa"/>
            <w:vAlign w:val="bottom"/>
          </w:tcPr>
          <w:p>
            <w:pPr>
              <w:ind w:left="760"/>
              <w:spacing w:after="0"/>
              <w:rPr>
                <w:sz w:val="20"/>
                <w:szCs w:val="20"/>
                <w:color w:val="auto"/>
              </w:rPr>
            </w:pPr>
            <w:r>
              <w:rPr>
                <w:rFonts w:ascii="Arial" w:cs="Arial" w:eastAsia="Arial" w:hAnsi="Arial"/>
                <w:sz w:val="11"/>
                <w:szCs w:val="11"/>
                <w:b w:val="1"/>
                <w:bCs w:val="1"/>
                <w:color w:val="191769"/>
              </w:rPr>
              <w:t>Year</w:t>
            </w:r>
          </w:p>
        </w:tc>
        <w:tc>
          <w:tcPr>
            <w:tcW w:w="1200" w:type="dxa"/>
            <w:vAlign w:val="bottom"/>
          </w:tcPr>
          <w:p>
            <w:pPr>
              <w:jc w:val="right"/>
              <w:ind w:right="163"/>
              <w:spacing w:after="0"/>
              <w:rPr>
                <w:sz w:val="20"/>
                <w:szCs w:val="20"/>
                <w:color w:val="auto"/>
              </w:rPr>
            </w:pPr>
            <w:r>
              <w:rPr>
                <w:rFonts w:ascii="Arial" w:cs="Arial" w:eastAsia="Arial" w:hAnsi="Arial"/>
                <w:sz w:val="11"/>
                <w:szCs w:val="11"/>
                <w:b w:val="1"/>
                <w:bCs w:val="1"/>
                <w:color w:val="191769"/>
              </w:rPr>
              <w:t>($)</w:t>
            </w:r>
          </w:p>
        </w:tc>
        <w:tc>
          <w:tcPr>
            <w:tcW w:w="1120" w:type="dxa"/>
            <w:vAlign w:val="bottom"/>
          </w:tcPr>
          <w:p>
            <w:pPr>
              <w:jc w:val="right"/>
              <w:ind w:right="203"/>
              <w:spacing w:after="0"/>
              <w:rPr>
                <w:sz w:val="20"/>
                <w:szCs w:val="20"/>
                <w:color w:val="auto"/>
              </w:rPr>
            </w:pPr>
            <w:r>
              <w:rPr>
                <w:rFonts w:ascii="Arial" w:cs="Arial" w:eastAsia="Arial" w:hAnsi="Arial"/>
                <w:sz w:val="11"/>
                <w:szCs w:val="11"/>
                <w:b w:val="1"/>
                <w:bCs w:val="1"/>
                <w:color w:val="191769"/>
              </w:rPr>
              <w:t>($)</w:t>
            </w:r>
          </w:p>
        </w:tc>
        <w:tc>
          <w:tcPr>
            <w:tcW w:w="1060" w:type="dxa"/>
            <w:vAlign w:val="bottom"/>
          </w:tcPr>
          <w:p>
            <w:pPr>
              <w:jc w:val="right"/>
              <w:ind w:right="183"/>
              <w:spacing w:after="0"/>
              <w:rPr>
                <w:sz w:val="20"/>
                <w:szCs w:val="20"/>
                <w:color w:val="auto"/>
              </w:rPr>
            </w:pPr>
            <w:r>
              <w:rPr>
                <w:rFonts w:ascii="Arial" w:cs="Arial" w:eastAsia="Arial" w:hAnsi="Arial"/>
                <w:sz w:val="11"/>
                <w:szCs w:val="11"/>
                <w:b w:val="1"/>
                <w:bCs w:val="1"/>
                <w:color w:val="191769"/>
              </w:rPr>
              <w:t>($)</w:t>
            </w:r>
          </w:p>
        </w:tc>
        <w:tc>
          <w:tcPr>
            <w:tcW w:w="1140" w:type="dxa"/>
            <w:vAlign w:val="bottom"/>
          </w:tcPr>
          <w:p>
            <w:pPr>
              <w:jc w:val="right"/>
              <w:ind w:right="183"/>
              <w:spacing w:after="0"/>
              <w:rPr>
                <w:sz w:val="20"/>
                <w:szCs w:val="20"/>
                <w:color w:val="auto"/>
              </w:rPr>
            </w:pPr>
            <w:r>
              <w:rPr>
                <w:rFonts w:ascii="Arial" w:cs="Arial" w:eastAsia="Arial" w:hAnsi="Arial"/>
                <w:sz w:val="11"/>
                <w:szCs w:val="11"/>
                <w:b w:val="1"/>
                <w:bCs w:val="1"/>
                <w:color w:val="191769"/>
              </w:rPr>
              <w:t>($)</w:t>
            </w:r>
          </w:p>
        </w:tc>
        <w:tc>
          <w:tcPr>
            <w:tcW w:w="1160" w:type="dxa"/>
            <w:vAlign w:val="bottom"/>
          </w:tcPr>
          <w:p>
            <w:pPr>
              <w:jc w:val="right"/>
              <w:ind w:right="143"/>
              <w:spacing w:after="0"/>
              <w:rPr>
                <w:sz w:val="20"/>
                <w:szCs w:val="20"/>
                <w:color w:val="auto"/>
              </w:rPr>
            </w:pPr>
            <w:r>
              <w:rPr>
                <w:rFonts w:ascii="Arial" w:cs="Arial" w:eastAsia="Arial" w:hAnsi="Arial"/>
                <w:sz w:val="11"/>
                <w:szCs w:val="11"/>
                <w:b w:val="1"/>
                <w:bCs w:val="1"/>
                <w:color w:val="191769"/>
              </w:rPr>
              <w:t>($)</w:t>
            </w:r>
          </w:p>
        </w:tc>
        <w:tc>
          <w:tcPr>
            <w:tcW w:w="860" w:type="dxa"/>
            <w:vAlign w:val="bottom"/>
          </w:tcPr>
          <w:p>
            <w:pPr>
              <w:jc w:val="right"/>
              <w:ind w:right="183"/>
              <w:spacing w:after="0"/>
              <w:rPr>
                <w:sz w:val="20"/>
                <w:szCs w:val="20"/>
                <w:color w:val="auto"/>
              </w:rPr>
            </w:pPr>
            <w:r>
              <w:rPr>
                <w:rFonts w:ascii="Arial" w:cs="Arial" w:eastAsia="Arial" w:hAnsi="Arial"/>
                <w:sz w:val="11"/>
                <w:szCs w:val="11"/>
                <w:b w:val="1"/>
                <w:bCs w:val="1"/>
                <w:color w:val="191769"/>
              </w:rPr>
              <w:t>($)</w:t>
            </w:r>
          </w:p>
        </w:tc>
        <w:tc>
          <w:tcPr>
            <w:tcW w:w="1100" w:type="dxa"/>
            <w:vAlign w:val="bottom"/>
          </w:tcPr>
          <w:p>
            <w:pPr>
              <w:jc w:val="right"/>
              <w:spacing w:after="0"/>
              <w:rPr>
                <w:sz w:val="20"/>
                <w:szCs w:val="20"/>
                <w:color w:val="auto"/>
              </w:rPr>
            </w:pPr>
            <w:r>
              <w:rPr>
                <w:rFonts w:ascii="Arial" w:cs="Arial" w:eastAsia="Arial" w:hAnsi="Arial"/>
                <w:sz w:val="11"/>
                <w:szCs w:val="11"/>
                <w:b w:val="1"/>
                <w:bCs w:val="1"/>
                <w:color w:val="19176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438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4" w:lineRule="exact"/>
        <w:rPr>
          <w:sz w:val="20"/>
          <w:szCs w:val="20"/>
          <w:color w:val="auto"/>
        </w:rPr>
      </w:pPr>
    </w:p>
    <w:tbl>
      <w:tblPr>
        <w:tblLayout w:type="fixed"/>
        <w:tblInd w:w="2" w:type="dxa"/>
        <w:tblCellMar>
          <w:top w:w="0" w:type="dxa"/>
          <w:left w:w="0" w:type="dxa"/>
          <w:bottom w:w="0" w:type="dxa"/>
          <w:right w:w="0" w:type="dxa"/>
        </w:tblCellMar>
      </w:tblPr>
      <w:tr>
        <w:trPr>
          <w:trHeight w:val="172"/>
        </w:trPr>
        <w:tc>
          <w:tcPr>
            <w:tcW w:w="2860" w:type="dxa"/>
            <w:vAlign w:val="bottom"/>
          </w:tcPr>
          <w:p>
            <w:pPr>
              <w:ind w:left="20"/>
              <w:spacing w:after="0"/>
              <w:rPr>
                <w:sz w:val="20"/>
                <w:szCs w:val="20"/>
                <w:color w:val="auto"/>
              </w:rPr>
            </w:pPr>
            <w:r>
              <w:rPr>
                <w:rFonts w:ascii="Arial" w:cs="Arial" w:eastAsia="Arial" w:hAnsi="Arial"/>
                <w:sz w:val="13"/>
                <w:szCs w:val="13"/>
                <w:b w:val="1"/>
                <w:bCs w:val="1"/>
                <w:color w:val="191769"/>
              </w:rPr>
              <w:t>Nadine Leslie</w:t>
            </w:r>
          </w:p>
        </w:tc>
        <w:tc>
          <w:tcPr>
            <w:tcW w:w="880" w:type="dxa"/>
            <w:vAlign w:val="bottom"/>
          </w:tcPr>
          <w:p>
            <w:pPr>
              <w:jc w:val="right"/>
              <w:ind w:right="326"/>
              <w:spacing w:after="0"/>
              <w:rPr>
                <w:sz w:val="20"/>
                <w:szCs w:val="20"/>
                <w:color w:val="auto"/>
              </w:rPr>
            </w:pPr>
            <w:r>
              <w:rPr>
                <w:rFonts w:ascii="Arial" w:cs="Arial" w:eastAsia="Arial" w:hAnsi="Arial"/>
                <w:sz w:val="15"/>
                <w:szCs w:val="15"/>
                <w:color w:val="auto"/>
              </w:rPr>
              <w:t>2025</w:t>
            </w:r>
          </w:p>
        </w:tc>
        <w:tc>
          <w:tcPr>
            <w:tcW w:w="1140" w:type="dxa"/>
            <w:vAlign w:val="bottom"/>
          </w:tcPr>
          <w:p>
            <w:pPr>
              <w:jc w:val="right"/>
              <w:ind w:right="286"/>
              <w:spacing w:after="0"/>
              <w:rPr>
                <w:sz w:val="20"/>
                <w:szCs w:val="20"/>
                <w:color w:val="auto"/>
              </w:rPr>
            </w:pPr>
            <w:r>
              <w:rPr>
                <w:rFonts w:ascii="Arial" w:cs="Arial" w:eastAsia="Arial" w:hAnsi="Arial"/>
                <w:sz w:val="15"/>
                <w:szCs w:val="15"/>
                <w:color w:val="auto"/>
              </w:rPr>
              <w:t>6,957</w:t>
            </w:r>
          </w:p>
        </w:tc>
        <w:tc>
          <w:tcPr>
            <w:tcW w:w="1080" w:type="dxa"/>
            <w:vAlign w:val="bottom"/>
          </w:tcPr>
          <w:p>
            <w:pPr>
              <w:jc w:val="right"/>
              <w:ind w:right="266"/>
              <w:spacing w:after="0"/>
              <w:rPr>
                <w:sz w:val="20"/>
                <w:szCs w:val="20"/>
                <w:color w:val="auto"/>
              </w:rPr>
            </w:pPr>
            <w:r>
              <w:rPr>
                <w:rFonts w:ascii="Arial" w:cs="Arial" w:eastAsia="Arial" w:hAnsi="Arial"/>
                <w:sz w:val="15"/>
                <w:szCs w:val="15"/>
                <w:color w:val="auto"/>
              </w:rPr>
              <w:t>13,500</w:t>
            </w:r>
          </w:p>
        </w:tc>
        <w:tc>
          <w:tcPr>
            <w:tcW w:w="1100" w:type="dxa"/>
            <w:vAlign w:val="bottom"/>
          </w:tcPr>
          <w:p>
            <w:pPr>
              <w:jc w:val="right"/>
              <w:ind w:right="286"/>
              <w:spacing w:after="0"/>
              <w:rPr>
                <w:sz w:val="20"/>
                <w:szCs w:val="20"/>
                <w:color w:val="auto"/>
              </w:rPr>
            </w:pPr>
            <w:r>
              <w:rPr>
                <w:rFonts w:ascii="Arial" w:cs="Arial" w:eastAsia="Arial" w:hAnsi="Arial"/>
                <w:sz w:val="15"/>
                <w:szCs w:val="15"/>
                <w:color w:val="auto"/>
              </w:rPr>
              <w:t>11,927</w:t>
            </w:r>
          </w:p>
        </w:tc>
        <w:tc>
          <w:tcPr>
            <w:tcW w:w="1160" w:type="dxa"/>
            <w:vAlign w:val="bottom"/>
          </w:tcPr>
          <w:p>
            <w:pPr>
              <w:jc w:val="right"/>
              <w:ind w:right="306"/>
              <w:spacing w:after="0"/>
              <w:rPr>
                <w:sz w:val="20"/>
                <w:szCs w:val="20"/>
                <w:color w:val="auto"/>
              </w:rPr>
            </w:pPr>
            <w:r>
              <w:rPr>
                <w:rFonts w:ascii="Arial" w:cs="Arial" w:eastAsia="Arial" w:hAnsi="Arial"/>
                <w:sz w:val="15"/>
                <w:szCs w:val="15"/>
                <w:color w:val="auto"/>
              </w:rPr>
              <w:t>14,115</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46,499</w:t>
            </w:r>
          </w:p>
        </w:tc>
        <w:tc>
          <w:tcPr>
            <w:tcW w:w="0" w:type="dxa"/>
            <w:vAlign w:val="bottom"/>
          </w:tcPr>
          <w:p>
            <w:pPr>
              <w:spacing w:after="0"/>
              <w:rPr>
                <w:sz w:val="1"/>
                <w:szCs w:val="1"/>
                <w:color w:val="auto"/>
              </w:rPr>
            </w:pPr>
          </w:p>
        </w:tc>
      </w:tr>
      <w:tr>
        <w:trPr>
          <w:trHeight w:val="69"/>
        </w:trPr>
        <w:tc>
          <w:tcPr>
            <w:tcW w:w="2860" w:type="dxa"/>
            <w:vAlign w:val="bottom"/>
            <w:vMerge w:val="restart"/>
          </w:tcPr>
          <w:p>
            <w:pPr>
              <w:ind w:left="20"/>
              <w:spacing w:after="0"/>
              <w:rPr>
                <w:sz w:val="20"/>
                <w:szCs w:val="20"/>
                <w:color w:val="auto"/>
              </w:rPr>
            </w:pPr>
            <w:r>
              <w:rPr>
                <w:rFonts w:ascii="Arial" w:cs="Arial" w:eastAsia="Arial" w:hAnsi="Arial"/>
                <w:sz w:val="13"/>
                <w:szCs w:val="13"/>
                <w:color w:val="auto"/>
              </w:rPr>
              <w:t>Chair, President and</w:t>
            </w:r>
          </w:p>
        </w:tc>
        <w:tc>
          <w:tcPr>
            <w:tcW w:w="880" w:type="dxa"/>
            <w:vAlign w:val="bottom"/>
            <w:tcBorders>
              <w:bottom w:val="single" w:sz="8" w:color="D9D9D9"/>
            </w:tcBorders>
          </w:tcPr>
          <w:p>
            <w:pPr>
              <w:spacing w:after="0"/>
              <w:rPr>
                <w:sz w:val="6"/>
                <w:szCs w:val="6"/>
                <w:color w:val="auto"/>
              </w:rPr>
            </w:pPr>
          </w:p>
        </w:tc>
        <w:tc>
          <w:tcPr>
            <w:tcW w:w="1140" w:type="dxa"/>
            <w:vAlign w:val="bottom"/>
            <w:tcBorders>
              <w:bottom w:val="single" w:sz="8" w:color="D9D9D9"/>
            </w:tcBorders>
          </w:tcPr>
          <w:p>
            <w:pPr>
              <w:spacing w:after="0"/>
              <w:rPr>
                <w:sz w:val="6"/>
                <w:szCs w:val="6"/>
                <w:color w:val="auto"/>
              </w:rPr>
            </w:pPr>
          </w:p>
        </w:tc>
        <w:tc>
          <w:tcPr>
            <w:tcW w:w="1080" w:type="dxa"/>
            <w:vAlign w:val="bottom"/>
            <w:tcBorders>
              <w:bottom w:val="single" w:sz="8" w:color="D9D9D9"/>
            </w:tcBorders>
          </w:tcPr>
          <w:p>
            <w:pPr>
              <w:spacing w:after="0"/>
              <w:rPr>
                <w:sz w:val="6"/>
                <w:szCs w:val="6"/>
                <w:color w:val="auto"/>
              </w:rPr>
            </w:pPr>
          </w:p>
        </w:tc>
        <w:tc>
          <w:tcPr>
            <w:tcW w:w="1100" w:type="dxa"/>
            <w:vAlign w:val="bottom"/>
            <w:tcBorders>
              <w:bottom w:val="single" w:sz="8" w:color="D9D9D9"/>
            </w:tcBorders>
          </w:tcPr>
          <w:p>
            <w:pPr>
              <w:spacing w:after="0"/>
              <w:rPr>
                <w:sz w:val="6"/>
                <w:szCs w:val="6"/>
                <w:color w:val="auto"/>
              </w:rPr>
            </w:pPr>
          </w:p>
        </w:tc>
        <w:tc>
          <w:tcPr>
            <w:tcW w:w="1160" w:type="dxa"/>
            <w:vAlign w:val="bottom"/>
            <w:tcBorders>
              <w:bottom w:val="single" w:sz="8" w:color="D9D9D9"/>
            </w:tcBorders>
          </w:tcPr>
          <w:p>
            <w:pPr>
              <w:spacing w:after="0"/>
              <w:rPr>
                <w:sz w:val="6"/>
                <w:szCs w:val="6"/>
                <w:color w:val="auto"/>
              </w:rPr>
            </w:pPr>
          </w:p>
        </w:tc>
        <w:tc>
          <w:tcPr>
            <w:tcW w:w="1140" w:type="dxa"/>
            <w:vAlign w:val="bottom"/>
            <w:tcBorders>
              <w:bottom w:val="single" w:sz="8" w:color="D9D9D9"/>
            </w:tcBorders>
          </w:tcPr>
          <w:p>
            <w:pPr>
              <w:spacing w:after="0"/>
              <w:rPr>
                <w:sz w:val="6"/>
                <w:szCs w:val="6"/>
                <w:color w:val="auto"/>
              </w:rPr>
            </w:pPr>
          </w:p>
        </w:tc>
        <w:tc>
          <w:tcPr>
            <w:tcW w:w="920" w:type="dxa"/>
            <w:vAlign w:val="bottom"/>
            <w:tcBorders>
              <w:bottom w:val="single" w:sz="8" w:color="D9D9D9"/>
            </w:tcBorders>
          </w:tcPr>
          <w:p>
            <w:pPr>
              <w:spacing w:after="0"/>
              <w:rPr>
                <w:sz w:val="6"/>
                <w:szCs w:val="6"/>
                <w:color w:val="auto"/>
              </w:rPr>
            </w:pPr>
          </w:p>
        </w:tc>
        <w:tc>
          <w:tcPr>
            <w:tcW w:w="96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860" w:type="dxa"/>
            <w:vAlign w:val="bottom"/>
            <w:vMerge w:val="continue"/>
          </w:tcPr>
          <w:p>
            <w:pPr>
              <w:spacing w:after="0"/>
              <w:rPr>
                <w:sz w:val="6"/>
                <w:szCs w:val="6"/>
                <w:color w:val="auto"/>
              </w:rPr>
            </w:pPr>
          </w:p>
        </w:tc>
        <w:tc>
          <w:tcPr>
            <w:tcW w:w="880" w:type="dxa"/>
            <w:vAlign w:val="bottom"/>
            <w:vMerge w:val="restart"/>
          </w:tcPr>
          <w:p>
            <w:pPr>
              <w:jc w:val="right"/>
              <w:ind w:right="326"/>
              <w:spacing w:after="0"/>
              <w:rPr>
                <w:sz w:val="20"/>
                <w:szCs w:val="20"/>
                <w:color w:val="auto"/>
              </w:rPr>
            </w:pPr>
            <w:r>
              <w:rPr>
                <w:rFonts w:ascii="Arial" w:cs="Arial" w:eastAsia="Arial" w:hAnsi="Arial"/>
                <w:sz w:val="15"/>
                <w:szCs w:val="15"/>
                <w:color w:val="auto"/>
              </w:rPr>
              <w:t>2024</w:t>
            </w:r>
          </w:p>
        </w:tc>
        <w:tc>
          <w:tcPr>
            <w:tcW w:w="1140" w:type="dxa"/>
            <w:vAlign w:val="bottom"/>
            <w:vMerge w:val="restart"/>
          </w:tcPr>
          <w:p>
            <w:pPr>
              <w:jc w:val="right"/>
              <w:ind w:right="226"/>
              <w:spacing w:after="0"/>
              <w:rPr>
                <w:sz w:val="20"/>
                <w:szCs w:val="20"/>
                <w:color w:val="auto"/>
              </w:rPr>
            </w:pPr>
            <w:r>
              <w:rPr>
                <w:rFonts w:ascii="Arial" w:cs="Arial" w:eastAsia="Arial" w:hAnsi="Arial"/>
                <w:sz w:val="15"/>
                <w:szCs w:val="15"/>
                <w:color w:val="auto"/>
              </w:rPr>
              <w:t>2,258</w:t>
            </w:r>
          </w:p>
        </w:tc>
        <w:tc>
          <w:tcPr>
            <w:tcW w:w="1080" w:type="dxa"/>
            <w:vAlign w:val="bottom"/>
            <w:vMerge w:val="restart"/>
          </w:tcPr>
          <w:p>
            <w:pPr>
              <w:jc w:val="right"/>
              <w:ind w:right="226"/>
              <w:spacing w:after="0"/>
              <w:rPr>
                <w:sz w:val="20"/>
                <w:szCs w:val="20"/>
                <w:color w:val="auto"/>
              </w:rPr>
            </w:pPr>
            <w:r>
              <w:rPr>
                <w:rFonts w:ascii="Arial" w:cs="Arial" w:eastAsia="Arial" w:hAnsi="Arial"/>
                <w:sz w:val="15"/>
                <w:szCs w:val="15"/>
                <w:color w:val="auto"/>
              </w:rPr>
              <w:t>10,500</w:t>
            </w:r>
          </w:p>
        </w:tc>
        <w:tc>
          <w:tcPr>
            <w:tcW w:w="1100" w:type="dxa"/>
            <w:vAlign w:val="bottom"/>
            <w:vMerge w:val="restart"/>
          </w:tcPr>
          <w:p>
            <w:pPr>
              <w:jc w:val="right"/>
              <w:ind w:right="246"/>
              <w:spacing w:after="0"/>
              <w:rPr>
                <w:sz w:val="20"/>
                <w:szCs w:val="20"/>
                <w:color w:val="auto"/>
              </w:rPr>
            </w:pPr>
            <w:r>
              <w:rPr>
                <w:rFonts w:ascii="Arial" w:cs="Arial" w:eastAsia="Arial" w:hAnsi="Arial"/>
                <w:sz w:val="15"/>
                <w:szCs w:val="15"/>
                <w:color w:val="auto"/>
              </w:rPr>
              <w:t>8,774</w:t>
            </w:r>
          </w:p>
        </w:tc>
        <w:tc>
          <w:tcPr>
            <w:tcW w:w="1160" w:type="dxa"/>
            <w:vAlign w:val="bottom"/>
            <w:vMerge w:val="restart"/>
          </w:tcPr>
          <w:p>
            <w:pPr>
              <w:jc w:val="right"/>
              <w:ind w:right="266"/>
              <w:spacing w:after="0"/>
              <w:rPr>
                <w:sz w:val="20"/>
                <w:szCs w:val="20"/>
                <w:color w:val="auto"/>
              </w:rPr>
            </w:pPr>
            <w:r>
              <w:rPr>
                <w:rFonts w:ascii="Arial" w:cs="Arial" w:eastAsia="Arial" w:hAnsi="Arial"/>
                <w:sz w:val="15"/>
                <w:szCs w:val="15"/>
                <w:color w:val="auto"/>
              </w:rPr>
              <w:t>13,236</w:t>
            </w:r>
          </w:p>
        </w:tc>
        <w:tc>
          <w:tcPr>
            <w:tcW w:w="1140" w:type="dxa"/>
            <w:vAlign w:val="bottom"/>
            <w:vMerge w:val="restart"/>
          </w:tcPr>
          <w:p>
            <w:pPr>
              <w:jc w:val="right"/>
              <w:ind w:right="206"/>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306"/>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34,768</w:t>
            </w:r>
          </w:p>
        </w:tc>
        <w:tc>
          <w:tcPr>
            <w:tcW w:w="0" w:type="dxa"/>
            <w:vAlign w:val="bottom"/>
          </w:tcPr>
          <w:p>
            <w:pPr>
              <w:spacing w:after="0"/>
              <w:rPr>
                <w:sz w:val="1"/>
                <w:szCs w:val="1"/>
                <w:color w:val="auto"/>
              </w:rPr>
            </w:pPr>
          </w:p>
        </w:tc>
      </w:tr>
      <w:tr>
        <w:trPr>
          <w:trHeight w:val="128"/>
        </w:trPr>
        <w:tc>
          <w:tcPr>
            <w:tcW w:w="2860" w:type="dxa"/>
            <w:vAlign w:val="bottom"/>
            <w:vMerge w:val="restart"/>
          </w:tcPr>
          <w:p>
            <w:pPr>
              <w:ind w:left="20"/>
              <w:spacing w:after="0"/>
              <w:rPr>
                <w:sz w:val="20"/>
                <w:szCs w:val="20"/>
                <w:color w:val="auto"/>
              </w:rPr>
            </w:pPr>
            <w:r>
              <w:rPr>
                <w:rFonts w:ascii="Arial" w:cs="Arial" w:eastAsia="Arial" w:hAnsi="Arial"/>
                <w:sz w:val="13"/>
                <w:szCs w:val="13"/>
                <w:color w:val="auto"/>
              </w:rPr>
              <w:t>Chief Executive Officer</w:t>
            </w:r>
          </w:p>
        </w:tc>
        <w:tc>
          <w:tcPr>
            <w:tcW w:w="88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2860" w:type="dxa"/>
            <w:vAlign w:val="bottom"/>
            <w:vMerge w:val="continue"/>
          </w:tcPr>
          <w:p>
            <w:pPr>
              <w:spacing w:after="0"/>
              <w:rPr>
                <w:sz w:val="4"/>
                <w:szCs w:val="4"/>
                <w:color w:val="auto"/>
              </w:rPr>
            </w:pPr>
          </w:p>
        </w:tc>
        <w:tc>
          <w:tcPr>
            <w:tcW w:w="880" w:type="dxa"/>
            <w:vAlign w:val="bottom"/>
            <w:tcBorders>
              <w:bottom w:val="single" w:sz="8" w:color="D9D9D9"/>
            </w:tcBorders>
          </w:tcPr>
          <w:p>
            <w:pPr>
              <w:spacing w:after="0"/>
              <w:rPr>
                <w:sz w:val="4"/>
                <w:szCs w:val="4"/>
                <w:color w:val="auto"/>
              </w:rPr>
            </w:pPr>
          </w:p>
        </w:tc>
        <w:tc>
          <w:tcPr>
            <w:tcW w:w="1140" w:type="dxa"/>
            <w:vAlign w:val="bottom"/>
            <w:tcBorders>
              <w:bottom w:val="single" w:sz="8" w:color="D9D9D9"/>
            </w:tcBorders>
          </w:tcPr>
          <w:p>
            <w:pPr>
              <w:spacing w:after="0"/>
              <w:rPr>
                <w:sz w:val="4"/>
                <w:szCs w:val="4"/>
                <w:color w:val="auto"/>
              </w:rPr>
            </w:pPr>
          </w:p>
        </w:tc>
        <w:tc>
          <w:tcPr>
            <w:tcW w:w="1080" w:type="dxa"/>
            <w:vAlign w:val="bottom"/>
            <w:tcBorders>
              <w:bottom w:val="single" w:sz="8" w:color="D9D9D9"/>
            </w:tcBorders>
          </w:tcPr>
          <w:p>
            <w:pPr>
              <w:spacing w:after="0"/>
              <w:rPr>
                <w:sz w:val="4"/>
                <w:szCs w:val="4"/>
                <w:color w:val="auto"/>
              </w:rPr>
            </w:pPr>
          </w:p>
        </w:tc>
        <w:tc>
          <w:tcPr>
            <w:tcW w:w="1100" w:type="dxa"/>
            <w:vAlign w:val="bottom"/>
            <w:tcBorders>
              <w:bottom w:val="single" w:sz="8" w:color="D9D9D9"/>
            </w:tcBorders>
          </w:tcPr>
          <w:p>
            <w:pPr>
              <w:spacing w:after="0"/>
              <w:rPr>
                <w:sz w:val="4"/>
                <w:szCs w:val="4"/>
                <w:color w:val="auto"/>
              </w:rPr>
            </w:pPr>
          </w:p>
        </w:tc>
        <w:tc>
          <w:tcPr>
            <w:tcW w:w="1160" w:type="dxa"/>
            <w:vAlign w:val="bottom"/>
            <w:tcBorders>
              <w:bottom w:val="single" w:sz="8" w:color="D9D9D9"/>
            </w:tcBorders>
          </w:tcPr>
          <w:p>
            <w:pPr>
              <w:spacing w:after="0"/>
              <w:rPr>
                <w:sz w:val="4"/>
                <w:szCs w:val="4"/>
                <w:color w:val="auto"/>
              </w:rPr>
            </w:pPr>
          </w:p>
        </w:tc>
        <w:tc>
          <w:tcPr>
            <w:tcW w:w="1140" w:type="dxa"/>
            <w:vAlign w:val="bottom"/>
            <w:tcBorders>
              <w:bottom w:val="single" w:sz="8" w:color="D9D9D9"/>
            </w:tcBorders>
          </w:tcPr>
          <w:p>
            <w:pPr>
              <w:spacing w:after="0"/>
              <w:rPr>
                <w:sz w:val="4"/>
                <w:szCs w:val="4"/>
                <w:color w:val="auto"/>
              </w:rPr>
            </w:pPr>
          </w:p>
        </w:tc>
        <w:tc>
          <w:tcPr>
            <w:tcW w:w="920" w:type="dxa"/>
            <w:vAlign w:val="bottom"/>
            <w:tcBorders>
              <w:bottom w:val="single" w:sz="8" w:color="D9D9D9"/>
            </w:tcBorders>
          </w:tcPr>
          <w:p>
            <w:pPr>
              <w:spacing w:after="0"/>
              <w:rPr>
                <w:sz w:val="4"/>
                <w:szCs w:val="4"/>
                <w:color w:val="auto"/>
              </w:rPr>
            </w:pPr>
          </w:p>
        </w:tc>
        <w:tc>
          <w:tcPr>
            <w:tcW w:w="960" w:type="dxa"/>
            <w:vAlign w:val="bottom"/>
            <w:tcBorders>
              <w:bottom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860" w:type="dxa"/>
            <w:vAlign w:val="bottom"/>
          </w:tcPr>
          <w:p>
            <w:pPr>
              <w:ind w:left="20"/>
              <w:spacing w:after="0"/>
              <w:rPr>
                <w:sz w:val="20"/>
                <w:szCs w:val="20"/>
                <w:color w:val="auto"/>
              </w:rPr>
            </w:pPr>
            <w:r>
              <w:rPr>
                <w:rFonts w:ascii="Arial" w:cs="Arial" w:eastAsia="Arial" w:hAnsi="Arial"/>
                <w:sz w:val="13"/>
                <w:szCs w:val="13"/>
                <w:b w:val="1"/>
                <w:bCs w:val="1"/>
                <w:color w:val="191769"/>
              </w:rPr>
              <w:t>Mohammed G. Zerhouni</w:t>
            </w:r>
          </w:p>
        </w:tc>
        <w:tc>
          <w:tcPr>
            <w:tcW w:w="880" w:type="dxa"/>
            <w:vAlign w:val="bottom"/>
          </w:tcPr>
          <w:p>
            <w:pPr>
              <w:jc w:val="right"/>
              <w:ind w:right="326"/>
              <w:spacing w:after="0" w:line="160" w:lineRule="exact"/>
              <w:rPr>
                <w:sz w:val="20"/>
                <w:szCs w:val="20"/>
                <w:color w:val="auto"/>
              </w:rPr>
            </w:pPr>
            <w:r>
              <w:rPr>
                <w:rFonts w:ascii="Arial" w:cs="Arial" w:eastAsia="Arial" w:hAnsi="Arial"/>
                <w:sz w:val="15"/>
                <w:szCs w:val="15"/>
                <w:color w:val="auto"/>
              </w:rPr>
              <w:t>2025</w:t>
            </w:r>
          </w:p>
        </w:tc>
        <w:tc>
          <w:tcPr>
            <w:tcW w:w="1140" w:type="dxa"/>
            <w:vAlign w:val="bottom"/>
          </w:tcPr>
          <w:p>
            <w:pPr>
              <w:jc w:val="right"/>
              <w:ind w:right="286"/>
              <w:spacing w:after="0" w:line="160" w:lineRule="exact"/>
              <w:rPr>
                <w:sz w:val="20"/>
                <w:szCs w:val="20"/>
                <w:color w:val="auto"/>
              </w:rPr>
            </w:pPr>
            <w:r>
              <w:rPr>
                <w:rFonts w:ascii="Arial" w:cs="Arial" w:eastAsia="Arial" w:hAnsi="Arial"/>
                <w:sz w:val="15"/>
                <w:szCs w:val="15"/>
                <w:color w:val="auto"/>
              </w:rPr>
              <w:t>3,251</w:t>
            </w:r>
          </w:p>
        </w:tc>
        <w:tc>
          <w:tcPr>
            <w:tcW w:w="1080" w:type="dxa"/>
            <w:vAlign w:val="bottom"/>
          </w:tcPr>
          <w:p>
            <w:pPr>
              <w:jc w:val="right"/>
              <w:ind w:right="266"/>
              <w:spacing w:after="0" w:line="160" w:lineRule="exact"/>
              <w:rPr>
                <w:sz w:val="20"/>
                <w:szCs w:val="20"/>
                <w:color w:val="auto"/>
              </w:rPr>
            </w:pPr>
            <w:r>
              <w:rPr>
                <w:rFonts w:ascii="Arial" w:cs="Arial" w:eastAsia="Arial" w:hAnsi="Arial"/>
                <w:sz w:val="15"/>
                <w:szCs w:val="15"/>
                <w:color w:val="auto"/>
              </w:rPr>
              <w:t>13,500</w:t>
            </w:r>
          </w:p>
        </w:tc>
        <w:tc>
          <w:tcPr>
            <w:tcW w:w="1100" w:type="dxa"/>
            <w:vAlign w:val="bottom"/>
          </w:tcPr>
          <w:p>
            <w:pPr>
              <w:jc w:val="right"/>
              <w:ind w:right="286"/>
              <w:spacing w:after="0" w:line="160" w:lineRule="exact"/>
              <w:rPr>
                <w:sz w:val="20"/>
                <w:szCs w:val="20"/>
                <w:color w:val="auto"/>
              </w:rPr>
            </w:pPr>
            <w:r>
              <w:rPr>
                <w:rFonts w:ascii="Arial" w:cs="Arial" w:eastAsia="Arial" w:hAnsi="Arial"/>
                <w:sz w:val="15"/>
                <w:szCs w:val="15"/>
                <w:color w:val="auto"/>
              </w:rPr>
              <w:t>2,358</w:t>
            </w:r>
          </w:p>
        </w:tc>
        <w:tc>
          <w:tcPr>
            <w:tcW w:w="1160" w:type="dxa"/>
            <w:vAlign w:val="bottom"/>
          </w:tcPr>
          <w:p>
            <w:pPr>
              <w:jc w:val="right"/>
              <w:ind w:right="306"/>
              <w:spacing w:after="0" w:line="160" w:lineRule="exact"/>
              <w:rPr>
                <w:sz w:val="20"/>
                <w:szCs w:val="20"/>
                <w:color w:val="auto"/>
              </w:rPr>
            </w:pPr>
            <w:r>
              <w:rPr>
                <w:rFonts w:ascii="Arial" w:cs="Arial" w:eastAsia="Arial" w:hAnsi="Arial"/>
                <w:sz w:val="15"/>
                <w:szCs w:val="15"/>
                <w:color w:val="auto"/>
              </w:rPr>
              <w:t>18,082</w:t>
            </w:r>
          </w:p>
        </w:tc>
        <w:tc>
          <w:tcPr>
            <w:tcW w:w="1140" w:type="dxa"/>
            <w:vAlign w:val="bottom"/>
          </w:tcPr>
          <w:p>
            <w:pPr>
              <w:spacing w:after="0"/>
              <w:rPr>
                <w:sz w:val="13"/>
                <w:szCs w:val="13"/>
                <w:color w:val="auto"/>
              </w:rPr>
            </w:pPr>
          </w:p>
        </w:tc>
        <w:tc>
          <w:tcPr>
            <w:tcW w:w="920" w:type="dxa"/>
            <w:vAlign w:val="bottom"/>
          </w:tcPr>
          <w:p>
            <w:pPr>
              <w:jc w:val="right"/>
              <w:ind w:right="366"/>
              <w:spacing w:after="0" w:line="160" w:lineRule="exact"/>
              <w:rPr>
                <w:sz w:val="20"/>
                <w:szCs w:val="20"/>
                <w:color w:val="auto"/>
              </w:rPr>
            </w:pPr>
            <w:r>
              <w:rPr>
                <w:rFonts w:ascii="Arial" w:cs="Arial" w:eastAsia="Arial" w:hAnsi="Arial"/>
                <w:sz w:val="15"/>
                <w:szCs w:val="15"/>
                <w:color w:val="auto"/>
              </w:rPr>
              <w:t>—</w:t>
            </w:r>
          </w:p>
        </w:tc>
        <w:tc>
          <w:tcPr>
            <w:tcW w:w="960" w:type="dxa"/>
            <w:vAlign w:val="bottom"/>
          </w:tcPr>
          <w:p>
            <w:pPr>
              <w:jc w:val="right"/>
              <w:spacing w:after="0" w:line="160" w:lineRule="exact"/>
              <w:rPr>
                <w:sz w:val="20"/>
                <w:szCs w:val="20"/>
                <w:color w:val="auto"/>
              </w:rPr>
            </w:pPr>
            <w:r>
              <w:rPr>
                <w:rFonts w:ascii="Arial" w:cs="Arial" w:eastAsia="Arial" w:hAnsi="Arial"/>
                <w:sz w:val="15"/>
                <w:szCs w:val="15"/>
                <w:color w:val="auto"/>
              </w:rPr>
              <w:t>37,191</w:t>
            </w:r>
          </w:p>
        </w:tc>
        <w:tc>
          <w:tcPr>
            <w:tcW w:w="0" w:type="dxa"/>
            <w:vAlign w:val="bottom"/>
          </w:tcPr>
          <w:p>
            <w:pPr>
              <w:spacing w:after="0"/>
              <w:rPr>
                <w:sz w:val="1"/>
                <w:szCs w:val="1"/>
                <w:color w:val="auto"/>
              </w:rPr>
            </w:pPr>
          </w:p>
        </w:tc>
      </w:tr>
      <w:tr>
        <w:trPr>
          <w:trHeight w:val="62"/>
        </w:trPr>
        <w:tc>
          <w:tcPr>
            <w:tcW w:w="2860" w:type="dxa"/>
            <w:vAlign w:val="bottom"/>
            <w:vMerge w:val="restart"/>
          </w:tcPr>
          <w:p>
            <w:pPr>
              <w:ind w:left="20"/>
              <w:spacing w:after="0"/>
              <w:rPr>
                <w:sz w:val="20"/>
                <w:szCs w:val="20"/>
                <w:color w:val="auto"/>
              </w:rPr>
            </w:pPr>
            <w:r>
              <w:rPr>
                <w:rFonts w:ascii="Arial" w:cs="Arial" w:eastAsia="Arial" w:hAnsi="Arial"/>
                <w:sz w:val="13"/>
                <w:szCs w:val="13"/>
                <w:color w:val="auto"/>
              </w:rPr>
              <w:t>Senior Vice President,</w:t>
            </w:r>
          </w:p>
        </w:tc>
        <w:tc>
          <w:tcPr>
            <w:tcW w:w="880" w:type="dxa"/>
            <w:vAlign w:val="bottom"/>
            <w:tcBorders>
              <w:bottom w:val="single" w:sz="8" w:color="D9D9D9"/>
            </w:tcBorders>
          </w:tcPr>
          <w:p>
            <w:pPr>
              <w:spacing w:after="0"/>
              <w:rPr>
                <w:sz w:val="5"/>
                <w:szCs w:val="5"/>
                <w:color w:val="auto"/>
              </w:rPr>
            </w:pPr>
          </w:p>
        </w:tc>
        <w:tc>
          <w:tcPr>
            <w:tcW w:w="1140" w:type="dxa"/>
            <w:vAlign w:val="bottom"/>
            <w:tcBorders>
              <w:bottom w:val="single" w:sz="8" w:color="D9D9D9"/>
            </w:tcBorders>
          </w:tcPr>
          <w:p>
            <w:pPr>
              <w:spacing w:after="0"/>
              <w:rPr>
                <w:sz w:val="5"/>
                <w:szCs w:val="5"/>
                <w:color w:val="auto"/>
              </w:rPr>
            </w:pPr>
          </w:p>
        </w:tc>
        <w:tc>
          <w:tcPr>
            <w:tcW w:w="1080" w:type="dxa"/>
            <w:vAlign w:val="bottom"/>
            <w:tcBorders>
              <w:bottom w:val="single" w:sz="8" w:color="D9D9D9"/>
            </w:tcBorders>
          </w:tcPr>
          <w:p>
            <w:pPr>
              <w:spacing w:after="0"/>
              <w:rPr>
                <w:sz w:val="5"/>
                <w:szCs w:val="5"/>
                <w:color w:val="auto"/>
              </w:rPr>
            </w:pPr>
          </w:p>
        </w:tc>
        <w:tc>
          <w:tcPr>
            <w:tcW w:w="1100" w:type="dxa"/>
            <w:vAlign w:val="bottom"/>
            <w:tcBorders>
              <w:bottom w:val="single" w:sz="8" w:color="D9D9D9"/>
            </w:tcBorders>
          </w:tcPr>
          <w:p>
            <w:pPr>
              <w:spacing w:after="0"/>
              <w:rPr>
                <w:sz w:val="5"/>
                <w:szCs w:val="5"/>
                <w:color w:val="auto"/>
              </w:rPr>
            </w:pPr>
          </w:p>
        </w:tc>
        <w:tc>
          <w:tcPr>
            <w:tcW w:w="1160" w:type="dxa"/>
            <w:vAlign w:val="bottom"/>
            <w:tcBorders>
              <w:bottom w:val="single" w:sz="8" w:color="D9D9D9"/>
            </w:tcBorders>
          </w:tcPr>
          <w:p>
            <w:pPr>
              <w:spacing w:after="0"/>
              <w:rPr>
                <w:sz w:val="5"/>
                <w:szCs w:val="5"/>
                <w:color w:val="auto"/>
              </w:rPr>
            </w:pPr>
          </w:p>
        </w:tc>
        <w:tc>
          <w:tcPr>
            <w:tcW w:w="1140" w:type="dxa"/>
            <w:vAlign w:val="bottom"/>
            <w:tcBorders>
              <w:bottom w:val="single" w:sz="8" w:color="D9D9D9"/>
            </w:tcBorders>
          </w:tcPr>
          <w:p>
            <w:pPr>
              <w:spacing w:after="0"/>
              <w:rPr>
                <w:sz w:val="5"/>
                <w:szCs w:val="5"/>
                <w:color w:val="auto"/>
              </w:rPr>
            </w:pPr>
          </w:p>
        </w:tc>
        <w:tc>
          <w:tcPr>
            <w:tcW w:w="920" w:type="dxa"/>
            <w:vAlign w:val="bottom"/>
            <w:tcBorders>
              <w:bottom w:val="single" w:sz="8" w:color="D9D9D9"/>
            </w:tcBorders>
          </w:tcPr>
          <w:p>
            <w:pPr>
              <w:spacing w:after="0"/>
              <w:rPr>
                <w:sz w:val="5"/>
                <w:szCs w:val="5"/>
                <w:color w:val="auto"/>
              </w:rPr>
            </w:pPr>
          </w:p>
        </w:tc>
        <w:tc>
          <w:tcPr>
            <w:tcW w:w="96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860" w:type="dxa"/>
            <w:vAlign w:val="bottom"/>
            <w:vMerge w:val="continue"/>
          </w:tcPr>
          <w:p>
            <w:pPr>
              <w:spacing w:after="0"/>
              <w:rPr>
                <w:sz w:val="6"/>
                <w:szCs w:val="6"/>
                <w:color w:val="auto"/>
              </w:rPr>
            </w:pPr>
          </w:p>
        </w:tc>
        <w:tc>
          <w:tcPr>
            <w:tcW w:w="880" w:type="dxa"/>
            <w:vAlign w:val="bottom"/>
            <w:vMerge w:val="restart"/>
          </w:tcPr>
          <w:p>
            <w:pPr>
              <w:jc w:val="right"/>
              <w:ind w:right="326"/>
              <w:spacing w:after="0"/>
              <w:rPr>
                <w:sz w:val="20"/>
                <w:szCs w:val="20"/>
                <w:color w:val="auto"/>
              </w:rPr>
            </w:pPr>
            <w:r>
              <w:rPr>
                <w:rFonts w:ascii="Arial" w:cs="Arial" w:eastAsia="Arial" w:hAnsi="Arial"/>
                <w:sz w:val="15"/>
                <w:szCs w:val="15"/>
                <w:color w:val="auto"/>
              </w:rPr>
              <w:t>2024</w:t>
            </w:r>
          </w:p>
        </w:tc>
        <w:tc>
          <w:tcPr>
            <w:tcW w:w="1140" w:type="dxa"/>
            <w:vAlign w:val="bottom"/>
            <w:vMerge w:val="restart"/>
          </w:tcPr>
          <w:p>
            <w:pPr>
              <w:jc w:val="right"/>
              <w:ind w:right="226"/>
              <w:spacing w:after="0"/>
              <w:rPr>
                <w:sz w:val="20"/>
                <w:szCs w:val="20"/>
                <w:color w:val="auto"/>
              </w:rPr>
            </w:pPr>
            <w:r>
              <w:rPr>
                <w:rFonts w:ascii="Arial" w:cs="Arial" w:eastAsia="Arial" w:hAnsi="Arial"/>
                <w:sz w:val="15"/>
                <w:szCs w:val="15"/>
                <w:color w:val="auto"/>
              </w:rPr>
              <w:t>902</w:t>
            </w:r>
          </w:p>
        </w:tc>
        <w:tc>
          <w:tcPr>
            <w:tcW w:w="1080" w:type="dxa"/>
            <w:vAlign w:val="bottom"/>
            <w:vMerge w:val="restart"/>
          </w:tcPr>
          <w:p>
            <w:pPr>
              <w:jc w:val="right"/>
              <w:ind w:right="226"/>
              <w:spacing w:after="0"/>
              <w:rPr>
                <w:sz w:val="20"/>
                <w:szCs w:val="20"/>
                <w:color w:val="auto"/>
              </w:rPr>
            </w:pPr>
            <w:r>
              <w:rPr>
                <w:rFonts w:ascii="Arial" w:cs="Arial" w:eastAsia="Arial" w:hAnsi="Arial"/>
                <w:sz w:val="15"/>
                <w:szCs w:val="15"/>
                <w:color w:val="auto"/>
              </w:rPr>
              <w:t>6,250</w:t>
            </w:r>
          </w:p>
        </w:tc>
        <w:tc>
          <w:tcPr>
            <w:tcW w:w="1100" w:type="dxa"/>
            <w:vAlign w:val="bottom"/>
            <w:vMerge w:val="restart"/>
          </w:tcPr>
          <w:p>
            <w:pPr>
              <w:jc w:val="right"/>
              <w:ind w:right="246"/>
              <w:spacing w:after="0"/>
              <w:rPr>
                <w:sz w:val="20"/>
                <w:szCs w:val="20"/>
                <w:color w:val="auto"/>
              </w:rPr>
            </w:pPr>
            <w:r>
              <w:rPr>
                <w:rFonts w:ascii="Arial" w:cs="Arial" w:eastAsia="Arial" w:hAnsi="Arial"/>
                <w:sz w:val="15"/>
                <w:szCs w:val="15"/>
                <w:color w:val="auto"/>
              </w:rPr>
              <w:t>773</w:t>
            </w:r>
          </w:p>
        </w:tc>
        <w:tc>
          <w:tcPr>
            <w:tcW w:w="1160" w:type="dxa"/>
            <w:vAlign w:val="bottom"/>
            <w:vMerge w:val="restart"/>
          </w:tcPr>
          <w:p>
            <w:pPr>
              <w:jc w:val="right"/>
              <w:ind w:right="266"/>
              <w:spacing w:after="0"/>
              <w:rPr>
                <w:sz w:val="20"/>
                <w:szCs w:val="20"/>
                <w:color w:val="auto"/>
              </w:rPr>
            </w:pPr>
            <w:r>
              <w:rPr>
                <w:rFonts w:ascii="Arial" w:cs="Arial" w:eastAsia="Arial" w:hAnsi="Arial"/>
                <w:sz w:val="15"/>
                <w:szCs w:val="15"/>
                <w:color w:val="auto"/>
              </w:rPr>
              <w:t>6,845</w:t>
            </w:r>
          </w:p>
        </w:tc>
        <w:tc>
          <w:tcPr>
            <w:tcW w:w="1140" w:type="dxa"/>
            <w:vAlign w:val="bottom"/>
            <w:vMerge w:val="restart"/>
          </w:tcPr>
          <w:p>
            <w:pPr>
              <w:jc w:val="right"/>
              <w:ind w:right="206"/>
              <w:spacing w:after="0"/>
              <w:rPr>
                <w:sz w:val="20"/>
                <w:szCs w:val="20"/>
                <w:color w:val="auto"/>
              </w:rPr>
            </w:pPr>
            <w:r>
              <w:rPr>
                <w:rFonts w:ascii="Arial" w:cs="Arial" w:eastAsia="Arial" w:hAnsi="Arial"/>
                <w:sz w:val="15"/>
                <w:szCs w:val="15"/>
                <w:color w:val="auto"/>
              </w:rPr>
              <w:t>195,059</w:t>
            </w:r>
          </w:p>
        </w:tc>
        <w:tc>
          <w:tcPr>
            <w:tcW w:w="920" w:type="dxa"/>
            <w:vAlign w:val="bottom"/>
            <w:vMerge w:val="restart"/>
          </w:tcPr>
          <w:p>
            <w:pPr>
              <w:jc w:val="right"/>
              <w:ind w:right="306"/>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209,829</w:t>
            </w:r>
          </w:p>
        </w:tc>
        <w:tc>
          <w:tcPr>
            <w:tcW w:w="0" w:type="dxa"/>
            <w:vAlign w:val="bottom"/>
          </w:tcPr>
          <w:p>
            <w:pPr>
              <w:spacing w:after="0"/>
              <w:rPr>
                <w:sz w:val="1"/>
                <w:szCs w:val="1"/>
                <w:color w:val="auto"/>
              </w:rPr>
            </w:pPr>
          </w:p>
        </w:tc>
      </w:tr>
      <w:tr>
        <w:trPr>
          <w:trHeight w:val="128"/>
        </w:trPr>
        <w:tc>
          <w:tcPr>
            <w:tcW w:w="2860" w:type="dxa"/>
            <w:vAlign w:val="bottom"/>
            <w:vMerge w:val="restart"/>
          </w:tcPr>
          <w:p>
            <w:pPr>
              <w:ind w:left="20"/>
              <w:spacing w:after="0"/>
              <w:rPr>
                <w:sz w:val="20"/>
                <w:szCs w:val="20"/>
                <w:color w:val="auto"/>
              </w:rPr>
            </w:pPr>
            <w:r>
              <w:rPr>
                <w:rFonts w:ascii="Arial" w:cs="Arial" w:eastAsia="Arial" w:hAnsi="Arial"/>
                <w:sz w:val="13"/>
                <w:szCs w:val="13"/>
                <w:color w:val="auto"/>
              </w:rPr>
              <w:t>Chief Financial Officer and Treasurer</w:t>
            </w:r>
          </w:p>
        </w:tc>
        <w:tc>
          <w:tcPr>
            <w:tcW w:w="88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286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
        </w:trPr>
        <w:tc>
          <w:tcPr>
            <w:tcW w:w="2860" w:type="dxa"/>
            <w:vAlign w:val="bottom"/>
            <w:tcBorders>
              <w:bottom w:val="single" w:sz="8" w:color="D9D9D9"/>
            </w:tcBorders>
          </w:tcPr>
          <w:p>
            <w:pPr>
              <w:spacing w:after="0"/>
              <w:rPr>
                <w:sz w:val="2"/>
                <w:szCs w:val="2"/>
                <w:color w:val="auto"/>
              </w:rPr>
            </w:pPr>
          </w:p>
        </w:tc>
        <w:tc>
          <w:tcPr>
            <w:tcW w:w="880" w:type="dxa"/>
            <w:vAlign w:val="bottom"/>
            <w:tcBorders>
              <w:bottom w:val="single" w:sz="8" w:color="D9D9D9"/>
            </w:tcBorders>
          </w:tcPr>
          <w:p>
            <w:pPr>
              <w:spacing w:after="0"/>
              <w:rPr>
                <w:sz w:val="2"/>
                <w:szCs w:val="2"/>
                <w:color w:val="auto"/>
              </w:rPr>
            </w:pPr>
          </w:p>
        </w:tc>
        <w:tc>
          <w:tcPr>
            <w:tcW w:w="1140" w:type="dxa"/>
            <w:vAlign w:val="bottom"/>
            <w:tcBorders>
              <w:bottom w:val="single" w:sz="8" w:color="D9D9D9"/>
            </w:tcBorders>
          </w:tcPr>
          <w:p>
            <w:pPr>
              <w:spacing w:after="0"/>
              <w:rPr>
                <w:sz w:val="2"/>
                <w:szCs w:val="2"/>
                <w:color w:val="auto"/>
              </w:rPr>
            </w:pPr>
          </w:p>
        </w:tc>
        <w:tc>
          <w:tcPr>
            <w:tcW w:w="1080" w:type="dxa"/>
            <w:vAlign w:val="bottom"/>
            <w:tcBorders>
              <w:bottom w:val="single" w:sz="8" w:color="D9D9D9"/>
            </w:tcBorders>
          </w:tcPr>
          <w:p>
            <w:pPr>
              <w:spacing w:after="0"/>
              <w:rPr>
                <w:sz w:val="2"/>
                <w:szCs w:val="2"/>
                <w:color w:val="auto"/>
              </w:rPr>
            </w:pPr>
          </w:p>
        </w:tc>
        <w:tc>
          <w:tcPr>
            <w:tcW w:w="1100" w:type="dxa"/>
            <w:vAlign w:val="bottom"/>
            <w:tcBorders>
              <w:bottom w:val="single" w:sz="8" w:color="D9D9D9"/>
            </w:tcBorders>
          </w:tcPr>
          <w:p>
            <w:pPr>
              <w:spacing w:after="0"/>
              <w:rPr>
                <w:sz w:val="2"/>
                <w:szCs w:val="2"/>
                <w:color w:val="auto"/>
              </w:rPr>
            </w:pPr>
          </w:p>
        </w:tc>
        <w:tc>
          <w:tcPr>
            <w:tcW w:w="1160" w:type="dxa"/>
            <w:vAlign w:val="bottom"/>
            <w:tcBorders>
              <w:bottom w:val="single" w:sz="8" w:color="D9D9D9"/>
            </w:tcBorders>
          </w:tcPr>
          <w:p>
            <w:pPr>
              <w:spacing w:after="0"/>
              <w:rPr>
                <w:sz w:val="2"/>
                <w:szCs w:val="2"/>
                <w:color w:val="auto"/>
              </w:rPr>
            </w:pPr>
          </w:p>
        </w:tc>
        <w:tc>
          <w:tcPr>
            <w:tcW w:w="1140" w:type="dxa"/>
            <w:vAlign w:val="bottom"/>
            <w:tcBorders>
              <w:bottom w:val="single" w:sz="8" w:color="D9D9D9"/>
            </w:tcBorders>
          </w:tcPr>
          <w:p>
            <w:pPr>
              <w:spacing w:after="0"/>
              <w:rPr>
                <w:sz w:val="2"/>
                <w:szCs w:val="2"/>
                <w:color w:val="auto"/>
              </w:rPr>
            </w:pPr>
          </w:p>
        </w:tc>
        <w:tc>
          <w:tcPr>
            <w:tcW w:w="920" w:type="dxa"/>
            <w:vAlign w:val="bottom"/>
            <w:tcBorders>
              <w:bottom w:val="single" w:sz="8" w:color="D9D9D9"/>
            </w:tcBorders>
          </w:tcPr>
          <w:p>
            <w:pPr>
              <w:spacing w:after="0"/>
              <w:rPr>
                <w:sz w:val="2"/>
                <w:szCs w:val="2"/>
                <w:color w:val="auto"/>
              </w:rPr>
            </w:pPr>
          </w:p>
        </w:tc>
        <w:tc>
          <w:tcPr>
            <w:tcW w:w="960" w:type="dxa"/>
            <w:vAlign w:val="bottom"/>
            <w:tcBorders>
              <w:bottom w:val="single" w:sz="8" w:color="D9D9D9"/>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860" w:type="dxa"/>
            <w:vAlign w:val="bottom"/>
          </w:tcPr>
          <w:p>
            <w:pPr>
              <w:ind w:left="20"/>
              <w:spacing w:after="0"/>
              <w:rPr>
                <w:sz w:val="20"/>
                <w:szCs w:val="20"/>
                <w:color w:val="auto"/>
              </w:rPr>
            </w:pPr>
            <w:r>
              <w:rPr>
                <w:rFonts w:ascii="Arial" w:cs="Arial" w:eastAsia="Arial" w:hAnsi="Arial"/>
                <w:sz w:val="13"/>
                <w:szCs w:val="13"/>
                <w:b w:val="1"/>
                <w:bCs w:val="1"/>
                <w:color w:val="191769"/>
              </w:rPr>
              <w:t>Gregory S. Sorensen</w:t>
            </w:r>
          </w:p>
        </w:tc>
        <w:tc>
          <w:tcPr>
            <w:tcW w:w="880" w:type="dxa"/>
            <w:vAlign w:val="bottom"/>
          </w:tcPr>
          <w:p>
            <w:pPr>
              <w:jc w:val="right"/>
              <w:ind w:right="326"/>
              <w:spacing w:after="0" w:line="157" w:lineRule="exact"/>
              <w:rPr>
                <w:sz w:val="20"/>
                <w:szCs w:val="20"/>
                <w:color w:val="auto"/>
              </w:rPr>
            </w:pPr>
            <w:r>
              <w:rPr>
                <w:rFonts w:ascii="Arial" w:cs="Arial" w:eastAsia="Arial" w:hAnsi="Arial"/>
                <w:sz w:val="15"/>
                <w:szCs w:val="15"/>
                <w:color w:val="auto"/>
              </w:rPr>
              <w:t>2025</w:t>
            </w:r>
          </w:p>
        </w:tc>
        <w:tc>
          <w:tcPr>
            <w:tcW w:w="1140" w:type="dxa"/>
            <w:vAlign w:val="bottom"/>
          </w:tcPr>
          <w:p>
            <w:pPr>
              <w:jc w:val="right"/>
              <w:ind w:right="226"/>
              <w:spacing w:after="0" w:line="157"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226"/>
              <w:spacing w:after="0" w:line="157" w:lineRule="exact"/>
              <w:rPr>
                <w:sz w:val="20"/>
                <w:szCs w:val="20"/>
                <w:color w:val="auto"/>
              </w:rPr>
            </w:pPr>
            <w:r>
              <w:rPr>
                <w:rFonts w:ascii="Arial" w:cs="Arial" w:eastAsia="Arial" w:hAnsi="Arial"/>
                <w:sz w:val="15"/>
                <w:szCs w:val="15"/>
                <w:color w:val="auto"/>
              </w:rPr>
              <w:t>—</w:t>
            </w:r>
          </w:p>
        </w:tc>
        <w:tc>
          <w:tcPr>
            <w:tcW w:w="1100" w:type="dxa"/>
            <w:vAlign w:val="bottom"/>
          </w:tcPr>
          <w:p>
            <w:pPr>
              <w:jc w:val="right"/>
              <w:ind w:right="286"/>
              <w:spacing w:after="0" w:line="157" w:lineRule="exact"/>
              <w:rPr>
                <w:sz w:val="20"/>
                <w:szCs w:val="20"/>
                <w:color w:val="auto"/>
              </w:rPr>
            </w:pPr>
            <w:r>
              <w:rPr>
                <w:rFonts w:ascii="Arial" w:cs="Arial" w:eastAsia="Arial" w:hAnsi="Arial"/>
                <w:sz w:val="15"/>
                <w:szCs w:val="15"/>
                <w:color w:val="auto"/>
              </w:rPr>
              <w:t>3,656</w:t>
            </w:r>
          </w:p>
        </w:tc>
        <w:tc>
          <w:tcPr>
            <w:tcW w:w="1160" w:type="dxa"/>
            <w:vAlign w:val="bottom"/>
          </w:tcPr>
          <w:p>
            <w:pPr>
              <w:jc w:val="right"/>
              <w:ind w:right="306"/>
              <w:spacing w:after="0" w:line="157" w:lineRule="exact"/>
              <w:rPr>
                <w:sz w:val="20"/>
                <w:szCs w:val="20"/>
                <w:color w:val="auto"/>
              </w:rPr>
            </w:pPr>
            <w:r>
              <w:rPr>
                <w:rFonts w:ascii="Arial" w:cs="Arial" w:eastAsia="Arial" w:hAnsi="Arial"/>
                <w:sz w:val="15"/>
                <w:szCs w:val="15"/>
                <w:color w:val="auto"/>
              </w:rPr>
              <w:t>16,412</w:t>
            </w:r>
          </w:p>
        </w:tc>
        <w:tc>
          <w:tcPr>
            <w:tcW w:w="1140" w:type="dxa"/>
            <w:vAlign w:val="bottom"/>
          </w:tcPr>
          <w:p>
            <w:pPr>
              <w:jc w:val="right"/>
              <w:ind w:right="266"/>
              <w:spacing w:after="0" w:line="157" w:lineRule="exact"/>
              <w:rPr>
                <w:sz w:val="20"/>
                <w:szCs w:val="20"/>
                <w:color w:val="auto"/>
              </w:rPr>
            </w:pPr>
            <w:r>
              <w:rPr>
                <w:rFonts w:ascii="Arial" w:cs="Arial" w:eastAsia="Arial" w:hAnsi="Arial"/>
                <w:sz w:val="15"/>
                <w:szCs w:val="15"/>
                <w:color w:val="auto"/>
              </w:rPr>
              <w:t>17,348</w:t>
            </w:r>
          </w:p>
        </w:tc>
        <w:tc>
          <w:tcPr>
            <w:tcW w:w="920" w:type="dxa"/>
            <w:vAlign w:val="bottom"/>
          </w:tcPr>
          <w:p>
            <w:pPr>
              <w:jc w:val="right"/>
              <w:ind w:right="306"/>
              <w:spacing w:after="0" w:line="157" w:lineRule="exact"/>
              <w:rPr>
                <w:sz w:val="20"/>
                <w:szCs w:val="20"/>
                <w:color w:val="auto"/>
              </w:rPr>
            </w:pPr>
            <w:r>
              <w:rPr>
                <w:rFonts w:ascii="Arial" w:cs="Arial" w:eastAsia="Arial" w:hAnsi="Arial"/>
                <w:sz w:val="15"/>
                <w:szCs w:val="15"/>
                <w:color w:val="auto"/>
              </w:rPr>
              <w:t>—</w:t>
            </w:r>
          </w:p>
        </w:tc>
        <w:tc>
          <w:tcPr>
            <w:tcW w:w="960" w:type="dxa"/>
            <w:vAlign w:val="bottom"/>
          </w:tcPr>
          <w:p>
            <w:pPr>
              <w:jc w:val="right"/>
              <w:spacing w:after="0" w:line="157" w:lineRule="exact"/>
              <w:rPr>
                <w:sz w:val="20"/>
                <w:szCs w:val="20"/>
                <w:color w:val="auto"/>
              </w:rPr>
            </w:pPr>
            <w:r>
              <w:rPr>
                <w:rFonts w:ascii="Arial" w:cs="Arial" w:eastAsia="Arial" w:hAnsi="Arial"/>
                <w:sz w:val="15"/>
                <w:szCs w:val="15"/>
                <w:color w:val="auto"/>
              </w:rPr>
              <w:t>37,416</w:t>
            </w:r>
          </w:p>
        </w:tc>
        <w:tc>
          <w:tcPr>
            <w:tcW w:w="0" w:type="dxa"/>
            <w:vAlign w:val="bottom"/>
          </w:tcPr>
          <w:p>
            <w:pPr>
              <w:spacing w:after="0"/>
              <w:rPr>
                <w:sz w:val="1"/>
                <w:szCs w:val="1"/>
                <w:color w:val="auto"/>
              </w:rPr>
            </w:pPr>
          </w:p>
        </w:tc>
      </w:tr>
      <w:tr>
        <w:trPr>
          <w:trHeight w:val="173"/>
        </w:trPr>
        <w:tc>
          <w:tcPr>
            <w:tcW w:w="2860" w:type="dxa"/>
            <w:vAlign w:val="bottom"/>
          </w:tcPr>
          <w:p>
            <w:pPr>
              <w:ind w:left="20"/>
              <w:spacing w:after="0"/>
              <w:rPr>
                <w:sz w:val="20"/>
                <w:szCs w:val="20"/>
                <w:color w:val="auto"/>
              </w:rPr>
            </w:pPr>
            <w:r>
              <w:rPr>
                <w:rFonts w:ascii="Arial" w:cs="Arial" w:eastAsia="Arial" w:hAnsi="Arial"/>
                <w:sz w:val="13"/>
                <w:szCs w:val="13"/>
                <w:color w:val="auto"/>
              </w:rPr>
              <w:t>Vice President, Chief Operating Officer</w:t>
            </w: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860" w:type="dxa"/>
            <w:vAlign w:val="bottom"/>
            <w:tcBorders>
              <w:bottom w:val="single" w:sz="8" w:color="D9D9D9"/>
            </w:tcBorders>
          </w:tcPr>
          <w:p>
            <w:pPr>
              <w:spacing w:after="0"/>
              <w:rPr>
                <w:sz w:val="2"/>
                <w:szCs w:val="2"/>
                <w:color w:val="auto"/>
              </w:rPr>
            </w:pPr>
          </w:p>
        </w:tc>
        <w:tc>
          <w:tcPr>
            <w:tcW w:w="880" w:type="dxa"/>
            <w:vAlign w:val="bottom"/>
            <w:tcBorders>
              <w:bottom w:val="single" w:sz="8" w:color="D9D9D9"/>
            </w:tcBorders>
          </w:tcPr>
          <w:p>
            <w:pPr>
              <w:spacing w:after="0"/>
              <w:rPr>
                <w:sz w:val="2"/>
                <w:szCs w:val="2"/>
                <w:color w:val="auto"/>
              </w:rPr>
            </w:pPr>
          </w:p>
        </w:tc>
        <w:tc>
          <w:tcPr>
            <w:tcW w:w="1140" w:type="dxa"/>
            <w:vAlign w:val="bottom"/>
            <w:tcBorders>
              <w:bottom w:val="single" w:sz="8" w:color="D9D9D9"/>
            </w:tcBorders>
          </w:tcPr>
          <w:p>
            <w:pPr>
              <w:spacing w:after="0"/>
              <w:rPr>
                <w:sz w:val="2"/>
                <w:szCs w:val="2"/>
                <w:color w:val="auto"/>
              </w:rPr>
            </w:pPr>
          </w:p>
        </w:tc>
        <w:tc>
          <w:tcPr>
            <w:tcW w:w="1080" w:type="dxa"/>
            <w:vAlign w:val="bottom"/>
            <w:tcBorders>
              <w:bottom w:val="single" w:sz="8" w:color="D9D9D9"/>
            </w:tcBorders>
          </w:tcPr>
          <w:p>
            <w:pPr>
              <w:spacing w:after="0"/>
              <w:rPr>
                <w:sz w:val="2"/>
                <w:szCs w:val="2"/>
                <w:color w:val="auto"/>
              </w:rPr>
            </w:pPr>
          </w:p>
        </w:tc>
        <w:tc>
          <w:tcPr>
            <w:tcW w:w="1100" w:type="dxa"/>
            <w:vAlign w:val="bottom"/>
            <w:tcBorders>
              <w:bottom w:val="single" w:sz="8" w:color="D9D9D9"/>
            </w:tcBorders>
          </w:tcPr>
          <w:p>
            <w:pPr>
              <w:spacing w:after="0"/>
              <w:rPr>
                <w:sz w:val="2"/>
                <w:szCs w:val="2"/>
                <w:color w:val="auto"/>
              </w:rPr>
            </w:pPr>
          </w:p>
        </w:tc>
        <w:tc>
          <w:tcPr>
            <w:tcW w:w="1160" w:type="dxa"/>
            <w:vAlign w:val="bottom"/>
            <w:tcBorders>
              <w:bottom w:val="single" w:sz="8" w:color="D9D9D9"/>
            </w:tcBorders>
          </w:tcPr>
          <w:p>
            <w:pPr>
              <w:spacing w:after="0"/>
              <w:rPr>
                <w:sz w:val="2"/>
                <w:szCs w:val="2"/>
                <w:color w:val="auto"/>
              </w:rPr>
            </w:pPr>
          </w:p>
        </w:tc>
        <w:tc>
          <w:tcPr>
            <w:tcW w:w="1140" w:type="dxa"/>
            <w:vAlign w:val="bottom"/>
            <w:tcBorders>
              <w:bottom w:val="single" w:sz="8" w:color="D9D9D9"/>
            </w:tcBorders>
          </w:tcPr>
          <w:p>
            <w:pPr>
              <w:spacing w:after="0"/>
              <w:rPr>
                <w:sz w:val="2"/>
                <w:szCs w:val="2"/>
                <w:color w:val="auto"/>
              </w:rPr>
            </w:pPr>
          </w:p>
        </w:tc>
        <w:tc>
          <w:tcPr>
            <w:tcW w:w="920" w:type="dxa"/>
            <w:vAlign w:val="bottom"/>
            <w:tcBorders>
              <w:bottom w:val="single" w:sz="8" w:color="D9D9D9"/>
            </w:tcBorders>
          </w:tcPr>
          <w:p>
            <w:pPr>
              <w:spacing w:after="0"/>
              <w:rPr>
                <w:sz w:val="2"/>
                <w:szCs w:val="2"/>
                <w:color w:val="auto"/>
              </w:rPr>
            </w:pPr>
          </w:p>
        </w:tc>
        <w:tc>
          <w:tcPr>
            <w:tcW w:w="960" w:type="dxa"/>
            <w:vAlign w:val="bottom"/>
            <w:tcBorders>
              <w:bottom w:val="single" w:sz="8" w:color="D9D9D9"/>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860" w:type="dxa"/>
            <w:vAlign w:val="bottom"/>
          </w:tcPr>
          <w:p>
            <w:pPr>
              <w:ind w:left="20"/>
              <w:spacing w:after="0"/>
              <w:rPr>
                <w:sz w:val="20"/>
                <w:szCs w:val="20"/>
                <w:color w:val="auto"/>
              </w:rPr>
            </w:pPr>
            <w:r>
              <w:rPr>
                <w:rFonts w:ascii="Arial" w:cs="Arial" w:eastAsia="Arial" w:hAnsi="Arial"/>
                <w:sz w:val="13"/>
                <w:szCs w:val="13"/>
                <w:b w:val="1"/>
                <w:bCs w:val="1"/>
                <w:color w:val="191769"/>
              </w:rPr>
              <w:t>Jay L. Kooper</w:t>
            </w:r>
          </w:p>
        </w:tc>
        <w:tc>
          <w:tcPr>
            <w:tcW w:w="880" w:type="dxa"/>
            <w:vAlign w:val="bottom"/>
          </w:tcPr>
          <w:p>
            <w:pPr>
              <w:jc w:val="right"/>
              <w:ind w:right="326"/>
              <w:spacing w:after="0" w:line="157" w:lineRule="exact"/>
              <w:rPr>
                <w:sz w:val="20"/>
                <w:szCs w:val="20"/>
                <w:color w:val="auto"/>
              </w:rPr>
            </w:pPr>
            <w:r>
              <w:rPr>
                <w:rFonts w:ascii="Arial" w:cs="Arial" w:eastAsia="Arial" w:hAnsi="Arial"/>
                <w:sz w:val="15"/>
                <w:szCs w:val="15"/>
                <w:color w:val="auto"/>
              </w:rPr>
              <w:t>2025</w:t>
            </w:r>
          </w:p>
        </w:tc>
        <w:tc>
          <w:tcPr>
            <w:tcW w:w="1140" w:type="dxa"/>
            <w:vAlign w:val="bottom"/>
          </w:tcPr>
          <w:p>
            <w:pPr>
              <w:jc w:val="right"/>
              <w:ind w:right="286"/>
              <w:spacing w:after="0" w:line="157" w:lineRule="exact"/>
              <w:rPr>
                <w:sz w:val="20"/>
                <w:szCs w:val="20"/>
                <w:color w:val="auto"/>
              </w:rPr>
            </w:pPr>
            <w:r>
              <w:rPr>
                <w:rFonts w:ascii="Arial" w:cs="Arial" w:eastAsia="Arial" w:hAnsi="Arial"/>
                <w:sz w:val="15"/>
                <w:szCs w:val="15"/>
                <w:color w:val="auto"/>
              </w:rPr>
              <w:t>6,434</w:t>
            </w:r>
          </w:p>
        </w:tc>
        <w:tc>
          <w:tcPr>
            <w:tcW w:w="1080" w:type="dxa"/>
            <w:vAlign w:val="bottom"/>
          </w:tcPr>
          <w:p>
            <w:pPr>
              <w:jc w:val="right"/>
              <w:ind w:right="266"/>
              <w:spacing w:after="0" w:line="157" w:lineRule="exact"/>
              <w:rPr>
                <w:sz w:val="20"/>
                <w:szCs w:val="20"/>
                <w:color w:val="auto"/>
              </w:rPr>
            </w:pPr>
            <w:r>
              <w:rPr>
                <w:rFonts w:ascii="Arial" w:cs="Arial" w:eastAsia="Arial" w:hAnsi="Arial"/>
                <w:sz w:val="15"/>
                <w:szCs w:val="15"/>
                <w:color w:val="auto"/>
              </w:rPr>
              <w:t>9,580</w:t>
            </w:r>
          </w:p>
        </w:tc>
        <w:tc>
          <w:tcPr>
            <w:tcW w:w="1100" w:type="dxa"/>
            <w:vAlign w:val="bottom"/>
          </w:tcPr>
          <w:p>
            <w:pPr>
              <w:jc w:val="right"/>
              <w:ind w:right="286"/>
              <w:spacing w:after="0" w:line="157" w:lineRule="exact"/>
              <w:rPr>
                <w:sz w:val="20"/>
                <w:szCs w:val="20"/>
                <w:color w:val="auto"/>
              </w:rPr>
            </w:pPr>
            <w:r>
              <w:rPr>
                <w:rFonts w:ascii="Arial" w:cs="Arial" w:eastAsia="Arial" w:hAnsi="Arial"/>
                <w:sz w:val="15"/>
                <w:szCs w:val="15"/>
                <w:color w:val="auto"/>
              </w:rPr>
              <w:t>3,145</w:t>
            </w:r>
          </w:p>
        </w:tc>
        <w:tc>
          <w:tcPr>
            <w:tcW w:w="1160" w:type="dxa"/>
            <w:vAlign w:val="bottom"/>
          </w:tcPr>
          <w:p>
            <w:pPr>
              <w:jc w:val="right"/>
              <w:ind w:right="306"/>
              <w:spacing w:after="0" w:line="157" w:lineRule="exact"/>
              <w:rPr>
                <w:sz w:val="20"/>
                <w:szCs w:val="20"/>
                <w:color w:val="auto"/>
              </w:rPr>
            </w:pPr>
            <w:r>
              <w:rPr>
                <w:rFonts w:ascii="Arial" w:cs="Arial" w:eastAsia="Arial" w:hAnsi="Arial"/>
                <w:sz w:val="15"/>
                <w:szCs w:val="15"/>
                <w:color w:val="auto"/>
              </w:rPr>
              <w:t>13,897</w:t>
            </w: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tcPr>
          <w:p>
            <w:pPr>
              <w:jc w:val="right"/>
              <w:spacing w:after="0" w:line="157" w:lineRule="exact"/>
              <w:rPr>
                <w:sz w:val="20"/>
                <w:szCs w:val="20"/>
                <w:color w:val="auto"/>
              </w:rPr>
            </w:pPr>
            <w:r>
              <w:rPr>
                <w:rFonts w:ascii="Arial" w:cs="Arial" w:eastAsia="Arial" w:hAnsi="Arial"/>
                <w:sz w:val="15"/>
                <w:szCs w:val="15"/>
                <w:color w:val="auto"/>
              </w:rPr>
              <w:t>33,056</w:t>
            </w:r>
          </w:p>
        </w:tc>
        <w:tc>
          <w:tcPr>
            <w:tcW w:w="0" w:type="dxa"/>
            <w:vAlign w:val="bottom"/>
          </w:tcPr>
          <w:p>
            <w:pPr>
              <w:spacing w:after="0"/>
              <w:rPr>
                <w:sz w:val="1"/>
                <w:szCs w:val="1"/>
                <w:color w:val="auto"/>
              </w:rPr>
            </w:pPr>
          </w:p>
        </w:tc>
      </w:tr>
      <w:tr>
        <w:trPr>
          <w:trHeight w:val="57"/>
        </w:trPr>
        <w:tc>
          <w:tcPr>
            <w:tcW w:w="2860" w:type="dxa"/>
            <w:vAlign w:val="bottom"/>
            <w:vMerge w:val="restart"/>
          </w:tcPr>
          <w:p>
            <w:pPr>
              <w:ind w:left="20"/>
              <w:spacing w:after="0"/>
              <w:rPr>
                <w:sz w:val="20"/>
                <w:szCs w:val="20"/>
                <w:color w:val="auto"/>
              </w:rPr>
            </w:pPr>
            <w:r>
              <w:rPr>
                <w:rFonts w:ascii="Arial" w:cs="Arial" w:eastAsia="Arial" w:hAnsi="Arial"/>
                <w:sz w:val="13"/>
                <w:szCs w:val="13"/>
                <w:color w:val="auto"/>
              </w:rPr>
              <w:t>Vice President,</w:t>
            </w:r>
          </w:p>
        </w:tc>
        <w:tc>
          <w:tcPr>
            <w:tcW w:w="880" w:type="dxa"/>
            <w:vAlign w:val="bottom"/>
            <w:tcBorders>
              <w:bottom w:val="single" w:sz="8" w:color="D9D9D9"/>
            </w:tcBorders>
          </w:tcPr>
          <w:p>
            <w:pPr>
              <w:spacing w:after="0"/>
              <w:rPr>
                <w:sz w:val="4"/>
                <w:szCs w:val="4"/>
                <w:color w:val="auto"/>
              </w:rPr>
            </w:pPr>
          </w:p>
        </w:tc>
        <w:tc>
          <w:tcPr>
            <w:tcW w:w="1140" w:type="dxa"/>
            <w:vAlign w:val="bottom"/>
            <w:tcBorders>
              <w:bottom w:val="single" w:sz="8" w:color="D9D9D9"/>
            </w:tcBorders>
          </w:tcPr>
          <w:p>
            <w:pPr>
              <w:spacing w:after="0"/>
              <w:rPr>
                <w:sz w:val="4"/>
                <w:szCs w:val="4"/>
                <w:color w:val="auto"/>
              </w:rPr>
            </w:pPr>
          </w:p>
        </w:tc>
        <w:tc>
          <w:tcPr>
            <w:tcW w:w="1080" w:type="dxa"/>
            <w:vAlign w:val="bottom"/>
            <w:tcBorders>
              <w:bottom w:val="single" w:sz="8" w:color="D9D9D9"/>
            </w:tcBorders>
          </w:tcPr>
          <w:p>
            <w:pPr>
              <w:spacing w:after="0"/>
              <w:rPr>
                <w:sz w:val="4"/>
                <w:szCs w:val="4"/>
                <w:color w:val="auto"/>
              </w:rPr>
            </w:pPr>
          </w:p>
        </w:tc>
        <w:tc>
          <w:tcPr>
            <w:tcW w:w="1100" w:type="dxa"/>
            <w:vAlign w:val="bottom"/>
            <w:tcBorders>
              <w:bottom w:val="single" w:sz="8" w:color="D9D9D9"/>
            </w:tcBorders>
          </w:tcPr>
          <w:p>
            <w:pPr>
              <w:spacing w:after="0"/>
              <w:rPr>
                <w:sz w:val="4"/>
                <w:szCs w:val="4"/>
                <w:color w:val="auto"/>
              </w:rPr>
            </w:pPr>
          </w:p>
        </w:tc>
        <w:tc>
          <w:tcPr>
            <w:tcW w:w="1160" w:type="dxa"/>
            <w:vAlign w:val="bottom"/>
            <w:tcBorders>
              <w:bottom w:val="single" w:sz="8" w:color="D9D9D9"/>
            </w:tcBorders>
          </w:tcPr>
          <w:p>
            <w:pPr>
              <w:spacing w:after="0"/>
              <w:rPr>
                <w:sz w:val="4"/>
                <w:szCs w:val="4"/>
                <w:color w:val="auto"/>
              </w:rPr>
            </w:pPr>
          </w:p>
        </w:tc>
        <w:tc>
          <w:tcPr>
            <w:tcW w:w="1140" w:type="dxa"/>
            <w:vAlign w:val="bottom"/>
            <w:tcBorders>
              <w:bottom w:val="single" w:sz="8" w:color="D9D9D9"/>
            </w:tcBorders>
          </w:tcPr>
          <w:p>
            <w:pPr>
              <w:spacing w:after="0"/>
              <w:rPr>
                <w:sz w:val="4"/>
                <w:szCs w:val="4"/>
                <w:color w:val="auto"/>
              </w:rPr>
            </w:pPr>
          </w:p>
        </w:tc>
        <w:tc>
          <w:tcPr>
            <w:tcW w:w="920" w:type="dxa"/>
            <w:vAlign w:val="bottom"/>
            <w:tcBorders>
              <w:bottom w:val="single" w:sz="8" w:color="D9D9D9"/>
            </w:tcBorders>
          </w:tcPr>
          <w:p>
            <w:pPr>
              <w:spacing w:after="0"/>
              <w:rPr>
                <w:sz w:val="4"/>
                <w:szCs w:val="4"/>
                <w:color w:val="auto"/>
              </w:rPr>
            </w:pPr>
          </w:p>
        </w:tc>
        <w:tc>
          <w:tcPr>
            <w:tcW w:w="960" w:type="dxa"/>
            <w:vAlign w:val="bottom"/>
            <w:tcBorders>
              <w:bottom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2860" w:type="dxa"/>
            <w:vAlign w:val="bottom"/>
            <w:vMerge w:val="continue"/>
          </w:tcPr>
          <w:p>
            <w:pPr>
              <w:spacing w:after="0"/>
              <w:rPr>
                <w:sz w:val="7"/>
                <w:szCs w:val="7"/>
                <w:color w:val="auto"/>
              </w:rPr>
            </w:pPr>
          </w:p>
        </w:tc>
        <w:tc>
          <w:tcPr>
            <w:tcW w:w="880" w:type="dxa"/>
            <w:vAlign w:val="bottom"/>
            <w:vMerge w:val="restart"/>
          </w:tcPr>
          <w:p>
            <w:pPr>
              <w:jc w:val="right"/>
              <w:ind w:right="326"/>
              <w:spacing w:after="0"/>
              <w:rPr>
                <w:sz w:val="20"/>
                <w:szCs w:val="20"/>
                <w:color w:val="auto"/>
              </w:rPr>
            </w:pPr>
            <w:r>
              <w:rPr>
                <w:rFonts w:ascii="Arial" w:cs="Arial" w:eastAsia="Arial" w:hAnsi="Arial"/>
                <w:sz w:val="15"/>
                <w:szCs w:val="15"/>
                <w:color w:val="auto"/>
              </w:rPr>
              <w:t>2024</w:t>
            </w:r>
          </w:p>
        </w:tc>
        <w:tc>
          <w:tcPr>
            <w:tcW w:w="1140" w:type="dxa"/>
            <w:vAlign w:val="bottom"/>
            <w:vMerge w:val="restart"/>
          </w:tcPr>
          <w:p>
            <w:pPr>
              <w:jc w:val="right"/>
              <w:ind w:right="226"/>
              <w:spacing w:after="0"/>
              <w:rPr>
                <w:sz w:val="20"/>
                <w:szCs w:val="20"/>
                <w:color w:val="auto"/>
              </w:rPr>
            </w:pPr>
            <w:r>
              <w:rPr>
                <w:rFonts w:ascii="Arial" w:cs="Arial" w:eastAsia="Arial" w:hAnsi="Arial"/>
                <w:sz w:val="15"/>
                <w:szCs w:val="15"/>
                <w:color w:val="auto"/>
              </w:rPr>
              <w:t>5,107</w:t>
            </w:r>
          </w:p>
        </w:tc>
        <w:tc>
          <w:tcPr>
            <w:tcW w:w="1080" w:type="dxa"/>
            <w:vAlign w:val="bottom"/>
            <w:vMerge w:val="restart"/>
          </w:tcPr>
          <w:p>
            <w:pPr>
              <w:jc w:val="right"/>
              <w:ind w:right="226"/>
              <w:spacing w:after="0"/>
              <w:rPr>
                <w:sz w:val="20"/>
                <w:szCs w:val="20"/>
                <w:color w:val="auto"/>
              </w:rPr>
            </w:pPr>
            <w:r>
              <w:rPr>
                <w:rFonts w:ascii="Arial" w:cs="Arial" w:eastAsia="Arial" w:hAnsi="Arial"/>
                <w:sz w:val="15"/>
                <w:szCs w:val="15"/>
                <w:color w:val="auto"/>
              </w:rPr>
              <w:t>9,226</w:t>
            </w:r>
          </w:p>
        </w:tc>
        <w:tc>
          <w:tcPr>
            <w:tcW w:w="1100" w:type="dxa"/>
            <w:vAlign w:val="bottom"/>
            <w:vMerge w:val="restart"/>
          </w:tcPr>
          <w:p>
            <w:pPr>
              <w:jc w:val="right"/>
              <w:ind w:right="246"/>
              <w:spacing w:after="0"/>
              <w:rPr>
                <w:sz w:val="20"/>
                <w:szCs w:val="20"/>
                <w:color w:val="auto"/>
              </w:rPr>
            </w:pPr>
            <w:r>
              <w:rPr>
                <w:rFonts w:ascii="Arial" w:cs="Arial" w:eastAsia="Arial" w:hAnsi="Arial"/>
                <w:sz w:val="15"/>
                <w:szCs w:val="15"/>
                <w:color w:val="auto"/>
              </w:rPr>
              <w:t>2,909</w:t>
            </w:r>
          </w:p>
        </w:tc>
        <w:tc>
          <w:tcPr>
            <w:tcW w:w="1160" w:type="dxa"/>
            <w:vAlign w:val="bottom"/>
            <w:vMerge w:val="restart"/>
          </w:tcPr>
          <w:p>
            <w:pPr>
              <w:jc w:val="right"/>
              <w:ind w:right="266"/>
              <w:spacing w:after="0"/>
              <w:rPr>
                <w:sz w:val="20"/>
                <w:szCs w:val="20"/>
                <w:color w:val="auto"/>
              </w:rPr>
            </w:pPr>
            <w:r>
              <w:rPr>
                <w:rFonts w:ascii="Arial" w:cs="Arial" w:eastAsia="Arial" w:hAnsi="Arial"/>
                <w:sz w:val="15"/>
                <w:szCs w:val="15"/>
                <w:color w:val="auto"/>
              </w:rPr>
              <w:t>12,879</w:t>
            </w:r>
          </w:p>
        </w:tc>
        <w:tc>
          <w:tcPr>
            <w:tcW w:w="1140" w:type="dxa"/>
            <w:vAlign w:val="bottom"/>
            <w:vMerge w:val="restart"/>
          </w:tcPr>
          <w:p>
            <w:pPr>
              <w:jc w:val="right"/>
              <w:ind w:right="206"/>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306"/>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30,121</w:t>
            </w:r>
          </w:p>
        </w:tc>
        <w:tc>
          <w:tcPr>
            <w:tcW w:w="0" w:type="dxa"/>
            <w:vAlign w:val="bottom"/>
          </w:tcPr>
          <w:p>
            <w:pPr>
              <w:spacing w:after="0"/>
              <w:rPr>
                <w:sz w:val="1"/>
                <w:szCs w:val="1"/>
                <w:color w:val="auto"/>
              </w:rPr>
            </w:pPr>
          </w:p>
        </w:tc>
      </w:tr>
      <w:tr>
        <w:trPr>
          <w:trHeight w:val="136"/>
        </w:trPr>
        <w:tc>
          <w:tcPr>
            <w:tcW w:w="2860" w:type="dxa"/>
            <w:vAlign w:val="bottom"/>
          </w:tcPr>
          <w:p>
            <w:pPr>
              <w:ind w:left="20"/>
              <w:spacing w:after="0" w:line="111" w:lineRule="exact"/>
              <w:rPr>
                <w:sz w:val="20"/>
                <w:szCs w:val="20"/>
                <w:color w:val="auto"/>
              </w:rPr>
            </w:pPr>
            <w:r>
              <w:rPr>
                <w:rFonts w:ascii="Arial" w:cs="Arial" w:eastAsia="Arial" w:hAnsi="Arial"/>
                <w:sz w:val="12"/>
                <w:szCs w:val="12"/>
                <w:color w:val="auto"/>
              </w:rPr>
              <w:t>General Counsel and Secretary</w:t>
            </w:r>
          </w:p>
        </w:tc>
        <w:tc>
          <w:tcPr>
            <w:tcW w:w="880" w:type="dxa"/>
            <w:vAlign w:val="bottom"/>
            <w:tcBorders>
              <w:bottom w:val="single" w:sz="8" w:color="D9D9D9"/>
            </w:tcBorders>
            <w:vMerge w:val="continue"/>
          </w:tcPr>
          <w:p>
            <w:pPr>
              <w:spacing w:after="0"/>
              <w:rPr>
                <w:sz w:val="11"/>
                <w:szCs w:val="11"/>
                <w:color w:val="auto"/>
              </w:rPr>
            </w:pPr>
          </w:p>
        </w:tc>
        <w:tc>
          <w:tcPr>
            <w:tcW w:w="1140" w:type="dxa"/>
            <w:vAlign w:val="bottom"/>
            <w:tcBorders>
              <w:bottom w:val="single" w:sz="8" w:color="D9D9D9"/>
            </w:tcBorders>
            <w:vMerge w:val="continue"/>
          </w:tcPr>
          <w:p>
            <w:pPr>
              <w:spacing w:after="0"/>
              <w:rPr>
                <w:sz w:val="11"/>
                <w:szCs w:val="11"/>
                <w:color w:val="auto"/>
              </w:rPr>
            </w:pPr>
          </w:p>
        </w:tc>
        <w:tc>
          <w:tcPr>
            <w:tcW w:w="1080" w:type="dxa"/>
            <w:vAlign w:val="bottom"/>
            <w:tcBorders>
              <w:bottom w:val="single" w:sz="8" w:color="D9D9D9"/>
            </w:tcBorders>
            <w:vMerge w:val="continue"/>
          </w:tcPr>
          <w:p>
            <w:pPr>
              <w:spacing w:after="0"/>
              <w:rPr>
                <w:sz w:val="11"/>
                <w:szCs w:val="11"/>
                <w:color w:val="auto"/>
              </w:rPr>
            </w:pPr>
          </w:p>
        </w:tc>
        <w:tc>
          <w:tcPr>
            <w:tcW w:w="1100" w:type="dxa"/>
            <w:vAlign w:val="bottom"/>
            <w:tcBorders>
              <w:bottom w:val="single" w:sz="8" w:color="D9D9D9"/>
            </w:tcBorders>
            <w:vMerge w:val="continue"/>
          </w:tcPr>
          <w:p>
            <w:pPr>
              <w:spacing w:after="0"/>
              <w:rPr>
                <w:sz w:val="11"/>
                <w:szCs w:val="11"/>
                <w:color w:val="auto"/>
              </w:rPr>
            </w:pPr>
          </w:p>
        </w:tc>
        <w:tc>
          <w:tcPr>
            <w:tcW w:w="1160" w:type="dxa"/>
            <w:vAlign w:val="bottom"/>
            <w:tcBorders>
              <w:bottom w:val="single" w:sz="8" w:color="D9D9D9"/>
            </w:tcBorders>
            <w:vMerge w:val="continue"/>
          </w:tcPr>
          <w:p>
            <w:pPr>
              <w:spacing w:after="0"/>
              <w:rPr>
                <w:sz w:val="11"/>
                <w:szCs w:val="11"/>
                <w:color w:val="auto"/>
              </w:rPr>
            </w:pPr>
          </w:p>
        </w:tc>
        <w:tc>
          <w:tcPr>
            <w:tcW w:w="1140" w:type="dxa"/>
            <w:vAlign w:val="bottom"/>
            <w:tcBorders>
              <w:bottom w:val="single" w:sz="8" w:color="D9D9D9"/>
            </w:tcBorders>
            <w:vMerge w:val="continue"/>
          </w:tcPr>
          <w:p>
            <w:pPr>
              <w:spacing w:after="0"/>
              <w:rPr>
                <w:sz w:val="11"/>
                <w:szCs w:val="11"/>
                <w:color w:val="auto"/>
              </w:rPr>
            </w:pPr>
          </w:p>
        </w:tc>
        <w:tc>
          <w:tcPr>
            <w:tcW w:w="920" w:type="dxa"/>
            <w:vAlign w:val="bottom"/>
            <w:tcBorders>
              <w:bottom w:val="single" w:sz="8" w:color="D9D9D9"/>
            </w:tcBorders>
            <w:vMerge w:val="continue"/>
          </w:tcPr>
          <w:p>
            <w:pPr>
              <w:spacing w:after="0"/>
              <w:rPr>
                <w:sz w:val="11"/>
                <w:szCs w:val="11"/>
                <w:color w:val="auto"/>
              </w:rPr>
            </w:pPr>
          </w:p>
        </w:tc>
        <w:tc>
          <w:tcPr>
            <w:tcW w:w="960" w:type="dxa"/>
            <w:vAlign w:val="bottom"/>
            <w:tcBorders>
              <w:bottom w:val="single" w:sz="8" w:color="D9D9D9"/>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860" w:type="dxa"/>
            <w:vAlign w:val="bottom"/>
          </w:tcPr>
          <w:p>
            <w:pPr>
              <w:spacing w:after="0"/>
              <w:rPr>
                <w:sz w:val="17"/>
                <w:szCs w:val="17"/>
                <w:color w:val="auto"/>
              </w:rPr>
            </w:pPr>
          </w:p>
        </w:tc>
        <w:tc>
          <w:tcPr>
            <w:tcW w:w="880" w:type="dxa"/>
            <w:vAlign w:val="bottom"/>
            <w:tcBorders>
              <w:bottom w:val="single" w:sz="8" w:color="D9D9D9"/>
            </w:tcBorders>
          </w:tcPr>
          <w:p>
            <w:pPr>
              <w:jc w:val="right"/>
              <w:ind w:right="326"/>
              <w:spacing w:after="0"/>
              <w:rPr>
                <w:sz w:val="20"/>
                <w:szCs w:val="20"/>
                <w:color w:val="auto"/>
              </w:rPr>
            </w:pPr>
            <w:r>
              <w:rPr>
                <w:rFonts w:ascii="Arial" w:cs="Arial" w:eastAsia="Arial" w:hAnsi="Arial"/>
                <w:sz w:val="15"/>
                <w:szCs w:val="15"/>
                <w:color w:val="auto"/>
              </w:rPr>
              <w:t>2023</w:t>
            </w:r>
          </w:p>
        </w:tc>
        <w:tc>
          <w:tcPr>
            <w:tcW w:w="1140" w:type="dxa"/>
            <w:vAlign w:val="bottom"/>
            <w:tcBorders>
              <w:bottom w:val="single" w:sz="8" w:color="D9D9D9"/>
            </w:tcBorders>
          </w:tcPr>
          <w:p>
            <w:pPr>
              <w:jc w:val="right"/>
              <w:ind w:right="226"/>
              <w:spacing w:after="0"/>
              <w:rPr>
                <w:sz w:val="20"/>
                <w:szCs w:val="20"/>
                <w:color w:val="auto"/>
              </w:rPr>
            </w:pPr>
            <w:r>
              <w:rPr>
                <w:rFonts w:ascii="Arial" w:cs="Arial" w:eastAsia="Arial" w:hAnsi="Arial"/>
                <w:sz w:val="15"/>
                <w:szCs w:val="15"/>
                <w:color w:val="auto"/>
              </w:rPr>
              <w:t>3,915</w:t>
            </w:r>
          </w:p>
        </w:tc>
        <w:tc>
          <w:tcPr>
            <w:tcW w:w="1080" w:type="dxa"/>
            <w:vAlign w:val="bottom"/>
            <w:tcBorders>
              <w:bottom w:val="single" w:sz="8" w:color="D9D9D9"/>
            </w:tcBorders>
          </w:tcPr>
          <w:p>
            <w:pPr>
              <w:jc w:val="right"/>
              <w:ind w:right="226"/>
              <w:spacing w:after="0"/>
              <w:rPr>
                <w:sz w:val="20"/>
                <w:szCs w:val="20"/>
                <w:color w:val="auto"/>
              </w:rPr>
            </w:pPr>
            <w:r>
              <w:rPr>
                <w:rFonts w:ascii="Arial" w:cs="Arial" w:eastAsia="Arial" w:hAnsi="Arial"/>
                <w:sz w:val="15"/>
                <w:szCs w:val="15"/>
                <w:color w:val="auto"/>
              </w:rPr>
              <w:t>9,226</w:t>
            </w:r>
          </w:p>
        </w:tc>
        <w:tc>
          <w:tcPr>
            <w:tcW w:w="1100" w:type="dxa"/>
            <w:vAlign w:val="bottom"/>
            <w:tcBorders>
              <w:bottom w:val="single" w:sz="8" w:color="D9D9D9"/>
            </w:tcBorders>
          </w:tcPr>
          <w:p>
            <w:pPr>
              <w:jc w:val="right"/>
              <w:ind w:right="246"/>
              <w:spacing w:after="0"/>
              <w:rPr>
                <w:sz w:val="20"/>
                <w:szCs w:val="20"/>
                <w:color w:val="auto"/>
              </w:rPr>
            </w:pPr>
            <w:r>
              <w:rPr>
                <w:rFonts w:ascii="Arial" w:cs="Arial" w:eastAsia="Arial" w:hAnsi="Arial"/>
                <w:sz w:val="15"/>
                <w:szCs w:val="15"/>
                <w:color w:val="auto"/>
              </w:rPr>
              <w:t>2,802</w:t>
            </w:r>
          </w:p>
        </w:tc>
        <w:tc>
          <w:tcPr>
            <w:tcW w:w="1160" w:type="dxa"/>
            <w:vAlign w:val="bottom"/>
            <w:tcBorders>
              <w:bottom w:val="single" w:sz="8" w:color="D9D9D9"/>
            </w:tcBorders>
          </w:tcPr>
          <w:p>
            <w:pPr>
              <w:jc w:val="right"/>
              <w:ind w:right="266"/>
              <w:spacing w:after="0"/>
              <w:rPr>
                <w:sz w:val="20"/>
                <w:szCs w:val="20"/>
                <w:color w:val="auto"/>
              </w:rPr>
            </w:pPr>
            <w:r>
              <w:rPr>
                <w:rFonts w:ascii="Arial" w:cs="Arial" w:eastAsia="Arial" w:hAnsi="Arial"/>
                <w:sz w:val="15"/>
                <w:szCs w:val="15"/>
                <w:color w:val="auto"/>
              </w:rPr>
              <w:t>28,049</w:t>
            </w:r>
          </w:p>
        </w:tc>
        <w:tc>
          <w:tcPr>
            <w:tcW w:w="1140" w:type="dxa"/>
            <w:vAlign w:val="bottom"/>
            <w:tcBorders>
              <w:bottom w:val="single" w:sz="8" w:color="D9D9D9"/>
            </w:tcBorders>
          </w:tcPr>
          <w:p>
            <w:pPr>
              <w:jc w:val="right"/>
              <w:ind w:right="20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D9D9D9"/>
            </w:tcBorders>
          </w:tcPr>
          <w:p>
            <w:pPr>
              <w:jc w:val="right"/>
              <w:ind w:right="30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D9D9D9"/>
            </w:tcBorders>
          </w:tcPr>
          <w:p>
            <w:pPr>
              <w:jc w:val="right"/>
              <w:spacing w:after="0"/>
              <w:rPr>
                <w:sz w:val="20"/>
                <w:szCs w:val="20"/>
                <w:color w:val="auto"/>
              </w:rPr>
            </w:pPr>
            <w:r>
              <w:rPr>
                <w:rFonts w:ascii="Arial" w:cs="Arial" w:eastAsia="Arial" w:hAnsi="Arial"/>
                <w:sz w:val="15"/>
                <w:szCs w:val="15"/>
                <w:color w:val="auto"/>
              </w:rPr>
              <w:t>43,992</w:t>
            </w:r>
          </w:p>
        </w:tc>
        <w:tc>
          <w:tcPr>
            <w:tcW w:w="0" w:type="dxa"/>
            <w:vAlign w:val="bottom"/>
          </w:tcPr>
          <w:p>
            <w:pPr>
              <w:spacing w:after="0"/>
              <w:rPr>
                <w:sz w:val="1"/>
                <w:szCs w:val="1"/>
                <w:color w:val="auto"/>
              </w:rPr>
            </w:pPr>
          </w:p>
        </w:tc>
      </w:tr>
      <w:tr>
        <w:trPr>
          <w:trHeight w:val="160"/>
        </w:trPr>
        <w:tc>
          <w:tcPr>
            <w:tcW w:w="2860" w:type="dxa"/>
            <w:vAlign w:val="bottom"/>
          </w:tcPr>
          <w:p>
            <w:pPr>
              <w:ind w:left="20"/>
              <w:spacing w:after="0"/>
              <w:rPr>
                <w:sz w:val="20"/>
                <w:szCs w:val="20"/>
                <w:color w:val="auto"/>
              </w:rPr>
            </w:pPr>
            <w:r>
              <w:rPr>
                <w:rFonts w:ascii="Arial" w:cs="Arial" w:eastAsia="Arial" w:hAnsi="Arial"/>
                <w:sz w:val="13"/>
                <w:szCs w:val="13"/>
                <w:b w:val="1"/>
                <w:bCs w:val="1"/>
                <w:color w:val="191769"/>
              </w:rPr>
              <w:t>Georgia M. Simpson</w:t>
            </w:r>
          </w:p>
        </w:tc>
        <w:tc>
          <w:tcPr>
            <w:tcW w:w="880" w:type="dxa"/>
            <w:vAlign w:val="bottom"/>
          </w:tcPr>
          <w:p>
            <w:pPr>
              <w:jc w:val="right"/>
              <w:ind w:right="326"/>
              <w:spacing w:after="0" w:line="160" w:lineRule="exact"/>
              <w:rPr>
                <w:sz w:val="20"/>
                <w:szCs w:val="20"/>
                <w:color w:val="auto"/>
              </w:rPr>
            </w:pPr>
            <w:r>
              <w:rPr>
                <w:rFonts w:ascii="Arial" w:cs="Arial" w:eastAsia="Arial" w:hAnsi="Arial"/>
                <w:sz w:val="15"/>
                <w:szCs w:val="15"/>
                <w:color w:val="auto"/>
              </w:rPr>
              <w:t>2025</w:t>
            </w:r>
          </w:p>
        </w:tc>
        <w:tc>
          <w:tcPr>
            <w:tcW w:w="1140" w:type="dxa"/>
            <w:vAlign w:val="bottom"/>
          </w:tcPr>
          <w:p>
            <w:pPr>
              <w:jc w:val="right"/>
              <w:ind w:right="286"/>
              <w:spacing w:after="0" w:line="160" w:lineRule="exact"/>
              <w:rPr>
                <w:sz w:val="20"/>
                <w:szCs w:val="20"/>
                <w:color w:val="auto"/>
              </w:rPr>
            </w:pPr>
            <w:r>
              <w:rPr>
                <w:rFonts w:ascii="Arial" w:cs="Arial" w:eastAsia="Arial" w:hAnsi="Arial"/>
                <w:sz w:val="15"/>
                <w:szCs w:val="15"/>
                <w:color w:val="auto"/>
              </w:rPr>
              <w:t>5,629</w:t>
            </w:r>
          </w:p>
        </w:tc>
        <w:tc>
          <w:tcPr>
            <w:tcW w:w="1080" w:type="dxa"/>
            <w:vAlign w:val="bottom"/>
          </w:tcPr>
          <w:p>
            <w:pPr>
              <w:jc w:val="right"/>
              <w:ind w:right="266"/>
              <w:spacing w:after="0" w:line="160" w:lineRule="exact"/>
              <w:rPr>
                <w:sz w:val="20"/>
                <w:szCs w:val="20"/>
                <w:color w:val="auto"/>
              </w:rPr>
            </w:pPr>
            <w:r>
              <w:rPr>
                <w:rFonts w:ascii="Arial" w:cs="Arial" w:eastAsia="Arial" w:hAnsi="Arial"/>
                <w:sz w:val="15"/>
                <w:szCs w:val="15"/>
                <w:color w:val="auto"/>
              </w:rPr>
              <w:t>6,313</w:t>
            </w:r>
          </w:p>
        </w:tc>
        <w:tc>
          <w:tcPr>
            <w:tcW w:w="1100" w:type="dxa"/>
            <w:vAlign w:val="bottom"/>
          </w:tcPr>
          <w:p>
            <w:pPr>
              <w:jc w:val="right"/>
              <w:ind w:right="286"/>
              <w:spacing w:after="0" w:line="160" w:lineRule="exact"/>
              <w:rPr>
                <w:sz w:val="20"/>
                <w:szCs w:val="20"/>
                <w:color w:val="auto"/>
              </w:rPr>
            </w:pPr>
            <w:r>
              <w:rPr>
                <w:rFonts w:ascii="Arial" w:cs="Arial" w:eastAsia="Arial" w:hAnsi="Arial"/>
                <w:sz w:val="15"/>
                <w:szCs w:val="15"/>
                <w:color w:val="auto"/>
              </w:rPr>
              <w:t>1,290</w:t>
            </w:r>
          </w:p>
        </w:tc>
        <w:tc>
          <w:tcPr>
            <w:tcW w:w="1160" w:type="dxa"/>
            <w:vAlign w:val="bottom"/>
          </w:tcPr>
          <w:p>
            <w:pPr>
              <w:jc w:val="right"/>
              <w:ind w:right="306"/>
              <w:spacing w:after="0" w:line="160" w:lineRule="exact"/>
              <w:rPr>
                <w:sz w:val="20"/>
                <w:szCs w:val="20"/>
                <w:color w:val="auto"/>
              </w:rPr>
            </w:pPr>
            <w:r>
              <w:rPr>
                <w:rFonts w:ascii="Arial" w:cs="Arial" w:eastAsia="Arial" w:hAnsi="Arial"/>
                <w:sz w:val="15"/>
                <w:szCs w:val="15"/>
                <w:color w:val="auto"/>
              </w:rPr>
              <w:t>11,450</w:t>
            </w: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tcPr>
          <w:p>
            <w:pPr>
              <w:jc w:val="right"/>
              <w:spacing w:after="0" w:line="160" w:lineRule="exact"/>
              <w:rPr>
                <w:sz w:val="20"/>
                <w:szCs w:val="20"/>
                <w:color w:val="auto"/>
              </w:rPr>
            </w:pPr>
            <w:r>
              <w:rPr>
                <w:rFonts w:ascii="Arial" w:cs="Arial" w:eastAsia="Arial" w:hAnsi="Arial"/>
                <w:sz w:val="15"/>
                <w:szCs w:val="15"/>
                <w:color w:val="auto"/>
              </w:rPr>
              <w:t>24,682</w:t>
            </w:r>
          </w:p>
        </w:tc>
        <w:tc>
          <w:tcPr>
            <w:tcW w:w="0" w:type="dxa"/>
            <w:vAlign w:val="bottom"/>
          </w:tcPr>
          <w:p>
            <w:pPr>
              <w:spacing w:after="0"/>
              <w:rPr>
                <w:sz w:val="1"/>
                <w:szCs w:val="1"/>
                <w:color w:val="auto"/>
              </w:rPr>
            </w:pPr>
          </w:p>
        </w:tc>
      </w:tr>
      <w:tr>
        <w:trPr>
          <w:trHeight w:val="62"/>
        </w:trPr>
        <w:tc>
          <w:tcPr>
            <w:tcW w:w="2860" w:type="dxa"/>
            <w:vAlign w:val="bottom"/>
            <w:vMerge w:val="restart"/>
          </w:tcPr>
          <w:p>
            <w:pPr>
              <w:ind w:left="20"/>
              <w:spacing w:after="0"/>
              <w:rPr>
                <w:sz w:val="20"/>
                <w:szCs w:val="20"/>
                <w:color w:val="auto"/>
              </w:rPr>
            </w:pPr>
            <w:r>
              <w:rPr>
                <w:rFonts w:ascii="Arial" w:cs="Arial" w:eastAsia="Arial" w:hAnsi="Arial"/>
                <w:sz w:val="13"/>
                <w:szCs w:val="13"/>
                <w:color w:val="auto"/>
              </w:rPr>
              <w:t>Vice President,</w:t>
            </w:r>
          </w:p>
        </w:tc>
        <w:tc>
          <w:tcPr>
            <w:tcW w:w="880" w:type="dxa"/>
            <w:vAlign w:val="bottom"/>
            <w:tcBorders>
              <w:bottom w:val="single" w:sz="8" w:color="D9D9D9"/>
            </w:tcBorders>
          </w:tcPr>
          <w:p>
            <w:pPr>
              <w:spacing w:after="0"/>
              <w:rPr>
                <w:sz w:val="5"/>
                <w:szCs w:val="5"/>
                <w:color w:val="auto"/>
              </w:rPr>
            </w:pPr>
          </w:p>
        </w:tc>
        <w:tc>
          <w:tcPr>
            <w:tcW w:w="1140" w:type="dxa"/>
            <w:vAlign w:val="bottom"/>
            <w:tcBorders>
              <w:bottom w:val="single" w:sz="8" w:color="D9D9D9"/>
            </w:tcBorders>
          </w:tcPr>
          <w:p>
            <w:pPr>
              <w:spacing w:after="0"/>
              <w:rPr>
                <w:sz w:val="5"/>
                <w:szCs w:val="5"/>
                <w:color w:val="auto"/>
              </w:rPr>
            </w:pPr>
          </w:p>
        </w:tc>
        <w:tc>
          <w:tcPr>
            <w:tcW w:w="1080" w:type="dxa"/>
            <w:vAlign w:val="bottom"/>
            <w:tcBorders>
              <w:bottom w:val="single" w:sz="8" w:color="D9D9D9"/>
            </w:tcBorders>
          </w:tcPr>
          <w:p>
            <w:pPr>
              <w:spacing w:after="0"/>
              <w:rPr>
                <w:sz w:val="5"/>
                <w:szCs w:val="5"/>
                <w:color w:val="auto"/>
              </w:rPr>
            </w:pPr>
          </w:p>
        </w:tc>
        <w:tc>
          <w:tcPr>
            <w:tcW w:w="1100" w:type="dxa"/>
            <w:vAlign w:val="bottom"/>
            <w:tcBorders>
              <w:bottom w:val="single" w:sz="8" w:color="D9D9D9"/>
            </w:tcBorders>
          </w:tcPr>
          <w:p>
            <w:pPr>
              <w:spacing w:after="0"/>
              <w:rPr>
                <w:sz w:val="5"/>
                <w:szCs w:val="5"/>
                <w:color w:val="auto"/>
              </w:rPr>
            </w:pPr>
          </w:p>
        </w:tc>
        <w:tc>
          <w:tcPr>
            <w:tcW w:w="1160" w:type="dxa"/>
            <w:vAlign w:val="bottom"/>
            <w:tcBorders>
              <w:bottom w:val="single" w:sz="8" w:color="D9D9D9"/>
            </w:tcBorders>
          </w:tcPr>
          <w:p>
            <w:pPr>
              <w:spacing w:after="0"/>
              <w:rPr>
                <w:sz w:val="5"/>
                <w:szCs w:val="5"/>
                <w:color w:val="auto"/>
              </w:rPr>
            </w:pPr>
          </w:p>
        </w:tc>
        <w:tc>
          <w:tcPr>
            <w:tcW w:w="1140" w:type="dxa"/>
            <w:vAlign w:val="bottom"/>
            <w:tcBorders>
              <w:bottom w:val="single" w:sz="8" w:color="D9D9D9"/>
            </w:tcBorders>
          </w:tcPr>
          <w:p>
            <w:pPr>
              <w:spacing w:after="0"/>
              <w:rPr>
                <w:sz w:val="5"/>
                <w:szCs w:val="5"/>
                <w:color w:val="auto"/>
              </w:rPr>
            </w:pPr>
          </w:p>
        </w:tc>
        <w:tc>
          <w:tcPr>
            <w:tcW w:w="920" w:type="dxa"/>
            <w:vAlign w:val="bottom"/>
            <w:tcBorders>
              <w:bottom w:val="single" w:sz="8" w:color="D9D9D9"/>
            </w:tcBorders>
          </w:tcPr>
          <w:p>
            <w:pPr>
              <w:spacing w:after="0"/>
              <w:rPr>
                <w:sz w:val="5"/>
                <w:szCs w:val="5"/>
                <w:color w:val="auto"/>
              </w:rPr>
            </w:pPr>
          </w:p>
        </w:tc>
        <w:tc>
          <w:tcPr>
            <w:tcW w:w="96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860" w:type="dxa"/>
            <w:vAlign w:val="bottom"/>
            <w:vMerge w:val="continue"/>
          </w:tcPr>
          <w:p>
            <w:pPr>
              <w:spacing w:after="0"/>
              <w:rPr>
                <w:sz w:val="6"/>
                <w:szCs w:val="6"/>
                <w:color w:val="auto"/>
              </w:rPr>
            </w:pPr>
          </w:p>
        </w:tc>
        <w:tc>
          <w:tcPr>
            <w:tcW w:w="880" w:type="dxa"/>
            <w:vAlign w:val="bottom"/>
            <w:vMerge w:val="restart"/>
          </w:tcPr>
          <w:p>
            <w:pPr>
              <w:jc w:val="right"/>
              <w:ind w:right="326"/>
              <w:spacing w:after="0"/>
              <w:rPr>
                <w:sz w:val="20"/>
                <w:szCs w:val="20"/>
                <w:color w:val="auto"/>
              </w:rPr>
            </w:pPr>
            <w:r>
              <w:rPr>
                <w:rFonts w:ascii="Arial" w:cs="Arial" w:eastAsia="Arial" w:hAnsi="Arial"/>
                <w:sz w:val="15"/>
                <w:szCs w:val="15"/>
                <w:color w:val="auto"/>
              </w:rPr>
              <w:t>2024</w:t>
            </w:r>
          </w:p>
        </w:tc>
        <w:tc>
          <w:tcPr>
            <w:tcW w:w="1140" w:type="dxa"/>
            <w:vAlign w:val="bottom"/>
            <w:vMerge w:val="restart"/>
          </w:tcPr>
          <w:p>
            <w:pPr>
              <w:jc w:val="right"/>
              <w:ind w:right="226"/>
              <w:spacing w:after="0"/>
              <w:rPr>
                <w:sz w:val="20"/>
                <w:szCs w:val="20"/>
                <w:color w:val="auto"/>
              </w:rPr>
            </w:pPr>
            <w:r>
              <w:rPr>
                <w:rFonts w:ascii="Arial" w:cs="Arial" w:eastAsia="Arial" w:hAnsi="Arial"/>
                <w:sz w:val="15"/>
                <w:szCs w:val="15"/>
                <w:color w:val="auto"/>
              </w:rPr>
              <w:t>4,713</w:t>
            </w:r>
          </w:p>
        </w:tc>
        <w:tc>
          <w:tcPr>
            <w:tcW w:w="1080" w:type="dxa"/>
            <w:vAlign w:val="bottom"/>
            <w:vMerge w:val="restart"/>
          </w:tcPr>
          <w:p>
            <w:pPr>
              <w:jc w:val="right"/>
              <w:ind w:right="226"/>
              <w:spacing w:after="0"/>
              <w:rPr>
                <w:sz w:val="20"/>
                <w:szCs w:val="20"/>
                <w:color w:val="auto"/>
              </w:rPr>
            </w:pPr>
            <w:r>
              <w:rPr>
                <w:rFonts w:ascii="Arial" w:cs="Arial" w:eastAsia="Arial" w:hAnsi="Arial"/>
                <w:sz w:val="15"/>
                <w:szCs w:val="15"/>
                <w:color w:val="auto"/>
              </w:rPr>
              <w:t>6,080</w:t>
            </w:r>
          </w:p>
        </w:tc>
        <w:tc>
          <w:tcPr>
            <w:tcW w:w="1100" w:type="dxa"/>
            <w:vAlign w:val="bottom"/>
            <w:vMerge w:val="restart"/>
          </w:tcPr>
          <w:p>
            <w:pPr>
              <w:jc w:val="right"/>
              <w:ind w:right="286"/>
              <w:spacing w:after="0"/>
              <w:rPr>
                <w:sz w:val="20"/>
                <w:szCs w:val="20"/>
                <w:color w:val="auto"/>
              </w:rPr>
            </w:pPr>
            <w:r>
              <w:rPr>
                <w:rFonts w:ascii="Arial" w:cs="Arial" w:eastAsia="Arial" w:hAnsi="Arial"/>
                <w:sz w:val="15"/>
                <w:szCs w:val="15"/>
                <w:color w:val="auto"/>
              </w:rPr>
              <w:t>1,242</w:t>
            </w:r>
          </w:p>
        </w:tc>
        <w:tc>
          <w:tcPr>
            <w:tcW w:w="1160" w:type="dxa"/>
            <w:vAlign w:val="bottom"/>
            <w:vMerge w:val="restart"/>
          </w:tcPr>
          <w:p>
            <w:pPr>
              <w:jc w:val="right"/>
              <w:ind w:right="266"/>
              <w:spacing w:after="0"/>
              <w:rPr>
                <w:sz w:val="20"/>
                <w:szCs w:val="20"/>
                <w:color w:val="auto"/>
              </w:rPr>
            </w:pPr>
            <w:r>
              <w:rPr>
                <w:rFonts w:ascii="Arial" w:cs="Arial" w:eastAsia="Arial" w:hAnsi="Arial"/>
                <w:sz w:val="15"/>
                <w:szCs w:val="15"/>
                <w:color w:val="auto"/>
              </w:rPr>
              <w:t>7,728</w:t>
            </w:r>
          </w:p>
        </w:tc>
        <w:tc>
          <w:tcPr>
            <w:tcW w:w="1140" w:type="dxa"/>
            <w:vAlign w:val="bottom"/>
            <w:vMerge w:val="restart"/>
          </w:tcPr>
          <w:p>
            <w:pPr>
              <w:jc w:val="right"/>
              <w:ind w:right="206"/>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306"/>
              <w:spacing w:after="0"/>
              <w:rPr>
                <w:sz w:val="20"/>
                <w:szCs w:val="20"/>
                <w:color w:val="auto"/>
              </w:rPr>
            </w:pPr>
            <w:r>
              <w:rPr>
                <w:rFonts w:ascii="Arial" w:cs="Arial" w:eastAsia="Arial" w:hAnsi="Arial"/>
                <w:sz w:val="15"/>
                <w:szCs w:val="15"/>
                <w:color w:val="auto"/>
              </w:rPr>
              <w:t>957</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20,720</w:t>
            </w: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3" w:lineRule="exact"/>
              <w:rPr>
                <w:sz w:val="20"/>
                <w:szCs w:val="20"/>
                <w:color w:val="auto"/>
              </w:rPr>
            </w:pPr>
            <w:r>
              <w:rPr>
                <w:rFonts w:ascii="Arial" w:cs="Arial" w:eastAsia="Arial" w:hAnsi="Arial"/>
                <w:sz w:val="13"/>
                <w:szCs w:val="13"/>
                <w:color w:val="auto"/>
              </w:rPr>
              <w:t>Information Technology and Chief Technology</w:t>
            </w:r>
          </w:p>
        </w:tc>
        <w:tc>
          <w:tcPr>
            <w:tcW w:w="880" w:type="dxa"/>
            <w:vAlign w:val="bottom"/>
            <w:tcBorders>
              <w:bottom w:val="single" w:sz="8" w:color="D9D9D9"/>
            </w:tcBorders>
            <w:vMerge w:val="continue"/>
          </w:tcPr>
          <w:p>
            <w:pPr>
              <w:spacing w:after="0"/>
              <w:rPr>
                <w:sz w:val="12"/>
                <w:szCs w:val="12"/>
                <w:color w:val="auto"/>
              </w:rPr>
            </w:pPr>
          </w:p>
        </w:tc>
        <w:tc>
          <w:tcPr>
            <w:tcW w:w="1140" w:type="dxa"/>
            <w:vAlign w:val="bottom"/>
            <w:tcBorders>
              <w:bottom w:val="single" w:sz="8" w:color="D9D9D9"/>
            </w:tcBorders>
            <w:vMerge w:val="continue"/>
          </w:tcPr>
          <w:p>
            <w:pPr>
              <w:spacing w:after="0"/>
              <w:rPr>
                <w:sz w:val="12"/>
                <w:szCs w:val="12"/>
                <w:color w:val="auto"/>
              </w:rPr>
            </w:pPr>
          </w:p>
        </w:tc>
        <w:tc>
          <w:tcPr>
            <w:tcW w:w="1080" w:type="dxa"/>
            <w:vAlign w:val="bottom"/>
            <w:tcBorders>
              <w:bottom w:val="single" w:sz="8" w:color="D9D9D9"/>
            </w:tcBorders>
            <w:vMerge w:val="continue"/>
          </w:tcPr>
          <w:p>
            <w:pPr>
              <w:spacing w:after="0"/>
              <w:rPr>
                <w:sz w:val="12"/>
                <w:szCs w:val="12"/>
                <w:color w:val="auto"/>
              </w:rPr>
            </w:pPr>
          </w:p>
        </w:tc>
        <w:tc>
          <w:tcPr>
            <w:tcW w:w="1100" w:type="dxa"/>
            <w:vAlign w:val="bottom"/>
            <w:tcBorders>
              <w:bottom w:val="single" w:sz="8" w:color="D9D9D9"/>
            </w:tcBorders>
            <w:vMerge w:val="continue"/>
          </w:tcPr>
          <w:p>
            <w:pPr>
              <w:spacing w:after="0"/>
              <w:rPr>
                <w:sz w:val="12"/>
                <w:szCs w:val="12"/>
                <w:color w:val="auto"/>
              </w:rPr>
            </w:pPr>
          </w:p>
        </w:tc>
        <w:tc>
          <w:tcPr>
            <w:tcW w:w="1160" w:type="dxa"/>
            <w:vAlign w:val="bottom"/>
            <w:tcBorders>
              <w:bottom w:val="single" w:sz="8" w:color="D9D9D9"/>
            </w:tcBorders>
            <w:vMerge w:val="continue"/>
          </w:tcPr>
          <w:p>
            <w:pPr>
              <w:spacing w:after="0"/>
              <w:rPr>
                <w:sz w:val="12"/>
                <w:szCs w:val="12"/>
                <w:color w:val="auto"/>
              </w:rPr>
            </w:pPr>
          </w:p>
        </w:tc>
        <w:tc>
          <w:tcPr>
            <w:tcW w:w="1140" w:type="dxa"/>
            <w:vAlign w:val="bottom"/>
            <w:tcBorders>
              <w:bottom w:val="single" w:sz="8" w:color="D9D9D9"/>
            </w:tcBorders>
            <w:vMerge w:val="continue"/>
          </w:tcPr>
          <w:p>
            <w:pPr>
              <w:spacing w:after="0"/>
              <w:rPr>
                <w:sz w:val="12"/>
                <w:szCs w:val="12"/>
                <w:color w:val="auto"/>
              </w:rPr>
            </w:pPr>
          </w:p>
        </w:tc>
        <w:tc>
          <w:tcPr>
            <w:tcW w:w="920" w:type="dxa"/>
            <w:vAlign w:val="bottom"/>
            <w:tcBorders>
              <w:bottom w:val="single" w:sz="8" w:color="D9D9D9"/>
            </w:tcBorders>
            <w:vMerge w:val="continue"/>
          </w:tcPr>
          <w:p>
            <w:pPr>
              <w:spacing w:after="0"/>
              <w:rPr>
                <w:sz w:val="12"/>
                <w:szCs w:val="12"/>
                <w:color w:val="auto"/>
              </w:rPr>
            </w:pPr>
          </w:p>
        </w:tc>
        <w:tc>
          <w:tcPr>
            <w:tcW w:w="960" w:type="dxa"/>
            <w:vAlign w:val="bottom"/>
            <w:tcBorders>
              <w:bottom w:val="single" w:sz="8" w:color="D9D9D9"/>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860" w:type="dxa"/>
            <w:vAlign w:val="bottom"/>
          </w:tcPr>
          <w:p>
            <w:pPr>
              <w:ind w:left="20"/>
              <w:spacing w:after="0"/>
              <w:rPr>
                <w:sz w:val="20"/>
                <w:szCs w:val="20"/>
                <w:color w:val="auto"/>
              </w:rPr>
            </w:pPr>
            <w:r>
              <w:rPr>
                <w:rFonts w:ascii="Arial" w:cs="Arial" w:eastAsia="Arial" w:hAnsi="Arial"/>
                <w:sz w:val="13"/>
                <w:szCs w:val="13"/>
                <w:color w:val="auto"/>
              </w:rPr>
              <w:t>Officer</w:t>
            </w:r>
          </w:p>
        </w:tc>
        <w:tc>
          <w:tcPr>
            <w:tcW w:w="880" w:type="dxa"/>
            <w:vAlign w:val="bottom"/>
          </w:tcPr>
          <w:p>
            <w:pPr>
              <w:jc w:val="right"/>
              <w:ind w:right="326"/>
              <w:spacing w:after="0"/>
              <w:rPr>
                <w:sz w:val="20"/>
                <w:szCs w:val="20"/>
                <w:color w:val="auto"/>
              </w:rPr>
            </w:pPr>
            <w:r>
              <w:rPr>
                <w:rFonts w:ascii="Arial" w:cs="Arial" w:eastAsia="Arial" w:hAnsi="Arial"/>
                <w:sz w:val="15"/>
                <w:szCs w:val="15"/>
                <w:color w:val="auto"/>
              </w:rPr>
              <w:t>2023</w:t>
            </w:r>
          </w:p>
        </w:tc>
        <w:tc>
          <w:tcPr>
            <w:tcW w:w="1140" w:type="dxa"/>
            <w:vAlign w:val="bottom"/>
          </w:tcPr>
          <w:p>
            <w:pPr>
              <w:jc w:val="right"/>
              <w:ind w:right="226"/>
              <w:spacing w:after="0"/>
              <w:rPr>
                <w:sz w:val="20"/>
                <w:szCs w:val="20"/>
                <w:color w:val="auto"/>
              </w:rPr>
            </w:pPr>
            <w:r>
              <w:rPr>
                <w:rFonts w:ascii="Arial" w:cs="Arial" w:eastAsia="Arial" w:hAnsi="Arial"/>
                <w:sz w:val="15"/>
                <w:szCs w:val="15"/>
                <w:color w:val="auto"/>
              </w:rPr>
              <w:t>3,030</w:t>
            </w:r>
          </w:p>
        </w:tc>
        <w:tc>
          <w:tcPr>
            <w:tcW w:w="1080" w:type="dxa"/>
            <w:vAlign w:val="bottom"/>
          </w:tcPr>
          <w:p>
            <w:pPr>
              <w:jc w:val="right"/>
              <w:ind w:right="226"/>
              <w:spacing w:after="0"/>
              <w:rPr>
                <w:sz w:val="20"/>
                <w:szCs w:val="20"/>
                <w:color w:val="auto"/>
              </w:rPr>
            </w:pPr>
            <w:r>
              <w:rPr>
                <w:rFonts w:ascii="Arial" w:cs="Arial" w:eastAsia="Arial" w:hAnsi="Arial"/>
                <w:sz w:val="15"/>
                <w:szCs w:val="15"/>
                <w:color w:val="auto"/>
              </w:rPr>
              <w:t>6,080</w:t>
            </w:r>
          </w:p>
        </w:tc>
        <w:tc>
          <w:tcPr>
            <w:tcW w:w="1100" w:type="dxa"/>
            <w:vAlign w:val="bottom"/>
          </w:tcPr>
          <w:p>
            <w:pPr>
              <w:jc w:val="right"/>
              <w:ind w:right="246"/>
              <w:spacing w:after="0"/>
              <w:rPr>
                <w:sz w:val="20"/>
                <w:szCs w:val="20"/>
                <w:color w:val="auto"/>
              </w:rPr>
            </w:pPr>
            <w:r>
              <w:rPr>
                <w:rFonts w:ascii="Arial" w:cs="Arial" w:eastAsia="Arial" w:hAnsi="Arial"/>
                <w:sz w:val="15"/>
                <w:szCs w:val="15"/>
                <w:color w:val="auto"/>
              </w:rPr>
              <w:t>1,242</w:t>
            </w:r>
          </w:p>
        </w:tc>
        <w:tc>
          <w:tcPr>
            <w:tcW w:w="1160" w:type="dxa"/>
            <w:vAlign w:val="bottom"/>
          </w:tcPr>
          <w:p>
            <w:pPr>
              <w:jc w:val="right"/>
              <w:ind w:right="266"/>
              <w:spacing w:after="0"/>
              <w:rPr>
                <w:sz w:val="20"/>
                <w:szCs w:val="20"/>
                <w:color w:val="auto"/>
              </w:rPr>
            </w:pPr>
            <w:r>
              <w:rPr>
                <w:rFonts w:ascii="Arial" w:cs="Arial" w:eastAsia="Arial" w:hAnsi="Arial"/>
                <w:sz w:val="15"/>
                <w:szCs w:val="15"/>
                <w:color w:val="auto"/>
              </w:rPr>
              <w:t>23,015</w:t>
            </w:r>
          </w:p>
        </w:tc>
        <w:tc>
          <w:tcPr>
            <w:tcW w:w="114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33,367</w:t>
            </w:r>
          </w:p>
        </w:tc>
        <w:tc>
          <w:tcPr>
            <w:tcW w:w="0" w:type="dxa"/>
            <w:vAlign w:val="bottom"/>
          </w:tcPr>
          <w:p>
            <w:pPr>
              <w:spacing w:after="0"/>
              <w:rPr>
                <w:sz w:val="1"/>
                <w:szCs w:val="1"/>
                <w:color w:val="auto"/>
              </w:rPr>
            </w:pPr>
          </w:p>
        </w:tc>
      </w:tr>
      <w:tr>
        <w:trPr>
          <w:trHeight w:val="28"/>
        </w:trPr>
        <w:tc>
          <w:tcPr>
            <w:tcW w:w="2860" w:type="dxa"/>
            <w:vAlign w:val="bottom"/>
            <w:tcBorders>
              <w:bottom w:val="single" w:sz="8" w:color="00AEEF"/>
            </w:tcBorders>
          </w:tcPr>
          <w:p>
            <w:pPr>
              <w:spacing w:after="0"/>
              <w:rPr>
                <w:sz w:val="2"/>
                <w:szCs w:val="2"/>
                <w:color w:val="auto"/>
              </w:rPr>
            </w:pPr>
          </w:p>
        </w:tc>
        <w:tc>
          <w:tcPr>
            <w:tcW w:w="880" w:type="dxa"/>
            <w:vAlign w:val="bottom"/>
            <w:tcBorders>
              <w:bottom w:val="single" w:sz="8" w:color="00AEEF"/>
            </w:tcBorders>
          </w:tcPr>
          <w:p>
            <w:pPr>
              <w:spacing w:after="0"/>
              <w:rPr>
                <w:sz w:val="2"/>
                <w:szCs w:val="2"/>
                <w:color w:val="auto"/>
              </w:rPr>
            </w:pPr>
          </w:p>
        </w:tc>
        <w:tc>
          <w:tcPr>
            <w:tcW w:w="1140" w:type="dxa"/>
            <w:vAlign w:val="bottom"/>
            <w:tcBorders>
              <w:bottom w:val="single" w:sz="8" w:color="00AEEF"/>
            </w:tcBorders>
          </w:tcPr>
          <w:p>
            <w:pPr>
              <w:spacing w:after="0"/>
              <w:rPr>
                <w:sz w:val="2"/>
                <w:szCs w:val="2"/>
                <w:color w:val="auto"/>
              </w:rPr>
            </w:pPr>
          </w:p>
        </w:tc>
        <w:tc>
          <w:tcPr>
            <w:tcW w:w="1080" w:type="dxa"/>
            <w:vAlign w:val="bottom"/>
            <w:tcBorders>
              <w:bottom w:val="single" w:sz="8" w:color="00AEEF"/>
            </w:tcBorders>
          </w:tcPr>
          <w:p>
            <w:pPr>
              <w:spacing w:after="0"/>
              <w:rPr>
                <w:sz w:val="2"/>
                <w:szCs w:val="2"/>
                <w:color w:val="auto"/>
              </w:rPr>
            </w:pPr>
          </w:p>
        </w:tc>
        <w:tc>
          <w:tcPr>
            <w:tcW w:w="1100" w:type="dxa"/>
            <w:vAlign w:val="bottom"/>
            <w:tcBorders>
              <w:bottom w:val="single" w:sz="8" w:color="00AEEF"/>
            </w:tcBorders>
          </w:tcPr>
          <w:p>
            <w:pPr>
              <w:spacing w:after="0"/>
              <w:rPr>
                <w:sz w:val="2"/>
                <w:szCs w:val="2"/>
                <w:color w:val="auto"/>
              </w:rPr>
            </w:pPr>
          </w:p>
        </w:tc>
        <w:tc>
          <w:tcPr>
            <w:tcW w:w="1160" w:type="dxa"/>
            <w:vAlign w:val="bottom"/>
            <w:tcBorders>
              <w:bottom w:val="single" w:sz="8" w:color="00AEEF"/>
            </w:tcBorders>
          </w:tcPr>
          <w:p>
            <w:pPr>
              <w:spacing w:after="0"/>
              <w:rPr>
                <w:sz w:val="2"/>
                <w:szCs w:val="2"/>
                <w:color w:val="auto"/>
              </w:rPr>
            </w:pPr>
          </w:p>
        </w:tc>
        <w:tc>
          <w:tcPr>
            <w:tcW w:w="1140" w:type="dxa"/>
            <w:vAlign w:val="bottom"/>
            <w:tcBorders>
              <w:bottom w:val="single" w:sz="8" w:color="00AEEF"/>
            </w:tcBorders>
          </w:tcPr>
          <w:p>
            <w:pPr>
              <w:spacing w:after="0"/>
              <w:rPr>
                <w:sz w:val="2"/>
                <w:szCs w:val="2"/>
                <w:color w:val="auto"/>
              </w:rPr>
            </w:pPr>
          </w:p>
        </w:tc>
        <w:tc>
          <w:tcPr>
            <w:tcW w:w="920" w:type="dxa"/>
            <w:vAlign w:val="bottom"/>
            <w:tcBorders>
              <w:bottom w:val="single" w:sz="8" w:color="00AEEF"/>
            </w:tcBorders>
          </w:tcPr>
          <w:p>
            <w:pPr>
              <w:spacing w:after="0"/>
              <w:rPr>
                <w:sz w:val="2"/>
                <w:szCs w:val="2"/>
                <w:color w:val="auto"/>
              </w:rPr>
            </w:pPr>
          </w:p>
        </w:tc>
        <w:tc>
          <w:tcPr>
            <w:tcW w:w="960" w:type="dxa"/>
            <w:vAlign w:val="bottom"/>
            <w:tcBorders>
              <w:bottom w:val="single" w:sz="8" w:color="00AEE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62" w:hanging="262"/>
        <w:spacing w:after="0"/>
        <w:tabs>
          <w:tab w:leader="none" w:pos="262" w:val="left"/>
        </w:tabs>
        <w:numPr>
          <w:ilvl w:val="0"/>
          <w:numId w:val="70"/>
        </w:numPr>
        <w:rPr>
          <w:rFonts w:ascii="Arial" w:cs="Arial" w:eastAsia="Arial" w:hAnsi="Arial"/>
          <w:sz w:val="17"/>
          <w:szCs w:val="17"/>
          <w:color w:val="auto"/>
          <w:vertAlign w:val="superscript"/>
        </w:rPr>
      </w:pPr>
      <w:r>
        <w:rPr>
          <w:rFonts w:ascii="Arial" w:cs="Arial" w:eastAsia="Arial" w:hAnsi="Arial"/>
          <w:sz w:val="13"/>
          <w:szCs w:val="13"/>
          <w:color w:val="auto"/>
        </w:rPr>
        <w:t>The benefits available to the NEOs under these programs are also available to all other employees of the Company.</w:t>
      </w:r>
    </w:p>
    <w:p>
      <w:pPr>
        <w:spacing w:after="0" w:line="50" w:lineRule="exact"/>
        <w:rPr>
          <w:rFonts w:ascii="Arial" w:cs="Arial" w:eastAsia="Arial" w:hAnsi="Arial"/>
          <w:sz w:val="17"/>
          <w:szCs w:val="17"/>
          <w:color w:val="auto"/>
          <w:vertAlign w:val="superscript"/>
        </w:rPr>
      </w:pPr>
    </w:p>
    <w:p>
      <w:pPr>
        <w:ind w:left="242" w:right="480" w:hanging="242"/>
        <w:spacing w:after="0" w:line="221" w:lineRule="auto"/>
        <w:tabs>
          <w:tab w:leader="none" w:pos="257" w:val="left"/>
        </w:tabs>
        <w:numPr>
          <w:ilvl w:val="0"/>
          <w:numId w:val="70"/>
        </w:numPr>
        <w:rPr>
          <w:rFonts w:ascii="Arial" w:cs="Arial" w:eastAsia="Arial" w:hAnsi="Arial"/>
          <w:sz w:val="17"/>
          <w:szCs w:val="17"/>
          <w:color w:val="auto"/>
          <w:vertAlign w:val="superscript"/>
        </w:rPr>
      </w:pPr>
      <w:r>
        <w:rPr>
          <w:rFonts w:ascii="Arial" w:cs="Arial" w:eastAsia="Arial" w:hAnsi="Arial"/>
          <w:sz w:val="13"/>
          <w:szCs w:val="13"/>
          <w:color w:val="auto"/>
        </w:rPr>
        <w:t>In addition to employer matching contributions under the Company’s 401k Plan, included in this column are contributions from the Company’s Discretionary Profit Sharing (DPS) Plan administered through the Company’s 401k Plan.</w:t>
      </w:r>
    </w:p>
    <w:p>
      <w:pPr>
        <w:spacing w:after="0" w:line="62" w:lineRule="exact"/>
        <w:rPr>
          <w:rFonts w:ascii="Arial" w:cs="Arial" w:eastAsia="Arial" w:hAnsi="Arial"/>
          <w:sz w:val="17"/>
          <w:szCs w:val="17"/>
          <w:color w:val="auto"/>
          <w:vertAlign w:val="superscript"/>
        </w:rPr>
      </w:pPr>
    </w:p>
    <w:p>
      <w:pPr>
        <w:ind w:left="242" w:right="380" w:hanging="242"/>
        <w:spacing w:after="0" w:line="222" w:lineRule="auto"/>
        <w:tabs>
          <w:tab w:leader="none" w:pos="268" w:val="left"/>
        </w:tabs>
        <w:numPr>
          <w:ilvl w:val="0"/>
          <w:numId w:val="70"/>
        </w:numPr>
        <w:rPr>
          <w:rFonts w:ascii="Arial" w:cs="Arial" w:eastAsia="Arial" w:hAnsi="Arial"/>
          <w:sz w:val="17"/>
          <w:szCs w:val="17"/>
          <w:color w:val="auto"/>
          <w:vertAlign w:val="superscript"/>
        </w:rPr>
      </w:pPr>
      <w:r>
        <w:rPr>
          <w:rFonts w:ascii="Arial" w:cs="Arial" w:eastAsia="Arial" w:hAnsi="Arial"/>
          <w:sz w:val="13"/>
          <w:szCs w:val="13"/>
          <w:color w:val="auto"/>
        </w:rPr>
        <w:t>Mr. Zerhouni and Mr. Sorensen received reimbursement for customary executive relocation costs to relocate to the Middlesex County area, including the impact of tax of approximately $95,000.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240030</wp:posOffset>
            </wp:positionV>
            <wp:extent cx="7620" cy="132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375" w:lineRule="exact"/>
        <w:rPr>
          <w:sz w:val="20"/>
          <w:szCs w:val="20"/>
          <w:color w:val="auto"/>
        </w:rPr>
      </w:pPr>
    </w:p>
    <w:p>
      <w:pPr>
        <w:ind w:left="462" w:hanging="445"/>
        <w:spacing w:after="0"/>
        <w:tabs>
          <w:tab w:leader="none" w:pos="462" w:val="left"/>
        </w:tabs>
        <w:numPr>
          <w:ilvl w:val="0"/>
          <w:numId w:val="71"/>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210185</wp:posOffset>
            </wp:positionV>
            <wp:extent cx="7169785" cy="412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2"/>
          </w:cols>
          <w:pgMar w:left="318" w:top="124"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4"/>
          <w:szCs w:val="14"/>
          <w:b w:val="1"/>
          <w:bCs w:val="1"/>
          <w:color w:val="191769"/>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
        <w:spacing w:after="0"/>
        <w:rPr>
          <w:sz w:val="20"/>
          <w:szCs w:val="20"/>
          <w:color w:val="auto"/>
        </w:rPr>
      </w:pPr>
      <w:r>
        <w:rPr>
          <w:rFonts w:ascii="Arial" w:cs="Arial" w:eastAsia="Arial" w:hAnsi="Arial"/>
          <w:sz w:val="36"/>
          <w:szCs w:val="36"/>
          <w:b w:val="1"/>
          <w:bCs w:val="1"/>
          <w:color w:val="0076A8"/>
        </w:rPr>
        <w:t>Grants of Plan-Based Awards*</w:t>
      </w:r>
    </w:p>
    <w:p>
      <w:pPr>
        <w:spacing w:after="0" w:line="191" w:lineRule="exact"/>
        <w:rPr>
          <w:sz w:val="20"/>
          <w:szCs w:val="20"/>
          <w:color w:val="auto"/>
        </w:rPr>
      </w:pPr>
    </w:p>
    <w:p>
      <w:pPr>
        <w:ind w:left="2" w:right="680"/>
        <w:spacing w:after="0" w:line="299" w:lineRule="auto"/>
        <w:rPr>
          <w:sz w:val="20"/>
          <w:szCs w:val="20"/>
          <w:color w:val="auto"/>
        </w:rPr>
      </w:pPr>
      <w:r>
        <w:rPr>
          <w:rFonts w:ascii="Arial" w:cs="Arial" w:eastAsia="Arial" w:hAnsi="Arial"/>
          <w:sz w:val="16"/>
          <w:szCs w:val="16"/>
          <w:color w:val="auto"/>
        </w:rPr>
        <w:t>The following table details information relative to grants of plan-based awards to the NEOs under our Restricted Stock Plan during the year ended December 31, 2025.</w:t>
      </w:r>
    </w:p>
    <w:p>
      <w:pPr>
        <w:spacing w:after="0" w:line="91"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8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b w:val="1"/>
                <w:bCs w:val="1"/>
                <w:color w:val="191769"/>
              </w:rPr>
              <w:t>Stock Awards:</w:t>
            </w:r>
          </w:p>
        </w:tc>
        <w:tc>
          <w:tcPr>
            <w:tcW w:w="0" w:type="dxa"/>
            <w:vAlign w:val="bottom"/>
          </w:tcPr>
          <w:p>
            <w:pPr>
              <w:spacing w:after="0"/>
              <w:rPr>
                <w:sz w:val="1"/>
                <w:szCs w:val="1"/>
                <w:color w:val="auto"/>
              </w:rPr>
            </w:pPr>
          </w:p>
        </w:tc>
      </w:tr>
      <w:tr>
        <w:trPr>
          <w:trHeight w:val="160"/>
        </w:trPr>
        <w:tc>
          <w:tcPr>
            <w:tcW w:w="8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b w:val="1"/>
                <w:bCs w:val="1"/>
                <w:color w:val="191769"/>
              </w:rPr>
              <w:t>Number of Shares</w:t>
            </w:r>
          </w:p>
        </w:tc>
        <w:tc>
          <w:tcPr>
            <w:tcW w:w="0" w:type="dxa"/>
            <w:vAlign w:val="bottom"/>
          </w:tcPr>
          <w:p>
            <w:pPr>
              <w:spacing w:after="0"/>
              <w:rPr>
                <w:sz w:val="1"/>
                <w:szCs w:val="1"/>
                <w:color w:val="auto"/>
              </w:rPr>
            </w:pPr>
          </w:p>
        </w:tc>
      </w:tr>
      <w:tr>
        <w:trPr>
          <w:trHeight w:val="160"/>
        </w:trPr>
        <w:tc>
          <w:tcPr>
            <w:tcW w:w="8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b w:val="1"/>
                <w:bCs w:val="1"/>
                <w:color w:val="191769"/>
              </w:rPr>
              <w:t>or Units</w:t>
            </w:r>
          </w:p>
        </w:tc>
        <w:tc>
          <w:tcPr>
            <w:tcW w:w="0" w:type="dxa"/>
            <w:vAlign w:val="bottom"/>
          </w:tcPr>
          <w:p>
            <w:pPr>
              <w:spacing w:after="0"/>
              <w:rPr>
                <w:sz w:val="1"/>
                <w:szCs w:val="1"/>
                <w:color w:val="auto"/>
              </w:rPr>
            </w:pPr>
          </w:p>
        </w:tc>
      </w:tr>
      <w:tr>
        <w:trPr>
          <w:trHeight w:val="186"/>
        </w:trPr>
        <w:tc>
          <w:tcPr>
            <w:tcW w:w="8300" w:type="dxa"/>
            <w:vAlign w:val="bottom"/>
            <w:tcBorders>
              <w:bottom w:val="single" w:sz="8" w:color="00AEEF"/>
            </w:tcBorders>
          </w:tcPr>
          <w:p>
            <w:pPr>
              <w:ind w:left="20"/>
              <w:spacing w:after="0"/>
              <w:rPr>
                <w:sz w:val="20"/>
                <w:szCs w:val="20"/>
                <w:color w:val="auto"/>
              </w:rPr>
            </w:pPr>
            <w:r>
              <w:rPr>
                <w:rFonts w:ascii="Arial" w:cs="Arial" w:eastAsia="Arial" w:hAnsi="Arial"/>
                <w:sz w:val="13"/>
                <w:szCs w:val="13"/>
                <w:b w:val="1"/>
                <w:bCs w:val="1"/>
                <w:color w:val="191769"/>
              </w:rPr>
              <w:t>Name</w:t>
            </w:r>
          </w:p>
        </w:tc>
        <w:tc>
          <w:tcPr>
            <w:tcW w:w="1420" w:type="dxa"/>
            <w:vAlign w:val="bottom"/>
            <w:tcBorders>
              <w:bottom w:val="single" w:sz="8" w:color="00AEEF"/>
            </w:tcBorders>
          </w:tcPr>
          <w:p>
            <w:pPr>
              <w:jc w:val="right"/>
              <w:ind w:right="280"/>
              <w:spacing w:after="0"/>
              <w:rPr>
                <w:sz w:val="20"/>
                <w:szCs w:val="20"/>
                <w:color w:val="auto"/>
              </w:rPr>
            </w:pPr>
            <w:r>
              <w:rPr>
                <w:rFonts w:ascii="Arial" w:cs="Arial" w:eastAsia="Arial" w:hAnsi="Arial"/>
                <w:sz w:val="13"/>
                <w:szCs w:val="13"/>
                <w:b w:val="1"/>
                <w:bCs w:val="1"/>
                <w:color w:val="191769"/>
              </w:rPr>
              <w:t>Grant Date</w:t>
            </w:r>
          </w:p>
        </w:tc>
        <w:tc>
          <w:tcPr>
            <w:tcW w:w="1520" w:type="dxa"/>
            <w:vAlign w:val="bottom"/>
            <w:tcBorders>
              <w:bottom w:val="single" w:sz="8" w:color="00AEEF"/>
            </w:tcBorders>
          </w:tcPr>
          <w:p>
            <w:pPr>
              <w:jc w:val="right"/>
              <w:spacing w:after="0"/>
              <w:rPr>
                <w:sz w:val="20"/>
                <w:szCs w:val="20"/>
                <w:color w:val="auto"/>
              </w:rPr>
            </w:pPr>
            <w:r>
              <w:rPr>
                <w:rFonts w:ascii="Arial" w:cs="Arial" w:eastAsia="Arial" w:hAnsi="Arial"/>
                <w:sz w:val="13"/>
                <w:szCs w:val="13"/>
                <w:b w:val="1"/>
                <w:bCs w:val="1"/>
                <w:color w:val="191769"/>
              </w:rPr>
              <w:t>(#)</w:t>
            </w:r>
          </w:p>
        </w:tc>
        <w:tc>
          <w:tcPr>
            <w:tcW w:w="0" w:type="dxa"/>
            <w:vAlign w:val="bottom"/>
          </w:tcPr>
          <w:p>
            <w:pPr>
              <w:spacing w:after="0"/>
              <w:rPr>
                <w:sz w:val="1"/>
                <w:szCs w:val="1"/>
                <w:color w:val="auto"/>
              </w:rPr>
            </w:pPr>
          </w:p>
        </w:tc>
      </w:tr>
      <w:tr>
        <w:trPr>
          <w:trHeight w:val="223"/>
        </w:trPr>
        <w:tc>
          <w:tcPr>
            <w:tcW w:w="8300" w:type="dxa"/>
            <w:vAlign w:val="bottom"/>
            <w:vMerge w:val="restart"/>
          </w:tcPr>
          <w:p>
            <w:pPr>
              <w:ind w:left="20"/>
              <w:spacing w:after="0"/>
              <w:rPr>
                <w:sz w:val="20"/>
                <w:szCs w:val="20"/>
                <w:color w:val="auto"/>
              </w:rPr>
            </w:pPr>
            <w:r>
              <w:rPr>
                <w:rFonts w:ascii="Arial" w:cs="Arial" w:eastAsia="Arial" w:hAnsi="Arial"/>
                <w:sz w:val="16"/>
                <w:szCs w:val="16"/>
                <w:b w:val="1"/>
                <w:bCs w:val="1"/>
                <w:color w:val="191769"/>
              </w:rPr>
              <w:t>Nadine Leslie</w:t>
            </w:r>
          </w:p>
        </w:tc>
        <w:tc>
          <w:tcPr>
            <w:tcW w:w="1420" w:type="dxa"/>
            <w:vAlign w:val="bottom"/>
          </w:tcPr>
          <w:p>
            <w:pPr>
              <w:jc w:val="right"/>
              <w:ind w:right="300"/>
              <w:spacing w:after="0"/>
              <w:rPr>
                <w:sz w:val="20"/>
                <w:szCs w:val="20"/>
                <w:color w:val="auto"/>
              </w:rPr>
            </w:pPr>
            <w:r>
              <w:rPr>
                <w:rFonts w:ascii="Arial" w:cs="Arial" w:eastAsia="Arial" w:hAnsi="Arial"/>
                <w:sz w:val="16"/>
                <w:szCs w:val="16"/>
                <w:color w:val="auto"/>
              </w:rPr>
              <w:t>3/1/2025</w:t>
            </w:r>
          </w:p>
        </w:tc>
        <w:tc>
          <w:tcPr>
            <w:tcW w:w="1520" w:type="dxa"/>
            <w:vAlign w:val="bottom"/>
          </w:tcPr>
          <w:p>
            <w:pPr>
              <w:jc w:val="right"/>
              <w:spacing w:after="0"/>
              <w:rPr>
                <w:sz w:val="20"/>
                <w:szCs w:val="20"/>
                <w:color w:val="auto"/>
              </w:rPr>
            </w:pPr>
            <w:r>
              <w:rPr>
                <w:rFonts w:ascii="Arial" w:cs="Arial" w:eastAsia="Arial" w:hAnsi="Arial"/>
                <w:sz w:val="16"/>
                <w:szCs w:val="16"/>
                <w:color w:val="auto"/>
              </w:rPr>
              <w:t>4,987</w:t>
            </w:r>
          </w:p>
        </w:tc>
        <w:tc>
          <w:tcPr>
            <w:tcW w:w="0" w:type="dxa"/>
            <w:vAlign w:val="bottom"/>
          </w:tcPr>
          <w:p>
            <w:pPr>
              <w:spacing w:after="0"/>
              <w:rPr>
                <w:sz w:val="1"/>
                <w:szCs w:val="1"/>
                <w:color w:val="auto"/>
              </w:rPr>
            </w:pPr>
          </w:p>
        </w:tc>
      </w:tr>
      <w:tr>
        <w:trPr>
          <w:trHeight w:val="22"/>
        </w:trPr>
        <w:tc>
          <w:tcPr>
            <w:tcW w:w="8300" w:type="dxa"/>
            <w:vAlign w:val="bottom"/>
            <w:vMerge w:val="continue"/>
          </w:tcPr>
          <w:p>
            <w:pPr>
              <w:spacing w:after="0" w:line="20" w:lineRule="exact"/>
              <w:rPr>
                <w:sz w:val="1"/>
                <w:szCs w:val="1"/>
                <w:color w:val="auto"/>
              </w:rPr>
            </w:pPr>
          </w:p>
        </w:tc>
        <w:tc>
          <w:tcPr>
            <w:tcW w:w="1420" w:type="dxa"/>
            <w:vAlign w:val="bottom"/>
            <w:tcBorders>
              <w:bottom w:val="single" w:sz="8" w:color="D9D9D9"/>
            </w:tcBorders>
          </w:tcPr>
          <w:p>
            <w:pPr>
              <w:spacing w:after="0" w:line="20" w:lineRule="exact"/>
              <w:rPr>
                <w:sz w:val="1"/>
                <w:szCs w:val="1"/>
                <w:color w:val="auto"/>
              </w:rPr>
            </w:pPr>
          </w:p>
        </w:tc>
        <w:tc>
          <w:tcPr>
            <w:tcW w:w="1520" w:type="dxa"/>
            <w:vAlign w:val="bottom"/>
            <w:tcBorders>
              <w:bottom w:val="single" w:sz="8" w:color="D9D9D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
        </w:trPr>
        <w:tc>
          <w:tcPr>
            <w:tcW w:w="8300" w:type="dxa"/>
            <w:vAlign w:val="bottom"/>
            <w:vMerge w:val="continue"/>
          </w:tcPr>
          <w:p>
            <w:pPr>
              <w:spacing w:after="0"/>
              <w:rPr>
                <w:sz w:val="7"/>
                <w:szCs w:val="7"/>
                <w:color w:val="auto"/>
              </w:rPr>
            </w:pPr>
          </w:p>
        </w:tc>
        <w:tc>
          <w:tcPr>
            <w:tcW w:w="1420" w:type="dxa"/>
            <w:vAlign w:val="bottom"/>
            <w:vMerge w:val="restart"/>
          </w:tcPr>
          <w:p>
            <w:pPr>
              <w:jc w:val="right"/>
              <w:ind w:right="300"/>
              <w:spacing w:after="0"/>
              <w:rPr>
                <w:sz w:val="20"/>
                <w:szCs w:val="20"/>
                <w:color w:val="auto"/>
              </w:rPr>
            </w:pPr>
            <w:r>
              <w:rPr>
                <w:rFonts w:ascii="Arial" w:cs="Arial" w:eastAsia="Arial" w:hAnsi="Arial"/>
                <w:sz w:val="16"/>
                <w:szCs w:val="16"/>
                <w:color w:val="auto"/>
              </w:rPr>
              <w:t>4/1/2025</w:t>
            </w: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6,677</w:t>
            </w:r>
          </w:p>
        </w:tc>
        <w:tc>
          <w:tcPr>
            <w:tcW w:w="0" w:type="dxa"/>
            <w:vAlign w:val="bottom"/>
          </w:tcPr>
          <w:p>
            <w:pPr>
              <w:spacing w:after="0"/>
              <w:rPr>
                <w:sz w:val="1"/>
                <w:szCs w:val="1"/>
                <w:color w:val="auto"/>
              </w:rPr>
            </w:pPr>
          </w:p>
        </w:tc>
      </w:tr>
      <w:tr>
        <w:trPr>
          <w:trHeight w:val="127"/>
        </w:trPr>
        <w:tc>
          <w:tcPr>
            <w:tcW w:w="83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8300" w:type="dxa"/>
            <w:vAlign w:val="bottom"/>
            <w:tcBorders>
              <w:bottom w:val="single" w:sz="8" w:color="D9D9D9"/>
            </w:tcBorders>
          </w:tcPr>
          <w:p>
            <w:pPr>
              <w:spacing w:after="0" w:line="20" w:lineRule="exact"/>
              <w:rPr>
                <w:sz w:val="1"/>
                <w:szCs w:val="1"/>
                <w:color w:val="auto"/>
              </w:rPr>
            </w:pPr>
          </w:p>
        </w:tc>
        <w:tc>
          <w:tcPr>
            <w:tcW w:w="1420" w:type="dxa"/>
            <w:vAlign w:val="bottom"/>
            <w:tcBorders>
              <w:bottom w:val="single" w:sz="8" w:color="D9D9D9"/>
            </w:tcBorders>
          </w:tcPr>
          <w:p>
            <w:pPr>
              <w:spacing w:after="0" w:line="20" w:lineRule="exact"/>
              <w:rPr>
                <w:sz w:val="1"/>
                <w:szCs w:val="1"/>
                <w:color w:val="auto"/>
              </w:rPr>
            </w:pPr>
          </w:p>
        </w:tc>
        <w:tc>
          <w:tcPr>
            <w:tcW w:w="1520" w:type="dxa"/>
            <w:vAlign w:val="bottom"/>
            <w:tcBorders>
              <w:bottom w:val="single" w:sz="8" w:color="D9D9D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830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Mohammed G. Zerhouni</w:t>
            </w:r>
          </w:p>
        </w:tc>
        <w:tc>
          <w:tcPr>
            <w:tcW w:w="1420" w:type="dxa"/>
            <w:vAlign w:val="bottom"/>
            <w:tcBorders>
              <w:bottom w:val="single" w:sz="8" w:color="D9D9D9"/>
            </w:tcBorders>
          </w:tcPr>
          <w:p>
            <w:pPr>
              <w:jc w:val="right"/>
              <w:ind w:right="300"/>
              <w:spacing w:after="0"/>
              <w:rPr>
                <w:sz w:val="20"/>
                <w:szCs w:val="20"/>
                <w:color w:val="auto"/>
              </w:rPr>
            </w:pPr>
            <w:r>
              <w:rPr>
                <w:rFonts w:ascii="Arial" w:cs="Arial" w:eastAsia="Arial" w:hAnsi="Arial"/>
                <w:sz w:val="16"/>
                <w:szCs w:val="16"/>
                <w:color w:val="auto"/>
              </w:rPr>
              <w:t>4/1/2025</w:t>
            </w:r>
          </w:p>
        </w:tc>
        <w:tc>
          <w:tcPr>
            <w:tcW w:w="15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3,120</w:t>
            </w:r>
          </w:p>
        </w:tc>
        <w:tc>
          <w:tcPr>
            <w:tcW w:w="0" w:type="dxa"/>
            <w:vAlign w:val="bottom"/>
          </w:tcPr>
          <w:p>
            <w:pPr>
              <w:spacing w:after="0"/>
              <w:rPr>
                <w:sz w:val="1"/>
                <w:szCs w:val="1"/>
                <w:color w:val="auto"/>
              </w:rPr>
            </w:pPr>
          </w:p>
        </w:tc>
      </w:tr>
      <w:tr>
        <w:trPr>
          <w:trHeight w:val="239"/>
        </w:trPr>
        <w:tc>
          <w:tcPr>
            <w:tcW w:w="830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Gregory S. Sorensen</w:t>
            </w:r>
          </w:p>
        </w:tc>
        <w:tc>
          <w:tcPr>
            <w:tcW w:w="1420" w:type="dxa"/>
            <w:vAlign w:val="bottom"/>
            <w:tcBorders>
              <w:bottom w:val="single" w:sz="8" w:color="D9D9D9"/>
            </w:tcBorders>
          </w:tcPr>
          <w:p>
            <w:pPr>
              <w:jc w:val="right"/>
              <w:ind w:right="300"/>
              <w:spacing w:after="0"/>
              <w:rPr>
                <w:sz w:val="20"/>
                <w:szCs w:val="20"/>
                <w:color w:val="auto"/>
              </w:rPr>
            </w:pPr>
            <w:r>
              <w:rPr>
                <w:rFonts w:ascii="Arial" w:cs="Arial" w:eastAsia="Arial" w:hAnsi="Arial"/>
                <w:sz w:val="16"/>
                <w:szCs w:val="16"/>
                <w:color w:val="auto"/>
              </w:rPr>
              <w:t>4/1/2025</w:t>
            </w:r>
          </w:p>
        </w:tc>
        <w:tc>
          <w:tcPr>
            <w:tcW w:w="15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830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Jay L. Kooper</w:t>
            </w:r>
          </w:p>
        </w:tc>
        <w:tc>
          <w:tcPr>
            <w:tcW w:w="1420" w:type="dxa"/>
            <w:vAlign w:val="bottom"/>
            <w:tcBorders>
              <w:bottom w:val="single" w:sz="8" w:color="D9D9D9"/>
            </w:tcBorders>
          </w:tcPr>
          <w:p>
            <w:pPr>
              <w:jc w:val="right"/>
              <w:ind w:right="300"/>
              <w:spacing w:after="0"/>
              <w:rPr>
                <w:sz w:val="20"/>
                <w:szCs w:val="20"/>
                <w:color w:val="auto"/>
              </w:rPr>
            </w:pPr>
            <w:r>
              <w:rPr>
                <w:rFonts w:ascii="Arial" w:cs="Arial" w:eastAsia="Arial" w:hAnsi="Arial"/>
                <w:sz w:val="16"/>
                <w:szCs w:val="16"/>
                <w:color w:val="auto"/>
              </w:rPr>
              <w:t>4/1/2025</w:t>
            </w:r>
          </w:p>
        </w:tc>
        <w:tc>
          <w:tcPr>
            <w:tcW w:w="15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1,607</w:t>
            </w:r>
          </w:p>
        </w:tc>
        <w:tc>
          <w:tcPr>
            <w:tcW w:w="0" w:type="dxa"/>
            <w:vAlign w:val="bottom"/>
          </w:tcPr>
          <w:p>
            <w:pPr>
              <w:spacing w:after="0"/>
              <w:rPr>
                <w:sz w:val="1"/>
                <w:szCs w:val="1"/>
                <w:color w:val="auto"/>
              </w:rPr>
            </w:pPr>
          </w:p>
        </w:tc>
      </w:tr>
      <w:tr>
        <w:trPr>
          <w:trHeight w:val="239"/>
        </w:trPr>
        <w:tc>
          <w:tcPr>
            <w:tcW w:w="8300" w:type="dxa"/>
            <w:vAlign w:val="bottom"/>
            <w:tcBorders>
              <w:bottom w:val="single" w:sz="8" w:color="00AEEF"/>
            </w:tcBorders>
          </w:tcPr>
          <w:p>
            <w:pPr>
              <w:ind w:left="20"/>
              <w:spacing w:after="0"/>
              <w:rPr>
                <w:sz w:val="20"/>
                <w:szCs w:val="20"/>
                <w:color w:val="auto"/>
              </w:rPr>
            </w:pPr>
            <w:r>
              <w:rPr>
                <w:rFonts w:ascii="Arial" w:cs="Arial" w:eastAsia="Arial" w:hAnsi="Arial"/>
                <w:sz w:val="16"/>
                <w:szCs w:val="16"/>
                <w:b w:val="1"/>
                <w:bCs w:val="1"/>
                <w:color w:val="191769"/>
              </w:rPr>
              <w:t>Georgia M. Simpson</w:t>
            </w:r>
          </w:p>
        </w:tc>
        <w:tc>
          <w:tcPr>
            <w:tcW w:w="1420" w:type="dxa"/>
            <w:vAlign w:val="bottom"/>
            <w:tcBorders>
              <w:bottom w:val="single" w:sz="8" w:color="00AEEF"/>
            </w:tcBorders>
          </w:tcPr>
          <w:p>
            <w:pPr>
              <w:jc w:val="right"/>
              <w:ind w:right="300"/>
              <w:spacing w:after="0"/>
              <w:rPr>
                <w:sz w:val="20"/>
                <w:szCs w:val="20"/>
                <w:color w:val="auto"/>
              </w:rPr>
            </w:pPr>
            <w:r>
              <w:rPr>
                <w:rFonts w:ascii="Arial" w:cs="Arial" w:eastAsia="Arial" w:hAnsi="Arial"/>
                <w:sz w:val="16"/>
                <w:szCs w:val="16"/>
                <w:color w:val="auto"/>
              </w:rPr>
              <w:t>4/1/2025</w:t>
            </w:r>
          </w:p>
        </w:tc>
        <w:tc>
          <w:tcPr>
            <w:tcW w:w="1520" w:type="dxa"/>
            <w:vAlign w:val="bottom"/>
            <w:tcBorders>
              <w:bottom w:val="single" w:sz="8" w:color="00AEEF"/>
            </w:tcBorders>
          </w:tcPr>
          <w:p>
            <w:pPr>
              <w:jc w:val="right"/>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bl>
    <w:p>
      <w:pPr>
        <w:spacing w:after="0" w:line="327" w:lineRule="exact"/>
        <w:rPr>
          <w:sz w:val="20"/>
          <w:szCs w:val="20"/>
          <w:color w:val="auto"/>
        </w:rPr>
      </w:pPr>
    </w:p>
    <w:p>
      <w:pPr>
        <w:ind w:left="2"/>
        <w:spacing w:after="0"/>
        <w:rPr>
          <w:sz w:val="20"/>
          <w:szCs w:val="20"/>
          <w:color w:val="auto"/>
        </w:rPr>
      </w:pPr>
      <w:r>
        <w:rPr>
          <w:rFonts w:ascii="Arial" w:cs="Arial" w:eastAsia="Arial" w:hAnsi="Arial"/>
          <w:sz w:val="36"/>
          <w:szCs w:val="36"/>
          <w:b w:val="1"/>
          <w:bCs w:val="1"/>
          <w:color w:val="0076A8"/>
        </w:rPr>
        <w:t>Stock Vested During 2025*</w:t>
      </w:r>
    </w:p>
    <w:p>
      <w:pPr>
        <w:spacing w:after="0" w:line="178"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table details information regarding the vesting of stock awards as of December 31, 2025.</w:t>
      </w:r>
    </w:p>
    <w:p>
      <w:pPr>
        <w:spacing w:after="0" w:line="207" w:lineRule="exact"/>
        <w:rPr>
          <w:sz w:val="20"/>
          <w:szCs w:val="20"/>
          <w:color w:val="auto"/>
        </w:rPr>
      </w:pPr>
    </w:p>
    <w:tbl>
      <w:tblPr>
        <w:tblLayout w:type="fixed"/>
        <w:tblInd w:w="2"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2140" w:type="dxa"/>
            <w:vAlign w:val="bottom"/>
            <w:tcBorders>
              <w:bottom w:val="single" w:sz="8" w:color="00AEEF"/>
            </w:tcBorders>
          </w:tcPr>
          <w:p>
            <w:pPr>
              <w:jc w:val="right"/>
              <w:ind w:right="45"/>
              <w:spacing w:after="0"/>
              <w:rPr>
                <w:sz w:val="20"/>
                <w:szCs w:val="20"/>
                <w:color w:val="auto"/>
              </w:rPr>
            </w:pPr>
            <w:r>
              <w:rPr>
                <w:rFonts w:ascii="Arial" w:cs="Arial" w:eastAsia="Arial" w:hAnsi="Arial"/>
                <w:sz w:val="13"/>
                <w:szCs w:val="13"/>
                <w:b w:val="1"/>
                <w:bCs w:val="1"/>
                <w:color w:val="191769"/>
              </w:rPr>
              <w:t>Stock Awards</w:t>
            </w:r>
          </w:p>
        </w:tc>
        <w:tc>
          <w:tcPr>
            <w:tcW w:w="1020" w:type="dxa"/>
            <w:vAlign w:val="bottom"/>
            <w:tcBorders>
              <w:bottom w:val="single" w:sz="8" w:color="00AEEF"/>
            </w:tcBorders>
          </w:tcPr>
          <w:p>
            <w:pPr>
              <w:spacing w:after="0"/>
              <w:rPr>
                <w:sz w:val="16"/>
                <w:szCs w:val="16"/>
                <w:color w:val="auto"/>
              </w:rPr>
            </w:pPr>
          </w:p>
        </w:tc>
      </w:tr>
      <w:tr>
        <w:trPr>
          <w:trHeight w:val="164"/>
        </w:trPr>
        <w:tc>
          <w:tcPr>
            <w:tcW w:w="8080" w:type="dxa"/>
            <w:vAlign w:val="bottom"/>
          </w:tcPr>
          <w:p>
            <w:pPr>
              <w:spacing w:after="0"/>
              <w:rPr>
                <w:sz w:val="14"/>
                <w:szCs w:val="14"/>
                <w:color w:val="auto"/>
              </w:rPr>
            </w:pPr>
          </w:p>
        </w:tc>
        <w:tc>
          <w:tcPr>
            <w:tcW w:w="2140" w:type="dxa"/>
            <w:vAlign w:val="bottom"/>
          </w:tcPr>
          <w:p>
            <w:pPr>
              <w:jc w:val="right"/>
              <w:ind w:right="525"/>
              <w:spacing w:after="0"/>
              <w:rPr>
                <w:sz w:val="20"/>
                <w:szCs w:val="20"/>
                <w:color w:val="auto"/>
              </w:rPr>
            </w:pPr>
            <w:r>
              <w:rPr>
                <w:rFonts w:ascii="Arial" w:cs="Arial" w:eastAsia="Arial" w:hAnsi="Arial"/>
                <w:sz w:val="13"/>
                <w:szCs w:val="13"/>
                <w:b w:val="1"/>
                <w:bCs w:val="1"/>
                <w:color w:val="191769"/>
              </w:rPr>
              <w:t>Shares Acquired</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191769"/>
              </w:rPr>
              <w:t>Value Realized</w:t>
            </w:r>
          </w:p>
        </w:tc>
      </w:tr>
      <w:tr>
        <w:trPr>
          <w:trHeight w:val="160"/>
        </w:trPr>
        <w:tc>
          <w:tcPr>
            <w:tcW w:w="8080" w:type="dxa"/>
            <w:vAlign w:val="bottom"/>
          </w:tcPr>
          <w:p>
            <w:pPr>
              <w:spacing w:after="0"/>
              <w:rPr>
                <w:sz w:val="13"/>
                <w:szCs w:val="13"/>
                <w:color w:val="auto"/>
              </w:rPr>
            </w:pPr>
          </w:p>
        </w:tc>
        <w:tc>
          <w:tcPr>
            <w:tcW w:w="2140" w:type="dxa"/>
            <w:vAlign w:val="bottom"/>
          </w:tcPr>
          <w:p>
            <w:pPr>
              <w:jc w:val="right"/>
              <w:ind w:right="525"/>
              <w:spacing w:after="0"/>
              <w:rPr>
                <w:sz w:val="20"/>
                <w:szCs w:val="20"/>
                <w:color w:val="auto"/>
              </w:rPr>
            </w:pPr>
            <w:r>
              <w:rPr>
                <w:rFonts w:ascii="Arial" w:cs="Arial" w:eastAsia="Arial" w:hAnsi="Arial"/>
                <w:sz w:val="13"/>
                <w:szCs w:val="13"/>
                <w:b w:val="1"/>
                <w:bCs w:val="1"/>
                <w:color w:val="191769"/>
              </w:rPr>
              <w:t>on Vesting</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191769"/>
              </w:rPr>
              <w:t>on Vesting</w:t>
            </w:r>
          </w:p>
        </w:tc>
      </w:tr>
      <w:tr>
        <w:trPr>
          <w:trHeight w:val="186"/>
        </w:trPr>
        <w:tc>
          <w:tcPr>
            <w:tcW w:w="8080" w:type="dxa"/>
            <w:vAlign w:val="bottom"/>
            <w:tcBorders>
              <w:bottom w:val="single" w:sz="8" w:color="00AEEF"/>
            </w:tcBorders>
          </w:tcPr>
          <w:p>
            <w:pPr>
              <w:ind w:left="20"/>
              <w:spacing w:after="0"/>
              <w:rPr>
                <w:sz w:val="20"/>
                <w:szCs w:val="20"/>
                <w:color w:val="auto"/>
              </w:rPr>
            </w:pPr>
            <w:r>
              <w:rPr>
                <w:rFonts w:ascii="Arial" w:cs="Arial" w:eastAsia="Arial" w:hAnsi="Arial"/>
                <w:sz w:val="13"/>
                <w:szCs w:val="13"/>
                <w:b w:val="1"/>
                <w:bCs w:val="1"/>
                <w:color w:val="191769"/>
              </w:rPr>
              <w:t>Name</w:t>
            </w:r>
          </w:p>
        </w:tc>
        <w:tc>
          <w:tcPr>
            <w:tcW w:w="2140" w:type="dxa"/>
            <w:vAlign w:val="bottom"/>
            <w:tcBorders>
              <w:bottom w:val="single" w:sz="8" w:color="00AEEF"/>
            </w:tcBorders>
          </w:tcPr>
          <w:p>
            <w:pPr>
              <w:jc w:val="right"/>
              <w:ind w:right="525"/>
              <w:spacing w:after="0"/>
              <w:rPr>
                <w:sz w:val="20"/>
                <w:szCs w:val="20"/>
                <w:color w:val="auto"/>
              </w:rPr>
            </w:pPr>
            <w:r>
              <w:rPr>
                <w:rFonts w:ascii="Arial" w:cs="Arial" w:eastAsia="Arial" w:hAnsi="Arial"/>
                <w:sz w:val="13"/>
                <w:szCs w:val="13"/>
                <w:b w:val="1"/>
                <w:bCs w:val="1"/>
                <w:color w:val="191769"/>
              </w:rPr>
              <w:t>(#)</w:t>
            </w:r>
          </w:p>
        </w:tc>
        <w:tc>
          <w:tcPr>
            <w:tcW w:w="1020" w:type="dxa"/>
            <w:vAlign w:val="bottom"/>
            <w:tcBorders>
              <w:bottom w:val="single" w:sz="8" w:color="00AEEF"/>
            </w:tcBorders>
          </w:tcPr>
          <w:p>
            <w:pPr>
              <w:jc w:val="right"/>
              <w:spacing w:after="0"/>
              <w:rPr>
                <w:sz w:val="20"/>
                <w:szCs w:val="20"/>
                <w:color w:val="auto"/>
              </w:rPr>
            </w:pPr>
            <w:r>
              <w:rPr>
                <w:rFonts w:ascii="Arial" w:cs="Arial" w:eastAsia="Arial" w:hAnsi="Arial"/>
                <w:sz w:val="13"/>
                <w:szCs w:val="13"/>
                <w:b w:val="1"/>
                <w:bCs w:val="1"/>
                <w:color w:val="191769"/>
              </w:rPr>
              <w:t>($)</w:t>
            </w:r>
          </w:p>
        </w:tc>
      </w:tr>
      <w:tr>
        <w:trPr>
          <w:trHeight w:val="238"/>
        </w:trPr>
        <w:tc>
          <w:tcPr>
            <w:tcW w:w="808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Nadine Leslie</w:t>
            </w:r>
          </w:p>
        </w:tc>
        <w:tc>
          <w:tcPr>
            <w:tcW w:w="2140" w:type="dxa"/>
            <w:vAlign w:val="bottom"/>
            <w:tcBorders>
              <w:bottom w:val="single" w:sz="8" w:color="D9D9D9"/>
            </w:tcBorders>
          </w:tcPr>
          <w:p>
            <w:pPr>
              <w:jc w:val="right"/>
              <w:ind w:right="585"/>
              <w:spacing w:after="0"/>
              <w:rPr>
                <w:sz w:val="20"/>
                <w:szCs w:val="20"/>
                <w:color w:val="auto"/>
              </w:rPr>
            </w:pPr>
            <w:r>
              <w:rPr>
                <w:rFonts w:ascii="Arial" w:cs="Arial" w:eastAsia="Arial" w:hAnsi="Arial"/>
                <w:sz w:val="16"/>
                <w:szCs w:val="16"/>
                <w:color w:val="auto"/>
              </w:rPr>
              <w:t>4,987</w:t>
            </w:r>
          </w:p>
        </w:tc>
        <w:tc>
          <w:tcPr>
            <w:tcW w:w="10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289,396</w:t>
            </w:r>
          </w:p>
        </w:tc>
      </w:tr>
      <w:tr>
        <w:trPr>
          <w:trHeight w:val="239"/>
        </w:trPr>
        <w:tc>
          <w:tcPr>
            <w:tcW w:w="808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Mohammed G. Zerhouni</w:t>
            </w:r>
          </w:p>
        </w:tc>
        <w:tc>
          <w:tcPr>
            <w:tcW w:w="2140" w:type="dxa"/>
            <w:vAlign w:val="bottom"/>
            <w:tcBorders>
              <w:bottom w:val="single" w:sz="8" w:color="D9D9D9"/>
            </w:tcBorders>
          </w:tcPr>
          <w:p>
            <w:pPr>
              <w:jc w:val="right"/>
              <w:ind w:right="585"/>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808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Gregory S. Sorensen</w:t>
            </w:r>
          </w:p>
        </w:tc>
        <w:tc>
          <w:tcPr>
            <w:tcW w:w="2140" w:type="dxa"/>
            <w:vAlign w:val="bottom"/>
            <w:tcBorders>
              <w:bottom w:val="single" w:sz="8" w:color="D9D9D9"/>
            </w:tcBorders>
          </w:tcPr>
          <w:p>
            <w:pPr>
              <w:jc w:val="right"/>
              <w:ind w:right="585"/>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808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Jay L. Kooper</w:t>
            </w:r>
          </w:p>
        </w:tc>
        <w:tc>
          <w:tcPr>
            <w:tcW w:w="2140" w:type="dxa"/>
            <w:vAlign w:val="bottom"/>
            <w:tcBorders>
              <w:bottom w:val="single" w:sz="8" w:color="D9D9D9"/>
            </w:tcBorders>
          </w:tcPr>
          <w:p>
            <w:pPr>
              <w:jc w:val="right"/>
              <w:ind w:right="585"/>
              <w:spacing w:after="0"/>
              <w:rPr>
                <w:sz w:val="20"/>
                <w:szCs w:val="20"/>
                <w:color w:val="auto"/>
              </w:rPr>
            </w:pPr>
            <w:r>
              <w:rPr>
                <w:rFonts w:ascii="Arial" w:cs="Arial" w:eastAsia="Arial" w:hAnsi="Arial"/>
                <w:sz w:val="16"/>
                <w:szCs w:val="16"/>
                <w:color w:val="auto"/>
              </w:rPr>
              <w:t>832</w:t>
            </w:r>
          </w:p>
        </w:tc>
        <w:tc>
          <w:tcPr>
            <w:tcW w:w="10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53,331</w:t>
            </w:r>
          </w:p>
        </w:tc>
      </w:tr>
      <w:tr>
        <w:trPr>
          <w:trHeight w:val="239"/>
        </w:trPr>
        <w:tc>
          <w:tcPr>
            <w:tcW w:w="8080" w:type="dxa"/>
            <w:vAlign w:val="bottom"/>
            <w:tcBorders>
              <w:bottom w:val="single" w:sz="8" w:color="00AEEF"/>
            </w:tcBorders>
          </w:tcPr>
          <w:p>
            <w:pPr>
              <w:ind w:left="20"/>
              <w:spacing w:after="0"/>
              <w:rPr>
                <w:sz w:val="20"/>
                <w:szCs w:val="20"/>
                <w:color w:val="auto"/>
              </w:rPr>
            </w:pPr>
            <w:r>
              <w:rPr>
                <w:rFonts w:ascii="Arial" w:cs="Arial" w:eastAsia="Arial" w:hAnsi="Arial"/>
                <w:sz w:val="16"/>
                <w:szCs w:val="16"/>
                <w:b w:val="1"/>
                <w:bCs w:val="1"/>
                <w:color w:val="191769"/>
              </w:rPr>
              <w:t>Georgia M. Simpson</w:t>
            </w:r>
          </w:p>
        </w:tc>
        <w:tc>
          <w:tcPr>
            <w:tcW w:w="2140" w:type="dxa"/>
            <w:vAlign w:val="bottom"/>
            <w:tcBorders>
              <w:bottom w:val="single" w:sz="8" w:color="00AEEF"/>
            </w:tcBorders>
          </w:tcPr>
          <w:p>
            <w:pPr>
              <w:jc w:val="right"/>
              <w:ind w:right="585"/>
              <w:spacing w:after="0"/>
              <w:rPr>
                <w:sz w:val="20"/>
                <w:szCs w:val="20"/>
                <w:color w:val="auto"/>
              </w:rPr>
            </w:pPr>
            <w:r>
              <w:rPr>
                <w:rFonts w:ascii="Arial" w:cs="Arial" w:eastAsia="Arial" w:hAnsi="Arial"/>
                <w:sz w:val="16"/>
                <w:szCs w:val="16"/>
                <w:color w:val="auto"/>
              </w:rPr>
              <w:t>702</w:t>
            </w:r>
          </w:p>
        </w:tc>
        <w:tc>
          <w:tcPr>
            <w:tcW w:w="1020" w:type="dxa"/>
            <w:vAlign w:val="bottom"/>
            <w:tcBorders>
              <w:bottom w:val="single" w:sz="8" w:color="00AEEF"/>
            </w:tcBorders>
          </w:tcPr>
          <w:p>
            <w:pPr>
              <w:jc w:val="right"/>
              <w:spacing w:after="0"/>
              <w:rPr>
                <w:sz w:val="20"/>
                <w:szCs w:val="20"/>
                <w:color w:val="auto"/>
              </w:rPr>
            </w:pPr>
            <w:r>
              <w:rPr>
                <w:rFonts w:ascii="Arial" w:cs="Arial" w:eastAsia="Arial" w:hAnsi="Arial"/>
                <w:sz w:val="16"/>
                <w:szCs w:val="16"/>
                <w:color w:val="auto"/>
              </w:rPr>
              <w:t>44,998</w:t>
            </w:r>
          </w:p>
        </w:tc>
      </w:tr>
    </w:tbl>
    <w:p>
      <w:pPr>
        <w:spacing w:after="0" w:line="140" w:lineRule="exact"/>
        <w:rPr>
          <w:sz w:val="20"/>
          <w:szCs w:val="20"/>
          <w:color w:val="auto"/>
        </w:rPr>
      </w:pPr>
    </w:p>
    <w:p>
      <w:pPr>
        <w:ind w:left="202" w:hanging="202"/>
        <w:spacing w:after="0"/>
        <w:tabs>
          <w:tab w:leader="none" w:pos="202"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Company does not employ the use of stock options.</w:t>
      </w:r>
    </w:p>
    <w:p>
      <w:pPr>
        <w:spacing w:after="0" w:line="259" w:lineRule="exact"/>
        <w:rPr>
          <w:sz w:val="20"/>
          <w:szCs w:val="20"/>
          <w:color w:val="auto"/>
        </w:rPr>
      </w:pPr>
    </w:p>
    <w:p>
      <w:pPr>
        <w:ind w:left="2"/>
        <w:spacing w:after="0"/>
        <w:rPr>
          <w:sz w:val="20"/>
          <w:szCs w:val="20"/>
          <w:color w:val="auto"/>
        </w:rPr>
      </w:pPr>
      <w:r>
        <w:rPr>
          <w:rFonts w:ascii="Arial" w:cs="Arial" w:eastAsia="Arial" w:hAnsi="Arial"/>
          <w:sz w:val="36"/>
          <w:szCs w:val="36"/>
          <w:b w:val="1"/>
          <w:bCs w:val="1"/>
          <w:color w:val="0076A8"/>
        </w:rPr>
        <w:t>Outstanding Equity Awards</w:t>
      </w:r>
    </w:p>
    <w:p>
      <w:pPr>
        <w:spacing w:after="0" w:line="178"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table represents outstanding unvested restricted stock awards as of December 31, 2025.</w:t>
      </w:r>
    </w:p>
    <w:p>
      <w:pPr>
        <w:spacing w:after="0" w:line="207" w:lineRule="exact"/>
        <w:rPr>
          <w:sz w:val="20"/>
          <w:szCs w:val="20"/>
          <w:color w:val="auto"/>
        </w:rPr>
      </w:pPr>
    </w:p>
    <w:tbl>
      <w:tblPr>
        <w:tblLayout w:type="fixed"/>
        <w:tblInd w:w="2" w:type="dxa"/>
        <w:tblCellMar>
          <w:top w:w="0" w:type="dxa"/>
          <w:left w:w="0" w:type="dxa"/>
          <w:bottom w:w="0" w:type="dxa"/>
          <w:right w:w="0" w:type="dxa"/>
        </w:tblCellMar>
      </w:tblPr>
      <w:tr>
        <w:trPr>
          <w:trHeight w:val="160"/>
        </w:trPr>
        <w:tc>
          <w:tcPr>
            <w:tcW w:w="5400" w:type="dxa"/>
            <w:vAlign w:val="bottom"/>
          </w:tcPr>
          <w:p>
            <w:pPr>
              <w:spacing w:after="0"/>
              <w:rPr>
                <w:sz w:val="13"/>
                <w:szCs w:val="13"/>
                <w:color w:val="auto"/>
              </w:rPr>
            </w:pPr>
          </w:p>
        </w:tc>
        <w:tc>
          <w:tcPr>
            <w:tcW w:w="4520" w:type="dxa"/>
            <w:vAlign w:val="bottom"/>
          </w:tcPr>
          <w:p>
            <w:pPr>
              <w:jc w:val="right"/>
              <w:ind w:right="267"/>
              <w:spacing w:after="0"/>
              <w:rPr>
                <w:sz w:val="20"/>
                <w:szCs w:val="20"/>
                <w:color w:val="auto"/>
              </w:rPr>
            </w:pPr>
            <w:r>
              <w:rPr>
                <w:rFonts w:ascii="Arial" w:cs="Arial" w:eastAsia="Arial" w:hAnsi="Arial"/>
                <w:sz w:val="13"/>
                <w:szCs w:val="13"/>
                <w:b w:val="1"/>
                <w:bCs w:val="1"/>
                <w:color w:val="191769"/>
              </w:rPr>
              <w:t>Shares</w:t>
            </w:r>
          </w:p>
        </w:tc>
        <w:tc>
          <w:tcPr>
            <w:tcW w:w="1320" w:type="dxa"/>
            <w:vAlign w:val="bottom"/>
            <w:gridSpan w:val="2"/>
          </w:tcPr>
          <w:p>
            <w:pPr>
              <w:jc w:val="right"/>
              <w:spacing w:after="0"/>
              <w:rPr>
                <w:sz w:val="20"/>
                <w:szCs w:val="20"/>
                <w:color w:val="auto"/>
              </w:rPr>
            </w:pPr>
            <w:r>
              <w:rPr>
                <w:rFonts w:ascii="Arial" w:cs="Arial" w:eastAsia="Arial" w:hAnsi="Arial"/>
                <w:sz w:val="13"/>
                <w:szCs w:val="13"/>
                <w:b w:val="1"/>
                <w:bCs w:val="1"/>
                <w:color w:val="191769"/>
              </w:rPr>
              <w:t>Market value</w:t>
            </w:r>
          </w:p>
        </w:tc>
        <w:tc>
          <w:tcPr>
            <w:tcW w:w="0" w:type="dxa"/>
            <w:vAlign w:val="bottom"/>
          </w:tcPr>
          <w:p>
            <w:pPr>
              <w:spacing w:after="0"/>
              <w:rPr>
                <w:sz w:val="1"/>
                <w:szCs w:val="1"/>
                <w:color w:val="auto"/>
              </w:rPr>
            </w:pPr>
          </w:p>
        </w:tc>
      </w:tr>
      <w:tr>
        <w:trPr>
          <w:trHeight w:val="160"/>
        </w:trPr>
        <w:tc>
          <w:tcPr>
            <w:tcW w:w="5400" w:type="dxa"/>
            <w:vAlign w:val="bottom"/>
          </w:tcPr>
          <w:p>
            <w:pPr>
              <w:spacing w:after="0"/>
              <w:rPr>
                <w:sz w:val="13"/>
                <w:szCs w:val="13"/>
                <w:color w:val="auto"/>
              </w:rPr>
            </w:pPr>
          </w:p>
        </w:tc>
        <w:tc>
          <w:tcPr>
            <w:tcW w:w="4520" w:type="dxa"/>
            <w:vAlign w:val="bottom"/>
          </w:tcPr>
          <w:p>
            <w:pPr>
              <w:jc w:val="right"/>
              <w:ind w:right="267"/>
              <w:spacing w:after="0"/>
              <w:rPr>
                <w:sz w:val="20"/>
                <w:szCs w:val="20"/>
                <w:color w:val="auto"/>
              </w:rPr>
            </w:pPr>
            <w:r>
              <w:rPr>
                <w:rFonts w:ascii="Arial" w:cs="Arial" w:eastAsia="Arial" w:hAnsi="Arial"/>
                <w:sz w:val="13"/>
                <w:szCs w:val="13"/>
                <w:b w:val="1"/>
                <w:bCs w:val="1"/>
                <w:color w:val="191769"/>
              </w:rPr>
              <w:t>of stock</w:t>
            </w:r>
          </w:p>
        </w:tc>
        <w:tc>
          <w:tcPr>
            <w:tcW w:w="1320" w:type="dxa"/>
            <w:vAlign w:val="bottom"/>
            <w:gridSpan w:val="2"/>
          </w:tcPr>
          <w:p>
            <w:pPr>
              <w:jc w:val="right"/>
              <w:spacing w:after="0"/>
              <w:rPr>
                <w:sz w:val="20"/>
                <w:szCs w:val="20"/>
                <w:color w:val="auto"/>
              </w:rPr>
            </w:pPr>
            <w:r>
              <w:rPr>
                <w:rFonts w:ascii="Arial" w:cs="Arial" w:eastAsia="Arial" w:hAnsi="Arial"/>
                <w:sz w:val="13"/>
                <w:szCs w:val="13"/>
                <w:b w:val="1"/>
                <w:bCs w:val="1"/>
                <w:color w:val="191769"/>
              </w:rPr>
              <w:t>of shares of</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4520" w:type="dxa"/>
            <w:vAlign w:val="bottom"/>
          </w:tcPr>
          <w:p>
            <w:pPr>
              <w:jc w:val="right"/>
              <w:ind w:right="267"/>
              <w:spacing w:after="0" w:line="148" w:lineRule="exact"/>
              <w:rPr>
                <w:sz w:val="20"/>
                <w:szCs w:val="20"/>
                <w:color w:val="auto"/>
              </w:rPr>
            </w:pPr>
            <w:r>
              <w:rPr>
                <w:rFonts w:ascii="Arial" w:cs="Arial" w:eastAsia="Arial" w:hAnsi="Arial"/>
                <w:sz w:val="13"/>
                <w:szCs w:val="13"/>
                <w:b w:val="1"/>
                <w:bCs w:val="1"/>
                <w:color w:val="191769"/>
              </w:rPr>
              <w:t>that have</w:t>
            </w:r>
          </w:p>
        </w:tc>
        <w:tc>
          <w:tcPr>
            <w:tcW w:w="1320" w:type="dxa"/>
            <w:vAlign w:val="bottom"/>
            <w:gridSpan w:val="2"/>
          </w:tcPr>
          <w:p>
            <w:pPr>
              <w:jc w:val="right"/>
              <w:spacing w:after="0" w:line="148" w:lineRule="exact"/>
              <w:rPr>
                <w:sz w:val="20"/>
                <w:szCs w:val="20"/>
                <w:color w:val="auto"/>
              </w:rPr>
            </w:pPr>
            <w:r>
              <w:rPr>
                <w:rFonts w:ascii="Arial" w:cs="Arial" w:eastAsia="Arial" w:hAnsi="Arial"/>
                <w:sz w:val="13"/>
                <w:szCs w:val="13"/>
                <w:b w:val="1"/>
                <w:bCs w:val="1"/>
                <w:color w:val="191769"/>
              </w:rPr>
              <w:t>stock that have</w:t>
            </w:r>
          </w:p>
        </w:tc>
        <w:tc>
          <w:tcPr>
            <w:tcW w:w="0" w:type="dxa"/>
            <w:vAlign w:val="bottom"/>
          </w:tcPr>
          <w:p>
            <w:pPr>
              <w:spacing w:after="0"/>
              <w:rPr>
                <w:sz w:val="1"/>
                <w:szCs w:val="1"/>
                <w:color w:val="auto"/>
              </w:rPr>
            </w:pPr>
          </w:p>
        </w:tc>
      </w:tr>
      <w:tr>
        <w:trPr>
          <w:trHeight w:val="160"/>
        </w:trPr>
        <w:tc>
          <w:tcPr>
            <w:tcW w:w="5400" w:type="dxa"/>
            <w:vAlign w:val="bottom"/>
          </w:tcPr>
          <w:p>
            <w:pPr>
              <w:spacing w:after="0"/>
              <w:rPr>
                <w:sz w:val="13"/>
                <w:szCs w:val="13"/>
                <w:color w:val="auto"/>
              </w:rPr>
            </w:pPr>
          </w:p>
        </w:tc>
        <w:tc>
          <w:tcPr>
            <w:tcW w:w="4520" w:type="dxa"/>
            <w:vAlign w:val="bottom"/>
          </w:tcPr>
          <w:p>
            <w:pPr>
              <w:jc w:val="right"/>
              <w:ind w:right="267"/>
              <w:spacing w:after="0"/>
              <w:rPr>
                <w:sz w:val="20"/>
                <w:szCs w:val="20"/>
                <w:color w:val="auto"/>
              </w:rPr>
            </w:pPr>
            <w:r>
              <w:rPr>
                <w:rFonts w:ascii="Arial" w:cs="Arial" w:eastAsia="Arial" w:hAnsi="Arial"/>
                <w:sz w:val="13"/>
                <w:szCs w:val="13"/>
                <w:b w:val="1"/>
                <w:bCs w:val="1"/>
                <w:color w:val="191769"/>
              </w:rPr>
              <w:t>not vested</w:t>
            </w:r>
          </w:p>
        </w:tc>
        <w:tc>
          <w:tcPr>
            <w:tcW w:w="1320" w:type="dxa"/>
            <w:vAlign w:val="bottom"/>
            <w:gridSpan w:val="2"/>
          </w:tcPr>
          <w:p>
            <w:pPr>
              <w:jc w:val="right"/>
              <w:spacing w:after="0"/>
              <w:rPr>
                <w:sz w:val="20"/>
                <w:szCs w:val="20"/>
                <w:color w:val="auto"/>
              </w:rPr>
            </w:pPr>
            <w:r>
              <w:rPr>
                <w:rFonts w:ascii="Arial" w:cs="Arial" w:eastAsia="Arial" w:hAnsi="Arial"/>
                <w:sz w:val="13"/>
                <w:szCs w:val="13"/>
                <w:b w:val="1"/>
                <w:bCs w:val="1"/>
                <w:color w:val="191769"/>
              </w:rPr>
              <w:t>not vested</w:t>
            </w:r>
          </w:p>
        </w:tc>
        <w:tc>
          <w:tcPr>
            <w:tcW w:w="0" w:type="dxa"/>
            <w:vAlign w:val="bottom"/>
          </w:tcPr>
          <w:p>
            <w:pPr>
              <w:spacing w:after="0"/>
              <w:rPr>
                <w:sz w:val="1"/>
                <w:szCs w:val="1"/>
                <w:color w:val="auto"/>
              </w:rPr>
            </w:pPr>
          </w:p>
        </w:tc>
      </w:tr>
      <w:tr>
        <w:trPr>
          <w:trHeight w:val="186"/>
        </w:trPr>
        <w:tc>
          <w:tcPr>
            <w:tcW w:w="5400" w:type="dxa"/>
            <w:vAlign w:val="bottom"/>
            <w:tcBorders>
              <w:bottom w:val="single" w:sz="8" w:color="00AEEF"/>
            </w:tcBorders>
          </w:tcPr>
          <w:p>
            <w:pPr>
              <w:ind w:left="20"/>
              <w:spacing w:after="0"/>
              <w:rPr>
                <w:sz w:val="20"/>
                <w:szCs w:val="20"/>
                <w:color w:val="auto"/>
              </w:rPr>
            </w:pPr>
            <w:r>
              <w:rPr>
                <w:rFonts w:ascii="Arial" w:cs="Arial" w:eastAsia="Arial" w:hAnsi="Arial"/>
                <w:sz w:val="13"/>
                <w:szCs w:val="13"/>
                <w:b w:val="1"/>
                <w:bCs w:val="1"/>
                <w:color w:val="191769"/>
              </w:rPr>
              <w:t>Name</w:t>
            </w:r>
          </w:p>
        </w:tc>
        <w:tc>
          <w:tcPr>
            <w:tcW w:w="4520" w:type="dxa"/>
            <w:vAlign w:val="bottom"/>
            <w:tcBorders>
              <w:bottom w:val="single" w:sz="8" w:color="00AEEF"/>
            </w:tcBorders>
          </w:tcPr>
          <w:p>
            <w:pPr>
              <w:jc w:val="right"/>
              <w:ind w:right="267"/>
              <w:spacing w:after="0"/>
              <w:rPr>
                <w:sz w:val="20"/>
                <w:szCs w:val="20"/>
                <w:color w:val="auto"/>
              </w:rPr>
            </w:pPr>
            <w:r>
              <w:rPr>
                <w:rFonts w:ascii="Arial" w:cs="Arial" w:eastAsia="Arial" w:hAnsi="Arial"/>
                <w:sz w:val="13"/>
                <w:szCs w:val="13"/>
                <w:b w:val="1"/>
                <w:bCs w:val="1"/>
                <w:color w:val="191769"/>
              </w:rPr>
              <w:t>(#)</w:t>
            </w:r>
          </w:p>
        </w:tc>
        <w:tc>
          <w:tcPr>
            <w:tcW w:w="920" w:type="dxa"/>
            <w:vAlign w:val="bottom"/>
            <w:tcBorders>
              <w:bottom w:val="single" w:sz="8" w:color="00AEEF"/>
            </w:tcBorders>
          </w:tcPr>
          <w:p>
            <w:pPr>
              <w:spacing w:after="0"/>
              <w:rPr>
                <w:sz w:val="16"/>
                <w:szCs w:val="16"/>
                <w:color w:val="auto"/>
              </w:rPr>
            </w:pPr>
          </w:p>
        </w:tc>
        <w:tc>
          <w:tcPr>
            <w:tcW w:w="400" w:type="dxa"/>
            <w:vAlign w:val="bottom"/>
            <w:tcBorders>
              <w:bottom w:val="single" w:sz="8" w:color="00AEEF"/>
            </w:tcBorders>
          </w:tcPr>
          <w:p>
            <w:pPr>
              <w:ind w:left="240"/>
              <w:spacing w:after="0"/>
              <w:rPr>
                <w:sz w:val="20"/>
                <w:szCs w:val="20"/>
                <w:color w:val="auto"/>
              </w:rPr>
            </w:pPr>
            <w:r>
              <w:rPr>
                <w:rFonts w:ascii="Arial" w:cs="Arial" w:eastAsia="Arial" w:hAnsi="Arial"/>
                <w:sz w:val="13"/>
                <w:szCs w:val="13"/>
                <w:b w:val="1"/>
                <w:bCs w:val="1"/>
                <w:color w:val="191769"/>
                <w:w w:val="87"/>
              </w:rPr>
              <w:t>($)</w:t>
            </w:r>
          </w:p>
        </w:tc>
        <w:tc>
          <w:tcPr>
            <w:tcW w:w="0" w:type="dxa"/>
            <w:vAlign w:val="bottom"/>
          </w:tcPr>
          <w:p>
            <w:pPr>
              <w:spacing w:after="0"/>
              <w:rPr>
                <w:sz w:val="1"/>
                <w:szCs w:val="1"/>
                <w:color w:val="auto"/>
              </w:rPr>
            </w:pPr>
          </w:p>
        </w:tc>
      </w:tr>
      <w:tr>
        <w:trPr>
          <w:trHeight w:val="238"/>
        </w:trPr>
        <w:tc>
          <w:tcPr>
            <w:tcW w:w="540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Nadine Leslie</w:t>
            </w:r>
          </w:p>
        </w:tc>
        <w:tc>
          <w:tcPr>
            <w:tcW w:w="4520" w:type="dxa"/>
            <w:vAlign w:val="bottom"/>
            <w:tcBorders>
              <w:bottom w:val="single" w:sz="8" w:color="D9D9D9"/>
            </w:tcBorders>
          </w:tcPr>
          <w:p>
            <w:pPr>
              <w:jc w:val="right"/>
              <w:ind w:right="327"/>
              <w:spacing w:after="0"/>
              <w:rPr>
                <w:sz w:val="20"/>
                <w:szCs w:val="20"/>
                <w:color w:val="auto"/>
              </w:rPr>
            </w:pPr>
            <w:r>
              <w:rPr>
                <w:rFonts w:ascii="Arial" w:cs="Arial" w:eastAsia="Arial" w:hAnsi="Arial"/>
                <w:sz w:val="16"/>
                <w:szCs w:val="16"/>
                <w:color w:val="auto"/>
              </w:rPr>
              <w:t>6,677</w:t>
            </w:r>
          </w:p>
        </w:tc>
        <w:tc>
          <w:tcPr>
            <w:tcW w:w="1320" w:type="dxa"/>
            <w:vAlign w:val="bottom"/>
            <w:tcBorders>
              <w:bottom w:val="single" w:sz="8" w:color="D9D9D9"/>
            </w:tcBorders>
            <w:gridSpan w:val="2"/>
          </w:tcPr>
          <w:p>
            <w:pPr>
              <w:jc w:val="right"/>
              <w:spacing w:after="0"/>
              <w:rPr>
                <w:sz w:val="20"/>
                <w:szCs w:val="20"/>
                <w:color w:val="auto"/>
              </w:rPr>
            </w:pPr>
            <w:r>
              <w:rPr>
                <w:rFonts w:ascii="Arial" w:cs="Arial" w:eastAsia="Arial" w:hAnsi="Arial"/>
                <w:sz w:val="16"/>
                <w:szCs w:val="16"/>
                <w:color w:val="auto"/>
              </w:rPr>
              <w:t>340,126</w:t>
            </w:r>
          </w:p>
        </w:tc>
        <w:tc>
          <w:tcPr>
            <w:tcW w:w="0" w:type="dxa"/>
            <w:vAlign w:val="bottom"/>
          </w:tcPr>
          <w:p>
            <w:pPr>
              <w:spacing w:after="0"/>
              <w:rPr>
                <w:sz w:val="1"/>
                <w:szCs w:val="1"/>
                <w:color w:val="auto"/>
              </w:rPr>
            </w:pPr>
          </w:p>
        </w:tc>
      </w:tr>
      <w:tr>
        <w:trPr>
          <w:trHeight w:val="239"/>
        </w:trPr>
        <w:tc>
          <w:tcPr>
            <w:tcW w:w="540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Mohammed G. Zerhouni</w:t>
            </w:r>
          </w:p>
        </w:tc>
        <w:tc>
          <w:tcPr>
            <w:tcW w:w="4520" w:type="dxa"/>
            <w:vAlign w:val="bottom"/>
            <w:tcBorders>
              <w:bottom w:val="single" w:sz="8" w:color="D9D9D9"/>
            </w:tcBorders>
          </w:tcPr>
          <w:p>
            <w:pPr>
              <w:jc w:val="right"/>
              <w:ind w:right="327"/>
              <w:spacing w:after="0"/>
              <w:rPr>
                <w:sz w:val="20"/>
                <w:szCs w:val="20"/>
                <w:color w:val="auto"/>
              </w:rPr>
            </w:pPr>
            <w:r>
              <w:rPr>
                <w:rFonts w:ascii="Arial" w:cs="Arial" w:eastAsia="Arial" w:hAnsi="Arial"/>
                <w:sz w:val="16"/>
                <w:szCs w:val="16"/>
                <w:color w:val="auto"/>
              </w:rPr>
              <w:t>3,120</w:t>
            </w:r>
          </w:p>
        </w:tc>
        <w:tc>
          <w:tcPr>
            <w:tcW w:w="1320" w:type="dxa"/>
            <w:vAlign w:val="bottom"/>
            <w:tcBorders>
              <w:bottom w:val="single" w:sz="8" w:color="D9D9D9"/>
            </w:tcBorders>
            <w:gridSpan w:val="2"/>
          </w:tcPr>
          <w:p>
            <w:pPr>
              <w:jc w:val="right"/>
              <w:spacing w:after="0"/>
              <w:rPr>
                <w:sz w:val="20"/>
                <w:szCs w:val="20"/>
                <w:color w:val="auto"/>
              </w:rPr>
            </w:pPr>
            <w:r>
              <w:rPr>
                <w:rFonts w:ascii="Arial" w:cs="Arial" w:eastAsia="Arial" w:hAnsi="Arial"/>
                <w:sz w:val="16"/>
                <w:szCs w:val="16"/>
                <w:color w:val="auto"/>
              </w:rPr>
              <w:t>158,933</w:t>
            </w:r>
          </w:p>
        </w:tc>
        <w:tc>
          <w:tcPr>
            <w:tcW w:w="0" w:type="dxa"/>
            <w:vAlign w:val="bottom"/>
          </w:tcPr>
          <w:p>
            <w:pPr>
              <w:spacing w:after="0"/>
              <w:rPr>
                <w:sz w:val="1"/>
                <w:szCs w:val="1"/>
                <w:color w:val="auto"/>
              </w:rPr>
            </w:pPr>
          </w:p>
        </w:tc>
      </w:tr>
      <w:tr>
        <w:trPr>
          <w:trHeight w:val="239"/>
        </w:trPr>
        <w:tc>
          <w:tcPr>
            <w:tcW w:w="540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Gregory S. Sorensen</w:t>
            </w:r>
          </w:p>
        </w:tc>
        <w:tc>
          <w:tcPr>
            <w:tcW w:w="4520" w:type="dxa"/>
            <w:vAlign w:val="bottom"/>
            <w:tcBorders>
              <w:bottom w:val="single" w:sz="8" w:color="D9D9D9"/>
            </w:tcBorders>
          </w:tcPr>
          <w:p>
            <w:pPr>
              <w:jc w:val="right"/>
              <w:ind w:right="327"/>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D9D9D9"/>
            </w:tcBorders>
          </w:tcPr>
          <w:p>
            <w:pPr>
              <w:spacing w:after="0"/>
              <w:rPr>
                <w:sz w:val="20"/>
                <w:szCs w:val="20"/>
                <w:color w:val="auto"/>
              </w:rPr>
            </w:pPr>
          </w:p>
        </w:tc>
        <w:tc>
          <w:tcPr>
            <w:tcW w:w="40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540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Jay L. Kooper</w:t>
            </w:r>
          </w:p>
        </w:tc>
        <w:tc>
          <w:tcPr>
            <w:tcW w:w="4520" w:type="dxa"/>
            <w:vAlign w:val="bottom"/>
            <w:tcBorders>
              <w:bottom w:val="single" w:sz="8" w:color="D9D9D9"/>
            </w:tcBorders>
          </w:tcPr>
          <w:p>
            <w:pPr>
              <w:jc w:val="right"/>
              <w:ind w:right="327"/>
              <w:spacing w:after="0"/>
              <w:rPr>
                <w:sz w:val="20"/>
                <w:szCs w:val="20"/>
                <w:color w:val="auto"/>
              </w:rPr>
            </w:pPr>
            <w:r>
              <w:rPr>
                <w:rFonts w:ascii="Arial" w:cs="Arial" w:eastAsia="Arial" w:hAnsi="Arial"/>
                <w:sz w:val="16"/>
                <w:szCs w:val="16"/>
                <w:color w:val="auto"/>
              </w:rPr>
              <w:t>4,853</w:t>
            </w:r>
          </w:p>
        </w:tc>
        <w:tc>
          <w:tcPr>
            <w:tcW w:w="1320" w:type="dxa"/>
            <w:vAlign w:val="bottom"/>
            <w:tcBorders>
              <w:bottom w:val="single" w:sz="8" w:color="D9D9D9"/>
            </w:tcBorders>
            <w:gridSpan w:val="2"/>
          </w:tcPr>
          <w:p>
            <w:pPr>
              <w:jc w:val="right"/>
              <w:spacing w:after="0"/>
              <w:rPr>
                <w:sz w:val="20"/>
                <w:szCs w:val="20"/>
                <w:color w:val="auto"/>
              </w:rPr>
            </w:pPr>
            <w:r>
              <w:rPr>
                <w:rFonts w:ascii="Arial" w:cs="Arial" w:eastAsia="Arial" w:hAnsi="Arial"/>
                <w:sz w:val="16"/>
                <w:szCs w:val="16"/>
                <w:color w:val="auto"/>
              </w:rPr>
              <w:t>247,212</w:t>
            </w:r>
          </w:p>
        </w:tc>
        <w:tc>
          <w:tcPr>
            <w:tcW w:w="0" w:type="dxa"/>
            <w:vAlign w:val="bottom"/>
          </w:tcPr>
          <w:p>
            <w:pPr>
              <w:spacing w:after="0"/>
              <w:rPr>
                <w:sz w:val="1"/>
                <w:szCs w:val="1"/>
                <w:color w:val="auto"/>
              </w:rPr>
            </w:pPr>
          </w:p>
        </w:tc>
      </w:tr>
      <w:tr>
        <w:trPr>
          <w:trHeight w:val="239"/>
        </w:trPr>
        <w:tc>
          <w:tcPr>
            <w:tcW w:w="5400" w:type="dxa"/>
            <w:vAlign w:val="bottom"/>
            <w:tcBorders>
              <w:bottom w:val="single" w:sz="8" w:color="00AEEF"/>
            </w:tcBorders>
          </w:tcPr>
          <w:p>
            <w:pPr>
              <w:ind w:left="20"/>
              <w:spacing w:after="0"/>
              <w:rPr>
                <w:sz w:val="20"/>
                <w:szCs w:val="20"/>
                <w:color w:val="auto"/>
              </w:rPr>
            </w:pPr>
            <w:r>
              <w:rPr>
                <w:rFonts w:ascii="Arial" w:cs="Arial" w:eastAsia="Arial" w:hAnsi="Arial"/>
                <w:sz w:val="16"/>
                <w:szCs w:val="16"/>
                <w:b w:val="1"/>
                <w:bCs w:val="1"/>
                <w:color w:val="191769"/>
              </w:rPr>
              <w:t>Georgia M. Simpson</w:t>
            </w:r>
          </w:p>
        </w:tc>
        <w:tc>
          <w:tcPr>
            <w:tcW w:w="4520" w:type="dxa"/>
            <w:vAlign w:val="bottom"/>
            <w:tcBorders>
              <w:bottom w:val="single" w:sz="8" w:color="00AEEF"/>
            </w:tcBorders>
          </w:tcPr>
          <w:p>
            <w:pPr>
              <w:jc w:val="right"/>
              <w:ind w:right="327"/>
              <w:spacing w:after="0"/>
              <w:rPr>
                <w:sz w:val="20"/>
                <w:szCs w:val="20"/>
                <w:color w:val="auto"/>
              </w:rPr>
            </w:pPr>
            <w:r>
              <w:rPr>
                <w:rFonts w:ascii="Arial" w:cs="Arial" w:eastAsia="Arial" w:hAnsi="Arial"/>
                <w:sz w:val="16"/>
                <w:szCs w:val="16"/>
                <w:color w:val="auto"/>
              </w:rPr>
              <w:t>4,183</w:t>
            </w:r>
          </w:p>
        </w:tc>
        <w:tc>
          <w:tcPr>
            <w:tcW w:w="1320" w:type="dxa"/>
            <w:vAlign w:val="bottom"/>
            <w:tcBorders>
              <w:bottom w:val="single" w:sz="8" w:color="00AEEF"/>
            </w:tcBorders>
            <w:gridSpan w:val="2"/>
          </w:tcPr>
          <w:p>
            <w:pPr>
              <w:jc w:val="right"/>
              <w:spacing w:after="0"/>
              <w:rPr>
                <w:sz w:val="20"/>
                <w:szCs w:val="20"/>
                <w:color w:val="auto"/>
              </w:rPr>
            </w:pPr>
            <w:r>
              <w:rPr>
                <w:rFonts w:ascii="Arial" w:cs="Arial" w:eastAsia="Arial" w:hAnsi="Arial"/>
                <w:sz w:val="16"/>
                <w:szCs w:val="16"/>
                <w:color w:val="auto"/>
              </w:rPr>
              <w:t>213,082</w:t>
            </w:r>
          </w:p>
        </w:tc>
        <w:tc>
          <w:tcPr>
            <w:tcW w:w="0" w:type="dxa"/>
            <w:vAlign w:val="bottom"/>
          </w:tcPr>
          <w:p>
            <w:pPr>
              <w:spacing w:after="0"/>
              <w:rPr>
                <w:sz w:val="1"/>
                <w:szCs w:val="1"/>
                <w:color w:val="auto"/>
              </w:rPr>
            </w:pPr>
          </w:p>
        </w:tc>
      </w:tr>
      <w:tr>
        <w:trPr>
          <w:trHeight w:val="664"/>
        </w:trPr>
        <w:tc>
          <w:tcPr>
            <w:tcW w:w="5400" w:type="dxa"/>
            <w:vAlign w:val="bottom"/>
          </w:tcPr>
          <w:p>
            <w:pPr>
              <w:spacing w:after="0"/>
              <w:rPr>
                <w:sz w:val="24"/>
                <w:szCs w:val="24"/>
                <w:color w:val="auto"/>
              </w:rPr>
            </w:pPr>
          </w:p>
        </w:tc>
        <w:tc>
          <w:tcPr>
            <w:tcW w:w="5440" w:type="dxa"/>
            <w:vAlign w:val="bottom"/>
            <w:gridSpan w:val="2"/>
            <w:vMerge w:val="restart"/>
          </w:tcPr>
          <w:p>
            <w:pPr>
              <w:ind w:left="40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5440" w:type="dxa"/>
            <w:vAlign w:val="bottom"/>
            <w:gridSpan w:val="2"/>
            <w:vMerge w:val="continue"/>
          </w:tcPr>
          <w:p>
            <w:pPr>
              <w:spacing w:after="0"/>
              <w:rPr>
                <w:sz w:val="18"/>
                <w:szCs w:val="18"/>
                <w:color w:val="auto"/>
              </w:rPr>
            </w:pPr>
          </w:p>
        </w:tc>
        <w:tc>
          <w:tcPr>
            <w:tcW w:w="400" w:type="dxa"/>
            <w:vAlign w:val="bottom"/>
            <w:tcBorders>
              <w:left w:val="single" w:sz="8" w:color="00AEEF"/>
            </w:tcBorders>
          </w:tcPr>
          <w:p>
            <w:pPr>
              <w:ind w:left="240"/>
              <w:spacing w:after="0"/>
              <w:rPr>
                <w:sz w:val="20"/>
                <w:szCs w:val="20"/>
                <w:color w:val="auto"/>
              </w:rPr>
            </w:pPr>
            <w:r>
              <w:rPr>
                <w:rFonts w:ascii="Arial" w:cs="Arial" w:eastAsia="Arial" w:hAnsi="Arial"/>
                <w:sz w:val="13"/>
                <w:szCs w:val="13"/>
                <w:b w:val="1"/>
                <w:bCs w:val="1"/>
                <w:color w:val="191769"/>
                <w:w w:val="96"/>
              </w:rPr>
              <w:t>53</w:t>
            </w:r>
          </w:p>
        </w:tc>
        <w:tc>
          <w:tcPr>
            <w:tcW w:w="0" w:type="dxa"/>
            <w:vAlign w:val="bottom"/>
          </w:tcPr>
          <w:p>
            <w:pPr>
              <w:spacing w:after="0"/>
              <w:rPr>
                <w:sz w:val="1"/>
                <w:szCs w:val="1"/>
                <w:color w:val="auto"/>
              </w:rPr>
            </w:pPr>
          </w:p>
        </w:tc>
      </w:tr>
      <w:tr>
        <w:trPr>
          <w:trHeight w:val="312"/>
        </w:trPr>
        <w:tc>
          <w:tcPr>
            <w:tcW w:w="540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-27940</wp:posOffset>
            </wp:positionV>
            <wp:extent cx="33020" cy="412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2"/>
          </w:cols>
          <w:pgMar w:left="318" w:top="124" w:right="339" w:bottom="1440" w:gutter="0" w:footer="0" w:header="0"/>
        </w:sectPr>
      </w:pPr>
    </w:p>
    <w:bookmarkStart w:id="55" w:name="page56"/>
    <w:bookmarkEnd w:id="55"/>
    <w:p>
      <w:pPr>
        <w:ind w:left="2"/>
        <w:spacing w:after="0"/>
        <w:rPr>
          <w:sz w:val="20"/>
          <w:szCs w:val="20"/>
          <w:color w:val="auto"/>
        </w:rPr>
      </w:pPr>
      <w:r>
        <w:rPr>
          <w:rFonts w:ascii="Arial" w:cs="Arial" w:eastAsia="Arial" w:hAnsi="Arial"/>
          <w:sz w:val="14"/>
          <w:szCs w:val="14"/>
          <w:b w:val="1"/>
          <w:bCs w:val="1"/>
          <w:color w:val="191769"/>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
        <w:spacing w:after="0"/>
        <w:rPr>
          <w:sz w:val="20"/>
          <w:szCs w:val="20"/>
          <w:color w:val="auto"/>
        </w:rPr>
      </w:pPr>
      <w:r>
        <w:rPr>
          <w:rFonts w:ascii="Arial" w:cs="Arial" w:eastAsia="Arial" w:hAnsi="Arial"/>
          <w:sz w:val="36"/>
          <w:szCs w:val="36"/>
          <w:b w:val="1"/>
          <w:bCs w:val="1"/>
          <w:color w:val="0076A8"/>
        </w:rPr>
        <w:t>CEO to Median Employee Pay Ratio</w:t>
      </w:r>
    </w:p>
    <w:p>
      <w:pPr>
        <w:spacing w:after="0" w:line="191" w:lineRule="exact"/>
        <w:rPr>
          <w:sz w:val="20"/>
          <w:szCs w:val="20"/>
          <w:color w:val="auto"/>
        </w:rPr>
      </w:pPr>
    </w:p>
    <w:p>
      <w:pPr>
        <w:ind w:left="2" w:right="860"/>
        <w:spacing w:after="0" w:line="299" w:lineRule="auto"/>
        <w:rPr>
          <w:sz w:val="20"/>
          <w:szCs w:val="20"/>
          <w:color w:val="auto"/>
        </w:rPr>
      </w:pPr>
      <w:r>
        <w:rPr>
          <w:rFonts w:ascii="Arial" w:cs="Arial" w:eastAsia="Arial" w:hAnsi="Arial"/>
          <w:sz w:val="16"/>
          <w:szCs w:val="16"/>
          <w:color w:val="auto"/>
        </w:rPr>
        <w:t>We are providing the following information regarding the relationship of the annual total compensation of our CEO compared to the annual total compensation of our median employee.</w:t>
      </w:r>
    </w:p>
    <w:p>
      <w:pPr>
        <w:spacing w:after="0" w:line="5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For fiscal 2025, our last completed fiscal year:</w:t>
      </w:r>
    </w:p>
    <w:p>
      <w:pPr>
        <w:spacing w:after="0" w:line="148" w:lineRule="exact"/>
        <w:rPr>
          <w:sz w:val="20"/>
          <w:szCs w:val="20"/>
          <w:color w:val="auto"/>
        </w:rPr>
      </w:pPr>
    </w:p>
    <w:p>
      <w:pPr>
        <w:ind w:left="162" w:hanging="162"/>
        <w:spacing w:after="0"/>
        <w:tabs>
          <w:tab w:leader="none" w:pos="162" w:val="left"/>
        </w:tabs>
        <w:numPr>
          <w:ilvl w:val="0"/>
          <w:numId w:val="73"/>
        </w:numPr>
        <w:rPr>
          <w:rFonts w:ascii="Arial" w:cs="Arial" w:eastAsia="Arial" w:hAnsi="Arial"/>
          <w:sz w:val="16"/>
          <w:szCs w:val="16"/>
          <w:b w:val="1"/>
          <w:bCs w:val="1"/>
          <w:color w:val="auto"/>
        </w:rPr>
      </w:pPr>
      <w:r>
        <w:rPr>
          <w:rFonts w:ascii="Arial" w:cs="Arial" w:eastAsia="Arial" w:hAnsi="Arial"/>
          <w:sz w:val="16"/>
          <w:szCs w:val="16"/>
          <w:color w:val="auto"/>
        </w:rPr>
        <w:t>We determined the annual CEO compensation amount to be $1,906,024;</w:t>
      </w:r>
    </w:p>
    <w:p>
      <w:pPr>
        <w:spacing w:after="0" w:line="74" w:lineRule="exact"/>
        <w:rPr>
          <w:rFonts w:ascii="Arial" w:cs="Arial" w:eastAsia="Arial" w:hAnsi="Arial"/>
          <w:sz w:val="16"/>
          <w:szCs w:val="16"/>
          <w:b w:val="1"/>
          <w:bCs w:val="1"/>
          <w:color w:val="auto"/>
        </w:rPr>
      </w:pPr>
    </w:p>
    <w:p>
      <w:pPr>
        <w:ind w:left="162" w:hanging="162"/>
        <w:spacing w:after="0"/>
        <w:tabs>
          <w:tab w:leader="none" w:pos="162" w:val="left"/>
        </w:tabs>
        <w:numPr>
          <w:ilvl w:val="0"/>
          <w:numId w:val="73"/>
        </w:numPr>
        <w:rPr>
          <w:rFonts w:ascii="Arial" w:cs="Arial" w:eastAsia="Arial" w:hAnsi="Arial"/>
          <w:sz w:val="16"/>
          <w:szCs w:val="16"/>
          <w:b w:val="1"/>
          <w:bCs w:val="1"/>
          <w:color w:val="auto"/>
        </w:rPr>
      </w:pPr>
      <w:r>
        <w:rPr>
          <w:rFonts w:ascii="Arial" w:cs="Arial" w:eastAsia="Arial" w:hAnsi="Arial"/>
          <w:sz w:val="16"/>
          <w:szCs w:val="16"/>
          <w:color w:val="auto"/>
        </w:rPr>
        <w:t>the annual total compensation of our median employee was $80,119; and</w:t>
      </w:r>
    </w:p>
    <w:p>
      <w:pPr>
        <w:spacing w:after="0" w:line="74" w:lineRule="exact"/>
        <w:rPr>
          <w:rFonts w:ascii="Arial" w:cs="Arial" w:eastAsia="Arial" w:hAnsi="Arial"/>
          <w:sz w:val="16"/>
          <w:szCs w:val="16"/>
          <w:b w:val="1"/>
          <w:bCs w:val="1"/>
          <w:color w:val="auto"/>
        </w:rPr>
      </w:pPr>
    </w:p>
    <w:p>
      <w:pPr>
        <w:ind w:left="162" w:hanging="162"/>
        <w:spacing w:after="0"/>
        <w:tabs>
          <w:tab w:leader="none" w:pos="162" w:val="left"/>
        </w:tabs>
        <w:numPr>
          <w:ilvl w:val="0"/>
          <w:numId w:val="73"/>
        </w:numPr>
        <w:rPr>
          <w:rFonts w:ascii="Arial" w:cs="Arial" w:eastAsia="Arial" w:hAnsi="Arial"/>
          <w:sz w:val="16"/>
          <w:szCs w:val="16"/>
          <w:b w:val="1"/>
          <w:bCs w:val="1"/>
          <w:color w:val="auto"/>
        </w:rPr>
      </w:pPr>
      <w:r>
        <w:rPr>
          <w:rFonts w:ascii="Arial" w:cs="Arial" w:eastAsia="Arial" w:hAnsi="Arial"/>
          <w:sz w:val="16"/>
          <w:szCs w:val="16"/>
          <w:color w:val="auto"/>
        </w:rPr>
        <w:t>the resulting ratio is 23.78:1.</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16"/>
          <w:szCs w:val="16"/>
          <w:color w:val="auto"/>
        </w:rPr>
        <w:t>Our pay ratio estimate has been calculated in a manner consistent with Item 402(u) of Regulation S-K using data and assumptions summarized below.</w:t>
      </w:r>
    </w:p>
    <w:p>
      <w:pPr>
        <w:spacing w:after="0" w:line="148" w:lineRule="exact"/>
        <w:rPr>
          <w:sz w:val="20"/>
          <w:szCs w:val="20"/>
          <w:color w:val="auto"/>
        </w:rPr>
      </w:pPr>
    </w:p>
    <w:p>
      <w:pPr>
        <w:jc w:val="both"/>
        <w:ind w:left="2" w:right="60"/>
        <w:spacing w:after="0" w:line="278" w:lineRule="auto"/>
        <w:rPr>
          <w:sz w:val="20"/>
          <w:szCs w:val="20"/>
          <w:color w:val="auto"/>
        </w:rPr>
      </w:pPr>
      <w:r>
        <w:rPr>
          <w:rFonts w:ascii="Arial" w:cs="Arial" w:eastAsia="Arial" w:hAnsi="Arial"/>
          <w:sz w:val="16"/>
          <w:szCs w:val="16"/>
          <w:color w:val="auto"/>
        </w:rPr>
        <w:t>In 2025, to identify our median employee, we first determined our employee population (excluding our CEO) as of the last day of our fiscal year December 31, 2025 (the Determination Date). We had approximately 395 employees, representing all full-time, part-time, seasonal and temporary workers as of the Determination Date. The number does not include any independent contractors or “leased” workers, as permitted by applicable SEC rules.</w:t>
      </w:r>
    </w:p>
    <w:p>
      <w:pPr>
        <w:spacing w:after="0" w:line="75" w:lineRule="exact"/>
        <w:rPr>
          <w:sz w:val="20"/>
          <w:szCs w:val="20"/>
          <w:color w:val="auto"/>
        </w:rPr>
      </w:pPr>
    </w:p>
    <w:p>
      <w:pPr>
        <w:ind w:left="2" w:right="80"/>
        <w:spacing w:after="0" w:line="267" w:lineRule="auto"/>
        <w:rPr>
          <w:sz w:val="20"/>
          <w:szCs w:val="20"/>
          <w:color w:val="auto"/>
        </w:rPr>
      </w:pPr>
      <w:r>
        <w:rPr>
          <w:rFonts w:ascii="Arial" w:cs="Arial" w:eastAsia="Arial" w:hAnsi="Arial"/>
          <w:sz w:val="16"/>
          <w:szCs w:val="16"/>
          <w:color w:val="auto"/>
        </w:rPr>
        <w:t>We then measured our employee population’s total direct compensation in fiscal 2025 for our consistently applied compensation measure based on information from our payroll management systems. This compensation measurement was calculated by totaling, for each employee, their annual W-2 wages, salary, bonuses and perquisites as of the Determination Date and target restricted stock awards granted in fiscal 2025. Once we identified our median employee, we then determined the annual total compensation of this employee. We believe the above is a reasonable estimate of the relationship between the pay of our CEO and the pay of our median employee.</w:t>
      </w:r>
    </w:p>
    <w:p>
      <w:pPr>
        <w:spacing w:after="0" w:line="231" w:lineRule="exact"/>
        <w:rPr>
          <w:sz w:val="20"/>
          <w:szCs w:val="20"/>
          <w:color w:val="auto"/>
        </w:rPr>
      </w:pPr>
    </w:p>
    <w:p>
      <w:pPr>
        <w:ind w:left="2"/>
        <w:spacing w:after="0"/>
        <w:rPr>
          <w:sz w:val="20"/>
          <w:szCs w:val="20"/>
          <w:color w:val="auto"/>
        </w:rPr>
      </w:pPr>
      <w:r>
        <w:rPr>
          <w:rFonts w:ascii="Arial" w:cs="Arial" w:eastAsia="Arial" w:hAnsi="Arial"/>
          <w:sz w:val="36"/>
          <w:szCs w:val="36"/>
          <w:b w:val="1"/>
          <w:bCs w:val="1"/>
          <w:color w:val="0076A8"/>
        </w:rPr>
        <w:t>Potential Payments Upon Change in Control</w:t>
      </w:r>
    </w:p>
    <w:p>
      <w:pPr>
        <w:spacing w:after="0" w:line="178" w:lineRule="exact"/>
        <w:rPr>
          <w:sz w:val="20"/>
          <w:szCs w:val="20"/>
          <w:color w:val="auto"/>
        </w:rPr>
      </w:pPr>
    </w:p>
    <w:p>
      <w:pPr>
        <w:ind w:left="2"/>
        <w:spacing w:after="0" w:line="260" w:lineRule="auto"/>
        <w:rPr>
          <w:sz w:val="20"/>
          <w:szCs w:val="20"/>
          <w:color w:val="auto"/>
        </w:rPr>
      </w:pPr>
      <w:r>
        <w:rPr>
          <w:rFonts w:ascii="Arial" w:cs="Arial" w:eastAsia="Arial" w:hAnsi="Arial"/>
          <w:sz w:val="16"/>
          <w:szCs w:val="16"/>
          <w:color w:val="auto"/>
        </w:rPr>
        <w:t>The Company has Change in Control Agreements with the NEOs. These agreements generally provide that if the Executive is terminated by the Company, other than for death, disability, retirement, for Cause (as defined in the agreement), or if the Executive resigns for Good Reason (as defined in the agreement) within two years after a Change In Control of the Company, also as defined in the agreement, the Executive, other than the Chief Executive Officer, is entitled to receive, (a) a lump sum severance payment equal to two times the Executive’s average annual compensation, as defined in the agreement, for the five years prior to the termination; and (b) continued coverage for two years under any health or welfare plan in which the Executive and the Executive’s dependents were participating. The Chief Executive Officer is entitled to receive (a) a lump sum severance payment equal to three times the Executive’s annual compensation at the time of termination, as defined in the agreement; and (b) continued coverage for three years under any health or welfare plan in which the Executive and the Executive’s dependents were participating. The Company has no non-Change in Control severance arrangements other than the employment agreements with certain Executives disclosed in the 2025 Compensation &amp; Discussion Analysis section. The benefits under any health or welfare benefit plan could end earlier (i) if the Executive becomes covered by a new employer’s health and welfare benefit plan, or (ii) the date the Executive becomes eligible for Medicare. Also, coverage for the Executive’s dependents could end earlier than any of these dates if required by the health or welfare benefit plan due to age eligibility.</w:t>
      </w:r>
    </w:p>
    <w:p>
      <w:pPr>
        <w:spacing w:after="0" w:line="107" w:lineRule="exact"/>
        <w:rPr>
          <w:sz w:val="20"/>
          <w:szCs w:val="20"/>
          <w:color w:val="auto"/>
        </w:rPr>
      </w:pPr>
    </w:p>
    <w:p>
      <w:pPr>
        <w:ind w:left="2" w:right="60"/>
        <w:spacing w:after="0" w:line="271" w:lineRule="auto"/>
        <w:rPr>
          <w:sz w:val="20"/>
          <w:szCs w:val="20"/>
          <w:color w:val="auto"/>
        </w:rPr>
      </w:pPr>
      <w:r>
        <w:rPr>
          <w:rFonts w:ascii="Arial" w:cs="Arial" w:eastAsia="Arial" w:hAnsi="Arial"/>
          <w:sz w:val="16"/>
          <w:szCs w:val="16"/>
          <w:color w:val="auto"/>
        </w:rPr>
        <w:t>In addition to the benefits to be paid to the Executive as noted above, if there is a separation from service under the terms of the Change in Control agreement on or before the second anniversary of the Change in Control, the Company shall pay the Executive any deferred compensation, including, but not limited to, deferred bonuses allocated or credited to the Executive as of the date of termination. Also, any outstanding restricted stock grants awarded to the Executive under the Company’s stock plans, which are not vested on termination, shall immediately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264795</wp:posOffset>
            </wp:positionV>
            <wp:extent cx="7620" cy="132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462" w:hanging="445"/>
        <w:spacing w:after="0"/>
        <w:tabs>
          <w:tab w:leader="none" w:pos="462" w:val="left"/>
        </w:tabs>
        <w:numPr>
          <w:ilvl w:val="0"/>
          <w:numId w:val="74"/>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217805</wp:posOffset>
            </wp:positionV>
            <wp:extent cx="7169785" cy="412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22"/>
          </w:cols>
          <w:pgMar w:left="318" w:top="124" w:right="359" w:bottom="1440" w:gutter="0" w:footer="0" w:header="0"/>
        </w:sectPr>
      </w:pPr>
    </w:p>
    <w:bookmarkStart w:id="56" w:name="page57"/>
    <w:bookmarkEnd w:id="56"/>
    <w:p>
      <w:pPr>
        <w:jc w:val="right"/>
        <w:spacing w:after="0"/>
        <w:rPr>
          <w:sz w:val="20"/>
          <w:szCs w:val="20"/>
          <w:color w:val="auto"/>
        </w:rPr>
      </w:pPr>
      <w:r>
        <w:rPr>
          <w:rFonts w:ascii="Arial" w:cs="Arial" w:eastAsia="Arial" w:hAnsi="Arial"/>
          <w:sz w:val="14"/>
          <w:szCs w:val="14"/>
          <w:b w:val="1"/>
          <w:bCs w:val="1"/>
          <w:color w:val="191769"/>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The following table indicates the potential value the NEOs would receive in connection with termination by the Company within two years after a Change in Control of the Company. All scenarios use December 31, 2025, the last business day of the Company’s most recent fiscal year, as the date for the triggering event set forth in the schedule.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5340" w:type="dxa"/>
            <w:vAlign w:val="bottom"/>
          </w:tcPr>
          <w:p>
            <w:pPr>
              <w:jc w:val="right"/>
              <w:ind w:right="287"/>
              <w:spacing w:after="0"/>
              <w:rPr>
                <w:sz w:val="20"/>
                <w:szCs w:val="20"/>
                <w:color w:val="auto"/>
              </w:rPr>
            </w:pPr>
            <w:r>
              <w:rPr>
                <w:rFonts w:ascii="Arial" w:cs="Arial" w:eastAsia="Arial" w:hAnsi="Arial"/>
                <w:sz w:val="13"/>
                <w:szCs w:val="13"/>
                <w:b w:val="1"/>
                <w:bCs w:val="1"/>
                <w:color w:val="191769"/>
              </w:rPr>
              <w:t>Compensation Paid</w:t>
            </w: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5340" w:type="dxa"/>
            <w:vAlign w:val="bottom"/>
          </w:tcPr>
          <w:p>
            <w:pPr>
              <w:jc w:val="right"/>
              <w:ind w:right="287"/>
              <w:spacing w:after="0"/>
              <w:rPr>
                <w:sz w:val="20"/>
                <w:szCs w:val="20"/>
                <w:color w:val="auto"/>
              </w:rPr>
            </w:pPr>
            <w:r>
              <w:rPr>
                <w:rFonts w:ascii="Arial" w:cs="Arial" w:eastAsia="Arial" w:hAnsi="Arial"/>
                <w:sz w:val="13"/>
                <w:szCs w:val="13"/>
                <w:b w:val="1"/>
                <w:bCs w:val="1"/>
                <w:color w:val="191769"/>
              </w:rPr>
              <w:t>During Calendar Year 2025</w:t>
            </w:r>
          </w:p>
        </w:tc>
        <w:tc>
          <w:tcPr>
            <w:tcW w:w="1300" w:type="dxa"/>
            <w:vAlign w:val="bottom"/>
            <w:gridSpan w:val="2"/>
          </w:tcPr>
          <w:p>
            <w:pPr>
              <w:jc w:val="right"/>
              <w:spacing w:after="0"/>
              <w:rPr>
                <w:sz w:val="20"/>
                <w:szCs w:val="20"/>
                <w:color w:val="auto"/>
              </w:rPr>
            </w:pPr>
            <w:r>
              <w:rPr>
                <w:rFonts w:ascii="Arial" w:cs="Arial" w:eastAsia="Arial" w:hAnsi="Arial"/>
                <w:sz w:val="13"/>
                <w:szCs w:val="13"/>
                <w:b w:val="1"/>
                <w:bCs w:val="1"/>
                <w:color w:val="191769"/>
              </w:rPr>
              <w:t>Termination</w:t>
            </w: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5340" w:type="dxa"/>
            <w:vAlign w:val="bottom"/>
          </w:tcPr>
          <w:p>
            <w:pPr>
              <w:jc w:val="right"/>
              <w:ind w:right="287"/>
              <w:spacing w:after="0"/>
              <w:rPr>
                <w:sz w:val="20"/>
                <w:szCs w:val="20"/>
                <w:color w:val="auto"/>
              </w:rPr>
            </w:pPr>
            <w:r>
              <w:rPr>
                <w:rFonts w:ascii="Arial" w:cs="Arial" w:eastAsia="Arial" w:hAnsi="Arial"/>
                <w:sz w:val="13"/>
                <w:szCs w:val="13"/>
                <w:b w:val="1"/>
                <w:bCs w:val="1"/>
                <w:color w:val="191769"/>
              </w:rPr>
              <w:t>(using definition of “Compensation”</w:t>
            </w:r>
          </w:p>
        </w:tc>
        <w:tc>
          <w:tcPr>
            <w:tcW w:w="1300" w:type="dxa"/>
            <w:vAlign w:val="bottom"/>
            <w:gridSpan w:val="2"/>
          </w:tcPr>
          <w:p>
            <w:pPr>
              <w:jc w:val="right"/>
              <w:spacing w:after="0"/>
              <w:rPr>
                <w:sz w:val="20"/>
                <w:szCs w:val="20"/>
                <w:color w:val="auto"/>
              </w:rPr>
            </w:pPr>
            <w:r>
              <w:rPr>
                <w:rFonts w:ascii="Arial" w:cs="Arial" w:eastAsia="Arial" w:hAnsi="Arial"/>
                <w:sz w:val="13"/>
                <w:szCs w:val="13"/>
                <w:b w:val="1"/>
                <w:bCs w:val="1"/>
                <w:color w:val="191769"/>
              </w:rPr>
              <w:t>Before Second</w:t>
            </w: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5340" w:type="dxa"/>
            <w:vAlign w:val="bottom"/>
          </w:tcPr>
          <w:p>
            <w:pPr>
              <w:jc w:val="right"/>
              <w:ind w:right="287"/>
              <w:spacing w:after="0"/>
              <w:rPr>
                <w:sz w:val="20"/>
                <w:szCs w:val="20"/>
                <w:color w:val="auto"/>
              </w:rPr>
            </w:pPr>
            <w:r>
              <w:rPr>
                <w:rFonts w:ascii="Arial" w:cs="Arial" w:eastAsia="Arial" w:hAnsi="Arial"/>
                <w:sz w:val="13"/>
                <w:szCs w:val="13"/>
                <w:b w:val="1"/>
                <w:bCs w:val="1"/>
                <w:color w:val="191769"/>
              </w:rPr>
              <w:t>under the Agreement)</w:t>
            </w:r>
          </w:p>
        </w:tc>
        <w:tc>
          <w:tcPr>
            <w:tcW w:w="1300" w:type="dxa"/>
            <w:vAlign w:val="bottom"/>
            <w:gridSpan w:val="2"/>
          </w:tcPr>
          <w:p>
            <w:pPr>
              <w:jc w:val="right"/>
              <w:spacing w:after="0"/>
              <w:rPr>
                <w:sz w:val="20"/>
                <w:szCs w:val="20"/>
                <w:color w:val="auto"/>
              </w:rPr>
            </w:pPr>
            <w:r>
              <w:rPr>
                <w:rFonts w:ascii="Arial" w:cs="Arial" w:eastAsia="Arial" w:hAnsi="Arial"/>
                <w:sz w:val="13"/>
                <w:szCs w:val="13"/>
                <w:b w:val="1"/>
                <w:bCs w:val="1"/>
                <w:color w:val="191769"/>
              </w:rPr>
              <w:t xml:space="preserve">Anniversary </w:t>
            </w:r>
            <w:r>
              <w:rPr>
                <w:rFonts w:ascii="Arial" w:cs="Arial" w:eastAsia="Arial" w:hAnsi="Arial"/>
                <w:sz w:val="8"/>
                <w:szCs w:val="8"/>
                <w:b w:val="1"/>
                <w:bCs w:val="1"/>
                <w:color w:val="191769"/>
              </w:rPr>
              <w:t>(1)</w:t>
            </w:r>
          </w:p>
        </w:tc>
        <w:tc>
          <w:tcPr>
            <w:tcW w:w="0" w:type="dxa"/>
            <w:vAlign w:val="bottom"/>
          </w:tcPr>
          <w:p>
            <w:pPr>
              <w:spacing w:after="0"/>
              <w:rPr>
                <w:sz w:val="1"/>
                <w:szCs w:val="1"/>
                <w:color w:val="auto"/>
              </w:rPr>
            </w:pPr>
          </w:p>
        </w:tc>
      </w:tr>
      <w:tr>
        <w:trPr>
          <w:trHeight w:val="186"/>
        </w:trPr>
        <w:tc>
          <w:tcPr>
            <w:tcW w:w="4600" w:type="dxa"/>
            <w:vAlign w:val="bottom"/>
            <w:tcBorders>
              <w:bottom w:val="single" w:sz="8" w:color="00AEEF"/>
            </w:tcBorders>
            <w:gridSpan w:val="2"/>
          </w:tcPr>
          <w:p>
            <w:pPr>
              <w:ind w:left="20"/>
              <w:spacing w:after="0"/>
              <w:rPr>
                <w:sz w:val="20"/>
                <w:szCs w:val="20"/>
                <w:color w:val="auto"/>
              </w:rPr>
            </w:pPr>
            <w:r>
              <w:rPr>
                <w:rFonts w:ascii="Arial" w:cs="Arial" w:eastAsia="Arial" w:hAnsi="Arial"/>
                <w:sz w:val="13"/>
                <w:szCs w:val="13"/>
                <w:b w:val="1"/>
                <w:bCs w:val="1"/>
                <w:color w:val="191769"/>
              </w:rPr>
              <w:t>Name</w:t>
            </w:r>
          </w:p>
        </w:tc>
        <w:tc>
          <w:tcPr>
            <w:tcW w:w="5340" w:type="dxa"/>
            <w:vAlign w:val="bottom"/>
            <w:tcBorders>
              <w:bottom w:val="single" w:sz="8" w:color="00AEEF"/>
            </w:tcBorders>
          </w:tcPr>
          <w:p>
            <w:pPr>
              <w:jc w:val="right"/>
              <w:ind w:right="287"/>
              <w:spacing w:after="0"/>
              <w:rPr>
                <w:sz w:val="20"/>
                <w:szCs w:val="20"/>
                <w:color w:val="auto"/>
              </w:rPr>
            </w:pPr>
            <w:r>
              <w:rPr>
                <w:rFonts w:ascii="Arial" w:cs="Arial" w:eastAsia="Arial" w:hAnsi="Arial"/>
                <w:sz w:val="13"/>
                <w:szCs w:val="13"/>
                <w:b w:val="1"/>
                <w:bCs w:val="1"/>
                <w:color w:val="191769"/>
              </w:rPr>
              <w:t>($)</w:t>
            </w:r>
          </w:p>
        </w:tc>
        <w:tc>
          <w:tcPr>
            <w:tcW w:w="900" w:type="dxa"/>
            <w:vAlign w:val="bottom"/>
            <w:tcBorders>
              <w:bottom w:val="single" w:sz="8" w:color="00AEEF"/>
            </w:tcBorders>
          </w:tcPr>
          <w:p>
            <w:pPr>
              <w:spacing w:after="0"/>
              <w:rPr>
                <w:sz w:val="16"/>
                <w:szCs w:val="16"/>
                <w:color w:val="auto"/>
              </w:rPr>
            </w:pPr>
          </w:p>
        </w:tc>
        <w:tc>
          <w:tcPr>
            <w:tcW w:w="400" w:type="dxa"/>
            <w:vAlign w:val="bottom"/>
            <w:tcBorders>
              <w:bottom w:val="single" w:sz="8" w:color="00AEEF"/>
            </w:tcBorders>
          </w:tcPr>
          <w:p>
            <w:pPr>
              <w:jc w:val="right"/>
              <w:spacing w:after="0"/>
              <w:rPr>
                <w:sz w:val="20"/>
                <w:szCs w:val="20"/>
                <w:color w:val="auto"/>
              </w:rPr>
            </w:pPr>
            <w:r>
              <w:rPr>
                <w:rFonts w:ascii="Arial" w:cs="Arial" w:eastAsia="Arial" w:hAnsi="Arial"/>
                <w:sz w:val="13"/>
                <w:szCs w:val="13"/>
                <w:b w:val="1"/>
                <w:bCs w:val="1"/>
                <w:color w:val="191769"/>
              </w:rPr>
              <w:t>($)</w:t>
            </w:r>
          </w:p>
        </w:tc>
        <w:tc>
          <w:tcPr>
            <w:tcW w:w="0" w:type="dxa"/>
            <w:vAlign w:val="bottom"/>
          </w:tcPr>
          <w:p>
            <w:pPr>
              <w:spacing w:after="0"/>
              <w:rPr>
                <w:sz w:val="1"/>
                <w:szCs w:val="1"/>
                <w:color w:val="auto"/>
              </w:rPr>
            </w:pPr>
          </w:p>
        </w:tc>
      </w:tr>
      <w:tr>
        <w:trPr>
          <w:trHeight w:val="238"/>
        </w:trPr>
        <w:tc>
          <w:tcPr>
            <w:tcW w:w="4600" w:type="dxa"/>
            <w:vAlign w:val="bottom"/>
            <w:tcBorders>
              <w:bottom w:val="single" w:sz="8" w:color="D9D9D9"/>
            </w:tcBorders>
            <w:gridSpan w:val="2"/>
          </w:tcPr>
          <w:p>
            <w:pPr>
              <w:ind w:left="20"/>
              <w:spacing w:after="0"/>
              <w:rPr>
                <w:sz w:val="20"/>
                <w:szCs w:val="20"/>
                <w:color w:val="auto"/>
              </w:rPr>
            </w:pPr>
            <w:r>
              <w:rPr>
                <w:rFonts w:ascii="Arial" w:cs="Arial" w:eastAsia="Arial" w:hAnsi="Arial"/>
                <w:sz w:val="16"/>
                <w:szCs w:val="16"/>
                <w:b w:val="1"/>
                <w:bCs w:val="1"/>
                <w:color w:val="191769"/>
              </w:rPr>
              <w:t>Nadine Leslie</w:t>
            </w:r>
          </w:p>
        </w:tc>
        <w:tc>
          <w:tcPr>
            <w:tcW w:w="5340" w:type="dxa"/>
            <w:vAlign w:val="bottom"/>
            <w:tcBorders>
              <w:bottom w:val="single" w:sz="8" w:color="D9D9D9"/>
            </w:tcBorders>
          </w:tcPr>
          <w:p>
            <w:pPr>
              <w:jc w:val="right"/>
              <w:ind w:right="287"/>
              <w:spacing w:after="0"/>
              <w:rPr>
                <w:sz w:val="20"/>
                <w:szCs w:val="20"/>
                <w:color w:val="auto"/>
              </w:rPr>
            </w:pPr>
            <w:r>
              <w:rPr>
                <w:rFonts w:ascii="Arial" w:cs="Arial" w:eastAsia="Arial" w:hAnsi="Arial"/>
                <w:sz w:val="16"/>
                <w:szCs w:val="16"/>
                <w:color w:val="auto"/>
              </w:rPr>
              <w:t>1,843,577</w:t>
            </w:r>
          </w:p>
        </w:tc>
        <w:tc>
          <w:tcPr>
            <w:tcW w:w="1300" w:type="dxa"/>
            <w:vAlign w:val="bottom"/>
            <w:tcBorders>
              <w:bottom w:val="single" w:sz="8" w:color="D9D9D9"/>
            </w:tcBorders>
            <w:gridSpan w:val="2"/>
          </w:tcPr>
          <w:p>
            <w:pPr>
              <w:jc w:val="right"/>
              <w:spacing w:after="0"/>
              <w:rPr>
                <w:sz w:val="20"/>
                <w:szCs w:val="20"/>
                <w:color w:val="auto"/>
              </w:rPr>
            </w:pPr>
            <w:r>
              <w:rPr>
                <w:rFonts w:ascii="Arial" w:cs="Arial" w:eastAsia="Arial" w:hAnsi="Arial"/>
                <w:sz w:val="16"/>
                <w:szCs w:val="16"/>
                <w:color w:val="auto"/>
              </w:rPr>
              <w:t>8,104,939</w:t>
            </w:r>
          </w:p>
        </w:tc>
        <w:tc>
          <w:tcPr>
            <w:tcW w:w="0" w:type="dxa"/>
            <w:vAlign w:val="bottom"/>
          </w:tcPr>
          <w:p>
            <w:pPr>
              <w:spacing w:after="0"/>
              <w:rPr>
                <w:sz w:val="1"/>
                <w:szCs w:val="1"/>
                <w:color w:val="auto"/>
              </w:rPr>
            </w:pPr>
          </w:p>
        </w:tc>
      </w:tr>
      <w:tr>
        <w:trPr>
          <w:trHeight w:val="239"/>
        </w:trPr>
        <w:tc>
          <w:tcPr>
            <w:tcW w:w="4600" w:type="dxa"/>
            <w:vAlign w:val="bottom"/>
            <w:tcBorders>
              <w:bottom w:val="single" w:sz="8" w:color="D9D9D9"/>
            </w:tcBorders>
            <w:gridSpan w:val="2"/>
          </w:tcPr>
          <w:p>
            <w:pPr>
              <w:ind w:left="20"/>
              <w:spacing w:after="0"/>
              <w:rPr>
                <w:sz w:val="20"/>
                <w:szCs w:val="20"/>
                <w:color w:val="auto"/>
              </w:rPr>
            </w:pPr>
            <w:r>
              <w:rPr>
                <w:rFonts w:ascii="Arial" w:cs="Arial" w:eastAsia="Arial" w:hAnsi="Arial"/>
                <w:sz w:val="16"/>
                <w:szCs w:val="16"/>
                <w:b w:val="1"/>
                <w:bCs w:val="1"/>
                <w:color w:val="191769"/>
              </w:rPr>
              <w:t>Mohammed G. Zerhouni</w:t>
            </w:r>
          </w:p>
        </w:tc>
        <w:tc>
          <w:tcPr>
            <w:tcW w:w="5340" w:type="dxa"/>
            <w:vAlign w:val="bottom"/>
            <w:tcBorders>
              <w:bottom w:val="single" w:sz="8" w:color="D9D9D9"/>
            </w:tcBorders>
          </w:tcPr>
          <w:p>
            <w:pPr>
              <w:jc w:val="right"/>
              <w:ind w:right="287"/>
              <w:spacing w:after="0"/>
              <w:rPr>
                <w:sz w:val="20"/>
                <w:szCs w:val="20"/>
                <w:color w:val="auto"/>
              </w:rPr>
            </w:pPr>
            <w:r>
              <w:rPr>
                <w:rFonts w:ascii="Arial" w:cs="Arial" w:eastAsia="Arial" w:hAnsi="Arial"/>
                <w:sz w:val="16"/>
                <w:szCs w:val="16"/>
                <w:color w:val="auto"/>
              </w:rPr>
              <w:t>825,846</w:t>
            </w:r>
          </w:p>
        </w:tc>
        <w:tc>
          <w:tcPr>
            <w:tcW w:w="1300" w:type="dxa"/>
            <w:vAlign w:val="bottom"/>
            <w:tcBorders>
              <w:bottom w:val="single" w:sz="8" w:color="D9D9D9"/>
            </w:tcBorders>
            <w:gridSpan w:val="2"/>
          </w:tcPr>
          <w:p>
            <w:pPr>
              <w:jc w:val="right"/>
              <w:spacing w:after="0"/>
              <w:rPr>
                <w:sz w:val="20"/>
                <w:szCs w:val="20"/>
                <w:color w:val="auto"/>
              </w:rPr>
            </w:pPr>
            <w:r>
              <w:rPr>
                <w:rFonts w:ascii="Arial" w:cs="Arial" w:eastAsia="Arial" w:hAnsi="Arial"/>
                <w:sz w:val="16"/>
                <w:szCs w:val="16"/>
                <w:color w:val="auto"/>
              </w:rPr>
              <w:t>3,538,764</w:t>
            </w:r>
          </w:p>
        </w:tc>
        <w:tc>
          <w:tcPr>
            <w:tcW w:w="0" w:type="dxa"/>
            <w:vAlign w:val="bottom"/>
          </w:tcPr>
          <w:p>
            <w:pPr>
              <w:spacing w:after="0"/>
              <w:rPr>
                <w:sz w:val="1"/>
                <w:szCs w:val="1"/>
                <w:color w:val="auto"/>
              </w:rPr>
            </w:pPr>
          </w:p>
        </w:tc>
      </w:tr>
      <w:tr>
        <w:trPr>
          <w:trHeight w:val="239"/>
        </w:trPr>
        <w:tc>
          <w:tcPr>
            <w:tcW w:w="4600" w:type="dxa"/>
            <w:vAlign w:val="bottom"/>
            <w:tcBorders>
              <w:bottom w:val="single" w:sz="8" w:color="D9D9D9"/>
            </w:tcBorders>
            <w:gridSpan w:val="2"/>
          </w:tcPr>
          <w:p>
            <w:pPr>
              <w:ind w:left="20"/>
              <w:spacing w:after="0"/>
              <w:rPr>
                <w:sz w:val="20"/>
                <w:szCs w:val="20"/>
                <w:color w:val="auto"/>
              </w:rPr>
            </w:pPr>
            <w:r>
              <w:rPr>
                <w:rFonts w:ascii="Arial" w:cs="Arial" w:eastAsia="Arial" w:hAnsi="Arial"/>
                <w:sz w:val="16"/>
                <w:szCs w:val="16"/>
                <w:b w:val="1"/>
                <w:bCs w:val="1"/>
                <w:color w:val="191769"/>
              </w:rPr>
              <w:t>Gregory S. Sorensen</w:t>
            </w:r>
          </w:p>
        </w:tc>
        <w:tc>
          <w:tcPr>
            <w:tcW w:w="5340" w:type="dxa"/>
            <w:vAlign w:val="bottom"/>
            <w:tcBorders>
              <w:bottom w:val="single" w:sz="8" w:color="D9D9D9"/>
            </w:tcBorders>
          </w:tcPr>
          <w:p>
            <w:pPr>
              <w:jc w:val="right"/>
              <w:ind w:right="287"/>
              <w:spacing w:after="0"/>
              <w:rPr>
                <w:sz w:val="20"/>
                <w:szCs w:val="20"/>
                <w:color w:val="auto"/>
              </w:rPr>
            </w:pPr>
            <w:r>
              <w:rPr>
                <w:rFonts w:ascii="Arial" w:cs="Arial" w:eastAsia="Arial" w:hAnsi="Arial"/>
                <w:sz w:val="16"/>
                <w:szCs w:val="16"/>
                <w:color w:val="auto"/>
              </w:rPr>
              <w:t>626,154</w:t>
            </w:r>
          </w:p>
        </w:tc>
        <w:tc>
          <w:tcPr>
            <w:tcW w:w="1300" w:type="dxa"/>
            <w:vAlign w:val="bottom"/>
            <w:tcBorders>
              <w:bottom w:val="single" w:sz="8" w:color="D9D9D9"/>
            </w:tcBorders>
            <w:gridSpan w:val="2"/>
          </w:tcPr>
          <w:p>
            <w:pPr>
              <w:jc w:val="right"/>
              <w:spacing w:after="0"/>
              <w:rPr>
                <w:sz w:val="20"/>
                <w:szCs w:val="20"/>
                <w:color w:val="auto"/>
              </w:rPr>
            </w:pPr>
            <w:r>
              <w:rPr>
                <w:rFonts w:ascii="Arial" w:cs="Arial" w:eastAsia="Arial" w:hAnsi="Arial"/>
                <w:sz w:val="16"/>
                <w:szCs w:val="16"/>
                <w:color w:val="auto"/>
              </w:rPr>
              <w:t>3,071,051</w:t>
            </w:r>
          </w:p>
        </w:tc>
        <w:tc>
          <w:tcPr>
            <w:tcW w:w="0" w:type="dxa"/>
            <w:vAlign w:val="bottom"/>
          </w:tcPr>
          <w:p>
            <w:pPr>
              <w:spacing w:after="0"/>
              <w:rPr>
                <w:sz w:val="1"/>
                <w:szCs w:val="1"/>
                <w:color w:val="auto"/>
              </w:rPr>
            </w:pPr>
          </w:p>
        </w:tc>
      </w:tr>
      <w:tr>
        <w:trPr>
          <w:trHeight w:val="239"/>
        </w:trPr>
        <w:tc>
          <w:tcPr>
            <w:tcW w:w="4600" w:type="dxa"/>
            <w:vAlign w:val="bottom"/>
            <w:tcBorders>
              <w:bottom w:val="single" w:sz="8" w:color="D9D9D9"/>
            </w:tcBorders>
            <w:gridSpan w:val="2"/>
          </w:tcPr>
          <w:p>
            <w:pPr>
              <w:ind w:left="20"/>
              <w:spacing w:after="0"/>
              <w:rPr>
                <w:sz w:val="20"/>
                <w:szCs w:val="20"/>
                <w:color w:val="auto"/>
              </w:rPr>
            </w:pPr>
            <w:r>
              <w:rPr>
                <w:rFonts w:ascii="Arial" w:cs="Arial" w:eastAsia="Arial" w:hAnsi="Arial"/>
                <w:sz w:val="16"/>
                <w:szCs w:val="16"/>
                <w:b w:val="1"/>
                <w:bCs w:val="1"/>
                <w:color w:val="191769"/>
              </w:rPr>
              <w:t>Jay L. Kooper</w:t>
            </w:r>
          </w:p>
        </w:tc>
        <w:tc>
          <w:tcPr>
            <w:tcW w:w="5340" w:type="dxa"/>
            <w:vAlign w:val="bottom"/>
            <w:tcBorders>
              <w:bottom w:val="single" w:sz="8" w:color="D9D9D9"/>
            </w:tcBorders>
          </w:tcPr>
          <w:p>
            <w:pPr>
              <w:jc w:val="right"/>
              <w:ind w:right="287"/>
              <w:spacing w:after="0"/>
              <w:rPr>
                <w:sz w:val="20"/>
                <w:szCs w:val="20"/>
                <w:color w:val="auto"/>
              </w:rPr>
            </w:pPr>
            <w:r>
              <w:rPr>
                <w:rFonts w:ascii="Arial" w:cs="Arial" w:eastAsia="Arial" w:hAnsi="Arial"/>
                <w:sz w:val="16"/>
                <w:szCs w:val="16"/>
                <w:color w:val="auto"/>
              </w:rPr>
              <w:t>514,966</w:t>
            </w:r>
          </w:p>
        </w:tc>
        <w:tc>
          <w:tcPr>
            <w:tcW w:w="1300" w:type="dxa"/>
            <w:vAlign w:val="bottom"/>
            <w:tcBorders>
              <w:bottom w:val="single" w:sz="8" w:color="D9D9D9"/>
            </w:tcBorders>
            <w:gridSpan w:val="2"/>
          </w:tcPr>
          <w:p>
            <w:pPr>
              <w:jc w:val="right"/>
              <w:spacing w:after="0"/>
              <w:rPr>
                <w:sz w:val="20"/>
                <w:szCs w:val="20"/>
                <w:color w:val="auto"/>
              </w:rPr>
            </w:pPr>
            <w:r>
              <w:rPr>
                <w:rFonts w:ascii="Arial" w:cs="Arial" w:eastAsia="Arial" w:hAnsi="Arial"/>
                <w:sz w:val="16"/>
                <w:szCs w:val="16"/>
                <w:color w:val="auto"/>
              </w:rPr>
              <w:t>2,103,085</w:t>
            </w:r>
          </w:p>
        </w:tc>
        <w:tc>
          <w:tcPr>
            <w:tcW w:w="0" w:type="dxa"/>
            <w:vAlign w:val="bottom"/>
          </w:tcPr>
          <w:p>
            <w:pPr>
              <w:spacing w:after="0"/>
              <w:rPr>
                <w:sz w:val="1"/>
                <w:szCs w:val="1"/>
                <w:color w:val="auto"/>
              </w:rPr>
            </w:pPr>
          </w:p>
        </w:tc>
      </w:tr>
      <w:tr>
        <w:trPr>
          <w:trHeight w:val="239"/>
        </w:trPr>
        <w:tc>
          <w:tcPr>
            <w:tcW w:w="4600" w:type="dxa"/>
            <w:vAlign w:val="bottom"/>
            <w:tcBorders>
              <w:bottom w:val="single" w:sz="8" w:color="00AEEF"/>
            </w:tcBorders>
            <w:gridSpan w:val="2"/>
          </w:tcPr>
          <w:p>
            <w:pPr>
              <w:ind w:left="20"/>
              <w:spacing w:after="0"/>
              <w:rPr>
                <w:sz w:val="20"/>
                <w:szCs w:val="20"/>
                <w:color w:val="auto"/>
              </w:rPr>
            </w:pPr>
            <w:r>
              <w:rPr>
                <w:rFonts w:ascii="Arial" w:cs="Arial" w:eastAsia="Arial" w:hAnsi="Arial"/>
                <w:sz w:val="16"/>
                <w:szCs w:val="16"/>
                <w:b w:val="1"/>
                <w:bCs w:val="1"/>
                <w:color w:val="191769"/>
              </w:rPr>
              <w:t>Georgia M. Simpson</w:t>
            </w:r>
          </w:p>
        </w:tc>
        <w:tc>
          <w:tcPr>
            <w:tcW w:w="5340" w:type="dxa"/>
            <w:vAlign w:val="bottom"/>
            <w:tcBorders>
              <w:bottom w:val="single" w:sz="8" w:color="00AEEF"/>
            </w:tcBorders>
          </w:tcPr>
          <w:p>
            <w:pPr>
              <w:jc w:val="right"/>
              <w:ind w:right="287"/>
              <w:spacing w:after="0"/>
              <w:rPr>
                <w:sz w:val="20"/>
                <w:szCs w:val="20"/>
                <w:color w:val="auto"/>
              </w:rPr>
            </w:pPr>
            <w:r>
              <w:rPr>
                <w:rFonts w:ascii="Arial" w:cs="Arial" w:eastAsia="Arial" w:hAnsi="Arial"/>
                <w:sz w:val="16"/>
                <w:szCs w:val="16"/>
                <w:color w:val="auto"/>
              </w:rPr>
              <w:t>410,922</w:t>
            </w:r>
          </w:p>
        </w:tc>
        <w:tc>
          <w:tcPr>
            <w:tcW w:w="1300" w:type="dxa"/>
            <w:vAlign w:val="bottom"/>
            <w:tcBorders>
              <w:bottom w:val="single" w:sz="8" w:color="00AEEF"/>
            </w:tcBorders>
            <w:gridSpan w:val="2"/>
          </w:tcPr>
          <w:p>
            <w:pPr>
              <w:jc w:val="right"/>
              <w:spacing w:after="0"/>
              <w:rPr>
                <w:sz w:val="20"/>
                <w:szCs w:val="20"/>
                <w:color w:val="auto"/>
              </w:rPr>
            </w:pPr>
            <w:r>
              <w:rPr>
                <w:rFonts w:ascii="Arial" w:cs="Arial" w:eastAsia="Arial" w:hAnsi="Arial"/>
                <w:sz w:val="16"/>
                <w:szCs w:val="16"/>
                <w:color w:val="auto"/>
              </w:rPr>
              <w:t>1,740,308</w:t>
            </w:r>
          </w:p>
        </w:tc>
        <w:tc>
          <w:tcPr>
            <w:tcW w:w="0" w:type="dxa"/>
            <w:vAlign w:val="bottom"/>
          </w:tcPr>
          <w:p>
            <w:pPr>
              <w:spacing w:after="0"/>
              <w:rPr>
                <w:sz w:val="1"/>
                <w:szCs w:val="1"/>
                <w:color w:val="auto"/>
              </w:rPr>
            </w:pPr>
          </w:p>
        </w:tc>
      </w:tr>
      <w:tr>
        <w:trPr>
          <w:trHeight w:val="247"/>
        </w:trPr>
        <w:tc>
          <w:tcPr>
            <w:tcW w:w="180" w:type="dxa"/>
            <w:vAlign w:val="bottom"/>
          </w:tcPr>
          <w:p>
            <w:pPr>
              <w:spacing w:after="0"/>
              <w:rPr>
                <w:sz w:val="20"/>
                <w:szCs w:val="20"/>
                <w:color w:val="auto"/>
              </w:rPr>
            </w:pPr>
            <w:r>
              <w:rPr>
                <w:rFonts w:ascii="Arial" w:cs="Arial" w:eastAsia="Arial" w:hAnsi="Arial"/>
                <w:sz w:val="9"/>
                <w:szCs w:val="9"/>
                <w:color w:val="auto"/>
              </w:rPr>
              <w:t>(1)</w:t>
            </w:r>
          </w:p>
        </w:tc>
        <w:tc>
          <w:tcPr>
            <w:tcW w:w="9760" w:type="dxa"/>
            <w:vAlign w:val="bottom"/>
            <w:gridSpan w:val="2"/>
            <w:vMerge w:val="restart"/>
          </w:tcPr>
          <w:p>
            <w:pPr>
              <w:jc w:val="right"/>
              <w:ind w:right="2527"/>
              <w:spacing w:after="0"/>
              <w:rPr>
                <w:sz w:val="20"/>
                <w:szCs w:val="20"/>
                <w:color w:val="auto"/>
              </w:rPr>
            </w:pPr>
            <w:r>
              <w:rPr>
                <w:rFonts w:ascii="Arial" w:cs="Arial" w:eastAsia="Arial" w:hAnsi="Arial"/>
                <w:sz w:val="13"/>
                <w:szCs w:val="13"/>
                <w:color w:val="auto"/>
              </w:rPr>
              <w:t>Compensation and other benefits paid following termination on or before the second anniversary of the Change in Control.</w:t>
            </w: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
        </w:trPr>
        <w:tc>
          <w:tcPr>
            <w:tcW w:w="180" w:type="dxa"/>
            <w:vAlign w:val="bottom"/>
          </w:tcPr>
          <w:p>
            <w:pPr>
              <w:spacing w:after="0"/>
              <w:rPr>
                <w:sz w:val="5"/>
                <w:szCs w:val="5"/>
                <w:color w:val="auto"/>
              </w:rPr>
            </w:pPr>
          </w:p>
        </w:tc>
        <w:tc>
          <w:tcPr>
            <w:tcW w:w="97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1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6240" w:type="dxa"/>
            <w:vAlign w:val="bottom"/>
            <w:gridSpan w:val="2"/>
            <w:vMerge w:val="restart"/>
          </w:tcPr>
          <w:p>
            <w:pPr>
              <w:ind w:left="48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6240" w:type="dxa"/>
            <w:vAlign w:val="bottom"/>
            <w:gridSpan w:val="2"/>
            <w:vMerge w:val="continue"/>
          </w:tcPr>
          <w:p>
            <w:pPr>
              <w:spacing w:after="0"/>
              <w:rPr>
                <w:sz w:val="18"/>
                <w:szCs w:val="18"/>
                <w:color w:val="auto"/>
              </w:rPr>
            </w:pPr>
          </w:p>
        </w:tc>
        <w:tc>
          <w:tcPr>
            <w:tcW w:w="400" w:type="dxa"/>
            <w:vAlign w:val="bottom"/>
            <w:tcBorders>
              <w:left w:val="single" w:sz="8" w:color="00AEEF"/>
            </w:tcBorders>
          </w:tcPr>
          <w:p>
            <w:pPr>
              <w:jc w:val="right"/>
              <w:spacing w:after="0"/>
              <w:rPr>
                <w:sz w:val="20"/>
                <w:szCs w:val="20"/>
                <w:color w:val="auto"/>
              </w:rPr>
            </w:pPr>
            <w:r>
              <w:rPr>
                <w:rFonts w:ascii="Arial" w:cs="Arial" w:eastAsia="Arial" w:hAnsi="Arial"/>
                <w:sz w:val="13"/>
                <w:szCs w:val="13"/>
                <w:b w:val="1"/>
                <w:bCs w:val="1"/>
                <w:color w:val="191769"/>
              </w:rPr>
              <w:t>55</w:t>
            </w:r>
          </w:p>
        </w:tc>
        <w:tc>
          <w:tcPr>
            <w:tcW w:w="0" w:type="dxa"/>
            <w:vAlign w:val="bottom"/>
          </w:tcPr>
          <w:p>
            <w:pPr>
              <w:spacing w:after="0"/>
              <w:rPr>
                <w:sz w:val="1"/>
                <w:szCs w:val="1"/>
                <w:color w:val="auto"/>
              </w:rPr>
            </w:pPr>
          </w:p>
        </w:tc>
      </w:tr>
      <w:tr>
        <w:trPr>
          <w:trHeight w:val="325"/>
        </w:trPr>
        <w:tc>
          <w:tcPr>
            <w:tcW w:w="1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7" w:name="page58"/>
    <w:bookmarkEnd w:id="57"/>
    <w:p>
      <w:pPr>
        <w:spacing w:after="0"/>
        <w:rPr>
          <w:sz w:val="20"/>
          <w:szCs w:val="20"/>
          <w:color w:val="auto"/>
        </w:rPr>
      </w:pPr>
      <w:r>
        <w:rPr>
          <w:rFonts w:ascii="Arial" w:cs="Arial" w:eastAsia="Arial" w:hAnsi="Arial"/>
          <w:sz w:val="46"/>
          <w:szCs w:val="46"/>
          <w:color w:val="191769"/>
        </w:rPr>
        <w:t>Pay for Performance Comparison</w:t>
      </w:r>
    </w:p>
    <w:p>
      <w:pPr>
        <w:spacing w:after="0" w:line="285"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As discussed in the CD&amp;A above, our Compensation Committee has implemented an Executive compensation program designed to link a substantial portion of our NEO’s realized compensation to the achievement of our strategic financial, operational and strategic objectives, and to align our Executive pay with changes in the value of our shareholders’ investments. The following table sets forth additional compensation information for our NEOs, calculated in accordance with SEC regulations, for fiscal years 2025, 2024, 2023, 2022, and 2021.</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vMerge w:val="restart"/>
          </w:tcPr>
          <w:p>
            <w:pPr>
              <w:jc w:val="right"/>
              <w:ind w:right="172"/>
              <w:spacing w:after="0"/>
              <w:rPr>
                <w:sz w:val="20"/>
                <w:szCs w:val="20"/>
                <w:color w:val="auto"/>
              </w:rPr>
            </w:pPr>
            <w:r>
              <w:rPr>
                <w:rFonts w:ascii="Arial" w:cs="Arial" w:eastAsia="Arial" w:hAnsi="Arial"/>
                <w:sz w:val="12"/>
                <w:szCs w:val="12"/>
                <w:b w:val="1"/>
                <w:bCs w:val="1"/>
                <w:color w:val="191769"/>
              </w:rPr>
              <w:t>Average</w:t>
            </w: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80" w:type="dxa"/>
            <w:vAlign w:val="bottom"/>
            <w:gridSpan w:val="2"/>
          </w:tcPr>
          <w:p>
            <w:pPr>
              <w:jc w:val="center"/>
              <w:spacing w:after="0"/>
              <w:rPr>
                <w:sz w:val="20"/>
                <w:szCs w:val="20"/>
                <w:color w:val="auto"/>
              </w:rPr>
            </w:pPr>
            <w:r>
              <w:rPr>
                <w:rFonts w:ascii="Arial" w:cs="Arial" w:eastAsia="Arial" w:hAnsi="Arial"/>
                <w:sz w:val="12"/>
                <w:szCs w:val="12"/>
                <w:b w:val="1"/>
                <w:bCs w:val="1"/>
                <w:color w:val="191769"/>
              </w:rPr>
              <w:t>Value of Initial Fixed</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2"/>
                <w:szCs w:val="12"/>
                <w:b w:val="1"/>
                <w:bCs w:val="1"/>
                <w:color w:val="191769"/>
              </w:rPr>
              <w:t>Average</w:t>
            </w:r>
          </w:p>
        </w:tc>
        <w:tc>
          <w:tcPr>
            <w:tcW w:w="242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191769"/>
              </w:rPr>
              <w:t>$100 Investment Based On:</w:t>
            </w: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vMerge w:val="restart"/>
          </w:tcPr>
          <w:p>
            <w:pPr>
              <w:jc w:val="right"/>
              <w:ind w:right="172"/>
              <w:spacing w:after="0" w:line="136" w:lineRule="exact"/>
              <w:rPr>
                <w:sz w:val="20"/>
                <w:szCs w:val="20"/>
                <w:color w:val="auto"/>
              </w:rPr>
            </w:pPr>
            <w:r>
              <w:rPr>
                <w:rFonts w:ascii="Arial" w:cs="Arial" w:eastAsia="Arial" w:hAnsi="Arial"/>
                <w:sz w:val="12"/>
                <w:szCs w:val="12"/>
                <w:b w:val="1"/>
                <w:bCs w:val="1"/>
                <w:color w:val="191769"/>
              </w:rPr>
              <w:t>Summary</w:t>
            </w:r>
          </w:p>
        </w:tc>
        <w:tc>
          <w:tcPr>
            <w:tcW w:w="3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2420" w:type="dxa"/>
            <w:vAlign w:val="bottom"/>
            <w:tcBorders>
              <w:bottom w:val="single" w:sz="8" w:color="00AEEF"/>
            </w:tcBorders>
            <w:gridSpan w:val="4"/>
            <w:vMerge w:val="continue"/>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vMerge w:val="restart"/>
          </w:tcPr>
          <w:p>
            <w:pPr>
              <w:jc w:val="right"/>
              <w:ind w:right="172"/>
              <w:spacing w:after="0"/>
              <w:rPr>
                <w:sz w:val="20"/>
                <w:szCs w:val="20"/>
                <w:color w:val="auto"/>
              </w:rPr>
            </w:pPr>
            <w:r>
              <w:rPr>
                <w:rFonts w:ascii="Arial" w:cs="Arial" w:eastAsia="Arial" w:hAnsi="Arial"/>
                <w:sz w:val="12"/>
                <w:szCs w:val="12"/>
                <w:b w:val="1"/>
                <w:bCs w:val="1"/>
                <w:color w:val="191769"/>
              </w:rPr>
              <w:t>Summary</w:t>
            </w: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191769"/>
              </w:rPr>
              <w:t>Peer Group</w:t>
            </w: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40" w:type="dxa"/>
            <w:vAlign w:val="bottom"/>
            <w:gridSpan w:val="2"/>
          </w:tcPr>
          <w:p>
            <w:pPr>
              <w:jc w:val="right"/>
              <w:ind w:right="172"/>
              <w:spacing w:after="0"/>
              <w:rPr>
                <w:sz w:val="20"/>
                <w:szCs w:val="20"/>
                <w:color w:val="auto"/>
              </w:rPr>
            </w:pPr>
            <w:r>
              <w:rPr>
                <w:rFonts w:ascii="Arial" w:cs="Arial" w:eastAsia="Arial" w:hAnsi="Arial"/>
                <w:sz w:val="11"/>
                <w:szCs w:val="11"/>
                <w:b w:val="1"/>
                <w:bCs w:val="1"/>
                <w:color w:val="191769"/>
              </w:rPr>
              <w:t>Compensation</w:t>
            </w:r>
          </w:p>
        </w:tc>
        <w:tc>
          <w:tcPr>
            <w:tcW w:w="1220" w:type="dxa"/>
            <w:vAlign w:val="bottom"/>
            <w:gridSpan w:val="2"/>
          </w:tcPr>
          <w:p>
            <w:pPr>
              <w:ind w:left="260"/>
              <w:spacing w:after="0"/>
              <w:rPr>
                <w:sz w:val="20"/>
                <w:szCs w:val="20"/>
                <w:color w:val="auto"/>
              </w:rPr>
            </w:pPr>
            <w:r>
              <w:rPr>
                <w:rFonts w:ascii="Arial" w:cs="Arial" w:eastAsia="Arial" w:hAnsi="Arial"/>
                <w:sz w:val="12"/>
                <w:szCs w:val="12"/>
                <w:b w:val="1"/>
                <w:bCs w:val="1"/>
                <w:color w:val="191769"/>
              </w:rPr>
              <w:t>Compensation</w:t>
            </w: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jc w:val="right"/>
              <w:ind w:right="172"/>
              <w:spacing w:after="0"/>
              <w:rPr>
                <w:sz w:val="20"/>
                <w:szCs w:val="20"/>
                <w:color w:val="auto"/>
              </w:rPr>
            </w:pPr>
            <w:r>
              <w:rPr>
                <w:rFonts w:ascii="Arial" w:cs="Arial" w:eastAsia="Arial" w:hAnsi="Arial"/>
                <w:sz w:val="12"/>
                <w:szCs w:val="12"/>
                <w:b w:val="1"/>
                <w:bCs w:val="1"/>
                <w:color w:val="191769"/>
              </w:rPr>
              <w:t>Compensation</w:t>
            </w:r>
          </w:p>
        </w:tc>
        <w:tc>
          <w:tcPr>
            <w:tcW w:w="1400" w:type="dxa"/>
            <w:vAlign w:val="bottom"/>
            <w:gridSpan w:val="2"/>
          </w:tcPr>
          <w:p>
            <w:pPr>
              <w:jc w:val="right"/>
              <w:ind w:right="171"/>
              <w:spacing w:after="0"/>
              <w:rPr>
                <w:sz w:val="20"/>
                <w:szCs w:val="20"/>
                <w:color w:val="auto"/>
              </w:rPr>
            </w:pPr>
            <w:r>
              <w:rPr>
                <w:rFonts w:ascii="Arial" w:cs="Arial" w:eastAsia="Arial" w:hAnsi="Arial"/>
                <w:sz w:val="12"/>
                <w:szCs w:val="12"/>
                <w:b w:val="1"/>
                <w:bCs w:val="1"/>
                <w:color w:val="191769"/>
              </w:rPr>
              <w:t>Compensation</w:t>
            </w:r>
          </w:p>
        </w:tc>
        <w:tc>
          <w:tcPr>
            <w:tcW w:w="1340" w:type="dxa"/>
            <w:vAlign w:val="bottom"/>
            <w:gridSpan w:val="2"/>
          </w:tcPr>
          <w:p>
            <w:pPr>
              <w:jc w:val="right"/>
              <w:ind w:right="172"/>
              <w:spacing w:after="0"/>
              <w:rPr>
                <w:sz w:val="20"/>
                <w:szCs w:val="20"/>
                <w:color w:val="auto"/>
              </w:rPr>
            </w:pPr>
            <w:r>
              <w:rPr>
                <w:rFonts w:ascii="Arial" w:cs="Arial" w:eastAsia="Arial" w:hAnsi="Arial"/>
                <w:sz w:val="12"/>
                <w:szCs w:val="12"/>
                <w:b w:val="1"/>
                <w:bCs w:val="1"/>
                <w:color w:val="191769"/>
              </w:rPr>
              <w:t>Table Total for</w:t>
            </w:r>
          </w:p>
        </w:tc>
        <w:tc>
          <w:tcPr>
            <w:tcW w:w="340" w:type="dxa"/>
            <w:vAlign w:val="bottom"/>
          </w:tcPr>
          <w:p>
            <w:pPr>
              <w:spacing w:after="0"/>
              <w:rPr>
                <w:sz w:val="12"/>
                <w:szCs w:val="12"/>
                <w:color w:val="auto"/>
              </w:rPr>
            </w:pPr>
          </w:p>
        </w:tc>
        <w:tc>
          <w:tcPr>
            <w:tcW w:w="880" w:type="dxa"/>
            <w:vAlign w:val="bottom"/>
          </w:tcPr>
          <w:p>
            <w:pPr>
              <w:jc w:val="right"/>
              <w:ind w:right="52"/>
              <w:spacing w:after="0"/>
              <w:rPr>
                <w:sz w:val="20"/>
                <w:szCs w:val="20"/>
                <w:color w:val="auto"/>
              </w:rPr>
            </w:pPr>
            <w:r>
              <w:rPr>
                <w:rFonts w:ascii="Arial" w:cs="Arial" w:eastAsia="Arial" w:hAnsi="Arial"/>
                <w:sz w:val="12"/>
                <w:szCs w:val="12"/>
                <w:b w:val="1"/>
                <w:bCs w:val="1"/>
                <w:color w:val="191769"/>
                <w:w w:val="98"/>
              </w:rPr>
              <w:t>Actually Paid</w:t>
            </w:r>
          </w:p>
        </w:tc>
        <w:tc>
          <w:tcPr>
            <w:tcW w:w="580" w:type="dxa"/>
            <w:vAlign w:val="bottom"/>
          </w:tcPr>
          <w:p>
            <w:pPr>
              <w:spacing w:after="0"/>
              <w:rPr>
                <w:sz w:val="12"/>
                <w:szCs w:val="12"/>
                <w:color w:val="auto"/>
              </w:rPr>
            </w:pPr>
          </w:p>
        </w:tc>
        <w:tc>
          <w:tcPr>
            <w:tcW w:w="860" w:type="dxa"/>
            <w:vAlign w:val="bottom"/>
          </w:tcPr>
          <w:p>
            <w:pPr>
              <w:jc w:val="right"/>
              <w:ind w:right="172"/>
              <w:spacing w:after="0"/>
              <w:rPr>
                <w:sz w:val="20"/>
                <w:szCs w:val="20"/>
                <w:color w:val="auto"/>
              </w:rPr>
            </w:pPr>
            <w:r>
              <w:rPr>
                <w:rFonts w:ascii="Arial" w:cs="Arial" w:eastAsia="Arial" w:hAnsi="Arial"/>
                <w:sz w:val="12"/>
                <w:szCs w:val="12"/>
                <w:b w:val="1"/>
                <w:bCs w:val="1"/>
                <w:color w:val="191769"/>
              </w:rPr>
              <w:t>Total</w:t>
            </w:r>
          </w:p>
        </w:tc>
        <w:tc>
          <w:tcPr>
            <w:tcW w:w="4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b w:val="1"/>
                <w:bCs w:val="1"/>
                <w:color w:val="191769"/>
              </w:rPr>
              <w:t>Total</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191769"/>
              </w:rPr>
              <w:t>Diluted</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jc w:val="right"/>
              <w:ind w:right="172"/>
              <w:spacing w:after="0"/>
              <w:rPr>
                <w:sz w:val="20"/>
                <w:szCs w:val="20"/>
                <w:color w:val="auto"/>
              </w:rPr>
            </w:pPr>
            <w:r>
              <w:rPr>
                <w:rFonts w:ascii="Arial" w:cs="Arial" w:eastAsia="Arial" w:hAnsi="Arial"/>
                <w:sz w:val="12"/>
                <w:szCs w:val="12"/>
                <w:b w:val="1"/>
                <w:bCs w:val="1"/>
                <w:color w:val="191769"/>
              </w:rPr>
              <w:t>Table Total</w:t>
            </w:r>
          </w:p>
        </w:tc>
        <w:tc>
          <w:tcPr>
            <w:tcW w:w="380" w:type="dxa"/>
            <w:vAlign w:val="bottom"/>
          </w:tcPr>
          <w:p>
            <w:pPr>
              <w:spacing w:after="0"/>
              <w:rPr>
                <w:sz w:val="12"/>
                <w:szCs w:val="12"/>
                <w:color w:val="auto"/>
              </w:rPr>
            </w:pPr>
          </w:p>
        </w:tc>
        <w:tc>
          <w:tcPr>
            <w:tcW w:w="1020" w:type="dxa"/>
            <w:vAlign w:val="bottom"/>
          </w:tcPr>
          <w:p>
            <w:pPr>
              <w:jc w:val="right"/>
              <w:ind w:right="171"/>
              <w:spacing w:after="0"/>
              <w:rPr>
                <w:sz w:val="20"/>
                <w:szCs w:val="20"/>
                <w:color w:val="auto"/>
              </w:rPr>
            </w:pPr>
            <w:r>
              <w:rPr>
                <w:rFonts w:ascii="Arial" w:cs="Arial" w:eastAsia="Arial" w:hAnsi="Arial"/>
                <w:sz w:val="12"/>
                <w:szCs w:val="12"/>
                <w:b w:val="1"/>
                <w:bCs w:val="1"/>
                <w:color w:val="191769"/>
              </w:rPr>
              <w:t>Actually</w:t>
            </w:r>
          </w:p>
        </w:tc>
        <w:tc>
          <w:tcPr>
            <w:tcW w:w="420" w:type="dxa"/>
            <w:vAlign w:val="bottom"/>
          </w:tcPr>
          <w:p>
            <w:pPr>
              <w:spacing w:after="0"/>
              <w:rPr>
                <w:sz w:val="12"/>
                <w:szCs w:val="12"/>
                <w:color w:val="auto"/>
              </w:rPr>
            </w:pPr>
          </w:p>
        </w:tc>
        <w:tc>
          <w:tcPr>
            <w:tcW w:w="920" w:type="dxa"/>
            <w:vAlign w:val="bottom"/>
          </w:tcPr>
          <w:p>
            <w:pPr>
              <w:jc w:val="right"/>
              <w:ind w:right="172"/>
              <w:spacing w:after="0"/>
              <w:rPr>
                <w:sz w:val="20"/>
                <w:szCs w:val="20"/>
                <w:color w:val="auto"/>
              </w:rPr>
            </w:pPr>
            <w:r>
              <w:rPr>
                <w:rFonts w:ascii="Arial" w:cs="Arial" w:eastAsia="Arial" w:hAnsi="Arial"/>
                <w:sz w:val="12"/>
                <w:szCs w:val="12"/>
                <w:b w:val="1"/>
                <w:bCs w:val="1"/>
                <w:color w:val="191769"/>
              </w:rPr>
              <w:t>non-CEO</w:t>
            </w:r>
          </w:p>
        </w:tc>
        <w:tc>
          <w:tcPr>
            <w:tcW w:w="340" w:type="dxa"/>
            <w:vAlign w:val="bottom"/>
          </w:tcPr>
          <w:p>
            <w:pPr>
              <w:spacing w:after="0"/>
              <w:rPr>
                <w:sz w:val="12"/>
                <w:szCs w:val="12"/>
                <w:color w:val="auto"/>
              </w:rPr>
            </w:pPr>
          </w:p>
        </w:tc>
        <w:tc>
          <w:tcPr>
            <w:tcW w:w="880" w:type="dxa"/>
            <w:vAlign w:val="bottom"/>
          </w:tcPr>
          <w:p>
            <w:pPr>
              <w:jc w:val="right"/>
              <w:ind w:right="52"/>
              <w:spacing w:after="0"/>
              <w:rPr>
                <w:sz w:val="20"/>
                <w:szCs w:val="20"/>
                <w:color w:val="auto"/>
              </w:rPr>
            </w:pPr>
            <w:r>
              <w:rPr>
                <w:rFonts w:ascii="Arial" w:cs="Arial" w:eastAsia="Arial" w:hAnsi="Arial"/>
                <w:sz w:val="12"/>
                <w:szCs w:val="12"/>
                <w:b w:val="1"/>
                <w:bCs w:val="1"/>
                <w:color w:val="191769"/>
              </w:rPr>
              <w:t>to non-CEO</w:t>
            </w:r>
          </w:p>
        </w:tc>
        <w:tc>
          <w:tcPr>
            <w:tcW w:w="1440" w:type="dxa"/>
            <w:vAlign w:val="bottom"/>
            <w:gridSpan w:val="2"/>
          </w:tcPr>
          <w:p>
            <w:pPr>
              <w:ind w:left="480"/>
              <w:spacing w:after="0"/>
              <w:rPr>
                <w:sz w:val="20"/>
                <w:szCs w:val="20"/>
                <w:color w:val="auto"/>
              </w:rPr>
            </w:pPr>
            <w:r>
              <w:rPr>
                <w:rFonts w:ascii="Arial" w:cs="Arial" w:eastAsia="Arial" w:hAnsi="Arial"/>
                <w:sz w:val="12"/>
                <w:szCs w:val="12"/>
                <w:b w:val="1"/>
                <w:bCs w:val="1"/>
                <w:color w:val="191769"/>
              </w:rPr>
              <w:t>Shareholder</w:t>
            </w:r>
          </w:p>
        </w:tc>
        <w:tc>
          <w:tcPr>
            <w:tcW w:w="980" w:type="dxa"/>
            <w:vAlign w:val="bottom"/>
            <w:gridSpan w:val="2"/>
          </w:tcPr>
          <w:p>
            <w:pPr>
              <w:ind w:left="260"/>
              <w:spacing w:after="0"/>
              <w:rPr>
                <w:sz w:val="20"/>
                <w:szCs w:val="20"/>
                <w:color w:val="auto"/>
              </w:rPr>
            </w:pPr>
            <w:r>
              <w:rPr>
                <w:rFonts w:ascii="Arial" w:cs="Arial" w:eastAsia="Arial" w:hAnsi="Arial"/>
                <w:sz w:val="12"/>
                <w:szCs w:val="12"/>
                <w:b w:val="1"/>
                <w:bCs w:val="1"/>
                <w:color w:val="191769"/>
                <w:w w:val="99"/>
              </w:rPr>
              <w:t>Shareholder</w:t>
            </w:r>
          </w:p>
        </w:tc>
        <w:tc>
          <w:tcPr>
            <w:tcW w:w="1560" w:type="dxa"/>
            <w:vAlign w:val="bottom"/>
            <w:gridSpan w:val="2"/>
          </w:tcPr>
          <w:p>
            <w:pPr>
              <w:jc w:val="right"/>
              <w:ind w:right="248"/>
              <w:spacing w:after="0"/>
              <w:rPr>
                <w:sz w:val="20"/>
                <w:szCs w:val="20"/>
                <w:color w:val="auto"/>
              </w:rPr>
            </w:pPr>
            <w:r>
              <w:rPr>
                <w:rFonts w:ascii="Arial" w:cs="Arial" w:eastAsia="Arial" w:hAnsi="Arial"/>
                <w:sz w:val="12"/>
                <w:szCs w:val="12"/>
                <w:b w:val="1"/>
                <w:bCs w:val="1"/>
                <w:color w:val="191769"/>
              </w:rPr>
              <w:t>Net Income</w:t>
            </w:r>
          </w:p>
        </w:tc>
        <w:tc>
          <w:tcPr>
            <w:tcW w:w="1060" w:type="dxa"/>
            <w:vAlign w:val="bottom"/>
            <w:gridSpan w:val="2"/>
          </w:tcPr>
          <w:p>
            <w:pPr>
              <w:jc w:val="right"/>
              <w:spacing w:after="0"/>
              <w:rPr>
                <w:sz w:val="20"/>
                <w:szCs w:val="20"/>
                <w:color w:val="auto"/>
              </w:rPr>
            </w:pPr>
            <w:r>
              <w:rPr>
                <w:rFonts w:ascii="Arial" w:cs="Arial" w:eastAsia="Arial" w:hAnsi="Arial"/>
                <w:sz w:val="12"/>
                <w:szCs w:val="12"/>
                <w:b w:val="1"/>
                <w:bCs w:val="1"/>
                <w:color w:val="191769"/>
              </w:rPr>
              <w:t>Earnings Per</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jc w:val="right"/>
              <w:ind w:right="172"/>
              <w:spacing w:after="0"/>
              <w:rPr>
                <w:sz w:val="20"/>
                <w:szCs w:val="20"/>
                <w:color w:val="auto"/>
              </w:rPr>
            </w:pPr>
            <w:r>
              <w:rPr>
                <w:rFonts w:ascii="Arial" w:cs="Arial" w:eastAsia="Arial" w:hAnsi="Arial"/>
                <w:sz w:val="12"/>
                <w:szCs w:val="12"/>
                <w:b w:val="1"/>
                <w:bCs w:val="1"/>
                <w:color w:val="191769"/>
              </w:rPr>
              <w:t>for CEO</w:t>
            </w:r>
          </w:p>
        </w:tc>
        <w:tc>
          <w:tcPr>
            <w:tcW w:w="380" w:type="dxa"/>
            <w:vAlign w:val="bottom"/>
          </w:tcPr>
          <w:p>
            <w:pPr>
              <w:spacing w:after="0"/>
              <w:rPr>
                <w:sz w:val="12"/>
                <w:szCs w:val="12"/>
                <w:color w:val="auto"/>
              </w:rPr>
            </w:pPr>
          </w:p>
        </w:tc>
        <w:tc>
          <w:tcPr>
            <w:tcW w:w="1020" w:type="dxa"/>
            <w:vAlign w:val="bottom"/>
          </w:tcPr>
          <w:p>
            <w:pPr>
              <w:jc w:val="right"/>
              <w:ind w:right="171"/>
              <w:spacing w:after="0"/>
              <w:rPr>
                <w:sz w:val="20"/>
                <w:szCs w:val="20"/>
                <w:color w:val="auto"/>
              </w:rPr>
            </w:pPr>
            <w:r>
              <w:rPr>
                <w:rFonts w:ascii="Arial" w:cs="Arial" w:eastAsia="Arial" w:hAnsi="Arial"/>
                <w:sz w:val="12"/>
                <w:szCs w:val="12"/>
                <w:b w:val="1"/>
                <w:bCs w:val="1"/>
                <w:color w:val="191769"/>
              </w:rPr>
              <w:t>Paid to CEO</w:t>
            </w:r>
          </w:p>
        </w:tc>
        <w:tc>
          <w:tcPr>
            <w:tcW w:w="420" w:type="dxa"/>
            <w:vAlign w:val="bottom"/>
          </w:tcPr>
          <w:p>
            <w:pPr>
              <w:spacing w:after="0"/>
              <w:rPr>
                <w:sz w:val="12"/>
                <w:szCs w:val="12"/>
                <w:color w:val="auto"/>
              </w:rPr>
            </w:pPr>
          </w:p>
        </w:tc>
        <w:tc>
          <w:tcPr>
            <w:tcW w:w="920" w:type="dxa"/>
            <w:vAlign w:val="bottom"/>
          </w:tcPr>
          <w:p>
            <w:pPr>
              <w:jc w:val="right"/>
              <w:ind w:right="172"/>
              <w:spacing w:after="0"/>
              <w:rPr>
                <w:sz w:val="20"/>
                <w:szCs w:val="20"/>
                <w:color w:val="auto"/>
              </w:rPr>
            </w:pPr>
            <w:r>
              <w:rPr>
                <w:rFonts w:ascii="Arial" w:cs="Arial" w:eastAsia="Arial" w:hAnsi="Arial"/>
                <w:sz w:val="12"/>
                <w:szCs w:val="12"/>
                <w:b w:val="1"/>
                <w:bCs w:val="1"/>
                <w:color w:val="191769"/>
              </w:rPr>
              <w:t>NEOs</w:t>
            </w:r>
          </w:p>
        </w:tc>
        <w:tc>
          <w:tcPr>
            <w:tcW w:w="340" w:type="dxa"/>
            <w:vAlign w:val="bottom"/>
          </w:tcPr>
          <w:p>
            <w:pPr>
              <w:spacing w:after="0"/>
              <w:rPr>
                <w:sz w:val="12"/>
                <w:szCs w:val="12"/>
                <w:color w:val="auto"/>
              </w:rPr>
            </w:pPr>
          </w:p>
        </w:tc>
        <w:tc>
          <w:tcPr>
            <w:tcW w:w="880" w:type="dxa"/>
            <w:vAlign w:val="bottom"/>
          </w:tcPr>
          <w:p>
            <w:pPr>
              <w:jc w:val="right"/>
              <w:ind w:right="52"/>
              <w:spacing w:after="0"/>
              <w:rPr>
                <w:sz w:val="20"/>
                <w:szCs w:val="20"/>
                <w:color w:val="auto"/>
              </w:rPr>
            </w:pPr>
            <w:r>
              <w:rPr>
                <w:rFonts w:ascii="Arial" w:cs="Arial" w:eastAsia="Arial" w:hAnsi="Arial"/>
                <w:sz w:val="12"/>
                <w:szCs w:val="12"/>
                <w:b w:val="1"/>
                <w:bCs w:val="1"/>
                <w:color w:val="191769"/>
              </w:rPr>
              <w:t>NEOs</w:t>
            </w:r>
          </w:p>
        </w:tc>
        <w:tc>
          <w:tcPr>
            <w:tcW w:w="580" w:type="dxa"/>
            <w:vAlign w:val="bottom"/>
          </w:tcPr>
          <w:p>
            <w:pPr>
              <w:spacing w:after="0"/>
              <w:rPr>
                <w:sz w:val="12"/>
                <w:szCs w:val="12"/>
                <w:color w:val="auto"/>
              </w:rPr>
            </w:pPr>
          </w:p>
        </w:tc>
        <w:tc>
          <w:tcPr>
            <w:tcW w:w="860" w:type="dxa"/>
            <w:vAlign w:val="bottom"/>
          </w:tcPr>
          <w:p>
            <w:pPr>
              <w:jc w:val="right"/>
              <w:ind w:right="172"/>
              <w:spacing w:after="0"/>
              <w:rPr>
                <w:sz w:val="20"/>
                <w:szCs w:val="20"/>
                <w:color w:val="auto"/>
              </w:rPr>
            </w:pPr>
            <w:r>
              <w:rPr>
                <w:rFonts w:ascii="Arial" w:cs="Arial" w:eastAsia="Arial" w:hAnsi="Arial"/>
                <w:sz w:val="12"/>
                <w:szCs w:val="12"/>
                <w:b w:val="1"/>
                <w:bCs w:val="1"/>
                <w:color w:val="191769"/>
              </w:rPr>
              <w:t>Return</w:t>
            </w:r>
          </w:p>
        </w:tc>
        <w:tc>
          <w:tcPr>
            <w:tcW w:w="4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b w:val="1"/>
                <w:bCs w:val="1"/>
                <w:color w:val="191769"/>
              </w:rPr>
              <w:t>Return</w:t>
            </w:r>
          </w:p>
        </w:tc>
        <w:tc>
          <w:tcPr>
            <w:tcW w:w="1560" w:type="dxa"/>
            <w:vAlign w:val="bottom"/>
            <w:gridSpan w:val="2"/>
          </w:tcPr>
          <w:p>
            <w:pPr>
              <w:jc w:val="right"/>
              <w:ind w:right="248"/>
              <w:spacing w:after="0"/>
              <w:rPr>
                <w:sz w:val="20"/>
                <w:szCs w:val="20"/>
                <w:color w:val="auto"/>
              </w:rPr>
            </w:pPr>
            <w:r>
              <w:rPr>
                <w:rFonts w:ascii="Arial" w:cs="Arial" w:eastAsia="Arial" w:hAnsi="Arial"/>
                <w:sz w:val="12"/>
                <w:szCs w:val="12"/>
                <w:b w:val="1"/>
                <w:bCs w:val="1"/>
                <w:color w:val="191769"/>
              </w:rPr>
              <w:t>(In Millions)</w:t>
            </w:r>
          </w:p>
        </w:tc>
        <w:tc>
          <w:tcPr>
            <w:tcW w:w="520" w:type="dxa"/>
            <w:vAlign w:val="bottom"/>
          </w:tcPr>
          <w:p>
            <w:pPr>
              <w:spacing w:after="0"/>
              <w:rPr>
                <w:sz w:val="12"/>
                <w:szCs w:val="12"/>
                <w:color w:val="auto"/>
              </w:rPr>
            </w:pPr>
          </w:p>
        </w:tc>
        <w:tc>
          <w:tcPr>
            <w:tcW w:w="540" w:type="dxa"/>
            <w:vAlign w:val="bottom"/>
          </w:tcPr>
          <w:p>
            <w:pPr>
              <w:ind w:left="200"/>
              <w:spacing w:after="0"/>
              <w:rPr>
                <w:sz w:val="20"/>
                <w:szCs w:val="20"/>
                <w:color w:val="auto"/>
              </w:rPr>
            </w:pPr>
            <w:r>
              <w:rPr>
                <w:rFonts w:ascii="Arial" w:cs="Arial" w:eastAsia="Arial" w:hAnsi="Arial"/>
                <w:sz w:val="12"/>
                <w:szCs w:val="12"/>
                <w:b w:val="1"/>
                <w:bCs w:val="1"/>
                <w:color w:val="191769"/>
                <w:w w:val="95"/>
              </w:rPr>
              <w:t>Share</w:t>
            </w:r>
          </w:p>
        </w:tc>
        <w:tc>
          <w:tcPr>
            <w:tcW w:w="0" w:type="dxa"/>
            <w:vAlign w:val="bottom"/>
          </w:tcPr>
          <w:p>
            <w:pPr>
              <w:spacing w:after="0"/>
              <w:rPr>
                <w:sz w:val="1"/>
                <w:szCs w:val="1"/>
                <w:color w:val="auto"/>
              </w:rPr>
            </w:pPr>
          </w:p>
        </w:tc>
      </w:tr>
      <w:tr>
        <w:trPr>
          <w:trHeight w:val="177"/>
        </w:trPr>
        <w:tc>
          <w:tcPr>
            <w:tcW w:w="760" w:type="dxa"/>
            <w:vAlign w:val="bottom"/>
            <w:tcBorders>
              <w:bottom w:val="single" w:sz="8" w:color="00AEEF"/>
            </w:tcBorders>
          </w:tcPr>
          <w:p>
            <w:pPr>
              <w:ind w:left="20"/>
              <w:spacing w:after="0"/>
              <w:rPr>
                <w:sz w:val="20"/>
                <w:szCs w:val="20"/>
                <w:color w:val="auto"/>
              </w:rPr>
            </w:pPr>
            <w:r>
              <w:rPr>
                <w:rFonts w:ascii="Arial" w:cs="Arial" w:eastAsia="Arial" w:hAnsi="Arial"/>
                <w:sz w:val="12"/>
                <w:szCs w:val="12"/>
                <w:b w:val="1"/>
                <w:bCs w:val="1"/>
                <w:color w:val="191769"/>
              </w:rPr>
              <w:t>Year (a)</w:t>
            </w:r>
          </w:p>
        </w:tc>
        <w:tc>
          <w:tcPr>
            <w:tcW w:w="380" w:type="dxa"/>
            <w:vAlign w:val="bottom"/>
            <w:tcBorders>
              <w:bottom w:val="single" w:sz="8" w:color="00AEEF"/>
            </w:tcBorders>
          </w:tcPr>
          <w:p>
            <w:pPr>
              <w:spacing w:after="0"/>
              <w:rPr>
                <w:sz w:val="15"/>
                <w:szCs w:val="15"/>
                <w:color w:val="auto"/>
              </w:rPr>
            </w:pPr>
          </w:p>
        </w:tc>
        <w:tc>
          <w:tcPr>
            <w:tcW w:w="1100" w:type="dxa"/>
            <w:vAlign w:val="bottom"/>
            <w:tcBorders>
              <w:bottom w:val="single" w:sz="8" w:color="00AEEF"/>
            </w:tcBorders>
          </w:tcPr>
          <w:p>
            <w:pPr>
              <w:jc w:val="right"/>
              <w:ind w:right="172"/>
              <w:spacing w:after="0"/>
              <w:rPr>
                <w:sz w:val="20"/>
                <w:szCs w:val="20"/>
                <w:color w:val="auto"/>
              </w:rPr>
            </w:pPr>
            <w:r>
              <w:rPr>
                <w:rFonts w:ascii="Arial" w:cs="Arial" w:eastAsia="Arial" w:hAnsi="Arial"/>
                <w:sz w:val="12"/>
                <w:szCs w:val="12"/>
                <w:b w:val="1"/>
                <w:bCs w:val="1"/>
                <w:color w:val="191769"/>
              </w:rPr>
              <w:t>(b)</w:t>
            </w:r>
          </w:p>
        </w:tc>
        <w:tc>
          <w:tcPr>
            <w:tcW w:w="380" w:type="dxa"/>
            <w:vAlign w:val="bottom"/>
            <w:tcBorders>
              <w:bottom w:val="single" w:sz="8" w:color="00AEEF"/>
            </w:tcBorders>
          </w:tcPr>
          <w:p>
            <w:pPr>
              <w:spacing w:after="0"/>
              <w:rPr>
                <w:sz w:val="15"/>
                <w:szCs w:val="15"/>
                <w:color w:val="auto"/>
              </w:rPr>
            </w:pPr>
          </w:p>
        </w:tc>
        <w:tc>
          <w:tcPr>
            <w:tcW w:w="1020" w:type="dxa"/>
            <w:vAlign w:val="bottom"/>
            <w:tcBorders>
              <w:bottom w:val="single" w:sz="8" w:color="00AEEF"/>
            </w:tcBorders>
          </w:tcPr>
          <w:p>
            <w:pPr>
              <w:jc w:val="right"/>
              <w:ind w:right="171"/>
              <w:spacing w:after="0"/>
              <w:rPr>
                <w:sz w:val="20"/>
                <w:szCs w:val="20"/>
                <w:color w:val="auto"/>
              </w:rPr>
            </w:pPr>
            <w:r>
              <w:rPr>
                <w:rFonts w:ascii="Arial" w:cs="Arial" w:eastAsia="Arial" w:hAnsi="Arial"/>
                <w:sz w:val="12"/>
                <w:szCs w:val="12"/>
                <w:b w:val="1"/>
                <w:bCs w:val="1"/>
                <w:color w:val="191769"/>
              </w:rPr>
              <w:t>(c)</w:t>
            </w:r>
          </w:p>
        </w:tc>
        <w:tc>
          <w:tcPr>
            <w:tcW w:w="420" w:type="dxa"/>
            <w:vAlign w:val="bottom"/>
            <w:tcBorders>
              <w:bottom w:val="single" w:sz="8" w:color="00AEEF"/>
            </w:tcBorders>
          </w:tcPr>
          <w:p>
            <w:pPr>
              <w:spacing w:after="0"/>
              <w:rPr>
                <w:sz w:val="15"/>
                <w:szCs w:val="15"/>
                <w:color w:val="auto"/>
              </w:rPr>
            </w:pPr>
          </w:p>
        </w:tc>
        <w:tc>
          <w:tcPr>
            <w:tcW w:w="920" w:type="dxa"/>
            <w:vAlign w:val="bottom"/>
            <w:tcBorders>
              <w:bottom w:val="single" w:sz="8" w:color="00AEEF"/>
            </w:tcBorders>
          </w:tcPr>
          <w:p>
            <w:pPr>
              <w:jc w:val="right"/>
              <w:ind w:right="172"/>
              <w:spacing w:after="0"/>
              <w:rPr>
                <w:sz w:val="20"/>
                <w:szCs w:val="20"/>
                <w:color w:val="auto"/>
              </w:rPr>
            </w:pPr>
            <w:r>
              <w:rPr>
                <w:rFonts w:ascii="Arial" w:cs="Arial" w:eastAsia="Arial" w:hAnsi="Arial"/>
                <w:sz w:val="12"/>
                <w:szCs w:val="12"/>
                <w:b w:val="1"/>
                <w:bCs w:val="1"/>
                <w:color w:val="191769"/>
              </w:rPr>
              <w:t>(d)</w:t>
            </w:r>
          </w:p>
        </w:tc>
        <w:tc>
          <w:tcPr>
            <w:tcW w:w="340" w:type="dxa"/>
            <w:vAlign w:val="bottom"/>
            <w:tcBorders>
              <w:bottom w:val="single" w:sz="8" w:color="00AEEF"/>
            </w:tcBorders>
          </w:tcPr>
          <w:p>
            <w:pPr>
              <w:spacing w:after="0"/>
              <w:rPr>
                <w:sz w:val="15"/>
                <w:szCs w:val="15"/>
                <w:color w:val="auto"/>
              </w:rPr>
            </w:pPr>
          </w:p>
        </w:tc>
        <w:tc>
          <w:tcPr>
            <w:tcW w:w="880" w:type="dxa"/>
            <w:vAlign w:val="bottom"/>
            <w:tcBorders>
              <w:bottom w:val="single" w:sz="8" w:color="00AEEF"/>
            </w:tcBorders>
          </w:tcPr>
          <w:p>
            <w:pPr>
              <w:jc w:val="right"/>
              <w:ind w:right="52"/>
              <w:spacing w:after="0"/>
              <w:rPr>
                <w:sz w:val="20"/>
                <w:szCs w:val="20"/>
                <w:color w:val="auto"/>
              </w:rPr>
            </w:pPr>
            <w:r>
              <w:rPr>
                <w:rFonts w:ascii="Arial" w:cs="Arial" w:eastAsia="Arial" w:hAnsi="Arial"/>
                <w:sz w:val="12"/>
                <w:szCs w:val="12"/>
                <w:b w:val="1"/>
                <w:bCs w:val="1"/>
                <w:color w:val="191769"/>
              </w:rPr>
              <w:t>(e)</w:t>
            </w:r>
          </w:p>
        </w:tc>
        <w:tc>
          <w:tcPr>
            <w:tcW w:w="580" w:type="dxa"/>
            <w:vAlign w:val="bottom"/>
            <w:tcBorders>
              <w:bottom w:val="single" w:sz="8" w:color="00AEEF"/>
            </w:tcBorders>
          </w:tcPr>
          <w:p>
            <w:pPr>
              <w:spacing w:after="0"/>
              <w:rPr>
                <w:sz w:val="15"/>
                <w:szCs w:val="15"/>
                <w:color w:val="auto"/>
              </w:rPr>
            </w:pPr>
          </w:p>
        </w:tc>
        <w:tc>
          <w:tcPr>
            <w:tcW w:w="860" w:type="dxa"/>
            <w:vAlign w:val="bottom"/>
            <w:tcBorders>
              <w:bottom w:val="single" w:sz="8" w:color="00AEEF"/>
            </w:tcBorders>
          </w:tcPr>
          <w:p>
            <w:pPr>
              <w:jc w:val="right"/>
              <w:ind w:right="172"/>
              <w:spacing w:after="0"/>
              <w:rPr>
                <w:sz w:val="20"/>
                <w:szCs w:val="20"/>
                <w:color w:val="auto"/>
              </w:rPr>
            </w:pPr>
            <w:r>
              <w:rPr>
                <w:rFonts w:ascii="Arial" w:cs="Arial" w:eastAsia="Arial" w:hAnsi="Arial"/>
                <w:sz w:val="12"/>
                <w:szCs w:val="12"/>
                <w:b w:val="1"/>
                <w:bCs w:val="1"/>
                <w:color w:val="191769"/>
              </w:rPr>
              <w:t>(f)</w:t>
            </w:r>
          </w:p>
        </w:tc>
        <w:tc>
          <w:tcPr>
            <w:tcW w:w="420" w:type="dxa"/>
            <w:vAlign w:val="bottom"/>
            <w:tcBorders>
              <w:bottom w:val="single" w:sz="8" w:color="00AEEF"/>
            </w:tcBorders>
          </w:tcPr>
          <w:p>
            <w:pPr>
              <w:spacing w:after="0"/>
              <w:rPr>
                <w:sz w:val="15"/>
                <w:szCs w:val="15"/>
                <w:color w:val="auto"/>
              </w:rPr>
            </w:pPr>
          </w:p>
        </w:tc>
        <w:tc>
          <w:tcPr>
            <w:tcW w:w="560" w:type="dxa"/>
            <w:vAlign w:val="bottom"/>
            <w:tcBorders>
              <w:bottom w:val="single" w:sz="8" w:color="00AEEF"/>
            </w:tcBorders>
          </w:tcPr>
          <w:p>
            <w:pPr>
              <w:jc w:val="right"/>
              <w:spacing w:after="0"/>
              <w:rPr>
                <w:sz w:val="20"/>
                <w:szCs w:val="20"/>
                <w:color w:val="auto"/>
              </w:rPr>
            </w:pPr>
            <w:r>
              <w:rPr>
                <w:rFonts w:ascii="Arial" w:cs="Arial" w:eastAsia="Arial" w:hAnsi="Arial"/>
                <w:sz w:val="12"/>
                <w:szCs w:val="12"/>
                <w:b w:val="1"/>
                <w:bCs w:val="1"/>
                <w:color w:val="191769"/>
              </w:rPr>
              <w:t>(g)</w:t>
            </w:r>
          </w:p>
        </w:tc>
        <w:tc>
          <w:tcPr>
            <w:tcW w:w="720" w:type="dxa"/>
            <w:vAlign w:val="bottom"/>
            <w:tcBorders>
              <w:bottom w:val="single" w:sz="8" w:color="00AEEF"/>
            </w:tcBorders>
          </w:tcPr>
          <w:p>
            <w:pPr>
              <w:spacing w:after="0"/>
              <w:rPr>
                <w:sz w:val="15"/>
                <w:szCs w:val="15"/>
                <w:color w:val="auto"/>
              </w:rPr>
            </w:pPr>
          </w:p>
        </w:tc>
        <w:tc>
          <w:tcPr>
            <w:tcW w:w="840" w:type="dxa"/>
            <w:vAlign w:val="bottom"/>
            <w:tcBorders>
              <w:bottom w:val="single" w:sz="8" w:color="00AEEF"/>
            </w:tcBorders>
          </w:tcPr>
          <w:p>
            <w:pPr>
              <w:jc w:val="right"/>
              <w:ind w:right="248"/>
              <w:spacing w:after="0"/>
              <w:rPr>
                <w:sz w:val="20"/>
                <w:szCs w:val="20"/>
                <w:color w:val="auto"/>
              </w:rPr>
            </w:pPr>
            <w:r>
              <w:rPr>
                <w:rFonts w:ascii="Arial" w:cs="Arial" w:eastAsia="Arial" w:hAnsi="Arial"/>
                <w:sz w:val="12"/>
                <w:szCs w:val="12"/>
                <w:b w:val="1"/>
                <w:bCs w:val="1"/>
                <w:color w:val="191769"/>
              </w:rPr>
              <w:t>(h)</w:t>
            </w:r>
          </w:p>
        </w:tc>
        <w:tc>
          <w:tcPr>
            <w:tcW w:w="520" w:type="dxa"/>
            <w:vAlign w:val="bottom"/>
            <w:tcBorders>
              <w:bottom w:val="single" w:sz="8" w:color="00AEEF"/>
            </w:tcBorders>
          </w:tcPr>
          <w:p>
            <w:pPr>
              <w:spacing w:after="0"/>
              <w:rPr>
                <w:sz w:val="15"/>
                <w:szCs w:val="15"/>
                <w:color w:val="auto"/>
              </w:rPr>
            </w:pPr>
          </w:p>
        </w:tc>
        <w:tc>
          <w:tcPr>
            <w:tcW w:w="540" w:type="dxa"/>
            <w:vAlign w:val="bottom"/>
            <w:tcBorders>
              <w:bottom w:val="single" w:sz="8" w:color="00AEEF"/>
            </w:tcBorders>
          </w:tcPr>
          <w:p>
            <w:pPr>
              <w:jc w:val="right"/>
              <w:spacing w:after="0"/>
              <w:rPr>
                <w:sz w:val="20"/>
                <w:szCs w:val="20"/>
                <w:color w:val="auto"/>
              </w:rPr>
            </w:pPr>
            <w:r>
              <w:rPr>
                <w:rFonts w:ascii="Arial" w:cs="Arial" w:eastAsia="Arial" w:hAnsi="Arial"/>
                <w:sz w:val="12"/>
                <w:szCs w:val="12"/>
                <w:b w:val="1"/>
                <w:bCs w:val="1"/>
                <w:color w:val="191769"/>
              </w:rPr>
              <w:t>(i)</w:t>
            </w:r>
          </w:p>
        </w:tc>
        <w:tc>
          <w:tcPr>
            <w:tcW w:w="0" w:type="dxa"/>
            <w:vAlign w:val="bottom"/>
          </w:tcPr>
          <w:p>
            <w:pPr>
              <w:spacing w:after="0"/>
              <w:rPr>
                <w:sz w:val="1"/>
                <w:szCs w:val="1"/>
                <w:color w:val="auto"/>
              </w:rPr>
            </w:pPr>
          </w:p>
        </w:tc>
      </w:tr>
      <w:tr>
        <w:trPr>
          <w:trHeight w:val="224"/>
        </w:trPr>
        <w:tc>
          <w:tcPr>
            <w:tcW w:w="760" w:type="dxa"/>
            <w:vAlign w:val="bottom"/>
          </w:tcPr>
          <w:p>
            <w:pPr>
              <w:ind w:left="20"/>
              <w:spacing w:after="0"/>
              <w:rPr>
                <w:sz w:val="20"/>
                <w:szCs w:val="20"/>
                <w:color w:val="auto"/>
              </w:rPr>
            </w:pPr>
            <w:r>
              <w:rPr>
                <w:rFonts w:ascii="Arial" w:cs="Arial" w:eastAsia="Arial" w:hAnsi="Arial"/>
                <w:sz w:val="16"/>
                <w:szCs w:val="16"/>
                <w:color w:val="auto"/>
              </w:rPr>
              <w:t>2025</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12"/>
              <w:spacing w:after="0"/>
              <w:rPr>
                <w:sz w:val="20"/>
                <w:szCs w:val="20"/>
                <w:color w:val="auto"/>
              </w:rPr>
            </w:pPr>
            <w:r>
              <w:rPr>
                <w:rFonts w:ascii="Arial" w:cs="Arial" w:eastAsia="Arial" w:hAnsi="Arial"/>
                <w:sz w:val="15"/>
                <w:szCs w:val="15"/>
                <w:color w:val="auto"/>
              </w:rPr>
              <w:t>1,906,024</w:t>
            </w:r>
          </w:p>
        </w:tc>
        <w:tc>
          <w:tcPr>
            <w:tcW w:w="38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1"/>
              <w:spacing w:after="0"/>
              <w:rPr>
                <w:sz w:val="20"/>
                <w:szCs w:val="20"/>
                <w:color w:val="auto"/>
              </w:rPr>
            </w:pPr>
            <w:r>
              <w:rPr>
                <w:rFonts w:ascii="Arial" w:cs="Arial" w:eastAsia="Arial" w:hAnsi="Arial"/>
                <w:sz w:val="15"/>
                <w:szCs w:val="15"/>
                <w:color w:val="auto"/>
              </w:rPr>
              <w:t>1,568,150</w:t>
            </w:r>
          </w:p>
        </w:tc>
        <w:tc>
          <w:tcPr>
            <w:tcW w:w="42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12"/>
              <w:spacing w:after="0"/>
              <w:rPr>
                <w:sz w:val="20"/>
                <w:szCs w:val="20"/>
                <w:color w:val="auto"/>
              </w:rPr>
            </w:pPr>
            <w:r>
              <w:rPr>
                <w:rFonts w:ascii="Arial" w:cs="Arial" w:eastAsia="Arial" w:hAnsi="Arial"/>
                <w:sz w:val="15"/>
                <w:szCs w:val="15"/>
                <w:color w:val="auto"/>
              </w:rPr>
              <w:t>693,760</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92"/>
              <w:spacing w:after="0"/>
              <w:rPr>
                <w:sz w:val="20"/>
                <w:szCs w:val="20"/>
                <w:color w:val="auto"/>
              </w:rPr>
            </w:pPr>
            <w:r>
              <w:rPr>
                <w:rFonts w:ascii="Arial" w:cs="Arial" w:eastAsia="Arial" w:hAnsi="Arial"/>
                <w:sz w:val="15"/>
                <w:szCs w:val="15"/>
                <w:color w:val="auto"/>
              </w:rPr>
              <w:t>676,245</w:t>
            </w:r>
          </w:p>
        </w:tc>
        <w:tc>
          <w:tcPr>
            <w:tcW w:w="580" w:type="dxa"/>
            <w:vAlign w:val="bottom"/>
          </w:tcPr>
          <w:p>
            <w:pPr>
              <w:ind w:left="46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32"/>
              <w:spacing w:after="0"/>
              <w:rPr>
                <w:sz w:val="20"/>
                <w:szCs w:val="20"/>
                <w:color w:val="auto"/>
              </w:rPr>
            </w:pPr>
            <w:r>
              <w:rPr>
                <w:rFonts w:ascii="Arial" w:cs="Arial" w:eastAsia="Arial" w:hAnsi="Arial"/>
                <w:sz w:val="15"/>
                <w:szCs w:val="15"/>
                <w:color w:val="auto"/>
              </w:rPr>
              <w:t>76.09</w:t>
            </w:r>
          </w:p>
        </w:tc>
        <w:tc>
          <w:tcPr>
            <w:tcW w:w="420" w:type="dxa"/>
            <w:vAlign w:val="bottom"/>
          </w:tcPr>
          <w:p>
            <w:pPr>
              <w:ind w:left="24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87.73</w:t>
            </w:r>
          </w:p>
        </w:tc>
        <w:tc>
          <w:tcPr>
            <w:tcW w:w="720" w:type="dxa"/>
            <w:vAlign w:val="bottom"/>
          </w:tcPr>
          <w:p>
            <w:pPr>
              <w:jc w:val="right"/>
              <w:ind w:right="5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88"/>
              <w:spacing w:after="0"/>
              <w:rPr>
                <w:sz w:val="20"/>
                <w:szCs w:val="20"/>
                <w:color w:val="auto"/>
              </w:rPr>
            </w:pPr>
            <w:r>
              <w:rPr>
                <w:rFonts w:ascii="Arial" w:cs="Arial" w:eastAsia="Arial" w:hAnsi="Arial"/>
                <w:sz w:val="15"/>
                <w:szCs w:val="15"/>
                <w:color w:val="auto"/>
              </w:rPr>
              <w:t>42.80</w:t>
            </w:r>
          </w:p>
        </w:tc>
        <w:tc>
          <w:tcPr>
            <w:tcW w:w="52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540" w:type="dxa"/>
            <w:vAlign w:val="bottom"/>
          </w:tcPr>
          <w:p>
            <w:pPr>
              <w:ind w:left="200"/>
              <w:spacing w:after="0"/>
              <w:rPr>
                <w:sz w:val="20"/>
                <w:szCs w:val="20"/>
                <w:color w:val="auto"/>
              </w:rPr>
            </w:pPr>
            <w:r>
              <w:rPr>
                <w:rFonts w:ascii="Arial" w:cs="Arial" w:eastAsia="Arial" w:hAnsi="Arial"/>
                <w:sz w:val="15"/>
                <w:szCs w:val="15"/>
                <w:color w:val="auto"/>
              </w:rPr>
              <w:t>2.32</w:t>
            </w:r>
          </w:p>
        </w:tc>
        <w:tc>
          <w:tcPr>
            <w:tcW w:w="0" w:type="dxa"/>
            <w:vAlign w:val="bottom"/>
          </w:tcPr>
          <w:p>
            <w:pPr>
              <w:spacing w:after="0"/>
              <w:rPr>
                <w:sz w:val="1"/>
                <w:szCs w:val="1"/>
                <w:color w:val="auto"/>
              </w:rPr>
            </w:pPr>
          </w:p>
        </w:tc>
      </w:tr>
      <w:tr>
        <w:trPr>
          <w:trHeight w:val="22"/>
        </w:trPr>
        <w:tc>
          <w:tcPr>
            <w:tcW w:w="760" w:type="dxa"/>
            <w:vAlign w:val="bottom"/>
            <w:tcBorders>
              <w:bottom w:val="single" w:sz="8" w:color="D9D9D9"/>
            </w:tcBorders>
          </w:tcPr>
          <w:p>
            <w:pPr>
              <w:spacing w:after="0" w:line="20" w:lineRule="exact"/>
              <w:rPr>
                <w:sz w:val="1"/>
                <w:szCs w:val="1"/>
                <w:color w:val="auto"/>
              </w:rPr>
            </w:pPr>
          </w:p>
        </w:tc>
        <w:tc>
          <w:tcPr>
            <w:tcW w:w="380" w:type="dxa"/>
            <w:vAlign w:val="bottom"/>
            <w:tcBorders>
              <w:bottom w:val="single" w:sz="8" w:color="D9D9D9"/>
            </w:tcBorders>
          </w:tcPr>
          <w:p>
            <w:pPr>
              <w:spacing w:after="0" w:line="20" w:lineRule="exact"/>
              <w:rPr>
                <w:sz w:val="1"/>
                <w:szCs w:val="1"/>
                <w:color w:val="auto"/>
              </w:rPr>
            </w:pPr>
          </w:p>
        </w:tc>
        <w:tc>
          <w:tcPr>
            <w:tcW w:w="1100" w:type="dxa"/>
            <w:vAlign w:val="bottom"/>
            <w:tcBorders>
              <w:bottom w:val="single" w:sz="8" w:color="D9D9D9"/>
            </w:tcBorders>
          </w:tcPr>
          <w:p>
            <w:pPr>
              <w:spacing w:after="0" w:line="20" w:lineRule="exact"/>
              <w:rPr>
                <w:sz w:val="1"/>
                <w:szCs w:val="1"/>
                <w:color w:val="auto"/>
              </w:rPr>
            </w:pPr>
          </w:p>
        </w:tc>
        <w:tc>
          <w:tcPr>
            <w:tcW w:w="380" w:type="dxa"/>
            <w:vAlign w:val="bottom"/>
            <w:tcBorders>
              <w:bottom w:val="single" w:sz="8" w:color="D9D9D9"/>
            </w:tcBorders>
          </w:tcPr>
          <w:p>
            <w:pPr>
              <w:spacing w:after="0" w:line="20" w:lineRule="exact"/>
              <w:rPr>
                <w:sz w:val="1"/>
                <w:szCs w:val="1"/>
                <w:color w:val="auto"/>
              </w:rPr>
            </w:pPr>
          </w:p>
        </w:tc>
        <w:tc>
          <w:tcPr>
            <w:tcW w:w="1020" w:type="dxa"/>
            <w:vAlign w:val="bottom"/>
            <w:tcBorders>
              <w:bottom w:val="single" w:sz="8" w:color="D9D9D9"/>
            </w:tcBorders>
          </w:tcPr>
          <w:p>
            <w:pPr>
              <w:spacing w:after="0" w:line="20" w:lineRule="exact"/>
              <w:rPr>
                <w:sz w:val="1"/>
                <w:szCs w:val="1"/>
                <w:color w:val="auto"/>
              </w:rPr>
            </w:pPr>
          </w:p>
        </w:tc>
        <w:tc>
          <w:tcPr>
            <w:tcW w:w="420" w:type="dxa"/>
            <w:vAlign w:val="bottom"/>
            <w:tcBorders>
              <w:bottom w:val="single" w:sz="8" w:color="D9D9D9"/>
            </w:tcBorders>
          </w:tcPr>
          <w:p>
            <w:pPr>
              <w:spacing w:after="0" w:line="20" w:lineRule="exact"/>
              <w:rPr>
                <w:sz w:val="1"/>
                <w:szCs w:val="1"/>
                <w:color w:val="auto"/>
              </w:rPr>
            </w:pPr>
          </w:p>
        </w:tc>
        <w:tc>
          <w:tcPr>
            <w:tcW w:w="920" w:type="dxa"/>
            <w:vAlign w:val="bottom"/>
            <w:tcBorders>
              <w:bottom w:val="single" w:sz="8" w:color="D9D9D9"/>
            </w:tcBorders>
          </w:tcPr>
          <w:p>
            <w:pPr>
              <w:spacing w:after="0" w:line="20" w:lineRule="exact"/>
              <w:rPr>
                <w:sz w:val="1"/>
                <w:szCs w:val="1"/>
                <w:color w:val="auto"/>
              </w:rPr>
            </w:pPr>
          </w:p>
        </w:tc>
        <w:tc>
          <w:tcPr>
            <w:tcW w:w="340" w:type="dxa"/>
            <w:vAlign w:val="bottom"/>
            <w:tcBorders>
              <w:bottom w:val="single" w:sz="8" w:color="D9D9D9"/>
            </w:tcBorders>
          </w:tcPr>
          <w:p>
            <w:pPr>
              <w:spacing w:after="0" w:line="20" w:lineRule="exact"/>
              <w:rPr>
                <w:sz w:val="1"/>
                <w:szCs w:val="1"/>
                <w:color w:val="auto"/>
              </w:rPr>
            </w:pPr>
          </w:p>
        </w:tc>
        <w:tc>
          <w:tcPr>
            <w:tcW w:w="880" w:type="dxa"/>
            <w:vAlign w:val="bottom"/>
            <w:tcBorders>
              <w:bottom w:val="single" w:sz="8" w:color="D9D9D9"/>
            </w:tcBorders>
          </w:tcPr>
          <w:p>
            <w:pPr>
              <w:spacing w:after="0" w:line="20" w:lineRule="exact"/>
              <w:rPr>
                <w:sz w:val="1"/>
                <w:szCs w:val="1"/>
                <w:color w:val="auto"/>
              </w:rPr>
            </w:pPr>
          </w:p>
        </w:tc>
        <w:tc>
          <w:tcPr>
            <w:tcW w:w="580" w:type="dxa"/>
            <w:vAlign w:val="bottom"/>
            <w:tcBorders>
              <w:bottom w:val="single" w:sz="8" w:color="D9D9D9"/>
            </w:tcBorders>
          </w:tcPr>
          <w:p>
            <w:pPr>
              <w:spacing w:after="0" w:line="20" w:lineRule="exact"/>
              <w:rPr>
                <w:sz w:val="1"/>
                <w:szCs w:val="1"/>
                <w:color w:val="auto"/>
              </w:rPr>
            </w:pPr>
          </w:p>
        </w:tc>
        <w:tc>
          <w:tcPr>
            <w:tcW w:w="860" w:type="dxa"/>
            <w:vAlign w:val="bottom"/>
            <w:tcBorders>
              <w:bottom w:val="single" w:sz="8" w:color="D9D9D9"/>
            </w:tcBorders>
          </w:tcPr>
          <w:p>
            <w:pPr>
              <w:spacing w:after="0" w:line="20" w:lineRule="exact"/>
              <w:rPr>
                <w:sz w:val="1"/>
                <w:szCs w:val="1"/>
                <w:color w:val="auto"/>
              </w:rPr>
            </w:pPr>
          </w:p>
        </w:tc>
        <w:tc>
          <w:tcPr>
            <w:tcW w:w="420" w:type="dxa"/>
            <w:vAlign w:val="bottom"/>
            <w:tcBorders>
              <w:bottom w:val="single" w:sz="8" w:color="D9D9D9"/>
            </w:tcBorders>
          </w:tcPr>
          <w:p>
            <w:pPr>
              <w:spacing w:after="0" w:line="20" w:lineRule="exact"/>
              <w:rPr>
                <w:sz w:val="1"/>
                <w:szCs w:val="1"/>
                <w:color w:val="auto"/>
              </w:rPr>
            </w:pPr>
          </w:p>
        </w:tc>
        <w:tc>
          <w:tcPr>
            <w:tcW w:w="560" w:type="dxa"/>
            <w:vAlign w:val="bottom"/>
            <w:tcBorders>
              <w:bottom w:val="single" w:sz="8" w:color="D9D9D9"/>
            </w:tcBorders>
          </w:tcPr>
          <w:p>
            <w:pPr>
              <w:spacing w:after="0" w:line="20" w:lineRule="exact"/>
              <w:rPr>
                <w:sz w:val="1"/>
                <w:szCs w:val="1"/>
                <w:color w:val="auto"/>
              </w:rPr>
            </w:pPr>
          </w:p>
        </w:tc>
        <w:tc>
          <w:tcPr>
            <w:tcW w:w="720" w:type="dxa"/>
            <w:vAlign w:val="bottom"/>
            <w:tcBorders>
              <w:bottom w:val="single" w:sz="8" w:color="D9D9D9"/>
            </w:tcBorders>
          </w:tcPr>
          <w:p>
            <w:pPr>
              <w:spacing w:after="0" w:line="20" w:lineRule="exact"/>
              <w:rPr>
                <w:sz w:val="1"/>
                <w:szCs w:val="1"/>
                <w:color w:val="auto"/>
              </w:rPr>
            </w:pPr>
          </w:p>
        </w:tc>
        <w:tc>
          <w:tcPr>
            <w:tcW w:w="840" w:type="dxa"/>
            <w:vAlign w:val="bottom"/>
            <w:tcBorders>
              <w:bottom w:val="single" w:sz="8" w:color="D9D9D9"/>
            </w:tcBorders>
          </w:tcPr>
          <w:p>
            <w:pPr>
              <w:spacing w:after="0" w:line="20" w:lineRule="exact"/>
              <w:rPr>
                <w:sz w:val="1"/>
                <w:szCs w:val="1"/>
                <w:color w:val="auto"/>
              </w:rPr>
            </w:pPr>
          </w:p>
        </w:tc>
        <w:tc>
          <w:tcPr>
            <w:tcW w:w="520" w:type="dxa"/>
            <w:vAlign w:val="bottom"/>
            <w:tcBorders>
              <w:bottom w:val="single" w:sz="8" w:color="D9D9D9"/>
            </w:tcBorders>
          </w:tcPr>
          <w:p>
            <w:pPr>
              <w:spacing w:after="0" w:line="20" w:lineRule="exact"/>
              <w:rPr>
                <w:sz w:val="1"/>
                <w:szCs w:val="1"/>
                <w:color w:val="auto"/>
              </w:rPr>
            </w:pPr>
          </w:p>
        </w:tc>
        <w:tc>
          <w:tcPr>
            <w:tcW w:w="540" w:type="dxa"/>
            <w:vAlign w:val="bottom"/>
            <w:tcBorders>
              <w:bottom w:val="single" w:sz="8" w:color="D9D9D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60" w:type="dxa"/>
            <w:vAlign w:val="bottom"/>
          </w:tcPr>
          <w:p>
            <w:pPr>
              <w:ind w:left="20"/>
              <w:spacing w:after="0"/>
              <w:rPr>
                <w:sz w:val="20"/>
                <w:szCs w:val="20"/>
                <w:color w:val="auto"/>
              </w:rPr>
            </w:pPr>
            <w:r>
              <w:rPr>
                <w:rFonts w:ascii="Arial" w:cs="Arial" w:eastAsia="Arial" w:hAnsi="Arial"/>
                <w:sz w:val="16"/>
                <w:szCs w:val="16"/>
                <w:color w:val="auto"/>
              </w:rPr>
              <w:t>2024</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12"/>
              <w:spacing w:after="0"/>
              <w:rPr>
                <w:sz w:val="20"/>
                <w:szCs w:val="20"/>
                <w:color w:val="auto"/>
              </w:rPr>
            </w:pPr>
            <w:r>
              <w:rPr>
                <w:rFonts w:ascii="Arial" w:cs="Arial" w:eastAsia="Arial" w:hAnsi="Arial"/>
                <w:sz w:val="15"/>
                <w:szCs w:val="15"/>
                <w:color w:val="auto"/>
              </w:rPr>
              <w:t>1,828,153</w:t>
            </w:r>
          </w:p>
        </w:tc>
        <w:tc>
          <w:tcPr>
            <w:tcW w:w="38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1"/>
              <w:spacing w:after="0"/>
              <w:rPr>
                <w:sz w:val="20"/>
                <w:szCs w:val="20"/>
                <w:color w:val="auto"/>
              </w:rPr>
            </w:pPr>
            <w:r>
              <w:rPr>
                <w:rFonts w:ascii="Arial" w:cs="Arial" w:eastAsia="Arial" w:hAnsi="Arial"/>
                <w:sz w:val="15"/>
                <w:szCs w:val="15"/>
                <w:color w:val="auto"/>
              </w:rPr>
              <w:t>1,578,153</w:t>
            </w:r>
          </w:p>
        </w:tc>
        <w:tc>
          <w:tcPr>
            <w:tcW w:w="42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12"/>
              <w:spacing w:after="0"/>
              <w:rPr>
                <w:sz w:val="20"/>
                <w:szCs w:val="20"/>
                <w:color w:val="auto"/>
              </w:rPr>
            </w:pPr>
            <w:r>
              <w:rPr>
                <w:rFonts w:ascii="Arial" w:cs="Arial" w:eastAsia="Arial" w:hAnsi="Arial"/>
                <w:sz w:val="15"/>
                <w:szCs w:val="15"/>
                <w:color w:val="auto"/>
              </w:rPr>
              <w:t>616,182</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92"/>
              <w:spacing w:after="0"/>
              <w:rPr>
                <w:sz w:val="20"/>
                <w:szCs w:val="20"/>
                <w:color w:val="auto"/>
              </w:rPr>
            </w:pPr>
            <w:r>
              <w:rPr>
                <w:rFonts w:ascii="Arial" w:cs="Arial" w:eastAsia="Arial" w:hAnsi="Arial"/>
                <w:sz w:val="15"/>
                <w:szCs w:val="15"/>
                <w:color w:val="auto"/>
              </w:rPr>
              <w:t>411,477</w:t>
            </w:r>
          </w:p>
        </w:tc>
        <w:tc>
          <w:tcPr>
            <w:tcW w:w="580" w:type="dxa"/>
            <w:vAlign w:val="bottom"/>
          </w:tcPr>
          <w:p>
            <w:pPr>
              <w:ind w:left="46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32"/>
              <w:spacing w:after="0"/>
              <w:rPr>
                <w:sz w:val="20"/>
                <w:szCs w:val="20"/>
                <w:color w:val="auto"/>
              </w:rPr>
            </w:pPr>
            <w:r>
              <w:rPr>
                <w:rFonts w:ascii="Arial" w:cs="Arial" w:eastAsia="Arial" w:hAnsi="Arial"/>
                <w:sz w:val="15"/>
                <w:szCs w:val="15"/>
                <w:color w:val="auto"/>
              </w:rPr>
              <w:t>89.61</w:t>
            </w:r>
          </w:p>
        </w:tc>
        <w:tc>
          <w:tcPr>
            <w:tcW w:w="420" w:type="dxa"/>
            <w:vAlign w:val="bottom"/>
          </w:tcPr>
          <w:p>
            <w:pPr>
              <w:ind w:left="24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91.21</w:t>
            </w:r>
          </w:p>
        </w:tc>
        <w:tc>
          <w:tcPr>
            <w:tcW w:w="720" w:type="dxa"/>
            <w:vAlign w:val="bottom"/>
          </w:tcPr>
          <w:p>
            <w:pPr>
              <w:jc w:val="right"/>
              <w:ind w:right="5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88"/>
              <w:spacing w:after="0"/>
              <w:rPr>
                <w:sz w:val="20"/>
                <w:szCs w:val="20"/>
                <w:color w:val="auto"/>
              </w:rPr>
            </w:pPr>
            <w:r>
              <w:rPr>
                <w:rFonts w:ascii="Arial" w:cs="Arial" w:eastAsia="Arial" w:hAnsi="Arial"/>
                <w:sz w:val="15"/>
                <w:szCs w:val="15"/>
                <w:color w:val="auto"/>
              </w:rPr>
              <w:t>44.40</w:t>
            </w:r>
          </w:p>
        </w:tc>
        <w:tc>
          <w:tcPr>
            <w:tcW w:w="52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540" w:type="dxa"/>
            <w:vAlign w:val="bottom"/>
          </w:tcPr>
          <w:p>
            <w:pPr>
              <w:ind w:left="200"/>
              <w:spacing w:after="0"/>
              <w:rPr>
                <w:sz w:val="20"/>
                <w:szCs w:val="20"/>
                <w:color w:val="auto"/>
              </w:rPr>
            </w:pPr>
            <w:r>
              <w:rPr>
                <w:rFonts w:ascii="Arial" w:cs="Arial" w:eastAsia="Arial" w:hAnsi="Arial"/>
                <w:sz w:val="15"/>
                <w:szCs w:val="15"/>
                <w:color w:val="auto"/>
              </w:rPr>
              <w:t>2.47</w:t>
            </w:r>
          </w:p>
        </w:tc>
        <w:tc>
          <w:tcPr>
            <w:tcW w:w="0" w:type="dxa"/>
            <w:vAlign w:val="bottom"/>
          </w:tcPr>
          <w:p>
            <w:pPr>
              <w:spacing w:after="0"/>
              <w:rPr>
                <w:sz w:val="1"/>
                <w:szCs w:val="1"/>
                <w:color w:val="auto"/>
              </w:rPr>
            </w:pPr>
          </w:p>
        </w:tc>
      </w:tr>
      <w:tr>
        <w:trPr>
          <w:trHeight w:val="22"/>
        </w:trPr>
        <w:tc>
          <w:tcPr>
            <w:tcW w:w="760" w:type="dxa"/>
            <w:vAlign w:val="bottom"/>
            <w:tcBorders>
              <w:bottom w:val="single" w:sz="8" w:color="D9D9D9"/>
            </w:tcBorders>
          </w:tcPr>
          <w:p>
            <w:pPr>
              <w:spacing w:after="0" w:line="20" w:lineRule="exact"/>
              <w:rPr>
                <w:sz w:val="1"/>
                <w:szCs w:val="1"/>
                <w:color w:val="auto"/>
              </w:rPr>
            </w:pPr>
          </w:p>
        </w:tc>
        <w:tc>
          <w:tcPr>
            <w:tcW w:w="380" w:type="dxa"/>
            <w:vAlign w:val="bottom"/>
            <w:tcBorders>
              <w:bottom w:val="single" w:sz="8" w:color="D9D9D9"/>
            </w:tcBorders>
          </w:tcPr>
          <w:p>
            <w:pPr>
              <w:spacing w:after="0" w:line="20" w:lineRule="exact"/>
              <w:rPr>
                <w:sz w:val="1"/>
                <w:szCs w:val="1"/>
                <w:color w:val="auto"/>
              </w:rPr>
            </w:pPr>
          </w:p>
        </w:tc>
        <w:tc>
          <w:tcPr>
            <w:tcW w:w="1100" w:type="dxa"/>
            <w:vAlign w:val="bottom"/>
            <w:tcBorders>
              <w:bottom w:val="single" w:sz="8" w:color="D9D9D9"/>
            </w:tcBorders>
          </w:tcPr>
          <w:p>
            <w:pPr>
              <w:spacing w:after="0" w:line="20" w:lineRule="exact"/>
              <w:rPr>
                <w:sz w:val="1"/>
                <w:szCs w:val="1"/>
                <w:color w:val="auto"/>
              </w:rPr>
            </w:pPr>
          </w:p>
        </w:tc>
        <w:tc>
          <w:tcPr>
            <w:tcW w:w="380" w:type="dxa"/>
            <w:vAlign w:val="bottom"/>
            <w:tcBorders>
              <w:bottom w:val="single" w:sz="8" w:color="D9D9D9"/>
            </w:tcBorders>
          </w:tcPr>
          <w:p>
            <w:pPr>
              <w:spacing w:after="0" w:line="20" w:lineRule="exact"/>
              <w:rPr>
                <w:sz w:val="1"/>
                <w:szCs w:val="1"/>
                <w:color w:val="auto"/>
              </w:rPr>
            </w:pPr>
          </w:p>
        </w:tc>
        <w:tc>
          <w:tcPr>
            <w:tcW w:w="1020" w:type="dxa"/>
            <w:vAlign w:val="bottom"/>
            <w:tcBorders>
              <w:bottom w:val="single" w:sz="8" w:color="D9D9D9"/>
            </w:tcBorders>
          </w:tcPr>
          <w:p>
            <w:pPr>
              <w:spacing w:after="0" w:line="20" w:lineRule="exact"/>
              <w:rPr>
                <w:sz w:val="1"/>
                <w:szCs w:val="1"/>
                <w:color w:val="auto"/>
              </w:rPr>
            </w:pPr>
          </w:p>
        </w:tc>
        <w:tc>
          <w:tcPr>
            <w:tcW w:w="420" w:type="dxa"/>
            <w:vAlign w:val="bottom"/>
            <w:tcBorders>
              <w:bottom w:val="single" w:sz="8" w:color="D9D9D9"/>
            </w:tcBorders>
          </w:tcPr>
          <w:p>
            <w:pPr>
              <w:spacing w:after="0" w:line="20" w:lineRule="exact"/>
              <w:rPr>
                <w:sz w:val="1"/>
                <w:szCs w:val="1"/>
                <w:color w:val="auto"/>
              </w:rPr>
            </w:pPr>
          </w:p>
        </w:tc>
        <w:tc>
          <w:tcPr>
            <w:tcW w:w="920" w:type="dxa"/>
            <w:vAlign w:val="bottom"/>
            <w:tcBorders>
              <w:bottom w:val="single" w:sz="8" w:color="D9D9D9"/>
            </w:tcBorders>
          </w:tcPr>
          <w:p>
            <w:pPr>
              <w:spacing w:after="0" w:line="20" w:lineRule="exact"/>
              <w:rPr>
                <w:sz w:val="1"/>
                <w:szCs w:val="1"/>
                <w:color w:val="auto"/>
              </w:rPr>
            </w:pPr>
          </w:p>
        </w:tc>
        <w:tc>
          <w:tcPr>
            <w:tcW w:w="340" w:type="dxa"/>
            <w:vAlign w:val="bottom"/>
            <w:tcBorders>
              <w:bottom w:val="single" w:sz="8" w:color="D9D9D9"/>
            </w:tcBorders>
          </w:tcPr>
          <w:p>
            <w:pPr>
              <w:spacing w:after="0" w:line="20" w:lineRule="exact"/>
              <w:rPr>
                <w:sz w:val="1"/>
                <w:szCs w:val="1"/>
                <w:color w:val="auto"/>
              </w:rPr>
            </w:pPr>
          </w:p>
        </w:tc>
        <w:tc>
          <w:tcPr>
            <w:tcW w:w="880" w:type="dxa"/>
            <w:vAlign w:val="bottom"/>
            <w:tcBorders>
              <w:bottom w:val="single" w:sz="8" w:color="D9D9D9"/>
            </w:tcBorders>
          </w:tcPr>
          <w:p>
            <w:pPr>
              <w:spacing w:after="0" w:line="20" w:lineRule="exact"/>
              <w:rPr>
                <w:sz w:val="1"/>
                <w:szCs w:val="1"/>
                <w:color w:val="auto"/>
              </w:rPr>
            </w:pPr>
          </w:p>
        </w:tc>
        <w:tc>
          <w:tcPr>
            <w:tcW w:w="580" w:type="dxa"/>
            <w:vAlign w:val="bottom"/>
            <w:tcBorders>
              <w:bottom w:val="single" w:sz="8" w:color="D9D9D9"/>
            </w:tcBorders>
          </w:tcPr>
          <w:p>
            <w:pPr>
              <w:spacing w:after="0" w:line="20" w:lineRule="exact"/>
              <w:rPr>
                <w:sz w:val="1"/>
                <w:szCs w:val="1"/>
                <w:color w:val="auto"/>
              </w:rPr>
            </w:pPr>
          </w:p>
        </w:tc>
        <w:tc>
          <w:tcPr>
            <w:tcW w:w="860" w:type="dxa"/>
            <w:vAlign w:val="bottom"/>
            <w:tcBorders>
              <w:bottom w:val="single" w:sz="8" w:color="D9D9D9"/>
            </w:tcBorders>
          </w:tcPr>
          <w:p>
            <w:pPr>
              <w:spacing w:after="0" w:line="20" w:lineRule="exact"/>
              <w:rPr>
                <w:sz w:val="1"/>
                <w:szCs w:val="1"/>
                <w:color w:val="auto"/>
              </w:rPr>
            </w:pPr>
          </w:p>
        </w:tc>
        <w:tc>
          <w:tcPr>
            <w:tcW w:w="420" w:type="dxa"/>
            <w:vAlign w:val="bottom"/>
            <w:tcBorders>
              <w:bottom w:val="single" w:sz="8" w:color="D9D9D9"/>
            </w:tcBorders>
          </w:tcPr>
          <w:p>
            <w:pPr>
              <w:spacing w:after="0" w:line="20" w:lineRule="exact"/>
              <w:rPr>
                <w:sz w:val="1"/>
                <w:szCs w:val="1"/>
                <w:color w:val="auto"/>
              </w:rPr>
            </w:pPr>
          </w:p>
        </w:tc>
        <w:tc>
          <w:tcPr>
            <w:tcW w:w="560" w:type="dxa"/>
            <w:vAlign w:val="bottom"/>
            <w:tcBorders>
              <w:bottom w:val="single" w:sz="8" w:color="D9D9D9"/>
            </w:tcBorders>
          </w:tcPr>
          <w:p>
            <w:pPr>
              <w:spacing w:after="0" w:line="20" w:lineRule="exact"/>
              <w:rPr>
                <w:sz w:val="1"/>
                <w:szCs w:val="1"/>
                <w:color w:val="auto"/>
              </w:rPr>
            </w:pPr>
          </w:p>
        </w:tc>
        <w:tc>
          <w:tcPr>
            <w:tcW w:w="720" w:type="dxa"/>
            <w:vAlign w:val="bottom"/>
            <w:tcBorders>
              <w:bottom w:val="single" w:sz="8" w:color="D9D9D9"/>
            </w:tcBorders>
          </w:tcPr>
          <w:p>
            <w:pPr>
              <w:spacing w:after="0" w:line="20" w:lineRule="exact"/>
              <w:rPr>
                <w:sz w:val="1"/>
                <w:szCs w:val="1"/>
                <w:color w:val="auto"/>
              </w:rPr>
            </w:pPr>
          </w:p>
        </w:tc>
        <w:tc>
          <w:tcPr>
            <w:tcW w:w="840" w:type="dxa"/>
            <w:vAlign w:val="bottom"/>
            <w:tcBorders>
              <w:bottom w:val="single" w:sz="8" w:color="D9D9D9"/>
            </w:tcBorders>
          </w:tcPr>
          <w:p>
            <w:pPr>
              <w:spacing w:after="0" w:line="20" w:lineRule="exact"/>
              <w:rPr>
                <w:sz w:val="1"/>
                <w:szCs w:val="1"/>
                <w:color w:val="auto"/>
              </w:rPr>
            </w:pPr>
          </w:p>
        </w:tc>
        <w:tc>
          <w:tcPr>
            <w:tcW w:w="520" w:type="dxa"/>
            <w:vAlign w:val="bottom"/>
            <w:tcBorders>
              <w:bottom w:val="single" w:sz="8" w:color="D9D9D9"/>
            </w:tcBorders>
          </w:tcPr>
          <w:p>
            <w:pPr>
              <w:spacing w:after="0" w:line="20" w:lineRule="exact"/>
              <w:rPr>
                <w:sz w:val="1"/>
                <w:szCs w:val="1"/>
                <w:color w:val="auto"/>
              </w:rPr>
            </w:pPr>
          </w:p>
        </w:tc>
        <w:tc>
          <w:tcPr>
            <w:tcW w:w="540" w:type="dxa"/>
            <w:vAlign w:val="bottom"/>
            <w:tcBorders>
              <w:bottom w:val="single" w:sz="8" w:color="D9D9D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60" w:type="dxa"/>
            <w:vAlign w:val="bottom"/>
          </w:tcPr>
          <w:p>
            <w:pPr>
              <w:ind w:left="20"/>
              <w:spacing w:after="0"/>
              <w:rPr>
                <w:sz w:val="20"/>
                <w:szCs w:val="20"/>
                <w:color w:val="auto"/>
              </w:rPr>
            </w:pPr>
            <w:r>
              <w:rPr>
                <w:rFonts w:ascii="Arial" w:cs="Arial" w:eastAsia="Arial" w:hAnsi="Arial"/>
                <w:sz w:val="16"/>
                <w:szCs w:val="16"/>
                <w:color w:val="auto"/>
              </w:rPr>
              <w:t>2023</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12"/>
              <w:spacing w:after="0"/>
              <w:rPr>
                <w:sz w:val="20"/>
                <w:szCs w:val="20"/>
                <w:color w:val="auto"/>
              </w:rPr>
            </w:pPr>
            <w:r>
              <w:rPr>
                <w:rFonts w:ascii="Arial" w:cs="Arial" w:eastAsia="Arial" w:hAnsi="Arial"/>
                <w:sz w:val="15"/>
                <w:szCs w:val="15"/>
                <w:color w:val="auto"/>
              </w:rPr>
              <w:t>1,758,814</w:t>
            </w:r>
          </w:p>
        </w:tc>
        <w:tc>
          <w:tcPr>
            <w:tcW w:w="38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1"/>
              <w:spacing w:after="0"/>
              <w:rPr>
                <w:sz w:val="20"/>
                <w:szCs w:val="20"/>
                <w:color w:val="auto"/>
              </w:rPr>
            </w:pPr>
            <w:r>
              <w:rPr>
                <w:rFonts w:ascii="Arial" w:cs="Arial" w:eastAsia="Arial" w:hAnsi="Arial"/>
                <w:sz w:val="15"/>
                <w:szCs w:val="15"/>
                <w:color w:val="auto"/>
              </w:rPr>
              <w:t>1,414,050</w:t>
            </w:r>
          </w:p>
        </w:tc>
        <w:tc>
          <w:tcPr>
            <w:tcW w:w="42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12"/>
              <w:spacing w:after="0"/>
              <w:rPr>
                <w:sz w:val="20"/>
                <w:szCs w:val="20"/>
                <w:color w:val="auto"/>
              </w:rPr>
            </w:pPr>
            <w:r>
              <w:rPr>
                <w:rFonts w:ascii="Arial" w:cs="Arial" w:eastAsia="Arial" w:hAnsi="Arial"/>
                <w:sz w:val="15"/>
                <w:szCs w:val="15"/>
                <w:color w:val="auto"/>
              </w:rPr>
              <w:t>673,736</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92"/>
              <w:spacing w:after="0"/>
              <w:rPr>
                <w:sz w:val="20"/>
                <w:szCs w:val="20"/>
                <w:color w:val="auto"/>
              </w:rPr>
            </w:pPr>
            <w:r>
              <w:rPr>
                <w:rFonts w:ascii="Arial" w:cs="Arial" w:eastAsia="Arial" w:hAnsi="Arial"/>
                <w:sz w:val="15"/>
                <w:szCs w:val="15"/>
                <w:color w:val="auto"/>
              </w:rPr>
              <w:t>467,470</w:t>
            </w:r>
          </w:p>
        </w:tc>
        <w:tc>
          <w:tcPr>
            <w:tcW w:w="580" w:type="dxa"/>
            <w:vAlign w:val="bottom"/>
          </w:tcPr>
          <w:p>
            <w:pPr>
              <w:ind w:left="46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32"/>
              <w:spacing w:after="0"/>
              <w:rPr>
                <w:sz w:val="20"/>
                <w:szCs w:val="20"/>
                <w:color w:val="auto"/>
              </w:rPr>
            </w:pPr>
            <w:r>
              <w:rPr>
                <w:rFonts w:ascii="Arial" w:cs="Arial" w:eastAsia="Arial" w:hAnsi="Arial"/>
                <w:sz w:val="15"/>
                <w:szCs w:val="15"/>
                <w:color w:val="auto"/>
              </w:rPr>
              <w:t>109.30</w:t>
            </w:r>
          </w:p>
        </w:tc>
        <w:tc>
          <w:tcPr>
            <w:tcW w:w="420" w:type="dxa"/>
            <w:vAlign w:val="bottom"/>
          </w:tcPr>
          <w:p>
            <w:pPr>
              <w:ind w:left="24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103.30</w:t>
            </w:r>
          </w:p>
        </w:tc>
        <w:tc>
          <w:tcPr>
            <w:tcW w:w="720" w:type="dxa"/>
            <w:vAlign w:val="bottom"/>
          </w:tcPr>
          <w:p>
            <w:pPr>
              <w:jc w:val="right"/>
              <w:ind w:right="5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88"/>
              <w:spacing w:after="0"/>
              <w:rPr>
                <w:sz w:val="20"/>
                <w:szCs w:val="20"/>
                <w:color w:val="auto"/>
              </w:rPr>
            </w:pPr>
            <w:r>
              <w:rPr>
                <w:rFonts w:ascii="Arial" w:cs="Arial" w:eastAsia="Arial" w:hAnsi="Arial"/>
                <w:sz w:val="15"/>
                <w:szCs w:val="15"/>
                <w:color w:val="auto"/>
              </w:rPr>
              <w:t>31.50</w:t>
            </w:r>
          </w:p>
        </w:tc>
        <w:tc>
          <w:tcPr>
            <w:tcW w:w="52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540" w:type="dxa"/>
            <w:vAlign w:val="bottom"/>
          </w:tcPr>
          <w:p>
            <w:pPr>
              <w:ind w:left="200"/>
              <w:spacing w:after="0"/>
              <w:rPr>
                <w:sz w:val="20"/>
                <w:szCs w:val="20"/>
                <w:color w:val="auto"/>
              </w:rPr>
            </w:pPr>
            <w:r>
              <w:rPr>
                <w:rFonts w:ascii="Arial" w:cs="Arial" w:eastAsia="Arial" w:hAnsi="Arial"/>
                <w:sz w:val="15"/>
                <w:szCs w:val="15"/>
                <w:color w:val="auto"/>
              </w:rPr>
              <w:t>1.76</w:t>
            </w:r>
          </w:p>
        </w:tc>
        <w:tc>
          <w:tcPr>
            <w:tcW w:w="0" w:type="dxa"/>
            <w:vAlign w:val="bottom"/>
          </w:tcPr>
          <w:p>
            <w:pPr>
              <w:spacing w:after="0"/>
              <w:rPr>
                <w:sz w:val="1"/>
                <w:szCs w:val="1"/>
                <w:color w:val="auto"/>
              </w:rPr>
            </w:pPr>
          </w:p>
        </w:tc>
      </w:tr>
      <w:tr>
        <w:trPr>
          <w:trHeight w:val="22"/>
        </w:trPr>
        <w:tc>
          <w:tcPr>
            <w:tcW w:w="760" w:type="dxa"/>
            <w:vAlign w:val="bottom"/>
            <w:tcBorders>
              <w:bottom w:val="single" w:sz="8" w:color="D9D9D9"/>
            </w:tcBorders>
          </w:tcPr>
          <w:p>
            <w:pPr>
              <w:spacing w:after="0" w:line="20" w:lineRule="exact"/>
              <w:rPr>
                <w:sz w:val="1"/>
                <w:szCs w:val="1"/>
                <w:color w:val="auto"/>
              </w:rPr>
            </w:pPr>
          </w:p>
        </w:tc>
        <w:tc>
          <w:tcPr>
            <w:tcW w:w="380" w:type="dxa"/>
            <w:vAlign w:val="bottom"/>
            <w:tcBorders>
              <w:bottom w:val="single" w:sz="8" w:color="D9D9D9"/>
            </w:tcBorders>
          </w:tcPr>
          <w:p>
            <w:pPr>
              <w:spacing w:after="0" w:line="20" w:lineRule="exact"/>
              <w:rPr>
                <w:sz w:val="1"/>
                <w:szCs w:val="1"/>
                <w:color w:val="auto"/>
              </w:rPr>
            </w:pPr>
          </w:p>
        </w:tc>
        <w:tc>
          <w:tcPr>
            <w:tcW w:w="1100" w:type="dxa"/>
            <w:vAlign w:val="bottom"/>
            <w:tcBorders>
              <w:bottom w:val="single" w:sz="8" w:color="D9D9D9"/>
            </w:tcBorders>
          </w:tcPr>
          <w:p>
            <w:pPr>
              <w:spacing w:after="0" w:line="20" w:lineRule="exact"/>
              <w:rPr>
                <w:sz w:val="1"/>
                <w:szCs w:val="1"/>
                <w:color w:val="auto"/>
              </w:rPr>
            </w:pPr>
          </w:p>
        </w:tc>
        <w:tc>
          <w:tcPr>
            <w:tcW w:w="380" w:type="dxa"/>
            <w:vAlign w:val="bottom"/>
            <w:tcBorders>
              <w:bottom w:val="single" w:sz="8" w:color="D9D9D9"/>
            </w:tcBorders>
          </w:tcPr>
          <w:p>
            <w:pPr>
              <w:spacing w:after="0" w:line="20" w:lineRule="exact"/>
              <w:rPr>
                <w:sz w:val="1"/>
                <w:szCs w:val="1"/>
                <w:color w:val="auto"/>
              </w:rPr>
            </w:pPr>
          </w:p>
        </w:tc>
        <w:tc>
          <w:tcPr>
            <w:tcW w:w="1020" w:type="dxa"/>
            <w:vAlign w:val="bottom"/>
            <w:tcBorders>
              <w:bottom w:val="single" w:sz="8" w:color="D9D9D9"/>
            </w:tcBorders>
          </w:tcPr>
          <w:p>
            <w:pPr>
              <w:spacing w:after="0" w:line="20" w:lineRule="exact"/>
              <w:rPr>
                <w:sz w:val="1"/>
                <w:szCs w:val="1"/>
                <w:color w:val="auto"/>
              </w:rPr>
            </w:pPr>
          </w:p>
        </w:tc>
        <w:tc>
          <w:tcPr>
            <w:tcW w:w="420" w:type="dxa"/>
            <w:vAlign w:val="bottom"/>
            <w:tcBorders>
              <w:bottom w:val="single" w:sz="8" w:color="D9D9D9"/>
            </w:tcBorders>
          </w:tcPr>
          <w:p>
            <w:pPr>
              <w:spacing w:after="0" w:line="20" w:lineRule="exact"/>
              <w:rPr>
                <w:sz w:val="1"/>
                <w:szCs w:val="1"/>
                <w:color w:val="auto"/>
              </w:rPr>
            </w:pPr>
          </w:p>
        </w:tc>
        <w:tc>
          <w:tcPr>
            <w:tcW w:w="920" w:type="dxa"/>
            <w:vAlign w:val="bottom"/>
            <w:tcBorders>
              <w:bottom w:val="single" w:sz="8" w:color="D9D9D9"/>
            </w:tcBorders>
          </w:tcPr>
          <w:p>
            <w:pPr>
              <w:spacing w:after="0" w:line="20" w:lineRule="exact"/>
              <w:rPr>
                <w:sz w:val="1"/>
                <w:szCs w:val="1"/>
                <w:color w:val="auto"/>
              </w:rPr>
            </w:pPr>
          </w:p>
        </w:tc>
        <w:tc>
          <w:tcPr>
            <w:tcW w:w="340" w:type="dxa"/>
            <w:vAlign w:val="bottom"/>
            <w:tcBorders>
              <w:bottom w:val="single" w:sz="8" w:color="D9D9D9"/>
            </w:tcBorders>
          </w:tcPr>
          <w:p>
            <w:pPr>
              <w:spacing w:after="0" w:line="20" w:lineRule="exact"/>
              <w:rPr>
                <w:sz w:val="1"/>
                <w:szCs w:val="1"/>
                <w:color w:val="auto"/>
              </w:rPr>
            </w:pPr>
          </w:p>
        </w:tc>
        <w:tc>
          <w:tcPr>
            <w:tcW w:w="880" w:type="dxa"/>
            <w:vAlign w:val="bottom"/>
            <w:tcBorders>
              <w:bottom w:val="single" w:sz="8" w:color="D9D9D9"/>
            </w:tcBorders>
          </w:tcPr>
          <w:p>
            <w:pPr>
              <w:spacing w:after="0" w:line="20" w:lineRule="exact"/>
              <w:rPr>
                <w:sz w:val="1"/>
                <w:szCs w:val="1"/>
                <w:color w:val="auto"/>
              </w:rPr>
            </w:pPr>
          </w:p>
        </w:tc>
        <w:tc>
          <w:tcPr>
            <w:tcW w:w="580" w:type="dxa"/>
            <w:vAlign w:val="bottom"/>
            <w:tcBorders>
              <w:bottom w:val="single" w:sz="8" w:color="D9D9D9"/>
            </w:tcBorders>
          </w:tcPr>
          <w:p>
            <w:pPr>
              <w:spacing w:after="0" w:line="20" w:lineRule="exact"/>
              <w:rPr>
                <w:sz w:val="1"/>
                <w:szCs w:val="1"/>
                <w:color w:val="auto"/>
              </w:rPr>
            </w:pPr>
          </w:p>
        </w:tc>
        <w:tc>
          <w:tcPr>
            <w:tcW w:w="860" w:type="dxa"/>
            <w:vAlign w:val="bottom"/>
            <w:tcBorders>
              <w:bottom w:val="single" w:sz="8" w:color="D9D9D9"/>
            </w:tcBorders>
          </w:tcPr>
          <w:p>
            <w:pPr>
              <w:spacing w:after="0" w:line="20" w:lineRule="exact"/>
              <w:rPr>
                <w:sz w:val="1"/>
                <w:szCs w:val="1"/>
                <w:color w:val="auto"/>
              </w:rPr>
            </w:pPr>
          </w:p>
        </w:tc>
        <w:tc>
          <w:tcPr>
            <w:tcW w:w="420" w:type="dxa"/>
            <w:vAlign w:val="bottom"/>
            <w:tcBorders>
              <w:bottom w:val="single" w:sz="8" w:color="D9D9D9"/>
            </w:tcBorders>
          </w:tcPr>
          <w:p>
            <w:pPr>
              <w:spacing w:after="0" w:line="20" w:lineRule="exact"/>
              <w:rPr>
                <w:sz w:val="1"/>
                <w:szCs w:val="1"/>
                <w:color w:val="auto"/>
              </w:rPr>
            </w:pPr>
          </w:p>
        </w:tc>
        <w:tc>
          <w:tcPr>
            <w:tcW w:w="560" w:type="dxa"/>
            <w:vAlign w:val="bottom"/>
            <w:tcBorders>
              <w:bottom w:val="single" w:sz="8" w:color="D9D9D9"/>
            </w:tcBorders>
          </w:tcPr>
          <w:p>
            <w:pPr>
              <w:spacing w:after="0" w:line="20" w:lineRule="exact"/>
              <w:rPr>
                <w:sz w:val="1"/>
                <w:szCs w:val="1"/>
                <w:color w:val="auto"/>
              </w:rPr>
            </w:pPr>
          </w:p>
        </w:tc>
        <w:tc>
          <w:tcPr>
            <w:tcW w:w="720" w:type="dxa"/>
            <w:vAlign w:val="bottom"/>
            <w:tcBorders>
              <w:bottom w:val="single" w:sz="8" w:color="D9D9D9"/>
            </w:tcBorders>
          </w:tcPr>
          <w:p>
            <w:pPr>
              <w:spacing w:after="0" w:line="20" w:lineRule="exact"/>
              <w:rPr>
                <w:sz w:val="1"/>
                <w:szCs w:val="1"/>
                <w:color w:val="auto"/>
              </w:rPr>
            </w:pPr>
          </w:p>
        </w:tc>
        <w:tc>
          <w:tcPr>
            <w:tcW w:w="840" w:type="dxa"/>
            <w:vAlign w:val="bottom"/>
            <w:tcBorders>
              <w:bottom w:val="single" w:sz="8" w:color="D9D9D9"/>
            </w:tcBorders>
          </w:tcPr>
          <w:p>
            <w:pPr>
              <w:spacing w:after="0" w:line="20" w:lineRule="exact"/>
              <w:rPr>
                <w:sz w:val="1"/>
                <w:szCs w:val="1"/>
                <w:color w:val="auto"/>
              </w:rPr>
            </w:pPr>
          </w:p>
        </w:tc>
        <w:tc>
          <w:tcPr>
            <w:tcW w:w="520" w:type="dxa"/>
            <w:vAlign w:val="bottom"/>
            <w:tcBorders>
              <w:bottom w:val="single" w:sz="8" w:color="D9D9D9"/>
            </w:tcBorders>
          </w:tcPr>
          <w:p>
            <w:pPr>
              <w:spacing w:after="0" w:line="20" w:lineRule="exact"/>
              <w:rPr>
                <w:sz w:val="1"/>
                <w:szCs w:val="1"/>
                <w:color w:val="auto"/>
              </w:rPr>
            </w:pPr>
          </w:p>
        </w:tc>
        <w:tc>
          <w:tcPr>
            <w:tcW w:w="540" w:type="dxa"/>
            <w:vAlign w:val="bottom"/>
            <w:tcBorders>
              <w:bottom w:val="single" w:sz="8" w:color="D9D9D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60" w:type="dxa"/>
            <w:vAlign w:val="bottom"/>
          </w:tcPr>
          <w:p>
            <w:pPr>
              <w:ind w:left="20"/>
              <w:spacing w:after="0"/>
              <w:rPr>
                <w:sz w:val="20"/>
                <w:szCs w:val="20"/>
                <w:color w:val="auto"/>
              </w:rPr>
            </w:pPr>
            <w:r>
              <w:rPr>
                <w:rFonts w:ascii="Arial" w:cs="Arial" w:eastAsia="Arial" w:hAnsi="Arial"/>
                <w:sz w:val="16"/>
                <w:szCs w:val="16"/>
                <w:color w:val="auto"/>
              </w:rPr>
              <w:t>2022</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12"/>
              <w:spacing w:after="0"/>
              <w:rPr>
                <w:sz w:val="20"/>
                <w:szCs w:val="20"/>
                <w:color w:val="auto"/>
              </w:rPr>
            </w:pPr>
            <w:r>
              <w:rPr>
                <w:rFonts w:ascii="Arial" w:cs="Arial" w:eastAsia="Arial" w:hAnsi="Arial"/>
                <w:sz w:val="15"/>
                <w:szCs w:val="15"/>
                <w:color w:val="auto"/>
              </w:rPr>
              <w:t>1,154,726</w:t>
            </w:r>
          </w:p>
        </w:tc>
        <w:tc>
          <w:tcPr>
            <w:tcW w:w="38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1"/>
              <w:spacing w:after="0"/>
              <w:rPr>
                <w:sz w:val="20"/>
                <w:szCs w:val="20"/>
                <w:color w:val="auto"/>
              </w:rPr>
            </w:pPr>
            <w:r>
              <w:rPr>
                <w:rFonts w:ascii="Arial" w:cs="Arial" w:eastAsia="Arial" w:hAnsi="Arial"/>
                <w:sz w:val="15"/>
                <w:szCs w:val="15"/>
                <w:color w:val="auto"/>
              </w:rPr>
              <w:t>38,876</w:t>
            </w:r>
          </w:p>
        </w:tc>
        <w:tc>
          <w:tcPr>
            <w:tcW w:w="42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12"/>
              <w:spacing w:after="0"/>
              <w:rPr>
                <w:sz w:val="20"/>
                <w:szCs w:val="20"/>
                <w:color w:val="auto"/>
              </w:rPr>
            </w:pPr>
            <w:r>
              <w:rPr>
                <w:rFonts w:ascii="Arial" w:cs="Arial" w:eastAsia="Arial" w:hAnsi="Arial"/>
                <w:sz w:val="15"/>
                <w:szCs w:val="15"/>
                <w:color w:val="auto"/>
              </w:rPr>
              <w:t>452,477</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92"/>
              <w:spacing w:after="0"/>
              <w:rPr>
                <w:sz w:val="20"/>
                <w:szCs w:val="20"/>
                <w:color w:val="auto"/>
              </w:rPr>
            </w:pPr>
            <w:r>
              <w:rPr>
                <w:rFonts w:ascii="Arial" w:cs="Arial" w:eastAsia="Arial" w:hAnsi="Arial"/>
                <w:sz w:val="15"/>
                <w:szCs w:val="15"/>
                <w:color w:val="auto"/>
              </w:rPr>
              <w:t>284,597</w:t>
            </w:r>
          </w:p>
        </w:tc>
        <w:tc>
          <w:tcPr>
            <w:tcW w:w="580" w:type="dxa"/>
            <w:vAlign w:val="bottom"/>
          </w:tcPr>
          <w:p>
            <w:pPr>
              <w:ind w:left="46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32"/>
              <w:spacing w:after="0"/>
              <w:rPr>
                <w:sz w:val="20"/>
                <w:szCs w:val="20"/>
                <w:color w:val="auto"/>
              </w:rPr>
            </w:pPr>
            <w:r>
              <w:rPr>
                <w:rFonts w:ascii="Arial" w:cs="Arial" w:eastAsia="Arial" w:hAnsi="Arial"/>
                <w:sz w:val="15"/>
                <w:szCs w:val="15"/>
                <w:color w:val="auto"/>
              </w:rPr>
              <w:t>128.86</w:t>
            </w:r>
          </w:p>
        </w:tc>
        <w:tc>
          <w:tcPr>
            <w:tcW w:w="420" w:type="dxa"/>
            <w:vAlign w:val="bottom"/>
          </w:tcPr>
          <w:p>
            <w:pPr>
              <w:ind w:left="24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120.09</w:t>
            </w:r>
          </w:p>
        </w:tc>
        <w:tc>
          <w:tcPr>
            <w:tcW w:w="720" w:type="dxa"/>
            <w:vAlign w:val="bottom"/>
          </w:tcPr>
          <w:p>
            <w:pPr>
              <w:jc w:val="right"/>
              <w:ind w:right="5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88"/>
              <w:spacing w:after="0"/>
              <w:rPr>
                <w:sz w:val="20"/>
                <w:szCs w:val="20"/>
                <w:color w:val="auto"/>
              </w:rPr>
            </w:pPr>
            <w:r>
              <w:rPr>
                <w:rFonts w:ascii="Arial" w:cs="Arial" w:eastAsia="Arial" w:hAnsi="Arial"/>
                <w:sz w:val="15"/>
                <w:szCs w:val="15"/>
                <w:color w:val="auto"/>
              </w:rPr>
              <w:t>42.40</w:t>
            </w:r>
          </w:p>
        </w:tc>
        <w:tc>
          <w:tcPr>
            <w:tcW w:w="52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540" w:type="dxa"/>
            <w:vAlign w:val="bottom"/>
          </w:tcPr>
          <w:p>
            <w:pPr>
              <w:ind w:left="200"/>
              <w:spacing w:after="0"/>
              <w:rPr>
                <w:sz w:val="20"/>
                <w:szCs w:val="20"/>
                <w:color w:val="auto"/>
              </w:rPr>
            </w:pPr>
            <w:r>
              <w:rPr>
                <w:rFonts w:ascii="Arial" w:cs="Arial" w:eastAsia="Arial" w:hAnsi="Arial"/>
                <w:sz w:val="15"/>
                <w:szCs w:val="15"/>
                <w:color w:val="auto"/>
              </w:rPr>
              <w:t>2.39</w:t>
            </w:r>
          </w:p>
        </w:tc>
        <w:tc>
          <w:tcPr>
            <w:tcW w:w="0" w:type="dxa"/>
            <w:vAlign w:val="bottom"/>
          </w:tcPr>
          <w:p>
            <w:pPr>
              <w:spacing w:after="0"/>
              <w:rPr>
                <w:sz w:val="1"/>
                <w:szCs w:val="1"/>
                <w:color w:val="auto"/>
              </w:rPr>
            </w:pPr>
          </w:p>
        </w:tc>
      </w:tr>
      <w:tr>
        <w:trPr>
          <w:trHeight w:val="22"/>
        </w:trPr>
        <w:tc>
          <w:tcPr>
            <w:tcW w:w="760" w:type="dxa"/>
            <w:vAlign w:val="bottom"/>
            <w:tcBorders>
              <w:bottom w:val="single" w:sz="8" w:color="D9D9D9"/>
            </w:tcBorders>
          </w:tcPr>
          <w:p>
            <w:pPr>
              <w:spacing w:after="0" w:line="20" w:lineRule="exact"/>
              <w:rPr>
                <w:sz w:val="1"/>
                <w:szCs w:val="1"/>
                <w:color w:val="auto"/>
              </w:rPr>
            </w:pPr>
          </w:p>
        </w:tc>
        <w:tc>
          <w:tcPr>
            <w:tcW w:w="380" w:type="dxa"/>
            <w:vAlign w:val="bottom"/>
            <w:tcBorders>
              <w:bottom w:val="single" w:sz="8" w:color="D9D9D9"/>
            </w:tcBorders>
          </w:tcPr>
          <w:p>
            <w:pPr>
              <w:spacing w:after="0" w:line="20" w:lineRule="exact"/>
              <w:rPr>
                <w:sz w:val="1"/>
                <w:szCs w:val="1"/>
                <w:color w:val="auto"/>
              </w:rPr>
            </w:pPr>
          </w:p>
        </w:tc>
        <w:tc>
          <w:tcPr>
            <w:tcW w:w="1100" w:type="dxa"/>
            <w:vAlign w:val="bottom"/>
            <w:tcBorders>
              <w:bottom w:val="single" w:sz="8" w:color="D9D9D9"/>
            </w:tcBorders>
          </w:tcPr>
          <w:p>
            <w:pPr>
              <w:spacing w:after="0" w:line="20" w:lineRule="exact"/>
              <w:rPr>
                <w:sz w:val="1"/>
                <w:szCs w:val="1"/>
                <w:color w:val="auto"/>
              </w:rPr>
            </w:pPr>
          </w:p>
        </w:tc>
        <w:tc>
          <w:tcPr>
            <w:tcW w:w="380" w:type="dxa"/>
            <w:vAlign w:val="bottom"/>
            <w:tcBorders>
              <w:bottom w:val="single" w:sz="8" w:color="D9D9D9"/>
            </w:tcBorders>
          </w:tcPr>
          <w:p>
            <w:pPr>
              <w:spacing w:after="0" w:line="20" w:lineRule="exact"/>
              <w:rPr>
                <w:sz w:val="1"/>
                <w:szCs w:val="1"/>
                <w:color w:val="auto"/>
              </w:rPr>
            </w:pPr>
          </w:p>
        </w:tc>
        <w:tc>
          <w:tcPr>
            <w:tcW w:w="1020" w:type="dxa"/>
            <w:vAlign w:val="bottom"/>
            <w:tcBorders>
              <w:bottom w:val="single" w:sz="8" w:color="D9D9D9"/>
            </w:tcBorders>
          </w:tcPr>
          <w:p>
            <w:pPr>
              <w:spacing w:after="0" w:line="20" w:lineRule="exact"/>
              <w:rPr>
                <w:sz w:val="1"/>
                <w:szCs w:val="1"/>
                <w:color w:val="auto"/>
              </w:rPr>
            </w:pPr>
          </w:p>
        </w:tc>
        <w:tc>
          <w:tcPr>
            <w:tcW w:w="420" w:type="dxa"/>
            <w:vAlign w:val="bottom"/>
            <w:tcBorders>
              <w:bottom w:val="single" w:sz="8" w:color="D9D9D9"/>
            </w:tcBorders>
          </w:tcPr>
          <w:p>
            <w:pPr>
              <w:spacing w:after="0" w:line="20" w:lineRule="exact"/>
              <w:rPr>
                <w:sz w:val="1"/>
                <w:szCs w:val="1"/>
                <w:color w:val="auto"/>
              </w:rPr>
            </w:pPr>
          </w:p>
        </w:tc>
        <w:tc>
          <w:tcPr>
            <w:tcW w:w="920" w:type="dxa"/>
            <w:vAlign w:val="bottom"/>
            <w:tcBorders>
              <w:bottom w:val="single" w:sz="8" w:color="D9D9D9"/>
            </w:tcBorders>
          </w:tcPr>
          <w:p>
            <w:pPr>
              <w:spacing w:after="0" w:line="20" w:lineRule="exact"/>
              <w:rPr>
                <w:sz w:val="1"/>
                <w:szCs w:val="1"/>
                <w:color w:val="auto"/>
              </w:rPr>
            </w:pPr>
          </w:p>
        </w:tc>
        <w:tc>
          <w:tcPr>
            <w:tcW w:w="340" w:type="dxa"/>
            <w:vAlign w:val="bottom"/>
            <w:tcBorders>
              <w:bottom w:val="single" w:sz="8" w:color="D9D9D9"/>
            </w:tcBorders>
          </w:tcPr>
          <w:p>
            <w:pPr>
              <w:spacing w:after="0" w:line="20" w:lineRule="exact"/>
              <w:rPr>
                <w:sz w:val="1"/>
                <w:szCs w:val="1"/>
                <w:color w:val="auto"/>
              </w:rPr>
            </w:pPr>
          </w:p>
        </w:tc>
        <w:tc>
          <w:tcPr>
            <w:tcW w:w="880" w:type="dxa"/>
            <w:vAlign w:val="bottom"/>
            <w:tcBorders>
              <w:bottom w:val="single" w:sz="8" w:color="D9D9D9"/>
            </w:tcBorders>
          </w:tcPr>
          <w:p>
            <w:pPr>
              <w:spacing w:after="0" w:line="20" w:lineRule="exact"/>
              <w:rPr>
                <w:sz w:val="1"/>
                <w:szCs w:val="1"/>
                <w:color w:val="auto"/>
              </w:rPr>
            </w:pPr>
          </w:p>
        </w:tc>
        <w:tc>
          <w:tcPr>
            <w:tcW w:w="580" w:type="dxa"/>
            <w:vAlign w:val="bottom"/>
            <w:tcBorders>
              <w:bottom w:val="single" w:sz="8" w:color="D9D9D9"/>
            </w:tcBorders>
          </w:tcPr>
          <w:p>
            <w:pPr>
              <w:spacing w:after="0" w:line="20" w:lineRule="exact"/>
              <w:rPr>
                <w:sz w:val="1"/>
                <w:szCs w:val="1"/>
                <w:color w:val="auto"/>
              </w:rPr>
            </w:pPr>
          </w:p>
        </w:tc>
        <w:tc>
          <w:tcPr>
            <w:tcW w:w="860" w:type="dxa"/>
            <w:vAlign w:val="bottom"/>
            <w:tcBorders>
              <w:bottom w:val="single" w:sz="8" w:color="D9D9D9"/>
            </w:tcBorders>
          </w:tcPr>
          <w:p>
            <w:pPr>
              <w:spacing w:after="0" w:line="20" w:lineRule="exact"/>
              <w:rPr>
                <w:sz w:val="1"/>
                <w:szCs w:val="1"/>
                <w:color w:val="auto"/>
              </w:rPr>
            </w:pPr>
          </w:p>
        </w:tc>
        <w:tc>
          <w:tcPr>
            <w:tcW w:w="420" w:type="dxa"/>
            <w:vAlign w:val="bottom"/>
            <w:tcBorders>
              <w:bottom w:val="single" w:sz="8" w:color="D9D9D9"/>
            </w:tcBorders>
          </w:tcPr>
          <w:p>
            <w:pPr>
              <w:spacing w:after="0" w:line="20" w:lineRule="exact"/>
              <w:rPr>
                <w:sz w:val="1"/>
                <w:szCs w:val="1"/>
                <w:color w:val="auto"/>
              </w:rPr>
            </w:pPr>
          </w:p>
        </w:tc>
        <w:tc>
          <w:tcPr>
            <w:tcW w:w="560" w:type="dxa"/>
            <w:vAlign w:val="bottom"/>
            <w:tcBorders>
              <w:bottom w:val="single" w:sz="8" w:color="D9D9D9"/>
            </w:tcBorders>
          </w:tcPr>
          <w:p>
            <w:pPr>
              <w:spacing w:after="0" w:line="20" w:lineRule="exact"/>
              <w:rPr>
                <w:sz w:val="1"/>
                <w:szCs w:val="1"/>
                <w:color w:val="auto"/>
              </w:rPr>
            </w:pPr>
          </w:p>
        </w:tc>
        <w:tc>
          <w:tcPr>
            <w:tcW w:w="720" w:type="dxa"/>
            <w:vAlign w:val="bottom"/>
            <w:tcBorders>
              <w:bottom w:val="single" w:sz="8" w:color="D9D9D9"/>
            </w:tcBorders>
          </w:tcPr>
          <w:p>
            <w:pPr>
              <w:spacing w:after="0" w:line="20" w:lineRule="exact"/>
              <w:rPr>
                <w:sz w:val="1"/>
                <w:szCs w:val="1"/>
                <w:color w:val="auto"/>
              </w:rPr>
            </w:pPr>
          </w:p>
        </w:tc>
        <w:tc>
          <w:tcPr>
            <w:tcW w:w="840" w:type="dxa"/>
            <w:vAlign w:val="bottom"/>
            <w:tcBorders>
              <w:bottom w:val="single" w:sz="8" w:color="D9D9D9"/>
            </w:tcBorders>
          </w:tcPr>
          <w:p>
            <w:pPr>
              <w:spacing w:after="0" w:line="20" w:lineRule="exact"/>
              <w:rPr>
                <w:sz w:val="1"/>
                <w:szCs w:val="1"/>
                <w:color w:val="auto"/>
              </w:rPr>
            </w:pPr>
          </w:p>
        </w:tc>
        <w:tc>
          <w:tcPr>
            <w:tcW w:w="520" w:type="dxa"/>
            <w:vAlign w:val="bottom"/>
            <w:tcBorders>
              <w:bottom w:val="single" w:sz="8" w:color="D9D9D9"/>
            </w:tcBorders>
          </w:tcPr>
          <w:p>
            <w:pPr>
              <w:spacing w:after="0" w:line="20" w:lineRule="exact"/>
              <w:rPr>
                <w:sz w:val="1"/>
                <w:szCs w:val="1"/>
                <w:color w:val="auto"/>
              </w:rPr>
            </w:pPr>
          </w:p>
        </w:tc>
        <w:tc>
          <w:tcPr>
            <w:tcW w:w="540" w:type="dxa"/>
            <w:vAlign w:val="bottom"/>
            <w:tcBorders>
              <w:bottom w:val="single" w:sz="8" w:color="D9D9D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60" w:type="dxa"/>
            <w:vAlign w:val="bottom"/>
          </w:tcPr>
          <w:p>
            <w:pPr>
              <w:ind w:left="20"/>
              <w:spacing w:after="0"/>
              <w:rPr>
                <w:sz w:val="20"/>
                <w:szCs w:val="20"/>
                <w:color w:val="auto"/>
              </w:rPr>
            </w:pPr>
            <w:r>
              <w:rPr>
                <w:rFonts w:ascii="Arial" w:cs="Arial" w:eastAsia="Arial" w:hAnsi="Arial"/>
                <w:sz w:val="16"/>
                <w:szCs w:val="16"/>
                <w:color w:val="auto"/>
              </w:rPr>
              <w:t>2021</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12"/>
              <w:spacing w:after="0"/>
              <w:rPr>
                <w:sz w:val="20"/>
                <w:szCs w:val="20"/>
                <w:color w:val="auto"/>
              </w:rPr>
            </w:pPr>
            <w:r>
              <w:rPr>
                <w:rFonts w:ascii="Arial" w:cs="Arial" w:eastAsia="Arial" w:hAnsi="Arial"/>
                <w:sz w:val="15"/>
                <w:szCs w:val="15"/>
                <w:color w:val="auto"/>
              </w:rPr>
              <w:t>1,290,444</w:t>
            </w:r>
          </w:p>
        </w:tc>
        <w:tc>
          <w:tcPr>
            <w:tcW w:w="38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1"/>
              <w:spacing w:after="0"/>
              <w:rPr>
                <w:sz w:val="20"/>
                <w:szCs w:val="20"/>
                <w:color w:val="auto"/>
              </w:rPr>
            </w:pPr>
            <w:r>
              <w:rPr>
                <w:rFonts w:ascii="Arial" w:cs="Arial" w:eastAsia="Arial" w:hAnsi="Arial"/>
                <w:sz w:val="15"/>
                <w:szCs w:val="15"/>
                <w:color w:val="auto"/>
              </w:rPr>
              <w:t>3,173,051</w:t>
            </w:r>
          </w:p>
        </w:tc>
        <w:tc>
          <w:tcPr>
            <w:tcW w:w="42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12"/>
              <w:spacing w:after="0"/>
              <w:rPr>
                <w:sz w:val="20"/>
                <w:szCs w:val="20"/>
                <w:color w:val="auto"/>
              </w:rPr>
            </w:pPr>
            <w:r>
              <w:rPr>
                <w:rFonts w:ascii="Arial" w:cs="Arial" w:eastAsia="Arial" w:hAnsi="Arial"/>
                <w:sz w:val="15"/>
                <w:szCs w:val="15"/>
                <w:color w:val="auto"/>
              </w:rPr>
              <w:t>490,567</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92"/>
              <w:spacing w:after="0"/>
              <w:rPr>
                <w:sz w:val="20"/>
                <w:szCs w:val="20"/>
                <w:color w:val="auto"/>
              </w:rPr>
            </w:pPr>
            <w:r>
              <w:rPr>
                <w:rFonts w:ascii="Arial" w:cs="Arial" w:eastAsia="Arial" w:hAnsi="Arial"/>
                <w:sz w:val="15"/>
                <w:szCs w:val="15"/>
                <w:color w:val="auto"/>
              </w:rPr>
              <w:t>782,328</w:t>
            </w:r>
          </w:p>
        </w:tc>
        <w:tc>
          <w:tcPr>
            <w:tcW w:w="580" w:type="dxa"/>
            <w:vAlign w:val="bottom"/>
          </w:tcPr>
          <w:p>
            <w:pPr>
              <w:ind w:left="46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32"/>
              <w:spacing w:after="0"/>
              <w:rPr>
                <w:sz w:val="20"/>
                <w:szCs w:val="20"/>
                <w:color w:val="auto"/>
              </w:rPr>
            </w:pPr>
            <w:r>
              <w:rPr>
                <w:rFonts w:ascii="Arial" w:cs="Arial" w:eastAsia="Arial" w:hAnsi="Arial"/>
                <w:sz w:val="15"/>
                <w:szCs w:val="15"/>
                <w:color w:val="auto"/>
              </w:rPr>
              <w:t>194.55</w:t>
            </w:r>
          </w:p>
        </w:tc>
        <w:tc>
          <w:tcPr>
            <w:tcW w:w="420" w:type="dxa"/>
            <w:vAlign w:val="bottom"/>
          </w:tcPr>
          <w:p>
            <w:pPr>
              <w:ind w:left="24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132.98</w:t>
            </w:r>
          </w:p>
        </w:tc>
        <w:tc>
          <w:tcPr>
            <w:tcW w:w="720" w:type="dxa"/>
            <w:vAlign w:val="bottom"/>
          </w:tcPr>
          <w:p>
            <w:pPr>
              <w:jc w:val="right"/>
              <w:ind w:right="5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88"/>
              <w:spacing w:after="0"/>
              <w:rPr>
                <w:sz w:val="20"/>
                <w:szCs w:val="20"/>
                <w:color w:val="auto"/>
              </w:rPr>
            </w:pPr>
            <w:r>
              <w:rPr>
                <w:rFonts w:ascii="Arial" w:cs="Arial" w:eastAsia="Arial" w:hAnsi="Arial"/>
                <w:sz w:val="15"/>
                <w:szCs w:val="15"/>
                <w:color w:val="auto"/>
              </w:rPr>
              <w:t>36.50</w:t>
            </w:r>
          </w:p>
        </w:tc>
        <w:tc>
          <w:tcPr>
            <w:tcW w:w="52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540" w:type="dxa"/>
            <w:vAlign w:val="bottom"/>
          </w:tcPr>
          <w:p>
            <w:pPr>
              <w:ind w:left="200"/>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22"/>
        </w:trPr>
        <w:tc>
          <w:tcPr>
            <w:tcW w:w="760" w:type="dxa"/>
            <w:vAlign w:val="bottom"/>
            <w:tcBorders>
              <w:bottom w:val="single" w:sz="8" w:color="00AEEF"/>
            </w:tcBorders>
          </w:tcPr>
          <w:p>
            <w:pPr>
              <w:spacing w:after="0" w:line="20" w:lineRule="exact"/>
              <w:rPr>
                <w:sz w:val="1"/>
                <w:szCs w:val="1"/>
                <w:color w:val="auto"/>
              </w:rPr>
            </w:pPr>
          </w:p>
        </w:tc>
        <w:tc>
          <w:tcPr>
            <w:tcW w:w="380" w:type="dxa"/>
            <w:vAlign w:val="bottom"/>
            <w:tcBorders>
              <w:bottom w:val="single" w:sz="8" w:color="00AEEF"/>
            </w:tcBorders>
          </w:tcPr>
          <w:p>
            <w:pPr>
              <w:spacing w:after="0" w:line="20" w:lineRule="exact"/>
              <w:rPr>
                <w:sz w:val="1"/>
                <w:szCs w:val="1"/>
                <w:color w:val="auto"/>
              </w:rPr>
            </w:pPr>
          </w:p>
        </w:tc>
        <w:tc>
          <w:tcPr>
            <w:tcW w:w="1100" w:type="dxa"/>
            <w:vAlign w:val="bottom"/>
            <w:tcBorders>
              <w:bottom w:val="single" w:sz="8" w:color="00AEEF"/>
            </w:tcBorders>
          </w:tcPr>
          <w:p>
            <w:pPr>
              <w:spacing w:after="0" w:line="20" w:lineRule="exact"/>
              <w:rPr>
                <w:sz w:val="1"/>
                <w:szCs w:val="1"/>
                <w:color w:val="auto"/>
              </w:rPr>
            </w:pPr>
          </w:p>
        </w:tc>
        <w:tc>
          <w:tcPr>
            <w:tcW w:w="380" w:type="dxa"/>
            <w:vAlign w:val="bottom"/>
            <w:tcBorders>
              <w:bottom w:val="single" w:sz="8" w:color="00AEEF"/>
            </w:tcBorders>
          </w:tcPr>
          <w:p>
            <w:pPr>
              <w:spacing w:after="0" w:line="20" w:lineRule="exact"/>
              <w:rPr>
                <w:sz w:val="1"/>
                <w:szCs w:val="1"/>
                <w:color w:val="auto"/>
              </w:rPr>
            </w:pPr>
          </w:p>
        </w:tc>
        <w:tc>
          <w:tcPr>
            <w:tcW w:w="1020" w:type="dxa"/>
            <w:vAlign w:val="bottom"/>
            <w:tcBorders>
              <w:bottom w:val="single" w:sz="8" w:color="00AEEF"/>
            </w:tcBorders>
          </w:tcPr>
          <w:p>
            <w:pPr>
              <w:spacing w:after="0" w:line="20" w:lineRule="exact"/>
              <w:rPr>
                <w:sz w:val="1"/>
                <w:szCs w:val="1"/>
                <w:color w:val="auto"/>
              </w:rPr>
            </w:pPr>
          </w:p>
        </w:tc>
        <w:tc>
          <w:tcPr>
            <w:tcW w:w="420" w:type="dxa"/>
            <w:vAlign w:val="bottom"/>
            <w:tcBorders>
              <w:bottom w:val="single" w:sz="8" w:color="00AEEF"/>
            </w:tcBorders>
          </w:tcPr>
          <w:p>
            <w:pPr>
              <w:spacing w:after="0" w:line="20" w:lineRule="exact"/>
              <w:rPr>
                <w:sz w:val="1"/>
                <w:szCs w:val="1"/>
                <w:color w:val="auto"/>
              </w:rPr>
            </w:pPr>
          </w:p>
        </w:tc>
        <w:tc>
          <w:tcPr>
            <w:tcW w:w="920" w:type="dxa"/>
            <w:vAlign w:val="bottom"/>
            <w:tcBorders>
              <w:bottom w:val="single" w:sz="8" w:color="00AEEF"/>
            </w:tcBorders>
          </w:tcPr>
          <w:p>
            <w:pPr>
              <w:spacing w:after="0" w:line="20" w:lineRule="exact"/>
              <w:rPr>
                <w:sz w:val="1"/>
                <w:szCs w:val="1"/>
                <w:color w:val="auto"/>
              </w:rPr>
            </w:pPr>
          </w:p>
        </w:tc>
        <w:tc>
          <w:tcPr>
            <w:tcW w:w="340" w:type="dxa"/>
            <w:vAlign w:val="bottom"/>
            <w:tcBorders>
              <w:bottom w:val="single" w:sz="8" w:color="00AEEF"/>
            </w:tcBorders>
          </w:tcPr>
          <w:p>
            <w:pPr>
              <w:spacing w:after="0" w:line="20" w:lineRule="exact"/>
              <w:rPr>
                <w:sz w:val="1"/>
                <w:szCs w:val="1"/>
                <w:color w:val="auto"/>
              </w:rPr>
            </w:pPr>
          </w:p>
        </w:tc>
        <w:tc>
          <w:tcPr>
            <w:tcW w:w="880" w:type="dxa"/>
            <w:vAlign w:val="bottom"/>
            <w:tcBorders>
              <w:bottom w:val="single" w:sz="8" w:color="00AEEF"/>
            </w:tcBorders>
          </w:tcPr>
          <w:p>
            <w:pPr>
              <w:spacing w:after="0" w:line="20" w:lineRule="exact"/>
              <w:rPr>
                <w:sz w:val="1"/>
                <w:szCs w:val="1"/>
                <w:color w:val="auto"/>
              </w:rPr>
            </w:pPr>
          </w:p>
        </w:tc>
        <w:tc>
          <w:tcPr>
            <w:tcW w:w="580" w:type="dxa"/>
            <w:vAlign w:val="bottom"/>
            <w:tcBorders>
              <w:bottom w:val="single" w:sz="8" w:color="00AEEF"/>
            </w:tcBorders>
          </w:tcPr>
          <w:p>
            <w:pPr>
              <w:spacing w:after="0" w:line="20" w:lineRule="exact"/>
              <w:rPr>
                <w:sz w:val="1"/>
                <w:szCs w:val="1"/>
                <w:color w:val="auto"/>
              </w:rPr>
            </w:pPr>
          </w:p>
        </w:tc>
        <w:tc>
          <w:tcPr>
            <w:tcW w:w="860" w:type="dxa"/>
            <w:vAlign w:val="bottom"/>
            <w:tcBorders>
              <w:bottom w:val="single" w:sz="8" w:color="00AEEF"/>
            </w:tcBorders>
          </w:tcPr>
          <w:p>
            <w:pPr>
              <w:spacing w:after="0" w:line="20" w:lineRule="exact"/>
              <w:rPr>
                <w:sz w:val="1"/>
                <w:szCs w:val="1"/>
                <w:color w:val="auto"/>
              </w:rPr>
            </w:pPr>
          </w:p>
        </w:tc>
        <w:tc>
          <w:tcPr>
            <w:tcW w:w="420" w:type="dxa"/>
            <w:vAlign w:val="bottom"/>
            <w:tcBorders>
              <w:bottom w:val="single" w:sz="8" w:color="00AEEF"/>
            </w:tcBorders>
          </w:tcPr>
          <w:p>
            <w:pPr>
              <w:spacing w:after="0" w:line="20" w:lineRule="exact"/>
              <w:rPr>
                <w:sz w:val="1"/>
                <w:szCs w:val="1"/>
                <w:color w:val="auto"/>
              </w:rPr>
            </w:pPr>
          </w:p>
        </w:tc>
        <w:tc>
          <w:tcPr>
            <w:tcW w:w="560" w:type="dxa"/>
            <w:vAlign w:val="bottom"/>
            <w:tcBorders>
              <w:bottom w:val="single" w:sz="8" w:color="00AEEF"/>
            </w:tcBorders>
          </w:tcPr>
          <w:p>
            <w:pPr>
              <w:spacing w:after="0" w:line="20" w:lineRule="exact"/>
              <w:rPr>
                <w:sz w:val="1"/>
                <w:szCs w:val="1"/>
                <w:color w:val="auto"/>
              </w:rPr>
            </w:pPr>
          </w:p>
        </w:tc>
        <w:tc>
          <w:tcPr>
            <w:tcW w:w="720" w:type="dxa"/>
            <w:vAlign w:val="bottom"/>
            <w:tcBorders>
              <w:bottom w:val="single" w:sz="8" w:color="00AEEF"/>
            </w:tcBorders>
          </w:tcPr>
          <w:p>
            <w:pPr>
              <w:spacing w:after="0" w:line="20" w:lineRule="exact"/>
              <w:rPr>
                <w:sz w:val="1"/>
                <w:szCs w:val="1"/>
                <w:color w:val="auto"/>
              </w:rPr>
            </w:pPr>
          </w:p>
        </w:tc>
        <w:tc>
          <w:tcPr>
            <w:tcW w:w="840" w:type="dxa"/>
            <w:vAlign w:val="bottom"/>
            <w:tcBorders>
              <w:bottom w:val="single" w:sz="8" w:color="00AEEF"/>
            </w:tcBorders>
          </w:tcPr>
          <w:p>
            <w:pPr>
              <w:spacing w:after="0" w:line="20" w:lineRule="exact"/>
              <w:rPr>
                <w:sz w:val="1"/>
                <w:szCs w:val="1"/>
                <w:color w:val="auto"/>
              </w:rPr>
            </w:pPr>
          </w:p>
        </w:tc>
        <w:tc>
          <w:tcPr>
            <w:tcW w:w="520" w:type="dxa"/>
            <w:vAlign w:val="bottom"/>
            <w:tcBorders>
              <w:bottom w:val="single" w:sz="8" w:color="00AEEF"/>
            </w:tcBorders>
          </w:tcPr>
          <w:p>
            <w:pPr>
              <w:spacing w:after="0" w:line="20" w:lineRule="exact"/>
              <w:rPr>
                <w:sz w:val="1"/>
                <w:szCs w:val="1"/>
                <w:color w:val="auto"/>
              </w:rPr>
            </w:pPr>
          </w:p>
        </w:tc>
        <w:tc>
          <w:tcPr>
            <w:tcW w:w="540" w:type="dxa"/>
            <w:vAlign w:val="bottom"/>
            <w:tcBorders>
              <w:bottom w:val="single" w:sz="8" w:color="00AEE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right="440"/>
        <w:spacing w:after="0" w:line="299" w:lineRule="auto"/>
        <w:rPr>
          <w:sz w:val="20"/>
          <w:szCs w:val="20"/>
          <w:color w:val="auto"/>
        </w:rPr>
      </w:pPr>
      <w:r>
        <w:rPr>
          <w:rFonts w:ascii="Arial" w:cs="Arial" w:eastAsia="Arial" w:hAnsi="Arial"/>
          <w:sz w:val="16"/>
          <w:szCs w:val="16"/>
          <w:b w:val="1"/>
          <w:bCs w:val="1"/>
          <w:color w:val="auto"/>
        </w:rPr>
        <w:t xml:space="preserve">Column (b) </w:t>
      </w:r>
      <w:r>
        <w:rPr>
          <w:rFonts w:ascii="Arial" w:cs="Arial" w:eastAsia="Arial" w:hAnsi="Arial"/>
          <w:sz w:val="16"/>
          <w:szCs w:val="16"/>
          <w:color w:val="auto"/>
        </w:rPr>
        <w:t>Reflects compensation amounts reported in the “Summary Compensation Table” for Mr. Dennis Doll, for the fiscal years 2023, 2022 and,</w:t>
      </w:r>
      <w:r>
        <w:rPr>
          <w:rFonts w:ascii="Arial" w:cs="Arial" w:eastAsia="Arial" w:hAnsi="Arial"/>
          <w:sz w:val="16"/>
          <w:szCs w:val="16"/>
          <w:b w:val="1"/>
          <w:bCs w:val="1"/>
          <w:color w:val="auto"/>
        </w:rPr>
        <w:t xml:space="preserve"> </w:t>
      </w:r>
      <w:r>
        <w:rPr>
          <w:rFonts w:ascii="Arial" w:cs="Arial" w:eastAsia="Arial" w:hAnsi="Arial"/>
          <w:sz w:val="16"/>
          <w:szCs w:val="16"/>
          <w:color w:val="auto"/>
        </w:rPr>
        <w:t>2021; and for Ms. Leslie annualized compensation amount for 2024.</w:t>
      </w:r>
    </w:p>
    <w:p>
      <w:pPr>
        <w:spacing w:after="0" w:line="71" w:lineRule="exact"/>
        <w:rPr>
          <w:sz w:val="20"/>
          <w:szCs w:val="20"/>
          <w:color w:val="auto"/>
        </w:rPr>
      </w:pPr>
    </w:p>
    <w:p>
      <w:pPr>
        <w:ind w:right="200"/>
        <w:spacing w:after="0" w:line="267" w:lineRule="auto"/>
        <w:rPr>
          <w:sz w:val="20"/>
          <w:szCs w:val="20"/>
          <w:color w:val="auto"/>
        </w:rPr>
      </w:pPr>
      <w:r>
        <w:rPr>
          <w:rFonts w:ascii="Arial" w:cs="Arial" w:eastAsia="Arial" w:hAnsi="Arial"/>
          <w:sz w:val="16"/>
          <w:szCs w:val="16"/>
          <w:b w:val="1"/>
          <w:bCs w:val="1"/>
          <w:color w:val="auto"/>
        </w:rPr>
        <w:t xml:space="preserve">Column (c) </w:t>
      </w:r>
      <w:r>
        <w:rPr>
          <w:rFonts w:ascii="Arial" w:cs="Arial" w:eastAsia="Arial" w:hAnsi="Arial"/>
          <w:sz w:val="16"/>
          <w:szCs w:val="16"/>
          <w:color w:val="auto"/>
        </w:rPr>
        <w:t>“Compensation actually paid” to Mr. Doll in each of 2023, 2022, and 2021, and for Ms. Leslie in 2024 and 2025, reflects the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set forth in column (b) of the compensation table above, adjusted as set forth in the compensation calculation table below, as determined in accordance with SEC rules. The dollar amounts reflected in column (b) of the table above do not reflect the actual amount of compensation earned by or paid to our CEO during the applicable year. For information regarding the decisions made by our Compensation Committee in regards to the CEO’s compensation for each fiscal year, please see the CD&amp;A sections of the Proxy Statements reporting pay for the fiscal years covered in the table above.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Column (d) </w:t>
      </w:r>
      <w:r>
        <w:rPr>
          <w:rFonts w:ascii="Arial" w:cs="Arial" w:eastAsia="Arial" w:hAnsi="Arial"/>
          <w:sz w:val="16"/>
          <w:szCs w:val="16"/>
          <w:color w:val="auto"/>
        </w:rPr>
        <w:t>Reflects compensation information for our NEOs other than the CEO as described in the CD&amp;A of this Proxy Statement. 2025: Mohammed G.</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Zerhouni, Gregory S. Sorensen, Jay L. Kooper, Georgia M. Simpson. 2024: Mohammed G. Zerhouni, A. Bruce O’Connor, Jay L. Kooper, Georgia M.</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Simpson, Robert K. Fullagar. 2023 A. Bruce O’Connor, Jay L. Kooper, Georgia M. Simpson, Robert K. Fullagar. 2022: A. Bruce O’Connor, Jay L. Kooper,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Georgia M. Simpson, Robert K. Fullagar. 2021: A. Bruce O’Connor, Bernadette M. Sohler, Jay L. Kooper, Lorrie B. Ginegaw.</w:t>
      </w:r>
    </w:p>
    <w:p>
      <w:pPr>
        <w:spacing w:after="0" w:line="132"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b w:val="1"/>
          <w:bCs w:val="1"/>
          <w:color w:val="auto"/>
        </w:rPr>
        <w:t xml:space="preserve">Column (e) </w:t>
      </w:r>
      <w:r>
        <w:rPr>
          <w:rFonts w:ascii="Arial" w:cs="Arial" w:eastAsia="Arial" w:hAnsi="Arial"/>
          <w:sz w:val="16"/>
          <w:szCs w:val="16"/>
          <w:color w:val="auto"/>
        </w:rPr>
        <w:t>Average “compensation actually paid” for our non-CEO NEOs in each of 2025, 2024, 2023, 2022, and 2021 reflects the respective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set forth in column (d) of the table above, adjusted as set forth in the compensation calculation table below, as determined in accordance with SEC rules. The dollar amounts reflected in column (d) of the table above do not reflect the actual amount of compensation earned by or paid to our non-CEO NEOs during the applicable year. For information regarding the decisions made by our Compensation Committee in regards to the non-CEO NEOs compensation for each fiscal year, please see the CD&amp;A sections of the Proxy Statements reporting pay for the fiscal years covered in the table above.</w:t>
      </w:r>
    </w:p>
    <w:p>
      <w:pPr>
        <w:spacing w:after="0" w:line="97" w:lineRule="exact"/>
        <w:rPr>
          <w:sz w:val="20"/>
          <w:szCs w:val="20"/>
          <w:color w:val="auto"/>
        </w:rPr>
      </w:pPr>
    </w:p>
    <w:p>
      <w:pPr>
        <w:ind w:right="420"/>
        <w:spacing w:after="0" w:line="299" w:lineRule="auto"/>
        <w:rPr>
          <w:sz w:val="20"/>
          <w:szCs w:val="20"/>
          <w:color w:val="auto"/>
        </w:rPr>
      </w:pPr>
      <w:r>
        <w:rPr>
          <w:rFonts w:ascii="Arial" w:cs="Arial" w:eastAsia="Arial" w:hAnsi="Arial"/>
          <w:sz w:val="16"/>
          <w:szCs w:val="16"/>
          <w:b w:val="1"/>
          <w:bCs w:val="1"/>
          <w:color w:val="auto"/>
        </w:rPr>
        <w:t xml:space="preserve">Column (f) </w:t>
      </w:r>
      <w:r>
        <w:rPr>
          <w:rFonts w:ascii="Arial" w:cs="Arial" w:eastAsia="Arial" w:hAnsi="Arial"/>
          <w:sz w:val="16"/>
          <w:szCs w:val="16"/>
          <w:color w:val="auto"/>
        </w:rPr>
        <w:t>For the relevant fiscal year, represents the cumulative total shareholder return (TSR) of Middlesex for the measurement periods ended on</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of each of 2025, 2024, 2023, 2022, and 2021, respectively.</w:t>
      </w:r>
    </w:p>
    <w:p>
      <w:pPr>
        <w:spacing w:after="0" w:line="5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b w:val="1"/>
          <w:bCs w:val="1"/>
          <w:color w:val="auto"/>
        </w:rPr>
        <w:t xml:space="preserve">Column (g) </w:t>
      </w:r>
      <w:r>
        <w:rPr>
          <w:rFonts w:ascii="Arial" w:cs="Arial" w:eastAsia="Arial" w:hAnsi="Arial"/>
          <w:sz w:val="16"/>
          <w:szCs w:val="16"/>
          <w:color w:val="auto"/>
        </w:rPr>
        <w:t>For the relevant fiscal year, represents the cumulative TSR of the Peer Group for the measurement periods ended on December 31 of each of</w:t>
      </w:r>
      <w:r>
        <w:rPr>
          <w:rFonts w:ascii="Arial" w:cs="Arial" w:eastAsia="Arial" w:hAnsi="Arial"/>
          <w:sz w:val="16"/>
          <w:szCs w:val="16"/>
          <w:b w:val="1"/>
          <w:bCs w:val="1"/>
          <w:color w:val="auto"/>
        </w:rPr>
        <w:t xml:space="preserve"> </w:t>
      </w:r>
      <w:r>
        <w:rPr>
          <w:rFonts w:ascii="Arial" w:cs="Arial" w:eastAsia="Arial" w:hAnsi="Arial"/>
          <w:sz w:val="16"/>
          <w:szCs w:val="16"/>
          <w:color w:val="auto"/>
        </w:rPr>
        <w:t>2025, 2024, 2023, 2022, and 2021, respectively. Peer Group companies currently include American States Water Company, Artesian Resources Corp., California Water Service Group, Global Water Resources Inc., H2O America, and York Water Company.</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Column (h) </w:t>
      </w:r>
      <w:r>
        <w:rPr>
          <w:rFonts w:ascii="Arial" w:cs="Arial" w:eastAsia="Arial" w:hAnsi="Arial"/>
          <w:sz w:val="16"/>
          <w:szCs w:val="16"/>
          <w:color w:val="auto"/>
        </w:rPr>
        <w:t>Source: Company’s Annual Report on Form 10-K for each respective year.</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Column (i) </w:t>
      </w:r>
      <w:r>
        <w:rPr>
          <w:rFonts w:ascii="Arial" w:cs="Arial" w:eastAsia="Arial" w:hAnsi="Arial"/>
          <w:sz w:val="16"/>
          <w:szCs w:val="16"/>
          <w:color w:val="auto"/>
        </w:rPr>
        <w:t>Source: Company’s Annual Report on Form 10-K for each respective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300355</wp:posOffset>
            </wp:positionV>
            <wp:extent cx="7620" cy="132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60" w:hanging="445"/>
        <w:spacing w:after="0"/>
        <w:tabs>
          <w:tab w:leader="none" w:pos="460" w:val="left"/>
        </w:tabs>
        <w:numPr>
          <w:ilvl w:val="0"/>
          <w:numId w:val="75"/>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210185</wp:posOffset>
            </wp:positionV>
            <wp:extent cx="7169785" cy="412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4"/>
          <w:szCs w:val="14"/>
          <w:b w:val="1"/>
          <w:bCs w:val="1"/>
          <w:color w:val="191769"/>
        </w:rPr>
        <w:t>Pay for Performance Comparison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191769"/>
        </w:rPr>
        <w:t>CALCULATION OF COMPENSATION ACTUALLY PAID TO CEO</w:t>
      </w:r>
    </w:p>
    <w:p>
      <w:pPr>
        <w:spacing w:after="0" w:line="156"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1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right"/>
              <w:ind w:right="185"/>
              <w:spacing w:after="0"/>
              <w:rPr>
                <w:sz w:val="20"/>
                <w:szCs w:val="20"/>
                <w:color w:val="auto"/>
              </w:rPr>
            </w:pPr>
            <w:r>
              <w:rPr>
                <w:rFonts w:ascii="Arial" w:cs="Arial" w:eastAsia="Arial" w:hAnsi="Arial"/>
                <w:sz w:val="13"/>
                <w:szCs w:val="13"/>
                <w:b w:val="1"/>
                <w:bCs w:val="1"/>
                <w:color w:val="191769"/>
              </w:rPr>
              <w:t>Summary</w:t>
            </w: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0"/>
        </w:trPr>
        <w:tc>
          <w:tcPr>
            <w:tcW w:w="1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jc w:val="right"/>
              <w:ind w:right="265"/>
              <w:spacing w:after="0"/>
              <w:rPr>
                <w:sz w:val="20"/>
                <w:szCs w:val="20"/>
                <w:color w:val="auto"/>
              </w:rPr>
            </w:pPr>
            <w:r>
              <w:rPr>
                <w:rFonts w:ascii="Arial" w:cs="Arial" w:eastAsia="Arial" w:hAnsi="Arial"/>
                <w:sz w:val="13"/>
                <w:szCs w:val="13"/>
                <w:b w:val="1"/>
                <w:bCs w:val="1"/>
                <w:color w:val="191769"/>
              </w:rPr>
              <w:t>Summary</w:t>
            </w:r>
          </w:p>
        </w:tc>
        <w:tc>
          <w:tcPr>
            <w:tcW w:w="520" w:type="dxa"/>
            <w:vAlign w:val="bottom"/>
          </w:tcPr>
          <w:p>
            <w:pPr>
              <w:spacing w:after="0"/>
              <w:rPr>
                <w:sz w:val="13"/>
                <w:szCs w:val="13"/>
                <w:color w:val="auto"/>
              </w:rPr>
            </w:pPr>
          </w:p>
        </w:tc>
        <w:tc>
          <w:tcPr>
            <w:tcW w:w="1020" w:type="dxa"/>
            <w:vAlign w:val="bottom"/>
          </w:tcPr>
          <w:p>
            <w:pPr>
              <w:jc w:val="right"/>
              <w:ind w:right="103"/>
              <w:spacing w:after="0"/>
              <w:rPr>
                <w:sz w:val="20"/>
                <w:szCs w:val="20"/>
                <w:color w:val="auto"/>
              </w:rPr>
            </w:pPr>
            <w:r>
              <w:rPr>
                <w:rFonts w:ascii="Arial" w:cs="Arial" w:eastAsia="Arial" w:hAnsi="Arial"/>
                <w:sz w:val="13"/>
                <w:szCs w:val="13"/>
                <w:b w:val="1"/>
                <w:bCs w:val="1"/>
                <w:color w:val="191769"/>
              </w:rPr>
              <w:t>Summary</w:t>
            </w:r>
          </w:p>
        </w:tc>
        <w:tc>
          <w:tcPr>
            <w:tcW w:w="360" w:type="dxa"/>
            <w:vAlign w:val="bottom"/>
          </w:tcPr>
          <w:p>
            <w:pPr>
              <w:spacing w:after="0"/>
              <w:rPr>
                <w:sz w:val="13"/>
                <w:szCs w:val="13"/>
                <w:color w:val="auto"/>
              </w:rPr>
            </w:pPr>
          </w:p>
        </w:tc>
        <w:tc>
          <w:tcPr>
            <w:tcW w:w="1260" w:type="dxa"/>
            <w:vAlign w:val="bottom"/>
          </w:tcPr>
          <w:p>
            <w:pPr>
              <w:jc w:val="right"/>
              <w:ind w:right="225"/>
              <w:spacing w:after="0"/>
              <w:rPr>
                <w:sz w:val="20"/>
                <w:szCs w:val="20"/>
                <w:color w:val="auto"/>
              </w:rPr>
            </w:pPr>
            <w:r>
              <w:rPr>
                <w:rFonts w:ascii="Arial" w:cs="Arial" w:eastAsia="Arial" w:hAnsi="Arial"/>
                <w:sz w:val="13"/>
                <w:szCs w:val="13"/>
                <w:b w:val="1"/>
                <w:bCs w:val="1"/>
                <w:color w:val="191769"/>
              </w:rPr>
              <w:t>Equity</w:t>
            </w:r>
          </w:p>
        </w:tc>
        <w:tc>
          <w:tcPr>
            <w:tcW w:w="1540" w:type="dxa"/>
            <w:vAlign w:val="bottom"/>
            <w:gridSpan w:val="2"/>
          </w:tcPr>
          <w:p>
            <w:pPr>
              <w:jc w:val="right"/>
              <w:ind w:right="185"/>
              <w:spacing w:after="0"/>
              <w:rPr>
                <w:sz w:val="20"/>
                <w:szCs w:val="20"/>
                <w:color w:val="auto"/>
              </w:rPr>
            </w:pPr>
            <w:r>
              <w:rPr>
                <w:rFonts w:ascii="Arial" w:cs="Arial" w:eastAsia="Arial" w:hAnsi="Arial"/>
                <w:sz w:val="13"/>
                <w:szCs w:val="13"/>
                <w:b w:val="1"/>
                <w:bCs w:val="1"/>
                <w:color w:val="191769"/>
              </w:rPr>
              <w:t>Compensation</w:t>
            </w:r>
          </w:p>
        </w:tc>
        <w:tc>
          <w:tcPr>
            <w:tcW w:w="360" w:type="dxa"/>
            <w:vAlign w:val="bottom"/>
          </w:tcPr>
          <w:p>
            <w:pPr>
              <w:spacing w:after="0"/>
              <w:rPr>
                <w:sz w:val="13"/>
                <w:szCs w:val="13"/>
                <w:color w:val="auto"/>
              </w:rPr>
            </w:pPr>
          </w:p>
        </w:tc>
        <w:tc>
          <w:tcPr>
            <w:tcW w:w="1080" w:type="dxa"/>
            <w:vAlign w:val="bottom"/>
          </w:tcPr>
          <w:p>
            <w:pPr>
              <w:jc w:val="right"/>
              <w:ind w:right="185"/>
              <w:spacing w:after="0"/>
              <w:rPr>
                <w:sz w:val="20"/>
                <w:szCs w:val="20"/>
                <w:color w:val="auto"/>
              </w:rPr>
            </w:pPr>
            <w:r>
              <w:rPr>
                <w:rFonts w:ascii="Arial" w:cs="Arial" w:eastAsia="Arial" w:hAnsi="Arial"/>
                <w:sz w:val="13"/>
                <w:szCs w:val="13"/>
                <w:b w:val="1"/>
                <w:bCs w:val="1"/>
                <w:color w:val="191769"/>
              </w:rPr>
              <w:t>Pension</w:t>
            </w: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191769"/>
              </w:rPr>
              <w:t>Total</w:t>
            </w:r>
          </w:p>
        </w:tc>
      </w:tr>
      <w:tr>
        <w:trPr>
          <w:trHeight w:val="160"/>
        </w:trPr>
        <w:tc>
          <w:tcPr>
            <w:tcW w:w="1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jc w:val="right"/>
              <w:ind w:right="265"/>
              <w:spacing w:after="0"/>
              <w:rPr>
                <w:sz w:val="20"/>
                <w:szCs w:val="20"/>
                <w:color w:val="auto"/>
              </w:rPr>
            </w:pPr>
            <w:r>
              <w:rPr>
                <w:rFonts w:ascii="Arial" w:cs="Arial" w:eastAsia="Arial" w:hAnsi="Arial"/>
                <w:sz w:val="13"/>
                <w:szCs w:val="13"/>
                <w:b w:val="1"/>
                <w:bCs w:val="1"/>
                <w:color w:val="191769"/>
              </w:rPr>
              <w:t>Compensation</w:t>
            </w:r>
          </w:p>
        </w:tc>
        <w:tc>
          <w:tcPr>
            <w:tcW w:w="1540" w:type="dxa"/>
            <w:vAlign w:val="bottom"/>
            <w:gridSpan w:val="2"/>
          </w:tcPr>
          <w:p>
            <w:pPr>
              <w:jc w:val="right"/>
              <w:ind w:right="103"/>
              <w:spacing w:after="0"/>
              <w:rPr>
                <w:sz w:val="20"/>
                <w:szCs w:val="20"/>
                <w:color w:val="auto"/>
              </w:rPr>
            </w:pPr>
            <w:r>
              <w:rPr>
                <w:rFonts w:ascii="Arial" w:cs="Arial" w:eastAsia="Arial" w:hAnsi="Arial"/>
                <w:sz w:val="13"/>
                <w:szCs w:val="13"/>
                <w:b w:val="1"/>
                <w:bCs w:val="1"/>
                <w:color w:val="191769"/>
              </w:rPr>
              <w:t>Compensation</w:t>
            </w:r>
          </w:p>
        </w:tc>
        <w:tc>
          <w:tcPr>
            <w:tcW w:w="360" w:type="dxa"/>
            <w:vAlign w:val="bottom"/>
          </w:tcPr>
          <w:p>
            <w:pPr>
              <w:spacing w:after="0"/>
              <w:rPr>
                <w:sz w:val="13"/>
                <w:szCs w:val="13"/>
                <w:color w:val="auto"/>
              </w:rPr>
            </w:pPr>
          </w:p>
        </w:tc>
        <w:tc>
          <w:tcPr>
            <w:tcW w:w="1260" w:type="dxa"/>
            <w:vAlign w:val="bottom"/>
          </w:tcPr>
          <w:p>
            <w:pPr>
              <w:jc w:val="right"/>
              <w:ind w:right="225"/>
              <w:spacing w:after="0"/>
              <w:rPr>
                <w:sz w:val="20"/>
                <w:szCs w:val="20"/>
                <w:color w:val="auto"/>
              </w:rPr>
            </w:pPr>
            <w:r>
              <w:rPr>
                <w:rFonts w:ascii="Arial" w:cs="Arial" w:eastAsia="Arial" w:hAnsi="Arial"/>
                <w:sz w:val="13"/>
                <w:szCs w:val="13"/>
                <w:b w:val="1"/>
                <w:bCs w:val="1"/>
                <w:color w:val="191769"/>
              </w:rPr>
              <w:t>Awards</w:t>
            </w:r>
          </w:p>
        </w:tc>
        <w:tc>
          <w:tcPr>
            <w:tcW w:w="400" w:type="dxa"/>
            <w:vAlign w:val="bottom"/>
          </w:tcPr>
          <w:p>
            <w:pPr>
              <w:spacing w:after="0"/>
              <w:rPr>
                <w:sz w:val="13"/>
                <w:szCs w:val="13"/>
                <w:color w:val="auto"/>
              </w:rPr>
            </w:pPr>
          </w:p>
        </w:tc>
        <w:tc>
          <w:tcPr>
            <w:tcW w:w="1140" w:type="dxa"/>
            <w:vAlign w:val="bottom"/>
          </w:tcPr>
          <w:p>
            <w:pPr>
              <w:jc w:val="right"/>
              <w:ind w:right="185"/>
              <w:spacing w:after="0"/>
              <w:rPr>
                <w:sz w:val="20"/>
                <w:szCs w:val="20"/>
                <w:color w:val="auto"/>
              </w:rPr>
            </w:pPr>
            <w:r>
              <w:rPr>
                <w:rFonts w:ascii="Arial" w:cs="Arial" w:eastAsia="Arial" w:hAnsi="Arial"/>
                <w:sz w:val="13"/>
                <w:szCs w:val="13"/>
                <w:b w:val="1"/>
                <w:bCs w:val="1"/>
                <w:color w:val="191769"/>
              </w:rPr>
              <w:t>Table Change</w:t>
            </w:r>
          </w:p>
        </w:tc>
        <w:tc>
          <w:tcPr>
            <w:tcW w:w="360" w:type="dxa"/>
            <w:vAlign w:val="bottom"/>
          </w:tcPr>
          <w:p>
            <w:pPr>
              <w:spacing w:after="0"/>
              <w:rPr>
                <w:sz w:val="13"/>
                <w:szCs w:val="13"/>
                <w:color w:val="auto"/>
              </w:rPr>
            </w:pPr>
          </w:p>
        </w:tc>
        <w:tc>
          <w:tcPr>
            <w:tcW w:w="1080" w:type="dxa"/>
            <w:vAlign w:val="bottom"/>
          </w:tcPr>
          <w:p>
            <w:pPr>
              <w:jc w:val="right"/>
              <w:ind w:right="185"/>
              <w:spacing w:after="0"/>
              <w:rPr>
                <w:sz w:val="20"/>
                <w:szCs w:val="20"/>
                <w:color w:val="auto"/>
              </w:rPr>
            </w:pPr>
            <w:r>
              <w:rPr>
                <w:rFonts w:ascii="Arial" w:cs="Arial" w:eastAsia="Arial" w:hAnsi="Arial"/>
                <w:sz w:val="13"/>
                <w:szCs w:val="13"/>
                <w:b w:val="1"/>
                <w:bCs w:val="1"/>
                <w:color w:val="191769"/>
              </w:rPr>
              <w:t>Service Cost</w:t>
            </w: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191769"/>
              </w:rPr>
              <w:t>Compensation</w:t>
            </w:r>
          </w:p>
        </w:tc>
      </w:tr>
      <w:tr>
        <w:trPr>
          <w:trHeight w:val="160"/>
        </w:trPr>
        <w:tc>
          <w:tcPr>
            <w:tcW w:w="1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jc w:val="right"/>
              <w:ind w:right="265"/>
              <w:spacing w:after="0"/>
              <w:rPr>
                <w:sz w:val="20"/>
                <w:szCs w:val="20"/>
                <w:color w:val="auto"/>
              </w:rPr>
            </w:pPr>
            <w:r>
              <w:rPr>
                <w:rFonts w:ascii="Arial" w:cs="Arial" w:eastAsia="Arial" w:hAnsi="Arial"/>
                <w:sz w:val="13"/>
                <w:szCs w:val="13"/>
                <w:b w:val="1"/>
                <w:bCs w:val="1"/>
                <w:color w:val="191769"/>
              </w:rPr>
              <w:t>Table Total</w:t>
            </w:r>
          </w:p>
        </w:tc>
        <w:tc>
          <w:tcPr>
            <w:tcW w:w="520" w:type="dxa"/>
            <w:vAlign w:val="bottom"/>
          </w:tcPr>
          <w:p>
            <w:pPr>
              <w:spacing w:after="0"/>
              <w:rPr>
                <w:sz w:val="13"/>
                <w:szCs w:val="13"/>
                <w:color w:val="auto"/>
              </w:rPr>
            </w:pPr>
          </w:p>
        </w:tc>
        <w:tc>
          <w:tcPr>
            <w:tcW w:w="1020" w:type="dxa"/>
            <w:vAlign w:val="bottom"/>
          </w:tcPr>
          <w:p>
            <w:pPr>
              <w:jc w:val="right"/>
              <w:ind w:right="103"/>
              <w:spacing w:after="0"/>
              <w:rPr>
                <w:sz w:val="20"/>
                <w:szCs w:val="20"/>
                <w:color w:val="auto"/>
              </w:rPr>
            </w:pPr>
            <w:r>
              <w:rPr>
                <w:rFonts w:ascii="Arial" w:cs="Arial" w:eastAsia="Arial" w:hAnsi="Arial"/>
                <w:sz w:val="13"/>
                <w:szCs w:val="13"/>
                <w:b w:val="1"/>
                <w:bCs w:val="1"/>
                <w:color w:val="191769"/>
              </w:rPr>
              <w:t>Table Equity</w:t>
            </w:r>
          </w:p>
        </w:tc>
        <w:tc>
          <w:tcPr>
            <w:tcW w:w="360" w:type="dxa"/>
            <w:vAlign w:val="bottom"/>
          </w:tcPr>
          <w:p>
            <w:pPr>
              <w:spacing w:after="0"/>
              <w:rPr>
                <w:sz w:val="13"/>
                <w:szCs w:val="13"/>
                <w:color w:val="auto"/>
              </w:rPr>
            </w:pPr>
          </w:p>
        </w:tc>
        <w:tc>
          <w:tcPr>
            <w:tcW w:w="1260" w:type="dxa"/>
            <w:vAlign w:val="bottom"/>
          </w:tcPr>
          <w:p>
            <w:pPr>
              <w:jc w:val="right"/>
              <w:ind w:right="225"/>
              <w:spacing w:after="0"/>
              <w:rPr>
                <w:sz w:val="20"/>
                <w:szCs w:val="20"/>
                <w:color w:val="auto"/>
              </w:rPr>
            </w:pPr>
            <w:r>
              <w:rPr>
                <w:rFonts w:ascii="Arial" w:cs="Arial" w:eastAsia="Arial" w:hAnsi="Arial"/>
                <w:sz w:val="13"/>
                <w:szCs w:val="13"/>
                <w:b w:val="1"/>
                <w:bCs w:val="1"/>
                <w:color w:val="191769"/>
              </w:rPr>
              <w:t>Adjustment</w:t>
            </w:r>
          </w:p>
        </w:tc>
        <w:tc>
          <w:tcPr>
            <w:tcW w:w="400" w:type="dxa"/>
            <w:vAlign w:val="bottom"/>
          </w:tcPr>
          <w:p>
            <w:pPr>
              <w:spacing w:after="0"/>
              <w:rPr>
                <w:sz w:val="13"/>
                <w:szCs w:val="13"/>
                <w:color w:val="auto"/>
              </w:rPr>
            </w:pPr>
          </w:p>
        </w:tc>
        <w:tc>
          <w:tcPr>
            <w:tcW w:w="1140" w:type="dxa"/>
            <w:vAlign w:val="bottom"/>
          </w:tcPr>
          <w:p>
            <w:pPr>
              <w:jc w:val="right"/>
              <w:ind w:right="185"/>
              <w:spacing w:after="0"/>
              <w:rPr>
                <w:sz w:val="20"/>
                <w:szCs w:val="20"/>
                <w:color w:val="auto"/>
              </w:rPr>
            </w:pPr>
            <w:r>
              <w:rPr>
                <w:rFonts w:ascii="Arial" w:cs="Arial" w:eastAsia="Arial" w:hAnsi="Arial"/>
                <w:sz w:val="13"/>
                <w:szCs w:val="13"/>
                <w:b w:val="1"/>
                <w:bCs w:val="1"/>
                <w:color w:val="191769"/>
              </w:rPr>
              <w:t>in Pension</w:t>
            </w:r>
          </w:p>
        </w:tc>
        <w:tc>
          <w:tcPr>
            <w:tcW w:w="360" w:type="dxa"/>
            <w:vAlign w:val="bottom"/>
          </w:tcPr>
          <w:p>
            <w:pPr>
              <w:spacing w:after="0"/>
              <w:rPr>
                <w:sz w:val="13"/>
                <w:szCs w:val="13"/>
                <w:color w:val="auto"/>
              </w:rPr>
            </w:pPr>
          </w:p>
        </w:tc>
        <w:tc>
          <w:tcPr>
            <w:tcW w:w="1080" w:type="dxa"/>
            <w:vAlign w:val="bottom"/>
          </w:tcPr>
          <w:p>
            <w:pPr>
              <w:jc w:val="right"/>
              <w:ind w:right="185"/>
              <w:spacing w:after="0"/>
              <w:rPr>
                <w:sz w:val="20"/>
                <w:szCs w:val="20"/>
                <w:color w:val="auto"/>
              </w:rPr>
            </w:pPr>
            <w:r>
              <w:rPr>
                <w:rFonts w:ascii="Arial" w:cs="Arial" w:eastAsia="Arial" w:hAnsi="Arial"/>
                <w:sz w:val="13"/>
                <w:szCs w:val="13"/>
                <w:b w:val="1"/>
                <w:bCs w:val="1"/>
                <w:color w:val="191769"/>
              </w:rPr>
              <w:t>Adjustment</w:t>
            </w: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191769"/>
              </w:rPr>
              <w:t>Actually</w:t>
            </w:r>
          </w:p>
        </w:tc>
      </w:tr>
      <w:tr>
        <w:trPr>
          <w:trHeight w:val="186"/>
        </w:trPr>
        <w:tc>
          <w:tcPr>
            <w:tcW w:w="1360" w:type="dxa"/>
            <w:vAlign w:val="bottom"/>
            <w:tcBorders>
              <w:bottom w:val="single" w:sz="8" w:color="00AEEF"/>
            </w:tcBorders>
          </w:tcPr>
          <w:p>
            <w:pPr>
              <w:ind w:left="20"/>
              <w:spacing w:after="0"/>
              <w:rPr>
                <w:sz w:val="20"/>
                <w:szCs w:val="20"/>
                <w:color w:val="auto"/>
              </w:rPr>
            </w:pPr>
            <w:r>
              <w:rPr>
                <w:rFonts w:ascii="Arial" w:cs="Arial" w:eastAsia="Arial" w:hAnsi="Arial"/>
                <w:sz w:val="13"/>
                <w:szCs w:val="13"/>
                <w:b w:val="1"/>
                <w:bCs w:val="1"/>
                <w:color w:val="191769"/>
              </w:rPr>
              <w:t>Year</w:t>
            </w:r>
          </w:p>
        </w:tc>
        <w:tc>
          <w:tcPr>
            <w:tcW w:w="1100" w:type="dxa"/>
            <w:vAlign w:val="bottom"/>
            <w:tcBorders>
              <w:bottom w:val="single" w:sz="8" w:color="00AEEF"/>
            </w:tcBorders>
          </w:tcPr>
          <w:p>
            <w:pPr>
              <w:spacing w:after="0"/>
              <w:rPr>
                <w:sz w:val="16"/>
                <w:szCs w:val="16"/>
                <w:color w:val="auto"/>
              </w:rPr>
            </w:pPr>
          </w:p>
        </w:tc>
        <w:tc>
          <w:tcPr>
            <w:tcW w:w="1280" w:type="dxa"/>
            <w:vAlign w:val="bottom"/>
            <w:tcBorders>
              <w:bottom w:val="single" w:sz="8" w:color="00AEEF"/>
            </w:tcBorders>
          </w:tcPr>
          <w:p>
            <w:pPr>
              <w:jc w:val="right"/>
              <w:ind w:right="265"/>
              <w:spacing w:after="0"/>
              <w:rPr>
                <w:sz w:val="20"/>
                <w:szCs w:val="20"/>
                <w:color w:val="auto"/>
              </w:rPr>
            </w:pPr>
            <w:r>
              <w:rPr>
                <w:rFonts w:ascii="Arial" w:cs="Arial" w:eastAsia="Arial" w:hAnsi="Arial"/>
                <w:sz w:val="13"/>
                <w:szCs w:val="13"/>
                <w:b w:val="1"/>
                <w:bCs w:val="1"/>
                <w:color w:val="191769"/>
              </w:rPr>
              <w:t>for CEO</w:t>
            </w:r>
          </w:p>
        </w:tc>
        <w:tc>
          <w:tcPr>
            <w:tcW w:w="1540" w:type="dxa"/>
            <w:vAlign w:val="bottom"/>
            <w:tcBorders>
              <w:bottom w:val="single" w:sz="8" w:color="00AEEF"/>
            </w:tcBorders>
            <w:gridSpan w:val="2"/>
          </w:tcPr>
          <w:p>
            <w:pPr>
              <w:ind w:left="360"/>
              <w:spacing w:after="0"/>
              <w:rPr>
                <w:sz w:val="20"/>
                <w:szCs w:val="20"/>
                <w:color w:val="auto"/>
              </w:rPr>
            </w:pPr>
            <w:r>
              <w:rPr>
                <w:rFonts w:ascii="Arial" w:cs="Arial" w:eastAsia="Arial" w:hAnsi="Arial"/>
                <w:sz w:val="13"/>
                <w:szCs w:val="13"/>
                <w:b w:val="1"/>
                <w:bCs w:val="1"/>
                <w:color w:val="191769"/>
              </w:rPr>
              <w:t>Awards for CEO</w:t>
            </w:r>
          </w:p>
        </w:tc>
        <w:tc>
          <w:tcPr>
            <w:tcW w:w="360" w:type="dxa"/>
            <w:vAlign w:val="bottom"/>
            <w:tcBorders>
              <w:bottom w:val="single" w:sz="8" w:color="00AEEF"/>
            </w:tcBorders>
          </w:tcPr>
          <w:p>
            <w:pPr>
              <w:spacing w:after="0"/>
              <w:rPr>
                <w:sz w:val="16"/>
                <w:szCs w:val="16"/>
                <w:color w:val="auto"/>
              </w:rPr>
            </w:pPr>
          </w:p>
        </w:tc>
        <w:tc>
          <w:tcPr>
            <w:tcW w:w="1260" w:type="dxa"/>
            <w:vAlign w:val="bottom"/>
            <w:tcBorders>
              <w:bottom w:val="single" w:sz="8" w:color="00AEEF"/>
            </w:tcBorders>
          </w:tcPr>
          <w:p>
            <w:pPr>
              <w:jc w:val="right"/>
              <w:ind w:right="225"/>
              <w:spacing w:after="0"/>
              <w:rPr>
                <w:sz w:val="20"/>
                <w:szCs w:val="20"/>
                <w:color w:val="auto"/>
              </w:rPr>
            </w:pPr>
            <w:r>
              <w:rPr>
                <w:rFonts w:ascii="Arial" w:cs="Arial" w:eastAsia="Arial" w:hAnsi="Arial"/>
                <w:sz w:val="13"/>
                <w:szCs w:val="13"/>
                <w:b w:val="1"/>
                <w:bCs w:val="1"/>
                <w:color w:val="191769"/>
              </w:rPr>
              <w:t>for CEO</w:t>
            </w:r>
          </w:p>
        </w:tc>
        <w:tc>
          <w:tcPr>
            <w:tcW w:w="400" w:type="dxa"/>
            <w:vAlign w:val="bottom"/>
            <w:tcBorders>
              <w:bottom w:val="single" w:sz="8" w:color="00AEEF"/>
            </w:tcBorders>
          </w:tcPr>
          <w:p>
            <w:pPr>
              <w:spacing w:after="0"/>
              <w:rPr>
                <w:sz w:val="16"/>
                <w:szCs w:val="16"/>
                <w:color w:val="auto"/>
              </w:rPr>
            </w:pPr>
          </w:p>
        </w:tc>
        <w:tc>
          <w:tcPr>
            <w:tcW w:w="1140" w:type="dxa"/>
            <w:vAlign w:val="bottom"/>
            <w:tcBorders>
              <w:bottom w:val="single" w:sz="8" w:color="00AEEF"/>
            </w:tcBorders>
          </w:tcPr>
          <w:p>
            <w:pPr>
              <w:jc w:val="right"/>
              <w:ind w:right="185"/>
              <w:spacing w:after="0"/>
              <w:rPr>
                <w:sz w:val="20"/>
                <w:szCs w:val="20"/>
                <w:color w:val="auto"/>
              </w:rPr>
            </w:pPr>
            <w:r>
              <w:rPr>
                <w:rFonts w:ascii="Arial" w:cs="Arial" w:eastAsia="Arial" w:hAnsi="Arial"/>
                <w:sz w:val="13"/>
                <w:szCs w:val="13"/>
                <w:b w:val="1"/>
                <w:bCs w:val="1"/>
                <w:color w:val="191769"/>
                <w:w w:val="98"/>
              </w:rPr>
              <w:t>Value for CEO</w:t>
            </w:r>
          </w:p>
        </w:tc>
        <w:tc>
          <w:tcPr>
            <w:tcW w:w="360" w:type="dxa"/>
            <w:vAlign w:val="bottom"/>
            <w:tcBorders>
              <w:bottom w:val="single" w:sz="8" w:color="00AEEF"/>
            </w:tcBorders>
          </w:tcPr>
          <w:p>
            <w:pPr>
              <w:spacing w:after="0"/>
              <w:rPr>
                <w:sz w:val="16"/>
                <w:szCs w:val="16"/>
                <w:color w:val="auto"/>
              </w:rPr>
            </w:pPr>
          </w:p>
        </w:tc>
        <w:tc>
          <w:tcPr>
            <w:tcW w:w="1080" w:type="dxa"/>
            <w:vAlign w:val="bottom"/>
            <w:tcBorders>
              <w:bottom w:val="single" w:sz="8" w:color="00AEEF"/>
            </w:tcBorders>
          </w:tcPr>
          <w:p>
            <w:pPr>
              <w:jc w:val="right"/>
              <w:ind w:right="185"/>
              <w:spacing w:after="0"/>
              <w:rPr>
                <w:sz w:val="20"/>
                <w:szCs w:val="20"/>
                <w:color w:val="auto"/>
              </w:rPr>
            </w:pPr>
            <w:r>
              <w:rPr>
                <w:rFonts w:ascii="Arial" w:cs="Arial" w:eastAsia="Arial" w:hAnsi="Arial"/>
                <w:sz w:val="13"/>
                <w:szCs w:val="13"/>
                <w:b w:val="1"/>
                <w:bCs w:val="1"/>
                <w:color w:val="191769"/>
              </w:rPr>
              <w:t>for CEO</w:t>
            </w:r>
          </w:p>
        </w:tc>
        <w:tc>
          <w:tcPr>
            <w:tcW w:w="400" w:type="dxa"/>
            <w:vAlign w:val="bottom"/>
            <w:tcBorders>
              <w:bottom w:val="single" w:sz="8" w:color="00AEEF"/>
            </w:tcBorders>
          </w:tcPr>
          <w:p>
            <w:pPr>
              <w:spacing w:after="0"/>
              <w:rPr>
                <w:sz w:val="16"/>
                <w:szCs w:val="16"/>
                <w:color w:val="auto"/>
              </w:rPr>
            </w:pPr>
          </w:p>
        </w:tc>
        <w:tc>
          <w:tcPr>
            <w:tcW w:w="960" w:type="dxa"/>
            <w:vAlign w:val="bottom"/>
            <w:tcBorders>
              <w:bottom w:val="single" w:sz="8" w:color="00AEEF"/>
            </w:tcBorders>
          </w:tcPr>
          <w:p>
            <w:pPr>
              <w:jc w:val="right"/>
              <w:spacing w:after="0"/>
              <w:rPr>
                <w:sz w:val="20"/>
                <w:szCs w:val="20"/>
                <w:color w:val="auto"/>
              </w:rPr>
            </w:pPr>
            <w:r>
              <w:rPr>
                <w:rFonts w:ascii="Arial" w:cs="Arial" w:eastAsia="Arial" w:hAnsi="Arial"/>
                <w:sz w:val="13"/>
                <w:szCs w:val="13"/>
                <w:b w:val="1"/>
                <w:bCs w:val="1"/>
                <w:color w:val="191769"/>
              </w:rPr>
              <w:t>Paid to CEO</w:t>
            </w:r>
          </w:p>
        </w:tc>
      </w:tr>
      <w:tr>
        <w:trPr>
          <w:trHeight w:val="223"/>
        </w:trPr>
        <w:tc>
          <w:tcPr>
            <w:tcW w:w="1360" w:type="dxa"/>
            <w:vAlign w:val="bottom"/>
          </w:tcPr>
          <w:p>
            <w:pPr>
              <w:ind w:left="20"/>
              <w:spacing w:after="0"/>
              <w:rPr>
                <w:sz w:val="20"/>
                <w:szCs w:val="20"/>
                <w:color w:val="auto"/>
              </w:rPr>
            </w:pPr>
            <w:r>
              <w:rPr>
                <w:rFonts w:ascii="Arial" w:cs="Arial" w:eastAsia="Arial" w:hAnsi="Arial"/>
                <w:sz w:val="16"/>
                <w:szCs w:val="16"/>
                <w:color w:val="auto"/>
              </w:rPr>
              <w:t>2025</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25"/>
              <w:spacing w:after="0"/>
              <w:rPr>
                <w:sz w:val="20"/>
                <w:szCs w:val="20"/>
                <w:color w:val="auto"/>
              </w:rPr>
            </w:pPr>
            <w:r>
              <w:rPr>
                <w:rFonts w:ascii="Arial" w:cs="Arial" w:eastAsia="Arial" w:hAnsi="Arial"/>
                <w:sz w:val="16"/>
                <w:szCs w:val="16"/>
                <w:color w:val="auto"/>
              </w:rPr>
              <w:t>1,906,024</w:t>
            </w:r>
          </w:p>
        </w:tc>
        <w:tc>
          <w:tcPr>
            <w:tcW w:w="520" w:type="dxa"/>
            <w:vAlign w:val="bottom"/>
          </w:tcPr>
          <w:p>
            <w:pPr>
              <w:ind w:left="3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3"/>
              <w:spacing w:after="0"/>
              <w:rPr>
                <w:sz w:val="20"/>
                <w:szCs w:val="20"/>
                <w:color w:val="auto"/>
              </w:rPr>
            </w:pPr>
            <w:r>
              <w:rPr>
                <w:rFonts w:ascii="Arial" w:cs="Arial" w:eastAsia="Arial" w:hAnsi="Arial"/>
                <w:sz w:val="16"/>
                <w:szCs w:val="16"/>
                <w:color w:val="auto"/>
              </w:rPr>
              <w:t>(678,000)</w:t>
            </w:r>
          </w:p>
        </w:tc>
        <w:tc>
          <w:tcPr>
            <w:tcW w:w="3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65"/>
              <w:spacing w:after="0"/>
              <w:rPr>
                <w:sz w:val="20"/>
                <w:szCs w:val="20"/>
                <w:color w:val="auto"/>
              </w:rPr>
            </w:pPr>
            <w:r>
              <w:rPr>
                <w:rFonts w:ascii="Arial" w:cs="Arial" w:eastAsia="Arial" w:hAnsi="Arial"/>
                <w:sz w:val="16"/>
                <w:szCs w:val="16"/>
                <w:color w:val="auto"/>
              </w:rPr>
              <w:t>340,126</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45"/>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45"/>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1,568,150</w:t>
            </w:r>
          </w:p>
        </w:tc>
      </w:tr>
      <w:tr>
        <w:trPr>
          <w:trHeight w:val="22"/>
        </w:trPr>
        <w:tc>
          <w:tcPr>
            <w:tcW w:w="1360" w:type="dxa"/>
            <w:vAlign w:val="bottom"/>
            <w:tcBorders>
              <w:bottom w:val="single" w:sz="8" w:color="D9D9D9"/>
            </w:tcBorders>
          </w:tcPr>
          <w:p>
            <w:pPr>
              <w:spacing w:after="0" w:line="20" w:lineRule="exact"/>
              <w:rPr>
                <w:sz w:val="1"/>
                <w:szCs w:val="1"/>
                <w:color w:val="auto"/>
              </w:rPr>
            </w:pPr>
          </w:p>
        </w:tc>
        <w:tc>
          <w:tcPr>
            <w:tcW w:w="1100" w:type="dxa"/>
            <w:vAlign w:val="bottom"/>
            <w:tcBorders>
              <w:bottom w:val="single" w:sz="8" w:color="D9D9D9"/>
            </w:tcBorders>
          </w:tcPr>
          <w:p>
            <w:pPr>
              <w:spacing w:after="0" w:line="20" w:lineRule="exact"/>
              <w:rPr>
                <w:sz w:val="1"/>
                <w:szCs w:val="1"/>
                <w:color w:val="auto"/>
              </w:rPr>
            </w:pPr>
          </w:p>
        </w:tc>
        <w:tc>
          <w:tcPr>
            <w:tcW w:w="1280" w:type="dxa"/>
            <w:vAlign w:val="bottom"/>
            <w:tcBorders>
              <w:bottom w:val="single" w:sz="8" w:color="D9D9D9"/>
            </w:tcBorders>
          </w:tcPr>
          <w:p>
            <w:pPr>
              <w:spacing w:after="0" w:line="20" w:lineRule="exact"/>
              <w:rPr>
                <w:sz w:val="1"/>
                <w:szCs w:val="1"/>
                <w:color w:val="auto"/>
              </w:rPr>
            </w:pPr>
          </w:p>
        </w:tc>
        <w:tc>
          <w:tcPr>
            <w:tcW w:w="520" w:type="dxa"/>
            <w:vAlign w:val="bottom"/>
            <w:tcBorders>
              <w:bottom w:val="single" w:sz="8" w:color="D9D9D9"/>
            </w:tcBorders>
          </w:tcPr>
          <w:p>
            <w:pPr>
              <w:spacing w:after="0" w:line="20" w:lineRule="exact"/>
              <w:rPr>
                <w:sz w:val="1"/>
                <w:szCs w:val="1"/>
                <w:color w:val="auto"/>
              </w:rPr>
            </w:pPr>
          </w:p>
        </w:tc>
        <w:tc>
          <w:tcPr>
            <w:tcW w:w="1020" w:type="dxa"/>
            <w:vAlign w:val="bottom"/>
            <w:tcBorders>
              <w:bottom w:val="single" w:sz="8" w:color="D9D9D9"/>
            </w:tcBorders>
          </w:tcPr>
          <w:p>
            <w:pPr>
              <w:spacing w:after="0" w:line="20" w:lineRule="exact"/>
              <w:rPr>
                <w:sz w:val="1"/>
                <w:szCs w:val="1"/>
                <w:color w:val="auto"/>
              </w:rPr>
            </w:pPr>
          </w:p>
        </w:tc>
        <w:tc>
          <w:tcPr>
            <w:tcW w:w="360" w:type="dxa"/>
            <w:vAlign w:val="bottom"/>
            <w:tcBorders>
              <w:bottom w:val="single" w:sz="8" w:color="D9D9D9"/>
            </w:tcBorders>
          </w:tcPr>
          <w:p>
            <w:pPr>
              <w:spacing w:after="0" w:line="20" w:lineRule="exact"/>
              <w:rPr>
                <w:sz w:val="1"/>
                <w:szCs w:val="1"/>
                <w:color w:val="auto"/>
              </w:rPr>
            </w:pPr>
          </w:p>
        </w:tc>
        <w:tc>
          <w:tcPr>
            <w:tcW w:w="1260" w:type="dxa"/>
            <w:vAlign w:val="bottom"/>
            <w:tcBorders>
              <w:bottom w:val="single" w:sz="8" w:color="D9D9D9"/>
            </w:tcBorders>
          </w:tcPr>
          <w:p>
            <w:pPr>
              <w:spacing w:after="0" w:line="20" w:lineRule="exact"/>
              <w:rPr>
                <w:sz w:val="1"/>
                <w:szCs w:val="1"/>
                <w:color w:val="auto"/>
              </w:rPr>
            </w:pPr>
          </w:p>
        </w:tc>
        <w:tc>
          <w:tcPr>
            <w:tcW w:w="400" w:type="dxa"/>
            <w:vAlign w:val="bottom"/>
            <w:tcBorders>
              <w:bottom w:val="single" w:sz="8" w:color="D9D9D9"/>
            </w:tcBorders>
          </w:tcPr>
          <w:p>
            <w:pPr>
              <w:spacing w:after="0" w:line="20" w:lineRule="exact"/>
              <w:rPr>
                <w:sz w:val="1"/>
                <w:szCs w:val="1"/>
                <w:color w:val="auto"/>
              </w:rPr>
            </w:pPr>
          </w:p>
        </w:tc>
        <w:tc>
          <w:tcPr>
            <w:tcW w:w="1140" w:type="dxa"/>
            <w:vAlign w:val="bottom"/>
            <w:tcBorders>
              <w:bottom w:val="single" w:sz="8" w:color="D9D9D9"/>
            </w:tcBorders>
          </w:tcPr>
          <w:p>
            <w:pPr>
              <w:spacing w:after="0" w:line="20" w:lineRule="exact"/>
              <w:rPr>
                <w:sz w:val="1"/>
                <w:szCs w:val="1"/>
                <w:color w:val="auto"/>
              </w:rPr>
            </w:pPr>
          </w:p>
        </w:tc>
        <w:tc>
          <w:tcPr>
            <w:tcW w:w="360" w:type="dxa"/>
            <w:vAlign w:val="bottom"/>
            <w:tcBorders>
              <w:bottom w:val="single" w:sz="8" w:color="D9D9D9"/>
            </w:tcBorders>
          </w:tcPr>
          <w:p>
            <w:pPr>
              <w:spacing w:after="0" w:line="20" w:lineRule="exact"/>
              <w:rPr>
                <w:sz w:val="1"/>
                <w:szCs w:val="1"/>
                <w:color w:val="auto"/>
              </w:rPr>
            </w:pPr>
          </w:p>
        </w:tc>
        <w:tc>
          <w:tcPr>
            <w:tcW w:w="1080" w:type="dxa"/>
            <w:vAlign w:val="bottom"/>
            <w:tcBorders>
              <w:bottom w:val="single" w:sz="8" w:color="D9D9D9"/>
            </w:tcBorders>
          </w:tcPr>
          <w:p>
            <w:pPr>
              <w:spacing w:after="0" w:line="20" w:lineRule="exact"/>
              <w:rPr>
                <w:sz w:val="1"/>
                <w:szCs w:val="1"/>
                <w:color w:val="auto"/>
              </w:rPr>
            </w:pPr>
          </w:p>
        </w:tc>
        <w:tc>
          <w:tcPr>
            <w:tcW w:w="400" w:type="dxa"/>
            <w:vAlign w:val="bottom"/>
            <w:tcBorders>
              <w:bottom w:val="single" w:sz="8" w:color="D9D9D9"/>
            </w:tcBorders>
          </w:tcPr>
          <w:p>
            <w:pPr>
              <w:spacing w:after="0" w:line="20" w:lineRule="exact"/>
              <w:rPr>
                <w:sz w:val="1"/>
                <w:szCs w:val="1"/>
                <w:color w:val="auto"/>
              </w:rPr>
            </w:pPr>
          </w:p>
        </w:tc>
        <w:tc>
          <w:tcPr>
            <w:tcW w:w="960" w:type="dxa"/>
            <w:vAlign w:val="bottom"/>
            <w:tcBorders>
              <w:bottom w:val="single" w:sz="8" w:color="D9D9D9"/>
            </w:tcBorders>
          </w:tcPr>
          <w:p>
            <w:pPr>
              <w:spacing w:after="0" w:line="20" w:lineRule="exact"/>
              <w:rPr>
                <w:sz w:val="1"/>
                <w:szCs w:val="1"/>
                <w:color w:val="auto"/>
              </w:rPr>
            </w:pPr>
          </w:p>
        </w:tc>
      </w:tr>
      <w:tr>
        <w:trPr>
          <w:trHeight w:val="217"/>
        </w:trPr>
        <w:tc>
          <w:tcPr>
            <w:tcW w:w="1360" w:type="dxa"/>
            <w:vAlign w:val="bottom"/>
          </w:tcPr>
          <w:p>
            <w:pPr>
              <w:ind w:left="20"/>
              <w:spacing w:after="0"/>
              <w:rPr>
                <w:sz w:val="20"/>
                <w:szCs w:val="20"/>
                <w:color w:val="auto"/>
              </w:rPr>
            </w:pPr>
            <w:r>
              <w:rPr>
                <w:rFonts w:ascii="Arial" w:cs="Arial" w:eastAsia="Arial" w:hAnsi="Arial"/>
                <w:sz w:val="16"/>
                <w:szCs w:val="16"/>
                <w:color w:val="auto"/>
              </w:rPr>
              <w:t>2024</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25"/>
              <w:spacing w:after="0"/>
              <w:rPr>
                <w:sz w:val="20"/>
                <w:szCs w:val="20"/>
                <w:color w:val="auto"/>
              </w:rPr>
            </w:pPr>
            <w:r>
              <w:rPr>
                <w:rFonts w:ascii="Arial" w:cs="Arial" w:eastAsia="Arial" w:hAnsi="Arial"/>
                <w:sz w:val="16"/>
                <w:szCs w:val="16"/>
                <w:color w:val="auto"/>
              </w:rPr>
              <w:t>1,828,153</w:t>
            </w:r>
          </w:p>
        </w:tc>
        <w:tc>
          <w:tcPr>
            <w:tcW w:w="520" w:type="dxa"/>
            <w:vAlign w:val="bottom"/>
          </w:tcPr>
          <w:p>
            <w:pPr>
              <w:spacing w:after="0"/>
              <w:rPr>
                <w:sz w:val="18"/>
                <w:szCs w:val="18"/>
                <w:color w:val="auto"/>
              </w:rPr>
            </w:pPr>
          </w:p>
        </w:tc>
        <w:tc>
          <w:tcPr>
            <w:tcW w:w="1020" w:type="dxa"/>
            <w:vAlign w:val="bottom"/>
          </w:tcPr>
          <w:p>
            <w:pPr>
              <w:jc w:val="right"/>
              <w:ind w:right="103"/>
              <w:spacing w:after="0"/>
              <w:rPr>
                <w:sz w:val="20"/>
                <w:szCs w:val="20"/>
                <w:color w:val="auto"/>
              </w:rPr>
            </w:pPr>
            <w:r>
              <w:rPr>
                <w:rFonts w:ascii="Arial" w:cs="Arial" w:eastAsia="Arial" w:hAnsi="Arial"/>
                <w:sz w:val="16"/>
                <w:szCs w:val="16"/>
                <w:color w:val="auto"/>
              </w:rPr>
              <w:t>(250,000)</w:t>
            </w:r>
          </w:p>
        </w:tc>
        <w:tc>
          <w:tcPr>
            <w:tcW w:w="3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65"/>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45"/>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45"/>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1,578,153</w:t>
            </w:r>
          </w:p>
        </w:tc>
      </w:tr>
      <w:tr>
        <w:trPr>
          <w:trHeight w:val="22"/>
        </w:trPr>
        <w:tc>
          <w:tcPr>
            <w:tcW w:w="1360" w:type="dxa"/>
            <w:vAlign w:val="bottom"/>
            <w:tcBorders>
              <w:bottom w:val="single" w:sz="8" w:color="D9D9D9"/>
            </w:tcBorders>
          </w:tcPr>
          <w:p>
            <w:pPr>
              <w:spacing w:after="0" w:line="20" w:lineRule="exact"/>
              <w:rPr>
                <w:sz w:val="1"/>
                <w:szCs w:val="1"/>
                <w:color w:val="auto"/>
              </w:rPr>
            </w:pPr>
          </w:p>
        </w:tc>
        <w:tc>
          <w:tcPr>
            <w:tcW w:w="1100" w:type="dxa"/>
            <w:vAlign w:val="bottom"/>
            <w:tcBorders>
              <w:bottom w:val="single" w:sz="8" w:color="D9D9D9"/>
            </w:tcBorders>
          </w:tcPr>
          <w:p>
            <w:pPr>
              <w:spacing w:after="0" w:line="20" w:lineRule="exact"/>
              <w:rPr>
                <w:sz w:val="1"/>
                <w:szCs w:val="1"/>
                <w:color w:val="auto"/>
              </w:rPr>
            </w:pPr>
          </w:p>
        </w:tc>
        <w:tc>
          <w:tcPr>
            <w:tcW w:w="1280" w:type="dxa"/>
            <w:vAlign w:val="bottom"/>
            <w:tcBorders>
              <w:bottom w:val="single" w:sz="8" w:color="D9D9D9"/>
            </w:tcBorders>
          </w:tcPr>
          <w:p>
            <w:pPr>
              <w:spacing w:after="0" w:line="20" w:lineRule="exact"/>
              <w:rPr>
                <w:sz w:val="1"/>
                <w:szCs w:val="1"/>
                <w:color w:val="auto"/>
              </w:rPr>
            </w:pPr>
          </w:p>
        </w:tc>
        <w:tc>
          <w:tcPr>
            <w:tcW w:w="520" w:type="dxa"/>
            <w:vAlign w:val="bottom"/>
            <w:tcBorders>
              <w:bottom w:val="single" w:sz="8" w:color="D9D9D9"/>
            </w:tcBorders>
          </w:tcPr>
          <w:p>
            <w:pPr>
              <w:spacing w:after="0" w:line="20" w:lineRule="exact"/>
              <w:rPr>
                <w:sz w:val="1"/>
                <w:szCs w:val="1"/>
                <w:color w:val="auto"/>
              </w:rPr>
            </w:pPr>
          </w:p>
        </w:tc>
        <w:tc>
          <w:tcPr>
            <w:tcW w:w="1020" w:type="dxa"/>
            <w:vAlign w:val="bottom"/>
            <w:tcBorders>
              <w:bottom w:val="single" w:sz="8" w:color="D9D9D9"/>
            </w:tcBorders>
          </w:tcPr>
          <w:p>
            <w:pPr>
              <w:spacing w:after="0" w:line="20" w:lineRule="exact"/>
              <w:rPr>
                <w:sz w:val="1"/>
                <w:szCs w:val="1"/>
                <w:color w:val="auto"/>
              </w:rPr>
            </w:pPr>
          </w:p>
        </w:tc>
        <w:tc>
          <w:tcPr>
            <w:tcW w:w="360" w:type="dxa"/>
            <w:vAlign w:val="bottom"/>
            <w:tcBorders>
              <w:bottom w:val="single" w:sz="8" w:color="D9D9D9"/>
            </w:tcBorders>
          </w:tcPr>
          <w:p>
            <w:pPr>
              <w:spacing w:after="0" w:line="20" w:lineRule="exact"/>
              <w:rPr>
                <w:sz w:val="1"/>
                <w:szCs w:val="1"/>
                <w:color w:val="auto"/>
              </w:rPr>
            </w:pPr>
          </w:p>
        </w:tc>
        <w:tc>
          <w:tcPr>
            <w:tcW w:w="1260" w:type="dxa"/>
            <w:vAlign w:val="bottom"/>
            <w:tcBorders>
              <w:bottom w:val="single" w:sz="8" w:color="D9D9D9"/>
            </w:tcBorders>
          </w:tcPr>
          <w:p>
            <w:pPr>
              <w:spacing w:after="0" w:line="20" w:lineRule="exact"/>
              <w:rPr>
                <w:sz w:val="1"/>
                <w:szCs w:val="1"/>
                <w:color w:val="auto"/>
              </w:rPr>
            </w:pPr>
          </w:p>
        </w:tc>
        <w:tc>
          <w:tcPr>
            <w:tcW w:w="400" w:type="dxa"/>
            <w:vAlign w:val="bottom"/>
            <w:tcBorders>
              <w:bottom w:val="single" w:sz="8" w:color="D9D9D9"/>
            </w:tcBorders>
          </w:tcPr>
          <w:p>
            <w:pPr>
              <w:spacing w:after="0" w:line="20" w:lineRule="exact"/>
              <w:rPr>
                <w:sz w:val="1"/>
                <w:szCs w:val="1"/>
                <w:color w:val="auto"/>
              </w:rPr>
            </w:pPr>
          </w:p>
        </w:tc>
        <w:tc>
          <w:tcPr>
            <w:tcW w:w="1140" w:type="dxa"/>
            <w:vAlign w:val="bottom"/>
            <w:tcBorders>
              <w:bottom w:val="single" w:sz="8" w:color="D9D9D9"/>
            </w:tcBorders>
          </w:tcPr>
          <w:p>
            <w:pPr>
              <w:spacing w:after="0" w:line="20" w:lineRule="exact"/>
              <w:rPr>
                <w:sz w:val="1"/>
                <w:szCs w:val="1"/>
                <w:color w:val="auto"/>
              </w:rPr>
            </w:pPr>
          </w:p>
        </w:tc>
        <w:tc>
          <w:tcPr>
            <w:tcW w:w="360" w:type="dxa"/>
            <w:vAlign w:val="bottom"/>
            <w:tcBorders>
              <w:bottom w:val="single" w:sz="8" w:color="D9D9D9"/>
            </w:tcBorders>
          </w:tcPr>
          <w:p>
            <w:pPr>
              <w:spacing w:after="0" w:line="20" w:lineRule="exact"/>
              <w:rPr>
                <w:sz w:val="1"/>
                <w:szCs w:val="1"/>
                <w:color w:val="auto"/>
              </w:rPr>
            </w:pPr>
          </w:p>
        </w:tc>
        <w:tc>
          <w:tcPr>
            <w:tcW w:w="1080" w:type="dxa"/>
            <w:vAlign w:val="bottom"/>
            <w:tcBorders>
              <w:bottom w:val="single" w:sz="8" w:color="D9D9D9"/>
            </w:tcBorders>
          </w:tcPr>
          <w:p>
            <w:pPr>
              <w:spacing w:after="0" w:line="20" w:lineRule="exact"/>
              <w:rPr>
                <w:sz w:val="1"/>
                <w:szCs w:val="1"/>
                <w:color w:val="auto"/>
              </w:rPr>
            </w:pPr>
          </w:p>
        </w:tc>
        <w:tc>
          <w:tcPr>
            <w:tcW w:w="400" w:type="dxa"/>
            <w:vAlign w:val="bottom"/>
            <w:tcBorders>
              <w:bottom w:val="single" w:sz="8" w:color="D9D9D9"/>
            </w:tcBorders>
          </w:tcPr>
          <w:p>
            <w:pPr>
              <w:spacing w:after="0" w:line="20" w:lineRule="exact"/>
              <w:rPr>
                <w:sz w:val="1"/>
                <w:szCs w:val="1"/>
                <w:color w:val="auto"/>
              </w:rPr>
            </w:pPr>
          </w:p>
        </w:tc>
        <w:tc>
          <w:tcPr>
            <w:tcW w:w="960" w:type="dxa"/>
            <w:vAlign w:val="bottom"/>
            <w:tcBorders>
              <w:bottom w:val="single" w:sz="8" w:color="D9D9D9"/>
            </w:tcBorders>
          </w:tcPr>
          <w:p>
            <w:pPr>
              <w:spacing w:after="0" w:line="20" w:lineRule="exact"/>
              <w:rPr>
                <w:sz w:val="1"/>
                <w:szCs w:val="1"/>
                <w:color w:val="auto"/>
              </w:rPr>
            </w:pPr>
          </w:p>
        </w:tc>
      </w:tr>
      <w:tr>
        <w:trPr>
          <w:trHeight w:val="217"/>
        </w:trPr>
        <w:tc>
          <w:tcPr>
            <w:tcW w:w="1360" w:type="dxa"/>
            <w:vAlign w:val="bottom"/>
          </w:tcPr>
          <w:p>
            <w:pPr>
              <w:ind w:left="20"/>
              <w:spacing w:after="0"/>
              <w:rPr>
                <w:sz w:val="20"/>
                <w:szCs w:val="20"/>
                <w:color w:val="auto"/>
              </w:rPr>
            </w:pPr>
            <w:r>
              <w:rPr>
                <w:rFonts w:ascii="Arial" w:cs="Arial" w:eastAsia="Arial" w:hAnsi="Arial"/>
                <w:sz w:val="16"/>
                <w:szCs w:val="16"/>
                <w:color w:val="auto"/>
              </w:rPr>
              <w:t>2023</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25"/>
              <w:spacing w:after="0"/>
              <w:rPr>
                <w:sz w:val="20"/>
                <w:szCs w:val="20"/>
                <w:color w:val="auto"/>
              </w:rPr>
            </w:pPr>
            <w:r>
              <w:rPr>
                <w:rFonts w:ascii="Arial" w:cs="Arial" w:eastAsia="Arial" w:hAnsi="Arial"/>
                <w:sz w:val="16"/>
                <w:szCs w:val="16"/>
                <w:color w:val="auto"/>
              </w:rPr>
              <w:t>1,758,814</w:t>
            </w:r>
          </w:p>
        </w:tc>
        <w:tc>
          <w:tcPr>
            <w:tcW w:w="520" w:type="dxa"/>
            <w:vAlign w:val="bottom"/>
          </w:tcPr>
          <w:p>
            <w:pPr>
              <w:ind w:left="3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65"/>
              <w:spacing w:after="0"/>
              <w:rPr>
                <w:sz w:val="20"/>
                <w:szCs w:val="20"/>
                <w:color w:val="auto"/>
              </w:rPr>
            </w:pPr>
            <w:r>
              <w:rPr>
                <w:rFonts w:ascii="Arial" w:cs="Arial" w:eastAsia="Arial" w:hAnsi="Arial"/>
                <w:sz w:val="16"/>
                <w:szCs w:val="16"/>
                <w:color w:val="auto"/>
              </w:rPr>
              <w:t>21,252</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85"/>
              <w:spacing w:after="0"/>
              <w:rPr>
                <w:sz w:val="20"/>
                <w:szCs w:val="20"/>
                <w:color w:val="auto"/>
              </w:rPr>
            </w:pPr>
            <w:r>
              <w:rPr>
                <w:rFonts w:ascii="Arial" w:cs="Arial" w:eastAsia="Arial" w:hAnsi="Arial"/>
                <w:sz w:val="16"/>
                <w:szCs w:val="16"/>
                <w:color w:val="auto"/>
              </w:rPr>
              <w:t>(630,526)</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45"/>
              <w:spacing w:after="0"/>
              <w:rPr>
                <w:sz w:val="20"/>
                <w:szCs w:val="20"/>
                <w:color w:val="auto"/>
              </w:rPr>
            </w:pPr>
            <w:r>
              <w:rPr>
                <w:rFonts w:ascii="Arial" w:cs="Arial" w:eastAsia="Arial" w:hAnsi="Arial"/>
                <w:sz w:val="16"/>
                <w:szCs w:val="16"/>
                <w:color w:val="auto"/>
              </w:rPr>
              <w:t>264,510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1,414,050</w:t>
            </w:r>
          </w:p>
        </w:tc>
      </w:tr>
      <w:tr>
        <w:trPr>
          <w:trHeight w:val="22"/>
        </w:trPr>
        <w:tc>
          <w:tcPr>
            <w:tcW w:w="1360" w:type="dxa"/>
            <w:vAlign w:val="bottom"/>
            <w:tcBorders>
              <w:bottom w:val="single" w:sz="8" w:color="D9D9D9"/>
            </w:tcBorders>
          </w:tcPr>
          <w:p>
            <w:pPr>
              <w:spacing w:after="0" w:line="20" w:lineRule="exact"/>
              <w:rPr>
                <w:sz w:val="1"/>
                <w:szCs w:val="1"/>
                <w:color w:val="auto"/>
              </w:rPr>
            </w:pPr>
          </w:p>
        </w:tc>
        <w:tc>
          <w:tcPr>
            <w:tcW w:w="1100" w:type="dxa"/>
            <w:vAlign w:val="bottom"/>
            <w:tcBorders>
              <w:bottom w:val="single" w:sz="8" w:color="D9D9D9"/>
            </w:tcBorders>
          </w:tcPr>
          <w:p>
            <w:pPr>
              <w:spacing w:after="0" w:line="20" w:lineRule="exact"/>
              <w:rPr>
                <w:sz w:val="1"/>
                <w:szCs w:val="1"/>
                <w:color w:val="auto"/>
              </w:rPr>
            </w:pPr>
          </w:p>
        </w:tc>
        <w:tc>
          <w:tcPr>
            <w:tcW w:w="1280" w:type="dxa"/>
            <w:vAlign w:val="bottom"/>
            <w:tcBorders>
              <w:bottom w:val="single" w:sz="8" w:color="D9D9D9"/>
            </w:tcBorders>
          </w:tcPr>
          <w:p>
            <w:pPr>
              <w:spacing w:after="0" w:line="20" w:lineRule="exact"/>
              <w:rPr>
                <w:sz w:val="1"/>
                <w:szCs w:val="1"/>
                <w:color w:val="auto"/>
              </w:rPr>
            </w:pPr>
          </w:p>
        </w:tc>
        <w:tc>
          <w:tcPr>
            <w:tcW w:w="520" w:type="dxa"/>
            <w:vAlign w:val="bottom"/>
            <w:tcBorders>
              <w:bottom w:val="single" w:sz="8" w:color="D9D9D9"/>
            </w:tcBorders>
          </w:tcPr>
          <w:p>
            <w:pPr>
              <w:spacing w:after="0" w:line="20" w:lineRule="exact"/>
              <w:rPr>
                <w:sz w:val="1"/>
                <w:szCs w:val="1"/>
                <w:color w:val="auto"/>
              </w:rPr>
            </w:pPr>
          </w:p>
        </w:tc>
        <w:tc>
          <w:tcPr>
            <w:tcW w:w="1020" w:type="dxa"/>
            <w:vAlign w:val="bottom"/>
            <w:tcBorders>
              <w:bottom w:val="single" w:sz="8" w:color="D9D9D9"/>
            </w:tcBorders>
          </w:tcPr>
          <w:p>
            <w:pPr>
              <w:spacing w:after="0" w:line="20" w:lineRule="exact"/>
              <w:rPr>
                <w:sz w:val="1"/>
                <w:szCs w:val="1"/>
                <w:color w:val="auto"/>
              </w:rPr>
            </w:pPr>
          </w:p>
        </w:tc>
        <w:tc>
          <w:tcPr>
            <w:tcW w:w="360" w:type="dxa"/>
            <w:vAlign w:val="bottom"/>
            <w:tcBorders>
              <w:bottom w:val="single" w:sz="8" w:color="D9D9D9"/>
            </w:tcBorders>
          </w:tcPr>
          <w:p>
            <w:pPr>
              <w:spacing w:after="0" w:line="20" w:lineRule="exact"/>
              <w:rPr>
                <w:sz w:val="1"/>
                <w:szCs w:val="1"/>
                <w:color w:val="auto"/>
              </w:rPr>
            </w:pPr>
          </w:p>
        </w:tc>
        <w:tc>
          <w:tcPr>
            <w:tcW w:w="1260" w:type="dxa"/>
            <w:vAlign w:val="bottom"/>
            <w:tcBorders>
              <w:bottom w:val="single" w:sz="8" w:color="D9D9D9"/>
            </w:tcBorders>
          </w:tcPr>
          <w:p>
            <w:pPr>
              <w:spacing w:after="0" w:line="20" w:lineRule="exact"/>
              <w:rPr>
                <w:sz w:val="1"/>
                <w:szCs w:val="1"/>
                <w:color w:val="auto"/>
              </w:rPr>
            </w:pPr>
          </w:p>
        </w:tc>
        <w:tc>
          <w:tcPr>
            <w:tcW w:w="400" w:type="dxa"/>
            <w:vAlign w:val="bottom"/>
            <w:tcBorders>
              <w:bottom w:val="single" w:sz="8" w:color="D9D9D9"/>
            </w:tcBorders>
          </w:tcPr>
          <w:p>
            <w:pPr>
              <w:spacing w:after="0" w:line="20" w:lineRule="exact"/>
              <w:rPr>
                <w:sz w:val="1"/>
                <w:szCs w:val="1"/>
                <w:color w:val="auto"/>
              </w:rPr>
            </w:pPr>
          </w:p>
        </w:tc>
        <w:tc>
          <w:tcPr>
            <w:tcW w:w="1140" w:type="dxa"/>
            <w:vAlign w:val="bottom"/>
            <w:tcBorders>
              <w:bottom w:val="single" w:sz="8" w:color="D9D9D9"/>
            </w:tcBorders>
          </w:tcPr>
          <w:p>
            <w:pPr>
              <w:spacing w:after="0" w:line="20" w:lineRule="exact"/>
              <w:rPr>
                <w:sz w:val="1"/>
                <w:szCs w:val="1"/>
                <w:color w:val="auto"/>
              </w:rPr>
            </w:pPr>
          </w:p>
        </w:tc>
        <w:tc>
          <w:tcPr>
            <w:tcW w:w="360" w:type="dxa"/>
            <w:vAlign w:val="bottom"/>
            <w:tcBorders>
              <w:bottom w:val="single" w:sz="8" w:color="D9D9D9"/>
            </w:tcBorders>
          </w:tcPr>
          <w:p>
            <w:pPr>
              <w:spacing w:after="0" w:line="20" w:lineRule="exact"/>
              <w:rPr>
                <w:sz w:val="1"/>
                <w:szCs w:val="1"/>
                <w:color w:val="auto"/>
              </w:rPr>
            </w:pPr>
          </w:p>
        </w:tc>
        <w:tc>
          <w:tcPr>
            <w:tcW w:w="1080" w:type="dxa"/>
            <w:vAlign w:val="bottom"/>
            <w:tcBorders>
              <w:bottom w:val="single" w:sz="8" w:color="D9D9D9"/>
            </w:tcBorders>
          </w:tcPr>
          <w:p>
            <w:pPr>
              <w:spacing w:after="0" w:line="20" w:lineRule="exact"/>
              <w:rPr>
                <w:sz w:val="1"/>
                <w:szCs w:val="1"/>
                <w:color w:val="auto"/>
              </w:rPr>
            </w:pPr>
          </w:p>
        </w:tc>
        <w:tc>
          <w:tcPr>
            <w:tcW w:w="400" w:type="dxa"/>
            <w:vAlign w:val="bottom"/>
            <w:tcBorders>
              <w:bottom w:val="single" w:sz="8" w:color="D9D9D9"/>
            </w:tcBorders>
          </w:tcPr>
          <w:p>
            <w:pPr>
              <w:spacing w:after="0" w:line="20" w:lineRule="exact"/>
              <w:rPr>
                <w:sz w:val="1"/>
                <w:szCs w:val="1"/>
                <w:color w:val="auto"/>
              </w:rPr>
            </w:pPr>
          </w:p>
        </w:tc>
        <w:tc>
          <w:tcPr>
            <w:tcW w:w="960" w:type="dxa"/>
            <w:vAlign w:val="bottom"/>
            <w:tcBorders>
              <w:bottom w:val="single" w:sz="8" w:color="D9D9D9"/>
            </w:tcBorders>
          </w:tcPr>
          <w:p>
            <w:pPr>
              <w:spacing w:after="0" w:line="20" w:lineRule="exact"/>
              <w:rPr>
                <w:sz w:val="1"/>
                <w:szCs w:val="1"/>
                <w:color w:val="auto"/>
              </w:rPr>
            </w:pPr>
          </w:p>
        </w:tc>
      </w:tr>
      <w:tr>
        <w:trPr>
          <w:trHeight w:val="217"/>
        </w:trPr>
        <w:tc>
          <w:tcPr>
            <w:tcW w:w="1360" w:type="dxa"/>
            <w:vAlign w:val="bottom"/>
          </w:tcPr>
          <w:p>
            <w:pPr>
              <w:ind w:left="20"/>
              <w:spacing w:after="0"/>
              <w:rPr>
                <w:sz w:val="20"/>
                <w:szCs w:val="20"/>
                <w:color w:val="auto"/>
              </w:rPr>
            </w:pPr>
            <w:r>
              <w:rPr>
                <w:rFonts w:ascii="Arial" w:cs="Arial" w:eastAsia="Arial" w:hAnsi="Arial"/>
                <w:sz w:val="16"/>
                <w:szCs w:val="16"/>
                <w:color w:val="auto"/>
              </w:rPr>
              <w:t>2022</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25"/>
              <w:spacing w:after="0"/>
              <w:rPr>
                <w:sz w:val="20"/>
                <w:szCs w:val="20"/>
                <w:color w:val="auto"/>
              </w:rPr>
            </w:pPr>
            <w:r>
              <w:rPr>
                <w:rFonts w:ascii="Arial" w:cs="Arial" w:eastAsia="Arial" w:hAnsi="Arial"/>
                <w:sz w:val="16"/>
                <w:szCs w:val="16"/>
                <w:color w:val="auto"/>
              </w:rPr>
              <w:t>1,154,726</w:t>
            </w:r>
          </w:p>
        </w:tc>
        <w:tc>
          <w:tcPr>
            <w:tcW w:w="520" w:type="dxa"/>
            <w:vAlign w:val="bottom"/>
          </w:tcPr>
          <w:p>
            <w:pPr>
              <w:ind w:left="3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3"/>
              <w:spacing w:after="0"/>
              <w:rPr>
                <w:sz w:val="20"/>
                <w:szCs w:val="20"/>
                <w:color w:val="auto"/>
              </w:rPr>
            </w:pPr>
            <w:r>
              <w:rPr>
                <w:rFonts w:ascii="Arial" w:cs="Arial" w:eastAsia="Arial" w:hAnsi="Arial"/>
                <w:sz w:val="16"/>
                <w:szCs w:val="16"/>
                <w:color w:val="auto"/>
              </w:rPr>
              <w:t>(400,000)</w:t>
            </w:r>
          </w:p>
        </w:tc>
        <w:tc>
          <w:tcPr>
            <w:tcW w:w="3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5"/>
              <w:spacing w:after="0"/>
              <w:rPr>
                <w:sz w:val="20"/>
                <w:szCs w:val="20"/>
                <w:color w:val="auto"/>
              </w:rPr>
            </w:pPr>
            <w:r>
              <w:rPr>
                <w:rFonts w:ascii="Arial" w:cs="Arial" w:eastAsia="Arial" w:hAnsi="Arial"/>
                <w:sz w:val="16"/>
                <w:szCs w:val="16"/>
                <w:color w:val="auto"/>
              </w:rPr>
              <w:t>(1,008,164)</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45"/>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45"/>
              <w:spacing w:after="0"/>
              <w:rPr>
                <w:sz w:val="20"/>
                <w:szCs w:val="20"/>
                <w:color w:val="auto"/>
              </w:rPr>
            </w:pPr>
            <w:r>
              <w:rPr>
                <w:rFonts w:ascii="Arial" w:cs="Arial" w:eastAsia="Arial" w:hAnsi="Arial"/>
                <w:sz w:val="16"/>
                <w:szCs w:val="16"/>
                <w:color w:val="auto"/>
              </w:rPr>
              <w:t>292,314</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38,876</w:t>
            </w:r>
          </w:p>
        </w:tc>
      </w:tr>
      <w:tr>
        <w:trPr>
          <w:trHeight w:val="22"/>
        </w:trPr>
        <w:tc>
          <w:tcPr>
            <w:tcW w:w="1360" w:type="dxa"/>
            <w:vAlign w:val="bottom"/>
            <w:tcBorders>
              <w:bottom w:val="single" w:sz="8" w:color="D9D9D9"/>
            </w:tcBorders>
          </w:tcPr>
          <w:p>
            <w:pPr>
              <w:spacing w:after="0" w:line="20" w:lineRule="exact"/>
              <w:rPr>
                <w:sz w:val="1"/>
                <w:szCs w:val="1"/>
                <w:color w:val="auto"/>
              </w:rPr>
            </w:pPr>
          </w:p>
        </w:tc>
        <w:tc>
          <w:tcPr>
            <w:tcW w:w="1100" w:type="dxa"/>
            <w:vAlign w:val="bottom"/>
            <w:tcBorders>
              <w:bottom w:val="single" w:sz="8" w:color="D9D9D9"/>
            </w:tcBorders>
          </w:tcPr>
          <w:p>
            <w:pPr>
              <w:spacing w:after="0" w:line="20" w:lineRule="exact"/>
              <w:rPr>
                <w:sz w:val="1"/>
                <w:szCs w:val="1"/>
                <w:color w:val="auto"/>
              </w:rPr>
            </w:pPr>
          </w:p>
        </w:tc>
        <w:tc>
          <w:tcPr>
            <w:tcW w:w="1280" w:type="dxa"/>
            <w:vAlign w:val="bottom"/>
            <w:tcBorders>
              <w:bottom w:val="single" w:sz="8" w:color="D9D9D9"/>
            </w:tcBorders>
          </w:tcPr>
          <w:p>
            <w:pPr>
              <w:spacing w:after="0" w:line="20" w:lineRule="exact"/>
              <w:rPr>
                <w:sz w:val="1"/>
                <w:szCs w:val="1"/>
                <w:color w:val="auto"/>
              </w:rPr>
            </w:pPr>
          </w:p>
        </w:tc>
        <w:tc>
          <w:tcPr>
            <w:tcW w:w="520" w:type="dxa"/>
            <w:vAlign w:val="bottom"/>
            <w:tcBorders>
              <w:bottom w:val="single" w:sz="8" w:color="D9D9D9"/>
            </w:tcBorders>
          </w:tcPr>
          <w:p>
            <w:pPr>
              <w:spacing w:after="0" w:line="20" w:lineRule="exact"/>
              <w:rPr>
                <w:sz w:val="1"/>
                <w:szCs w:val="1"/>
                <w:color w:val="auto"/>
              </w:rPr>
            </w:pPr>
          </w:p>
        </w:tc>
        <w:tc>
          <w:tcPr>
            <w:tcW w:w="1020" w:type="dxa"/>
            <w:vAlign w:val="bottom"/>
            <w:tcBorders>
              <w:bottom w:val="single" w:sz="8" w:color="D9D9D9"/>
            </w:tcBorders>
          </w:tcPr>
          <w:p>
            <w:pPr>
              <w:spacing w:after="0" w:line="20" w:lineRule="exact"/>
              <w:rPr>
                <w:sz w:val="1"/>
                <w:szCs w:val="1"/>
                <w:color w:val="auto"/>
              </w:rPr>
            </w:pPr>
          </w:p>
        </w:tc>
        <w:tc>
          <w:tcPr>
            <w:tcW w:w="360" w:type="dxa"/>
            <w:vAlign w:val="bottom"/>
            <w:tcBorders>
              <w:bottom w:val="single" w:sz="8" w:color="D9D9D9"/>
            </w:tcBorders>
          </w:tcPr>
          <w:p>
            <w:pPr>
              <w:spacing w:after="0" w:line="20" w:lineRule="exact"/>
              <w:rPr>
                <w:sz w:val="1"/>
                <w:szCs w:val="1"/>
                <w:color w:val="auto"/>
              </w:rPr>
            </w:pPr>
          </w:p>
        </w:tc>
        <w:tc>
          <w:tcPr>
            <w:tcW w:w="1260" w:type="dxa"/>
            <w:vAlign w:val="bottom"/>
            <w:tcBorders>
              <w:bottom w:val="single" w:sz="8" w:color="D9D9D9"/>
            </w:tcBorders>
          </w:tcPr>
          <w:p>
            <w:pPr>
              <w:spacing w:after="0" w:line="20" w:lineRule="exact"/>
              <w:rPr>
                <w:sz w:val="1"/>
                <w:szCs w:val="1"/>
                <w:color w:val="auto"/>
              </w:rPr>
            </w:pPr>
          </w:p>
        </w:tc>
        <w:tc>
          <w:tcPr>
            <w:tcW w:w="400" w:type="dxa"/>
            <w:vAlign w:val="bottom"/>
            <w:tcBorders>
              <w:bottom w:val="single" w:sz="8" w:color="D9D9D9"/>
            </w:tcBorders>
          </w:tcPr>
          <w:p>
            <w:pPr>
              <w:spacing w:after="0" w:line="20" w:lineRule="exact"/>
              <w:rPr>
                <w:sz w:val="1"/>
                <w:szCs w:val="1"/>
                <w:color w:val="auto"/>
              </w:rPr>
            </w:pPr>
          </w:p>
        </w:tc>
        <w:tc>
          <w:tcPr>
            <w:tcW w:w="1140" w:type="dxa"/>
            <w:vAlign w:val="bottom"/>
            <w:tcBorders>
              <w:bottom w:val="single" w:sz="8" w:color="D9D9D9"/>
            </w:tcBorders>
          </w:tcPr>
          <w:p>
            <w:pPr>
              <w:spacing w:after="0" w:line="20" w:lineRule="exact"/>
              <w:rPr>
                <w:sz w:val="1"/>
                <w:szCs w:val="1"/>
                <w:color w:val="auto"/>
              </w:rPr>
            </w:pPr>
          </w:p>
        </w:tc>
        <w:tc>
          <w:tcPr>
            <w:tcW w:w="360" w:type="dxa"/>
            <w:vAlign w:val="bottom"/>
            <w:tcBorders>
              <w:bottom w:val="single" w:sz="8" w:color="D9D9D9"/>
            </w:tcBorders>
          </w:tcPr>
          <w:p>
            <w:pPr>
              <w:spacing w:after="0" w:line="20" w:lineRule="exact"/>
              <w:rPr>
                <w:sz w:val="1"/>
                <w:szCs w:val="1"/>
                <w:color w:val="auto"/>
              </w:rPr>
            </w:pPr>
          </w:p>
        </w:tc>
        <w:tc>
          <w:tcPr>
            <w:tcW w:w="1080" w:type="dxa"/>
            <w:vAlign w:val="bottom"/>
            <w:tcBorders>
              <w:bottom w:val="single" w:sz="8" w:color="D9D9D9"/>
            </w:tcBorders>
          </w:tcPr>
          <w:p>
            <w:pPr>
              <w:spacing w:after="0" w:line="20" w:lineRule="exact"/>
              <w:rPr>
                <w:sz w:val="1"/>
                <w:szCs w:val="1"/>
                <w:color w:val="auto"/>
              </w:rPr>
            </w:pPr>
          </w:p>
        </w:tc>
        <w:tc>
          <w:tcPr>
            <w:tcW w:w="400" w:type="dxa"/>
            <w:vAlign w:val="bottom"/>
            <w:tcBorders>
              <w:bottom w:val="single" w:sz="8" w:color="D9D9D9"/>
            </w:tcBorders>
          </w:tcPr>
          <w:p>
            <w:pPr>
              <w:spacing w:after="0" w:line="20" w:lineRule="exact"/>
              <w:rPr>
                <w:sz w:val="1"/>
                <w:szCs w:val="1"/>
                <w:color w:val="auto"/>
              </w:rPr>
            </w:pPr>
          </w:p>
        </w:tc>
        <w:tc>
          <w:tcPr>
            <w:tcW w:w="960" w:type="dxa"/>
            <w:vAlign w:val="bottom"/>
            <w:tcBorders>
              <w:bottom w:val="single" w:sz="8" w:color="D9D9D9"/>
            </w:tcBorders>
          </w:tcPr>
          <w:p>
            <w:pPr>
              <w:spacing w:after="0" w:line="20" w:lineRule="exact"/>
              <w:rPr>
                <w:sz w:val="1"/>
                <w:szCs w:val="1"/>
                <w:color w:val="auto"/>
              </w:rPr>
            </w:pPr>
          </w:p>
        </w:tc>
      </w:tr>
      <w:tr>
        <w:trPr>
          <w:trHeight w:val="217"/>
        </w:trPr>
        <w:tc>
          <w:tcPr>
            <w:tcW w:w="1360" w:type="dxa"/>
            <w:vAlign w:val="bottom"/>
          </w:tcPr>
          <w:p>
            <w:pPr>
              <w:ind w:left="20"/>
              <w:spacing w:after="0"/>
              <w:rPr>
                <w:sz w:val="20"/>
                <w:szCs w:val="20"/>
                <w:color w:val="auto"/>
              </w:rPr>
            </w:pPr>
            <w:r>
              <w:rPr>
                <w:rFonts w:ascii="Arial" w:cs="Arial" w:eastAsia="Arial" w:hAnsi="Arial"/>
                <w:sz w:val="16"/>
                <w:szCs w:val="16"/>
                <w:color w:val="auto"/>
              </w:rPr>
              <w:t>2021</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25"/>
              <w:spacing w:after="0"/>
              <w:rPr>
                <w:sz w:val="20"/>
                <w:szCs w:val="20"/>
                <w:color w:val="auto"/>
              </w:rPr>
            </w:pPr>
            <w:r>
              <w:rPr>
                <w:rFonts w:ascii="Arial" w:cs="Arial" w:eastAsia="Arial" w:hAnsi="Arial"/>
                <w:sz w:val="16"/>
                <w:szCs w:val="16"/>
                <w:color w:val="auto"/>
              </w:rPr>
              <w:t>1,290,444</w:t>
            </w:r>
          </w:p>
        </w:tc>
        <w:tc>
          <w:tcPr>
            <w:tcW w:w="520" w:type="dxa"/>
            <w:vAlign w:val="bottom"/>
          </w:tcPr>
          <w:p>
            <w:pPr>
              <w:ind w:left="3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3"/>
              <w:spacing w:after="0"/>
              <w:rPr>
                <w:sz w:val="20"/>
                <w:szCs w:val="20"/>
                <w:color w:val="auto"/>
              </w:rPr>
            </w:pPr>
            <w:r>
              <w:rPr>
                <w:rFonts w:ascii="Arial" w:cs="Arial" w:eastAsia="Arial" w:hAnsi="Arial"/>
                <w:sz w:val="16"/>
                <w:szCs w:val="16"/>
                <w:color w:val="auto"/>
              </w:rPr>
              <w:t>(400,000)</w:t>
            </w:r>
          </w:p>
        </w:tc>
        <w:tc>
          <w:tcPr>
            <w:tcW w:w="3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65"/>
              <w:spacing w:after="0"/>
              <w:rPr>
                <w:sz w:val="20"/>
                <w:szCs w:val="20"/>
                <w:color w:val="auto"/>
              </w:rPr>
            </w:pPr>
            <w:r>
              <w:rPr>
                <w:rFonts w:ascii="Arial" w:cs="Arial" w:eastAsia="Arial" w:hAnsi="Arial"/>
                <w:sz w:val="16"/>
                <w:szCs w:val="16"/>
                <w:color w:val="auto"/>
              </w:rPr>
              <w:t>2,176,122</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85"/>
              <w:spacing w:after="0"/>
              <w:rPr>
                <w:sz w:val="20"/>
                <w:szCs w:val="20"/>
                <w:color w:val="auto"/>
              </w:rPr>
            </w:pPr>
            <w:r>
              <w:rPr>
                <w:rFonts w:ascii="Arial" w:cs="Arial" w:eastAsia="Arial" w:hAnsi="Arial"/>
                <w:sz w:val="16"/>
                <w:szCs w:val="16"/>
                <w:color w:val="auto"/>
              </w:rPr>
              <w:t>(174,119)</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45"/>
              <w:spacing w:after="0"/>
              <w:rPr>
                <w:sz w:val="20"/>
                <w:szCs w:val="20"/>
                <w:color w:val="auto"/>
              </w:rPr>
            </w:pPr>
            <w:r>
              <w:rPr>
                <w:rFonts w:ascii="Arial" w:cs="Arial" w:eastAsia="Arial" w:hAnsi="Arial"/>
                <w:sz w:val="16"/>
                <w:szCs w:val="16"/>
                <w:color w:val="auto"/>
              </w:rPr>
              <w:t>280,604</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3,173,051</w:t>
            </w:r>
          </w:p>
        </w:tc>
      </w:tr>
      <w:tr>
        <w:trPr>
          <w:trHeight w:val="22"/>
        </w:trPr>
        <w:tc>
          <w:tcPr>
            <w:tcW w:w="1360" w:type="dxa"/>
            <w:vAlign w:val="bottom"/>
            <w:tcBorders>
              <w:bottom w:val="single" w:sz="8" w:color="00AEEF"/>
            </w:tcBorders>
          </w:tcPr>
          <w:p>
            <w:pPr>
              <w:spacing w:after="0" w:line="20" w:lineRule="exact"/>
              <w:rPr>
                <w:sz w:val="1"/>
                <w:szCs w:val="1"/>
                <w:color w:val="auto"/>
              </w:rPr>
            </w:pPr>
          </w:p>
        </w:tc>
        <w:tc>
          <w:tcPr>
            <w:tcW w:w="1100" w:type="dxa"/>
            <w:vAlign w:val="bottom"/>
            <w:tcBorders>
              <w:bottom w:val="single" w:sz="8" w:color="00AEEF"/>
            </w:tcBorders>
          </w:tcPr>
          <w:p>
            <w:pPr>
              <w:spacing w:after="0" w:line="20" w:lineRule="exact"/>
              <w:rPr>
                <w:sz w:val="1"/>
                <w:szCs w:val="1"/>
                <w:color w:val="auto"/>
              </w:rPr>
            </w:pPr>
          </w:p>
        </w:tc>
        <w:tc>
          <w:tcPr>
            <w:tcW w:w="1280" w:type="dxa"/>
            <w:vAlign w:val="bottom"/>
            <w:tcBorders>
              <w:bottom w:val="single" w:sz="8" w:color="00AEEF"/>
            </w:tcBorders>
          </w:tcPr>
          <w:p>
            <w:pPr>
              <w:spacing w:after="0" w:line="20" w:lineRule="exact"/>
              <w:rPr>
                <w:sz w:val="1"/>
                <w:szCs w:val="1"/>
                <w:color w:val="auto"/>
              </w:rPr>
            </w:pPr>
          </w:p>
        </w:tc>
        <w:tc>
          <w:tcPr>
            <w:tcW w:w="520" w:type="dxa"/>
            <w:vAlign w:val="bottom"/>
            <w:tcBorders>
              <w:bottom w:val="single" w:sz="8" w:color="00AEEF"/>
            </w:tcBorders>
          </w:tcPr>
          <w:p>
            <w:pPr>
              <w:spacing w:after="0" w:line="20" w:lineRule="exact"/>
              <w:rPr>
                <w:sz w:val="1"/>
                <w:szCs w:val="1"/>
                <w:color w:val="auto"/>
              </w:rPr>
            </w:pPr>
          </w:p>
        </w:tc>
        <w:tc>
          <w:tcPr>
            <w:tcW w:w="1020" w:type="dxa"/>
            <w:vAlign w:val="bottom"/>
            <w:tcBorders>
              <w:bottom w:val="single" w:sz="8" w:color="00AEEF"/>
            </w:tcBorders>
          </w:tcPr>
          <w:p>
            <w:pPr>
              <w:spacing w:after="0" w:line="20" w:lineRule="exact"/>
              <w:rPr>
                <w:sz w:val="1"/>
                <w:szCs w:val="1"/>
                <w:color w:val="auto"/>
              </w:rPr>
            </w:pPr>
          </w:p>
        </w:tc>
        <w:tc>
          <w:tcPr>
            <w:tcW w:w="360" w:type="dxa"/>
            <w:vAlign w:val="bottom"/>
            <w:tcBorders>
              <w:bottom w:val="single" w:sz="8" w:color="00AEEF"/>
            </w:tcBorders>
          </w:tcPr>
          <w:p>
            <w:pPr>
              <w:spacing w:after="0" w:line="20" w:lineRule="exact"/>
              <w:rPr>
                <w:sz w:val="1"/>
                <w:szCs w:val="1"/>
                <w:color w:val="auto"/>
              </w:rPr>
            </w:pPr>
          </w:p>
        </w:tc>
        <w:tc>
          <w:tcPr>
            <w:tcW w:w="1260" w:type="dxa"/>
            <w:vAlign w:val="bottom"/>
            <w:tcBorders>
              <w:bottom w:val="single" w:sz="8" w:color="00AEEF"/>
            </w:tcBorders>
          </w:tcPr>
          <w:p>
            <w:pPr>
              <w:spacing w:after="0" w:line="20" w:lineRule="exact"/>
              <w:rPr>
                <w:sz w:val="1"/>
                <w:szCs w:val="1"/>
                <w:color w:val="auto"/>
              </w:rPr>
            </w:pPr>
          </w:p>
        </w:tc>
        <w:tc>
          <w:tcPr>
            <w:tcW w:w="400" w:type="dxa"/>
            <w:vAlign w:val="bottom"/>
            <w:tcBorders>
              <w:bottom w:val="single" w:sz="8" w:color="00AEEF"/>
            </w:tcBorders>
          </w:tcPr>
          <w:p>
            <w:pPr>
              <w:spacing w:after="0" w:line="20" w:lineRule="exact"/>
              <w:rPr>
                <w:sz w:val="1"/>
                <w:szCs w:val="1"/>
                <w:color w:val="auto"/>
              </w:rPr>
            </w:pPr>
          </w:p>
        </w:tc>
        <w:tc>
          <w:tcPr>
            <w:tcW w:w="1140" w:type="dxa"/>
            <w:vAlign w:val="bottom"/>
            <w:tcBorders>
              <w:bottom w:val="single" w:sz="8" w:color="00AEEF"/>
            </w:tcBorders>
          </w:tcPr>
          <w:p>
            <w:pPr>
              <w:spacing w:after="0" w:line="20" w:lineRule="exact"/>
              <w:rPr>
                <w:sz w:val="1"/>
                <w:szCs w:val="1"/>
                <w:color w:val="auto"/>
              </w:rPr>
            </w:pPr>
          </w:p>
        </w:tc>
        <w:tc>
          <w:tcPr>
            <w:tcW w:w="360" w:type="dxa"/>
            <w:vAlign w:val="bottom"/>
            <w:tcBorders>
              <w:bottom w:val="single" w:sz="8" w:color="00AEEF"/>
            </w:tcBorders>
          </w:tcPr>
          <w:p>
            <w:pPr>
              <w:spacing w:after="0" w:line="20" w:lineRule="exact"/>
              <w:rPr>
                <w:sz w:val="1"/>
                <w:szCs w:val="1"/>
                <w:color w:val="auto"/>
              </w:rPr>
            </w:pPr>
          </w:p>
        </w:tc>
        <w:tc>
          <w:tcPr>
            <w:tcW w:w="1080" w:type="dxa"/>
            <w:vAlign w:val="bottom"/>
            <w:tcBorders>
              <w:bottom w:val="single" w:sz="8" w:color="00AEEF"/>
            </w:tcBorders>
          </w:tcPr>
          <w:p>
            <w:pPr>
              <w:spacing w:after="0" w:line="20" w:lineRule="exact"/>
              <w:rPr>
                <w:sz w:val="1"/>
                <w:szCs w:val="1"/>
                <w:color w:val="auto"/>
              </w:rPr>
            </w:pPr>
          </w:p>
        </w:tc>
        <w:tc>
          <w:tcPr>
            <w:tcW w:w="400" w:type="dxa"/>
            <w:vAlign w:val="bottom"/>
            <w:tcBorders>
              <w:bottom w:val="single" w:sz="8" w:color="00AEEF"/>
            </w:tcBorders>
          </w:tcPr>
          <w:p>
            <w:pPr>
              <w:spacing w:after="0" w:line="20" w:lineRule="exact"/>
              <w:rPr>
                <w:sz w:val="1"/>
                <w:szCs w:val="1"/>
                <w:color w:val="auto"/>
              </w:rPr>
            </w:pPr>
          </w:p>
        </w:tc>
        <w:tc>
          <w:tcPr>
            <w:tcW w:w="960" w:type="dxa"/>
            <w:vAlign w:val="bottom"/>
            <w:tcBorders>
              <w:bottom w:val="single" w:sz="8" w:color="00AEEF"/>
            </w:tcBorders>
          </w:tcPr>
          <w:p>
            <w:pPr>
              <w:spacing w:after="0" w:line="20" w:lineRule="exact"/>
              <w:rPr>
                <w:sz w:val="1"/>
                <w:szCs w:val="1"/>
                <w:color w:val="auto"/>
              </w:rPr>
            </w:pPr>
          </w:p>
        </w:tc>
      </w:tr>
    </w:tbl>
    <w:p>
      <w:pPr>
        <w:spacing w:after="0" w:line="251" w:lineRule="exact"/>
        <w:rPr>
          <w:sz w:val="20"/>
          <w:szCs w:val="20"/>
          <w:color w:val="auto"/>
        </w:rPr>
      </w:pPr>
    </w:p>
    <w:tbl>
      <w:tblPr>
        <w:tblLayout w:type="fixed"/>
        <w:tblInd w:w="2" w:type="dxa"/>
        <w:tblCellMar>
          <w:top w:w="0" w:type="dxa"/>
          <w:left w:w="0" w:type="dxa"/>
          <w:bottom w:w="0" w:type="dxa"/>
          <w:right w:w="0" w:type="dxa"/>
        </w:tblCellMar>
      </w:tblPr>
      <w:tr>
        <w:trPr>
          <w:trHeight w:val="186"/>
        </w:trPr>
        <w:tc>
          <w:tcPr>
            <w:tcW w:w="3300" w:type="dxa"/>
            <w:vAlign w:val="bottom"/>
            <w:tcBorders>
              <w:bottom w:val="single" w:sz="8" w:color="00AEEF"/>
            </w:tcBorders>
            <w:gridSpan w:val="3"/>
          </w:tcPr>
          <w:p>
            <w:pPr>
              <w:ind w:left="20"/>
              <w:spacing w:after="0"/>
              <w:rPr>
                <w:sz w:val="20"/>
                <w:szCs w:val="20"/>
                <w:color w:val="auto"/>
              </w:rPr>
            </w:pPr>
            <w:r>
              <w:rPr>
                <w:rFonts w:ascii="Arial" w:cs="Arial" w:eastAsia="Arial" w:hAnsi="Arial"/>
                <w:sz w:val="13"/>
                <w:szCs w:val="13"/>
                <w:b w:val="1"/>
                <w:bCs w:val="1"/>
                <w:color w:val="191769"/>
              </w:rPr>
              <w:t>Fair Value of Equity Awards for CEO</w:t>
            </w:r>
          </w:p>
        </w:tc>
        <w:tc>
          <w:tcPr>
            <w:tcW w:w="360" w:type="dxa"/>
            <w:vAlign w:val="bottom"/>
            <w:tcBorders>
              <w:bottom w:val="single" w:sz="8" w:color="00AEEF"/>
            </w:tcBorders>
          </w:tcPr>
          <w:p>
            <w:pPr>
              <w:spacing w:after="0"/>
              <w:rPr>
                <w:sz w:val="16"/>
                <w:szCs w:val="16"/>
                <w:color w:val="auto"/>
              </w:rPr>
            </w:pPr>
          </w:p>
        </w:tc>
        <w:tc>
          <w:tcPr>
            <w:tcW w:w="1320" w:type="dxa"/>
            <w:vAlign w:val="bottom"/>
            <w:tcBorders>
              <w:bottom w:val="single" w:sz="8" w:color="00AEEF"/>
            </w:tcBorders>
          </w:tcPr>
          <w:p>
            <w:pPr>
              <w:spacing w:after="0"/>
              <w:rPr>
                <w:sz w:val="16"/>
                <w:szCs w:val="16"/>
                <w:color w:val="auto"/>
              </w:rPr>
            </w:pPr>
          </w:p>
        </w:tc>
        <w:tc>
          <w:tcPr>
            <w:tcW w:w="240" w:type="dxa"/>
            <w:vAlign w:val="bottom"/>
            <w:tcBorders>
              <w:bottom w:val="single" w:sz="8" w:color="00AEEF"/>
            </w:tcBorders>
          </w:tcPr>
          <w:p>
            <w:pPr>
              <w:spacing w:after="0"/>
              <w:rPr>
                <w:sz w:val="16"/>
                <w:szCs w:val="16"/>
                <w:color w:val="auto"/>
              </w:rPr>
            </w:pPr>
          </w:p>
        </w:tc>
        <w:tc>
          <w:tcPr>
            <w:tcW w:w="400" w:type="dxa"/>
            <w:vAlign w:val="bottom"/>
            <w:tcBorders>
              <w:bottom w:val="single" w:sz="8" w:color="00AEEF"/>
            </w:tcBorders>
          </w:tcPr>
          <w:p>
            <w:pPr>
              <w:spacing w:after="0"/>
              <w:rPr>
                <w:sz w:val="16"/>
                <w:szCs w:val="16"/>
                <w:color w:val="auto"/>
              </w:rPr>
            </w:pPr>
          </w:p>
        </w:tc>
        <w:tc>
          <w:tcPr>
            <w:tcW w:w="920" w:type="dxa"/>
            <w:vAlign w:val="bottom"/>
            <w:tcBorders>
              <w:bottom w:val="single" w:sz="8" w:color="00AEEF"/>
            </w:tcBorders>
          </w:tcPr>
          <w:p>
            <w:pPr>
              <w:jc w:val="right"/>
              <w:ind w:right="81"/>
              <w:spacing w:after="0"/>
              <w:rPr>
                <w:sz w:val="20"/>
                <w:szCs w:val="20"/>
                <w:color w:val="auto"/>
              </w:rPr>
            </w:pPr>
            <w:r>
              <w:rPr>
                <w:rFonts w:ascii="Arial" w:cs="Arial" w:eastAsia="Arial" w:hAnsi="Arial"/>
                <w:sz w:val="13"/>
                <w:szCs w:val="13"/>
                <w:b w:val="1"/>
                <w:bCs w:val="1"/>
                <w:color w:val="191769"/>
              </w:rPr>
              <w:t>2025</w:t>
            </w:r>
          </w:p>
        </w:tc>
        <w:tc>
          <w:tcPr>
            <w:tcW w:w="520" w:type="dxa"/>
            <w:vAlign w:val="bottom"/>
            <w:tcBorders>
              <w:bottom w:val="single" w:sz="8" w:color="00AEEF"/>
            </w:tcBorders>
          </w:tcPr>
          <w:p>
            <w:pPr>
              <w:spacing w:after="0"/>
              <w:rPr>
                <w:sz w:val="16"/>
                <w:szCs w:val="16"/>
                <w:color w:val="auto"/>
              </w:rPr>
            </w:pPr>
          </w:p>
        </w:tc>
        <w:tc>
          <w:tcPr>
            <w:tcW w:w="840" w:type="dxa"/>
            <w:vAlign w:val="bottom"/>
            <w:tcBorders>
              <w:bottom w:val="single" w:sz="8" w:color="00AEEF"/>
            </w:tcBorders>
          </w:tcPr>
          <w:p>
            <w:pPr>
              <w:ind w:left="100"/>
              <w:spacing w:after="0"/>
              <w:rPr>
                <w:sz w:val="20"/>
                <w:szCs w:val="20"/>
                <w:color w:val="auto"/>
              </w:rPr>
            </w:pPr>
            <w:r>
              <w:rPr>
                <w:rFonts w:ascii="Arial" w:cs="Arial" w:eastAsia="Arial" w:hAnsi="Arial"/>
                <w:sz w:val="13"/>
                <w:szCs w:val="13"/>
                <w:b w:val="1"/>
                <w:bCs w:val="1"/>
                <w:color w:val="191769"/>
              </w:rPr>
              <w:t>2024</w:t>
            </w:r>
          </w:p>
        </w:tc>
        <w:tc>
          <w:tcPr>
            <w:tcW w:w="980" w:type="dxa"/>
            <w:vAlign w:val="bottom"/>
            <w:tcBorders>
              <w:bottom w:val="single" w:sz="8" w:color="00AEEF"/>
            </w:tcBorders>
          </w:tcPr>
          <w:p>
            <w:pPr>
              <w:jc w:val="right"/>
              <w:ind w:right="164"/>
              <w:spacing w:after="0"/>
              <w:rPr>
                <w:sz w:val="20"/>
                <w:szCs w:val="20"/>
                <w:color w:val="auto"/>
              </w:rPr>
            </w:pPr>
            <w:r>
              <w:rPr>
                <w:rFonts w:ascii="Arial" w:cs="Arial" w:eastAsia="Arial" w:hAnsi="Arial"/>
                <w:sz w:val="13"/>
                <w:szCs w:val="13"/>
                <w:b w:val="1"/>
                <w:bCs w:val="1"/>
                <w:color w:val="191769"/>
              </w:rPr>
              <w:t>2023</w:t>
            </w:r>
          </w:p>
        </w:tc>
        <w:tc>
          <w:tcPr>
            <w:tcW w:w="140" w:type="dxa"/>
            <w:vAlign w:val="bottom"/>
            <w:tcBorders>
              <w:bottom w:val="single" w:sz="8" w:color="00AEEF"/>
            </w:tcBorders>
          </w:tcPr>
          <w:p>
            <w:pPr>
              <w:spacing w:after="0"/>
              <w:rPr>
                <w:sz w:val="16"/>
                <w:szCs w:val="16"/>
                <w:color w:val="auto"/>
              </w:rPr>
            </w:pPr>
          </w:p>
        </w:tc>
        <w:tc>
          <w:tcPr>
            <w:tcW w:w="1120" w:type="dxa"/>
            <w:vAlign w:val="bottom"/>
            <w:tcBorders>
              <w:bottom w:val="single" w:sz="8" w:color="00AEEF"/>
            </w:tcBorders>
          </w:tcPr>
          <w:p>
            <w:pPr>
              <w:jc w:val="right"/>
              <w:ind w:right="40"/>
              <w:spacing w:after="0"/>
              <w:rPr>
                <w:sz w:val="20"/>
                <w:szCs w:val="20"/>
                <w:color w:val="auto"/>
              </w:rPr>
            </w:pPr>
            <w:r>
              <w:rPr>
                <w:rFonts w:ascii="Arial" w:cs="Arial" w:eastAsia="Arial" w:hAnsi="Arial"/>
                <w:sz w:val="13"/>
                <w:szCs w:val="13"/>
                <w:b w:val="1"/>
                <w:bCs w:val="1"/>
                <w:color w:val="191769"/>
              </w:rPr>
              <w:t>2022</w:t>
            </w:r>
          </w:p>
        </w:tc>
        <w:tc>
          <w:tcPr>
            <w:tcW w:w="280" w:type="dxa"/>
            <w:vAlign w:val="bottom"/>
            <w:tcBorders>
              <w:bottom w:val="single" w:sz="8" w:color="00AEEF"/>
            </w:tcBorders>
          </w:tcPr>
          <w:p>
            <w:pPr>
              <w:spacing w:after="0"/>
              <w:rPr>
                <w:sz w:val="16"/>
                <w:szCs w:val="16"/>
                <w:color w:val="auto"/>
              </w:rPr>
            </w:pPr>
          </w:p>
        </w:tc>
        <w:tc>
          <w:tcPr>
            <w:tcW w:w="820" w:type="dxa"/>
            <w:vAlign w:val="bottom"/>
            <w:tcBorders>
              <w:bottom w:val="single" w:sz="8" w:color="00AEEF"/>
            </w:tcBorders>
          </w:tcPr>
          <w:p>
            <w:pPr>
              <w:jc w:val="right"/>
              <w:spacing w:after="0"/>
              <w:rPr>
                <w:sz w:val="20"/>
                <w:szCs w:val="20"/>
                <w:color w:val="auto"/>
              </w:rPr>
            </w:pPr>
            <w:r>
              <w:rPr>
                <w:rFonts w:ascii="Arial" w:cs="Arial" w:eastAsia="Arial" w:hAnsi="Arial"/>
                <w:sz w:val="13"/>
                <w:szCs w:val="13"/>
                <w:b w:val="1"/>
                <w:bCs w:val="1"/>
                <w:color w:val="191769"/>
              </w:rPr>
              <w:t>2021</w:t>
            </w:r>
          </w:p>
        </w:tc>
      </w:tr>
      <w:tr>
        <w:trPr>
          <w:trHeight w:val="223"/>
        </w:trPr>
        <w:tc>
          <w:tcPr>
            <w:tcW w:w="3660" w:type="dxa"/>
            <w:vAlign w:val="bottom"/>
            <w:gridSpan w:val="4"/>
          </w:tcPr>
          <w:p>
            <w:pPr>
              <w:ind w:left="20"/>
              <w:spacing w:after="0"/>
              <w:rPr>
                <w:sz w:val="20"/>
                <w:szCs w:val="20"/>
                <w:color w:val="auto"/>
              </w:rPr>
            </w:pPr>
            <w:r>
              <w:rPr>
                <w:rFonts w:ascii="Arial" w:cs="Arial" w:eastAsia="Arial" w:hAnsi="Arial"/>
                <w:sz w:val="16"/>
                <w:szCs w:val="16"/>
                <w:color w:val="auto"/>
              </w:rPr>
              <w:t>Year End Fair Value of Current Year Equity Award</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41"/>
              <w:spacing w:after="0"/>
              <w:rPr>
                <w:sz w:val="20"/>
                <w:szCs w:val="20"/>
                <w:color w:val="auto"/>
              </w:rPr>
            </w:pPr>
            <w:r>
              <w:rPr>
                <w:rFonts w:ascii="Arial" w:cs="Arial" w:eastAsia="Arial" w:hAnsi="Arial"/>
                <w:sz w:val="16"/>
                <w:szCs w:val="16"/>
                <w:color w:val="auto"/>
              </w:rPr>
              <w:t>340,126</w:t>
            </w:r>
          </w:p>
        </w:tc>
        <w:tc>
          <w:tcPr>
            <w:tcW w:w="520" w:type="dxa"/>
            <w:vAlign w:val="bottom"/>
          </w:tcPr>
          <w:p>
            <w:pPr>
              <w:ind w:left="180"/>
              <w:spacing w:after="0"/>
              <w:rPr>
                <w:sz w:val="20"/>
                <w:szCs w:val="20"/>
                <w:color w:val="auto"/>
              </w:rPr>
            </w:pPr>
            <w:r>
              <w:rPr>
                <w:rFonts w:ascii="Arial" w:cs="Arial" w:eastAsia="Arial" w:hAnsi="Arial"/>
                <w:sz w:val="16"/>
                <w:szCs w:val="16"/>
                <w:color w:val="auto"/>
              </w:rPr>
              <w:t>$</w:t>
            </w:r>
          </w:p>
        </w:tc>
        <w:tc>
          <w:tcPr>
            <w:tcW w:w="840" w:type="dxa"/>
            <w:vAlign w:val="bottom"/>
          </w:tcPr>
          <w:p>
            <w:pPr>
              <w:ind w:left="180"/>
              <w:spacing w:after="0"/>
              <w:rPr>
                <w:sz w:val="20"/>
                <w:szCs w:val="20"/>
                <w:color w:val="auto"/>
              </w:rPr>
            </w:pPr>
            <w:r>
              <w:rPr>
                <w:rFonts w:ascii="Arial" w:cs="Arial" w:eastAsia="Arial" w:hAnsi="Arial"/>
                <w:sz w:val="16"/>
                <w:szCs w:val="16"/>
                <w:color w:val="auto"/>
              </w:rPr>
              <w:t>— $</w:t>
            </w:r>
          </w:p>
        </w:tc>
        <w:tc>
          <w:tcPr>
            <w:tcW w:w="980" w:type="dxa"/>
            <w:vAlign w:val="bottom"/>
          </w:tcPr>
          <w:p>
            <w:pPr>
              <w:jc w:val="right"/>
              <w:ind w:right="204"/>
              <w:spacing w:after="0"/>
              <w:rPr>
                <w:sz w:val="20"/>
                <w:szCs w:val="20"/>
                <w:color w:val="auto"/>
              </w:rPr>
            </w:pPr>
            <w:r>
              <w:rPr>
                <w:rFonts w:ascii="Arial" w:cs="Arial" w:eastAsia="Arial" w:hAnsi="Arial"/>
                <w:sz w:val="16"/>
                <w:szCs w:val="16"/>
                <w:color w:val="auto"/>
              </w:rPr>
              <w:t>338,140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299,182</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608,959</w:t>
            </w:r>
          </w:p>
        </w:tc>
      </w:tr>
      <w:tr>
        <w:trPr>
          <w:trHeight w:val="22"/>
        </w:trPr>
        <w:tc>
          <w:tcPr>
            <w:tcW w:w="4980" w:type="dxa"/>
            <w:vAlign w:val="bottom"/>
            <w:tcBorders>
              <w:bottom w:val="single" w:sz="8" w:color="D9D9D9"/>
            </w:tcBorders>
            <w:gridSpan w:val="5"/>
          </w:tcPr>
          <w:p>
            <w:pPr>
              <w:spacing w:after="0" w:line="20" w:lineRule="exact"/>
              <w:rPr>
                <w:sz w:val="1"/>
                <w:szCs w:val="1"/>
                <w:color w:val="auto"/>
              </w:rPr>
            </w:pPr>
          </w:p>
        </w:tc>
        <w:tc>
          <w:tcPr>
            <w:tcW w:w="240" w:type="dxa"/>
            <w:vAlign w:val="bottom"/>
            <w:tcBorders>
              <w:bottom w:val="single" w:sz="8" w:color="D9D9D9"/>
            </w:tcBorders>
          </w:tcPr>
          <w:p>
            <w:pPr>
              <w:spacing w:after="0" w:line="20" w:lineRule="exact"/>
              <w:rPr>
                <w:sz w:val="1"/>
                <w:szCs w:val="1"/>
                <w:color w:val="auto"/>
              </w:rPr>
            </w:pPr>
          </w:p>
        </w:tc>
        <w:tc>
          <w:tcPr>
            <w:tcW w:w="400" w:type="dxa"/>
            <w:vAlign w:val="bottom"/>
            <w:tcBorders>
              <w:bottom w:val="single" w:sz="8" w:color="D9D9D9"/>
            </w:tcBorders>
          </w:tcPr>
          <w:p>
            <w:pPr>
              <w:spacing w:after="0" w:line="20" w:lineRule="exact"/>
              <w:rPr>
                <w:sz w:val="1"/>
                <w:szCs w:val="1"/>
                <w:color w:val="auto"/>
              </w:rPr>
            </w:pPr>
          </w:p>
        </w:tc>
        <w:tc>
          <w:tcPr>
            <w:tcW w:w="920" w:type="dxa"/>
            <w:vAlign w:val="bottom"/>
            <w:tcBorders>
              <w:bottom w:val="single" w:sz="8" w:color="D9D9D9"/>
            </w:tcBorders>
          </w:tcPr>
          <w:p>
            <w:pPr>
              <w:spacing w:after="0" w:line="20" w:lineRule="exact"/>
              <w:rPr>
                <w:sz w:val="1"/>
                <w:szCs w:val="1"/>
                <w:color w:val="auto"/>
              </w:rPr>
            </w:pPr>
          </w:p>
        </w:tc>
        <w:tc>
          <w:tcPr>
            <w:tcW w:w="520" w:type="dxa"/>
            <w:vAlign w:val="bottom"/>
            <w:tcBorders>
              <w:bottom w:val="single" w:sz="8" w:color="D9D9D9"/>
            </w:tcBorders>
          </w:tcPr>
          <w:p>
            <w:pPr>
              <w:spacing w:after="0" w:line="20" w:lineRule="exact"/>
              <w:rPr>
                <w:sz w:val="1"/>
                <w:szCs w:val="1"/>
                <w:color w:val="auto"/>
              </w:rPr>
            </w:pPr>
          </w:p>
        </w:tc>
        <w:tc>
          <w:tcPr>
            <w:tcW w:w="840" w:type="dxa"/>
            <w:vAlign w:val="bottom"/>
            <w:tcBorders>
              <w:bottom w:val="single" w:sz="8" w:color="D9D9D9"/>
            </w:tcBorders>
          </w:tcPr>
          <w:p>
            <w:pPr>
              <w:spacing w:after="0" w:line="20" w:lineRule="exact"/>
              <w:rPr>
                <w:sz w:val="1"/>
                <w:szCs w:val="1"/>
                <w:color w:val="auto"/>
              </w:rPr>
            </w:pPr>
          </w:p>
        </w:tc>
        <w:tc>
          <w:tcPr>
            <w:tcW w:w="980" w:type="dxa"/>
            <w:vAlign w:val="bottom"/>
            <w:tcBorders>
              <w:bottom w:val="single" w:sz="8" w:color="D9D9D9"/>
            </w:tcBorders>
          </w:tcPr>
          <w:p>
            <w:pPr>
              <w:spacing w:after="0" w:line="20" w:lineRule="exact"/>
              <w:rPr>
                <w:sz w:val="1"/>
                <w:szCs w:val="1"/>
                <w:color w:val="auto"/>
              </w:rPr>
            </w:pPr>
          </w:p>
        </w:tc>
        <w:tc>
          <w:tcPr>
            <w:tcW w:w="140" w:type="dxa"/>
            <w:vAlign w:val="bottom"/>
            <w:tcBorders>
              <w:bottom w:val="single" w:sz="8" w:color="D9D9D9"/>
            </w:tcBorders>
          </w:tcPr>
          <w:p>
            <w:pPr>
              <w:spacing w:after="0" w:line="20" w:lineRule="exact"/>
              <w:rPr>
                <w:sz w:val="1"/>
                <w:szCs w:val="1"/>
                <w:color w:val="auto"/>
              </w:rPr>
            </w:pPr>
          </w:p>
        </w:tc>
        <w:tc>
          <w:tcPr>
            <w:tcW w:w="1120" w:type="dxa"/>
            <w:vAlign w:val="bottom"/>
            <w:tcBorders>
              <w:bottom w:val="single" w:sz="8" w:color="D9D9D9"/>
            </w:tcBorders>
          </w:tcPr>
          <w:p>
            <w:pPr>
              <w:spacing w:after="0" w:line="20" w:lineRule="exact"/>
              <w:rPr>
                <w:sz w:val="1"/>
                <w:szCs w:val="1"/>
                <w:color w:val="auto"/>
              </w:rPr>
            </w:pPr>
          </w:p>
        </w:tc>
        <w:tc>
          <w:tcPr>
            <w:tcW w:w="280" w:type="dxa"/>
            <w:vAlign w:val="bottom"/>
            <w:tcBorders>
              <w:bottom w:val="single" w:sz="8" w:color="D9D9D9"/>
            </w:tcBorders>
          </w:tcPr>
          <w:p>
            <w:pPr>
              <w:spacing w:after="0" w:line="20" w:lineRule="exact"/>
              <w:rPr>
                <w:sz w:val="1"/>
                <w:szCs w:val="1"/>
                <w:color w:val="auto"/>
              </w:rPr>
            </w:pPr>
          </w:p>
        </w:tc>
        <w:tc>
          <w:tcPr>
            <w:tcW w:w="820" w:type="dxa"/>
            <w:vAlign w:val="bottom"/>
            <w:tcBorders>
              <w:bottom w:val="single" w:sz="8" w:color="D9D9D9"/>
            </w:tcBorders>
          </w:tcPr>
          <w:p>
            <w:pPr>
              <w:spacing w:after="0" w:line="20" w:lineRule="exact"/>
              <w:rPr>
                <w:sz w:val="1"/>
                <w:szCs w:val="1"/>
                <w:color w:val="auto"/>
              </w:rPr>
            </w:pPr>
          </w:p>
        </w:tc>
      </w:tr>
      <w:tr>
        <w:trPr>
          <w:trHeight w:val="217"/>
        </w:trPr>
        <w:tc>
          <w:tcPr>
            <w:tcW w:w="4980" w:type="dxa"/>
            <w:vAlign w:val="bottom"/>
            <w:gridSpan w:val="5"/>
          </w:tcPr>
          <w:p>
            <w:pPr>
              <w:ind w:left="20"/>
              <w:spacing w:after="0"/>
              <w:rPr>
                <w:sz w:val="20"/>
                <w:szCs w:val="20"/>
                <w:color w:val="auto"/>
              </w:rPr>
            </w:pPr>
            <w:r>
              <w:rPr>
                <w:rFonts w:ascii="Arial" w:cs="Arial" w:eastAsia="Arial" w:hAnsi="Arial"/>
                <w:sz w:val="16"/>
                <w:szCs w:val="16"/>
                <w:color w:val="auto"/>
              </w:rPr>
              <w:t>Year End Change in Fair Value of Prior Year Equity Awards</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520" w:type="dxa"/>
            <w:vAlign w:val="bottom"/>
          </w:tcPr>
          <w:p>
            <w:pPr>
              <w:ind w:left="180"/>
              <w:spacing w:after="0"/>
              <w:rPr>
                <w:sz w:val="20"/>
                <w:szCs w:val="20"/>
                <w:color w:val="auto"/>
              </w:rPr>
            </w:pPr>
            <w:r>
              <w:rPr>
                <w:rFonts w:ascii="Arial" w:cs="Arial" w:eastAsia="Arial" w:hAnsi="Arial"/>
                <w:sz w:val="16"/>
                <w:szCs w:val="16"/>
                <w:color w:val="auto"/>
              </w:rPr>
              <w:t>$</w:t>
            </w:r>
          </w:p>
        </w:tc>
        <w:tc>
          <w:tcPr>
            <w:tcW w:w="840" w:type="dxa"/>
            <w:vAlign w:val="bottom"/>
          </w:tcPr>
          <w:p>
            <w:pPr>
              <w:ind w:left="180"/>
              <w:spacing w:after="0"/>
              <w:rPr>
                <w:sz w:val="20"/>
                <w:szCs w:val="20"/>
                <w:color w:val="auto"/>
              </w:rPr>
            </w:pPr>
            <w:r>
              <w:rPr>
                <w:rFonts w:ascii="Arial" w:cs="Arial" w:eastAsia="Arial" w:hAnsi="Arial"/>
                <w:sz w:val="16"/>
                <w:szCs w:val="16"/>
                <w:color w:val="auto"/>
              </w:rPr>
              <w:t>— $</w:t>
            </w:r>
          </w:p>
        </w:tc>
        <w:tc>
          <w:tcPr>
            <w:tcW w:w="980" w:type="dxa"/>
            <w:vAlign w:val="bottom"/>
          </w:tcPr>
          <w:p>
            <w:pPr>
              <w:jc w:val="right"/>
              <w:ind w:right="164"/>
              <w:spacing w:after="0"/>
              <w:rPr>
                <w:sz w:val="20"/>
                <w:szCs w:val="20"/>
                <w:color w:val="auto"/>
              </w:rPr>
            </w:pPr>
            <w:r>
              <w:rPr>
                <w:rFonts w:ascii="Arial" w:cs="Arial" w:eastAsia="Arial" w:hAnsi="Arial"/>
                <w:sz w:val="16"/>
                <w:szCs w:val="16"/>
                <w:color w:val="auto"/>
              </w:rPr>
              <w:t>(307,889)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(1,184,082)</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1,507,984</w:t>
            </w:r>
          </w:p>
        </w:tc>
      </w:tr>
      <w:tr>
        <w:trPr>
          <w:trHeight w:val="22"/>
        </w:trPr>
        <w:tc>
          <w:tcPr>
            <w:tcW w:w="4980" w:type="dxa"/>
            <w:vAlign w:val="bottom"/>
            <w:tcBorders>
              <w:bottom w:val="single" w:sz="8" w:color="D9D9D9"/>
            </w:tcBorders>
            <w:gridSpan w:val="5"/>
          </w:tcPr>
          <w:p>
            <w:pPr>
              <w:spacing w:after="0" w:line="20" w:lineRule="exact"/>
              <w:rPr>
                <w:sz w:val="1"/>
                <w:szCs w:val="1"/>
                <w:color w:val="auto"/>
              </w:rPr>
            </w:pPr>
          </w:p>
        </w:tc>
        <w:tc>
          <w:tcPr>
            <w:tcW w:w="240" w:type="dxa"/>
            <w:vAlign w:val="bottom"/>
            <w:tcBorders>
              <w:bottom w:val="single" w:sz="8" w:color="D9D9D9"/>
            </w:tcBorders>
          </w:tcPr>
          <w:p>
            <w:pPr>
              <w:spacing w:after="0" w:line="20" w:lineRule="exact"/>
              <w:rPr>
                <w:sz w:val="1"/>
                <w:szCs w:val="1"/>
                <w:color w:val="auto"/>
              </w:rPr>
            </w:pPr>
          </w:p>
        </w:tc>
        <w:tc>
          <w:tcPr>
            <w:tcW w:w="400" w:type="dxa"/>
            <w:vAlign w:val="bottom"/>
            <w:tcBorders>
              <w:bottom w:val="single" w:sz="8" w:color="D9D9D9"/>
            </w:tcBorders>
          </w:tcPr>
          <w:p>
            <w:pPr>
              <w:spacing w:after="0" w:line="20" w:lineRule="exact"/>
              <w:rPr>
                <w:sz w:val="1"/>
                <w:szCs w:val="1"/>
                <w:color w:val="auto"/>
              </w:rPr>
            </w:pPr>
          </w:p>
        </w:tc>
        <w:tc>
          <w:tcPr>
            <w:tcW w:w="920" w:type="dxa"/>
            <w:vAlign w:val="bottom"/>
            <w:tcBorders>
              <w:bottom w:val="single" w:sz="8" w:color="D9D9D9"/>
            </w:tcBorders>
          </w:tcPr>
          <w:p>
            <w:pPr>
              <w:spacing w:after="0" w:line="20" w:lineRule="exact"/>
              <w:rPr>
                <w:sz w:val="1"/>
                <w:szCs w:val="1"/>
                <w:color w:val="auto"/>
              </w:rPr>
            </w:pPr>
          </w:p>
        </w:tc>
        <w:tc>
          <w:tcPr>
            <w:tcW w:w="520" w:type="dxa"/>
            <w:vAlign w:val="bottom"/>
            <w:tcBorders>
              <w:bottom w:val="single" w:sz="8" w:color="D9D9D9"/>
            </w:tcBorders>
          </w:tcPr>
          <w:p>
            <w:pPr>
              <w:spacing w:after="0" w:line="20" w:lineRule="exact"/>
              <w:rPr>
                <w:sz w:val="1"/>
                <w:szCs w:val="1"/>
                <w:color w:val="auto"/>
              </w:rPr>
            </w:pPr>
          </w:p>
        </w:tc>
        <w:tc>
          <w:tcPr>
            <w:tcW w:w="840" w:type="dxa"/>
            <w:vAlign w:val="bottom"/>
            <w:tcBorders>
              <w:bottom w:val="single" w:sz="8" w:color="D9D9D9"/>
            </w:tcBorders>
          </w:tcPr>
          <w:p>
            <w:pPr>
              <w:spacing w:after="0" w:line="20" w:lineRule="exact"/>
              <w:rPr>
                <w:sz w:val="1"/>
                <w:szCs w:val="1"/>
                <w:color w:val="auto"/>
              </w:rPr>
            </w:pPr>
          </w:p>
        </w:tc>
        <w:tc>
          <w:tcPr>
            <w:tcW w:w="980" w:type="dxa"/>
            <w:vAlign w:val="bottom"/>
            <w:tcBorders>
              <w:bottom w:val="single" w:sz="8" w:color="D9D9D9"/>
            </w:tcBorders>
          </w:tcPr>
          <w:p>
            <w:pPr>
              <w:spacing w:after="0" w:line="20" w:lineRule="exact"/>
              <w:rPr>
                <w:sz w:val="1"/>
                <w:szCs w:val="1"/>
                <w:color w:val="auto"/>
              </w:rPr>
            </w:pPr>
          </w:p>
        </w:tc>
        <w:tc>
          <w:tcPr>
            <w:tcW w:w="140" w:type="dxa"/>
            <w:vAlign w:val="bottom"/>
            <w:tcBorders>
              <w:bottom w:val="single" w:sz="8" w:color="D9D9D9"/>
            </w:tcBorders>
          </w:tcPr>
          <w:p>
            <w:pPr>
              <w:spacing w:after="0" w:line="20" w:lineRule="exact"/>
              <w:rPr>
                <w:sz w:val="1"/>
                <w:szCs w:val="1"/>
                <w:color w:val="auto"/>
              </w:rPr>
            </w:pPr>
          </w:p>
        </w:tc>
        <w:tc>
          <w:tcPr>
            <w:tcW w:w="1120" w:type="dxa"/>
            <w:vAlign w:val="bottom"/>
            <w:tcBorders>
              <w:bottom w:val="single" w:sz="8" w:color="D9D9D9"/>
            </w:tcBorders>
          </w:tcPr>
          <w:p>
            <w:pPr>
              <w:spacing w:after="0" w:line="20" w:lineRule="exact"/>
              <w:rPr>
                <w:sz w:val="1"/>
                <w:szCs w:val="1"/>
                <w:color w:val="auto"/>
              </w:rPr>
            </w:pPr>
          </w:p>
        </w:tc>
        <w:tc>
          <w:tcPr>
            <w:tcW w:w="280" w:type="dxa"/>
            <w:vAlign w:val="bottom"/>
            <w:tcBorders>
              <w:bottom w:val="single" w:sz="8" w:color="D9D9D9"/>
            </w:tcBorders>
          </w:tcPr>
          <w:p>
            <w:pPr>
              <w:spacing w:after="0" w:line="20" w:lineRule="exact"/>
              <w:rPr>
                <w:sz w:val="1"/>
                <w:szCs w:val="1"/>
                <w:color w:val="auto"/>
              </w:rPr>
            </w:pPr>
          </w:p>
        </w:tc>
        <w:tc>
          <w:tcPr>
            <w:tcW w:w="820" w:type="dxa"/>
            <w:vAlign w:val="bottom"/>
            <w:tcBorders>
              <w:bottom w:val="single" w:sz="8" w:color="D9D9D9"/>
            </w:tcBorders>
          </w:tcPr>
          <w:p>
            <w:pPr>
              <w:spacing w:after="0" w:line="20" w:lineRule="exact"/>
              <w:rPr>
                <w:sz w:val="1"/>
                <w:szCs w:val="1"/>
                <w:color w:val="auto"/>
              </w:rPr>
            </w:pPr>
          </w:p>
        </w:tc>
      </w:tr>
      <w:tr>
        <w:trPr>
          <w:trHeight w:val="197"/>
        </w:trPr>
        <w:tc>
          <w:tcPr>
            <w:tcW w:w="4980" w:type="dxa"/>
            <w:vAlign w:val="bottom"/>
            <w:gridSpan w:val="5"/>
          </w:tcPr>
          <w:p>
            <w:pPr>
              <w:ind w:left="20"/>
              <w:spacing w:after="0"/>
              <w:rPr>
                <w:sz w:val="20"/>
                <w:szCs w:val="20"/>
                <w:color w:val="auto"/>
              </w:rPr>
            </w:pPr>
            <w:r>
              <w:rPr>
                <w:rFonts w:ascii="Arial" w:cs="Arial" w:eastAsia="Arial" w:hAnsi="Arial"/>
                <w:sz w:val="16"/>
                <w:szCs w:val="16"/>
                <w:color w:val="auto"/>
              </w:rPr>
              <w:t>Change in Fair Value of Prior Year Equity Awards Vesting in Current</w:t>
            </w:r>
          </w:p>
        </w:tc>
        <w:tc>
          <w:tcPr>
            <w:tcW w:w="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520" w:type="dxa"/>
            <w:vAlign w:val="bottom"/>
          </w:tcPr>
          <w:p>
            <w:pPr>
              <w:ind w:left="180"/>
              <w:spacing w:after="0"/>
              <w:rPr>
                <w:sz w:val="20"/>
                <w:szCs w:val="20"/>
                <w:color w:val="auto"/>
              </w:rPr>
            </w:pPr>
            <w:r>
              <w:rPr>
                <w:rFonts w:ascii="Arial" w:cs="Arial" w:eastAsia="Arial" w:hAnsi="Arial"/>
                <w:sz w:val="16"/>
                <w:szCs w:val="16"/>
                <w:color w:val="auto"/>
              </w:rPr>
              <w:t>$</w:t>
            </w:r>
          </w:p>
        </w:tc>
        <w:tc>
          <w:tcPr>
            <w:tcW w:w="840" w:type="dxa"/>
            <w:vAlign w:val="bottom"/>
          </w:tcPr>
          <w:p>
            <w:pPr>
              <w:ind w:left="180"/>
              <w:spacing w:after="0"/>
              <w:rPr>
                <w:sz w:val="20"/>
                <w:szCs w:val="20"/>
                <w:color w:val="auto"/>
              </w:rPr>
            </w:pPr>
            <w:r>
              <w:rPr>
                <w:rFonts w:ascii="Arial" w:cs="Arial" w:eastAsia="Arial" w:hAnsi="Arial"/>
                <w:sz w:val="16"/>
                <w:szCs w:val="16"/>
                <w:color w:val="auto"/>
              </w:rPr>
              <w:t>— $</w:t>
            </w:r>
          </w:p>
        </w:tc>
        <w:tc>
          <w:tcPr>
            <w:tcW w:w="980" w:type="dxa"/>
            <w:vAlign w:val="bottom"/>
          </w:tcPr>
          <w:p>
            <w:pPr>
              <w:jc w:val="right"/>
              <w:ind w:right="164"/>
              <w:spacing w:after="0"/>
              <w:rPr>
                <w:sz w:val="20"/>
                <w:szCs w:val="20"/>
                <w:color w:val="auto"/>
              </w:rPr>
            </w:pPr>
            <w:r>
              <w:rPr>
                <w:rFonts w:ascii="Arial" w:cs="Arial" w:eastAsia="Arial" w:hAnsi="Arial"/>
                <w:sz w:val="16"/>
                <w:szCs w:val="16"/>
                <w:color w:val="auto"/>
              </w:rPr>
              <w:t>(8,999)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(123,264)</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59,179</w:t>
            </w:r>
          </w:p>
        </w:tc>
      </w:tr>
      <w:tr>
        <w:trPr>
          <w:trHeight w:val="216"/>
        </w:trPr>
        <w:tc>
          <w:tcPr>
            <w:tcW w:w="1020" w:type="dxa"/>
            <w:vAlign w:val="bottom"/>
          </w:tcPr>
          <w:p>
            <w:pPr>
              <w:ind w:left="20"/>
              <w:spacing w:after="0"/>
              <w:rPr>
                <w:sz w:val="20"/>
                <w:szCs w:val="20"/>
                <w:color w:val="auto"/>
              </w:rPr>
            </w:pPr>
            <w:r>
              <w:rPr>
                <w:rFonts w:ascii="Arial" w:cs="Arial" w:eastAsia="Arial" w:hAnsi="Arial"/>
                <w:sz w:val="16"/>
                <w:szCs w:val="16"/>
                <w:color w:val="auto"/>
              </w:rPr>
              <w:t>Year</w:t>
            </w:r>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
        </w:trPr>
        <w:tc>
          <w:tcPr>
            <w:tcW w:w="3300" w:type="dxa"/>
            <w:vAlign w:val="bottom"/>
            <w:tcBorders>
              <w:bottom w:val="single" w:sz="8" w:color="D9D9D9"/>
            </w:tcBorders>
            <w:gridSpan w:val="3"/>
          </w:tcPr>
          <w:p>
            <w:pPr>
              <w:spacing w:after="0" w:line="20" w:lineRule="exact"/>
              <w:rPr>
                <w:sz w:val="1"/>
                <w:szCs w:val="1"/>
                <w:color w:val="auto"/>
              </w:rPr>
            </w:pPr>
          </w:p>
        </w:tc>
        <w:tc>
          <w:tcPr>
            <w:tcW w:w="360" w:type="dxa"/>
            <w:vAlign w:val="bottom"/>
            <w:tcBorders>
              <w:bottom w:val="single" w:sz="8" w:color="D9D9D9"/>
            </w:tcBorders>
          </w:tcPr>
          <w:p>
            <w:pPr>
              <w:spacing w:after="0" w:line="20" w:lineRule="exact"/>
              <w:rPr>
                <w:sz w:val="1"/>
                <w:szCs w:val="1"/>
                <w:color w:val="auto"/>
              </w:rPr>
            </w:pPr>
          </w:p>
        </w:tc>
        <w:tc>
          <w:tcPr>
            <w:tcW w:w="1320" w:type="dxa"/>
            <w:vAlign w:val="bottom"/>
            <w:tcBorders>
              <w:bottom w:val="single" w:sz="8" w:color="D9D9D9"/>
            </w:tcBorders>
          </w:tcPr>
          <w:p>
            <w:pPr>
              <w:spacing w:after="0" w:line="20" w:lineRule="exact"/>
              <w:rPr>
                <w:sz w:val="1"/>
                <w:szCs w:val="1"/>
                <w:color w:val="auto"/>
              </w:rPr>
            </w:pPr>
          </w:p>
        </w:tc>
        <w:tc>
          <w:tcPr>
            <w:tcW w:w="240" w:type="dxa"/>
            <w:vAlign w:val="bottom"/>
            <w:tcBorders>
              <w:bottom w:val="single" w:sz="8" w:color="D9D9D9"/>
            </w:tcBorders>
          </w:tcPr>
          <w:p>
            <w:pPr>
              <w:spacing w:after="0" w:line="20" w:lineRule="exact"/>
              <w:rPr>
                <w:sz w:val="1"/>
                <w:szCs w:val="1"/>
                <w:color w:val="auto"/>
              </w:rPr>
            </w:pPr>
          </w:p>
        </w:tc>
        <w:tc>
          <w:tcPr>
            <w:tcW w:w="400" w:type="dxa"/>
            <w:vAlign w:val="bottom"/>
            <w:tcBorders>
              <w:bottom w:val="single" w:sz="8" w:color="D9D9D9"/>
            </w:tcBorders>
          </w:tcPr>
          <w:p>
            <w:pPr>
              <w:spacing w:after="0" w:line="20" w:lineRule="exact"/>
              <w:rPr>
                <w:sz w:val="1"/>
                <w:szCs w:val="1"/>
                <w:color w:val="auto"/>
              </w:rPr>
            </w:pPr>
          </w:p>
        </w:tc>
        <w:tc>
          <w:tcPr>
            <w:tcW w:w="920" w:type="dxa"/>
            <w:vAlign w:val="bottom"/>
            <w:tcBorders>
              <w:bottom w:val="single" w:sz="8" w:color="D9D9D9"/>
            </w:tcBorders>
          </w:tcPr>
          <w:p>
            <w:pPr>
              <w:spacing w:after="0" w:line="20" w:lineRule="exact"/>
              <w:rPr>
                <w:sz w:val="1"/>
                <w:szCs w:val="1"/>
                <w:color w:val="auto"/>
              </w:rPr>
            </w:pPr>
          </w:p>
        </w:tc>
        <w:tc>
          <w:tcPr>
            <w:tcW w:w="520" w:type="dxa"/>
            <w:vAlign w:val="bottom"/>
            <w:tcBorders>
              <w:bottom w:val="single" w:sz="8" w:color="D9D9D9"/>
            </w:tcBorders>
          </w:tcPr>
          <w:p>
            <w:pPr>
              <w:spacing w:after="0" w:line="20" w:lineRule="exact"/>
              <w:rPr>
                <w:sz w:val="1"/>
                <w:szCs w:val="1"/>
                <w:color w:val="auto"/>
              </w:rPr>
            </w:pPr>
          </w:p>
        </w:tc>
        <w:tc>
          <w:tcPr>
            <w:tcW w:w="840" w:type="dxa"/>
            <w:vAlign w:val="bottom"/>
            <w:tcBorders>
              <w:bottom w:val="single" w:sz="8" w:color="D9D9D9"/>
            </w:tcBorders>
          </w:tcPr>
          <w:p>
            <w:pPr>
              <w:spacing w:after="0" w:line="20" w:lineRule="exact"/>
              <w:rPr>
                <w:sz w:val="1"/>
                <w:szCs w:val="1"/>
                <w:color w:val="auto"/>
              </w:rPr>
            </w:pPr>
          </w:p>
        </w:tc>
        <w:tc>
          <w:tcPr>
            <w:tcW w:w="980" w:type="dxa"/>
            <w:vAlign w:val="bottom"/>
            <w:tcBorders>
              <w:bottom w:val="single" w:sz="8" w:color="D9D9D9"/>
            </w:tcBorders>
          </w:tcPr>
          <w:p>
            <w:pPr>
              <w:spacing w:after="0" w:line="20" w:lineRule="exact"/>
              <w:rPr>
                <w:sz w:val="1"/>
                <w:szCs w:val="1"/>
                <w:color w:val="auto"/>
              </w:rPr>
            </w:pPr>
          </w:p>
        </w:tc>
        <w:tc>
          <w:tcPr>
            <w:tcW w:w="140" w:type="dxa"/>
            <w:vAlign w:val="bottom"/>
            <w:tcBorders>
              <w:bottom w:val="single" w:sz="8" w:color="D9D9D9"/>
            </w:tcBorders>
          </w:tcPr>
          <w:p>
            <w:pPr>
              <w:spacing w:after="0" w:line="20" w:lineRule="exact"/>
              <w:rPr>
                <w:sz w:val="1"/>
                <w:szCs w:val="1"/>
                <w:color w:val="auto"/>
              </w:rPr>
            </w:pPr>
          </w:p>
        </w:tc>
        <w:tc>
          <w:tcPr>
            <w:tcW w:w="1120" w:type="dxa"/>
            <w:vAlign w:val="bottom"/>
            <w:tcBorders>
              <w:bottom w:val="single" w:sz="8" w:color="D9D9D9"/>
            </w:tcBorders>
          </w:tcPr>
          <w:p>
            <w:pPr>
              <w:spacing w:after="0" w:line="20" w:lineRule="exact"/>
              <w:rPr>
                <w:sz w:val="1"/>
                <w:szCs w:val="1"/>
                <w:color w:val="auto"/>
              </w:rPr>
            </w:pPr>
          </w:p>
        </w:tc>
        <w:tc>
          <w:tcPr>
            <w:tcW w:w="280" w:type="dxa"/>
            <w:vAlign w:val="bottom"/>
            <w:tcBorders>
              <w:bottom w:val="single" w:sz="8" w:color="D9D9D9"/>
            </w:tcBorders>
          </w:tcPr>
          <w:p>
            <w:pPr>
              <w:spacing w:after="0" w:line="20" w:lineRule="exact"/>
              <w:rPr>
                <w:sz w:val="1"/>
                <w:szCs w:val="1"/>
                <w:color w:val="auto"/>
              </w:rPr>
            </w:pPr>
          </w:p>
        </w:tc>
        <w:tc>
          <w:tcPr>
            <w:tcW w:w="820" w:type="dxa"/>
            <w:vAlign w:val="bottom"/>
            <w:tcBorders>
              <w:bottom w:val="single" w:sz="8" w:color="D9D9D9"/>
            </w:tcBorders>
          </w:tcPr>
          <w:p>
            <w:pPr>
              <w:spacing w:after="0" w:line="20" w:lineRule="exact"/>
              <w:rPr>
                <w:sz w:val="1"/>
                <w:szCs w:val="1"/>
                <w:color w:val="auto"/>
              </w:rPr>
            </w:pPr>
          </w:p>
        </w:tc>
      </w:tr>
      <w:tr>
        <w:trPr>
          <w:trHeight w:val="232"/>
        </w:trPr>
        <w:tc>
          <w:tcPr>
            <w:tcW w:w="3300" w:type="dxa"/>
            <w:vAlign w:val="bottom"/>
            <w:tcBorders>
              <w:bottom w:val="single" w:sz="8" w:color="00AEEF"/>
            </w:tcBorders>
            <w:gridSpan w:val="3"/>
          </w:tcPr>
          <w:p>
            <w:pPr>
              <w:ind w:left="20"/>
              <w:spacing w:after="0"/>
              <w:rPr>
                <w:sz w:val="20"/>
                <w:szCs w:val="20"/>
                <w:color w:val="auto"/>
              </w:rPr>
            </w:pPr>
            <w:r>
              <w:rPr>
                <w:rFonts w:ascii="Arial" w:cs="Arial" w:eastAsia="Arial" w:hAnsi="Arial"/>
                <w:sz w:val="16"/>
                <w:szCs w:val="16"/>
                <w:b w:val="1"/>
                <w:bCs w:val="1"/>
                <w:color w:val="auto"/>
              </w:rPr>
              <w:t>Total Equity Awards Adjustments for CEO</w:t>
            </w:r>
          </w:p>
        </w:tc>
        <w:tc>
          <w:tcPr>
            <w:tcW w:w="360" w:type="dxa"/>
            <w:vAlign w:val="bottom"/>
            <w:tcBorders>
              <w:bottom w:val="single" w:sz="8" w:color="00AEEF"/>
            </w:tcBorders>
          </w:tcPr>
          <w:p>
            <w:pPr>
              <w:spacing w:after="0"/>
              <w:rPr>
                <w:sz w:val="20"/>
                <w:szCs w:val="20"/>
                <w:color w:val="auto"/>
              </w:rPr>
            </w:pPr>
          </w:p>
        </w:tc>
        <w:tc>
          <w:tcPr>
            <w:tcW w:w="1320" w:type="dxa"/>
            <w:vAlign w:val="bottom"/>
            <w:tcBorders>
              <w:bottom w:val="single" w:sz="8" w:color="00AEEF"/>
            </w:tcBorders>
          </w:tcPr>
          <w:p>
            <w:pPr>
              <w:spacing w:after="0"/>
              <w:rPr>
                <w:sz w:val="20"/>
                <w:szCs w:val="20"/>
                <w:color w:val="auto"/>
              </w:rPr>
            </w:pPr>
          </w:p>
        </w:tc>
        <w:tc>
          <w:tcPr>
            <w:tcW w:w="240" w:type="dxa"/>
            <w:vAlign w:val="bottom"/>
            <w:tcBorders>
              <w:bottom w:val="single" w:sz="8" w:color="00AEEF"/>
            </w:tcBorders>
          </w:tcPr>
          <w:p>
            <w:pPr>
              <w:spacing w:after="0"/>
              <w:rPr>
                <w:sz w:val="20"/>
                <w:szCs w:val="20"/>
                <w:color w:val="auto"/>
              </w:rPr>
            </w:pPr>
          </w:p>
        </w:tc>
        <w:tc>
          <w:tcPr>
            <w:tcW w:w="400" w:type="dxa"/>
            <w:vAlign w:val="bottom"/>
            <w:tcBorders>
              <w:bottom w:val="single" w:sz="8" w:color="00AEEF"/>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00AEEF"/>
            </w:tcBorders>
          </w:tcPr>
          <w:p>
            <w:pPr>
              <w:jc w:val="right"/>
              <w:ind w:right="141"/>
              <w:spacing w:after="0"/>
              <w:rPr>
                <w:sz w:val="20"/>
                <w:szCs w:val="20"/>
                <w:color w:val="auto"/>
              </w:rPr>
            </w:pPr>
            <w:r>
              <w:rPr>
                <w:rFonts w:ascii="Arial" w:cs="Arial" w:eastAsia="Arial" w:hAnsi="Arial"/>
                <w:sz w:val="16"/>
                <w:szCs w:val="16"/>
                <w:b w:val="1"/>
                <w:bCs w:val="1"/>
                <w:color w:val="auto"/>
              </w:rPr>
              <w:t>340,126</w:t>
            </w:r>
          </w:p>
        </w:tc>
        <w:tc>
          <w:tcPr>
            <w:tcW w:w="520" w:type="dxa"/>
            <w:vAlign w:val="bottom"/>
            <w:tcBorders>
              <w:bottom w:val="single" w:sz="8" w:color="00AEEF"/>
            </w:tcBorders>
          </w:tcPr>
          <w:p>
            <w:pPr>
              <w:ind w:left="18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00AEEF"/>
            </w:tcBorders>
          </w:tcPr>
          <w:p>
            <w:pPr>
              <w:ind w:left="180"/>
              <w:spacing w:after="0"/>
              <w:rPr>
                <w:sz w:val="20"/>
                <w:szCs w:val="20"/>
                <w:color w:val="auto"/>
              </w:rPr>
            </w:pPr>
            <w:r>
              <w:rPr>
                <w:rFonts w:ascii="Arial" w:cs="Arial" w:eastAsia="Arial" w:hAnsi="Arial"/>
                <w:sz w:val="16"/>
                <w:szCs w:val="16"/>
                <w:b w:val="1"/>
                <w:bCs w:val="1"/>
                <w:color w:val="auto"/>
              </w:rPr>
              <w:t>— $</w:t>
            </w:r>
          </w:p>
        </w:tc>
        <w:tc>
          <w:tcPr>
            <w:tcW w:w="980" w:type="dxa"/>
            <w:vAlign w:val="bottom"/>
            <w:tcBorders>
              <w:bottom w:val="single" w:sz="8" w:color="00AEEF"/>
            </w:tcBorders>
          </w:tcPr>
          <w:p>
            <w:pPr>
              <w:jc w:val="right"/>
              <w:ind w:right="204"/>
              <w:spacing w:after="0"/>
              <w:rPr>
                <w:sz w:val="20"/>
                <w:szCs w:val="20"/>
                <w:color w:val="auto"/>
              </w:rPr>
            </w:pPr>
            <w:r>
              <w:rPr>
                <w:rFonts w:ascii="Arial" w:cs="Arial" w:eastAsia="Arial" w:hAnsi="Arial"/>
                <w:sz w:val="16"/>
                <w:szCs w:val="16"/>
                <w:b w:val="1"/>
                <w:bCs w:val="1"/>
                <w:color w:val="auto"/>
              </w:rPr>
              <w:t>21,252</w:t>
            </w:r>
          </w:p>
        </w:tc>
        <w:tc>
          <w:tcPr>
            <w:tcW w:w="140" w:type="dxa"/>
            <w:vAlign w:val="bottom"/>
            <w:tcBorders>
              <w:bottom w:val="single" w:sz="8" w:color="00AEEF"/>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00AEEF"/>
            </w:tcBorders>
          </w:tcPr>
          <w:p>
            <w:pPr>
              <w:jc w:val="right"/>
              <w:ind w:right="60"/>
              <w:spacing w:after="0"/>
              <w:rPr>
                <w:sz w:val="20"/>
                <w:szCs w:val="20"/>
                <w:color w:val="auto"/>
              </w:rPr>
            </w:pPr>
            <w:r>
              <w:rPr>
                <w:rFonts w:ascii="Arial" w:cs="Arial" w:eastAsia="Arial" w:hAnsi="Arial"/>
                <w:sz w:val="16"/>
                <w:szCs w:val="16"/>
                <w:b w:val="1"/>
                <w:bCs w:val="1"/>
                <w:color w:val="auto"/>
              </w:rPr>
              <w:t>(1,008,164)</w:t>
            </w:r>
          </w:p>
        </w:tc>
        <w:tc>
          <w:tcPr>
            <w:tcW w:w="280" w:type="dxa"/>
            <w:vAlign w:val="bottom"/>
            <w:tcBorders>
              <w:bottom w:val="single" w:sz="8" w:color="00AEEF"/>
            </w:tcBorders>
          </w:tcPr>
          <w:p>
            <w:pPr>
              <w:ind w:left="1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00AEEF"/>
            </w:tcBorders>
          </w:tcPr>
          <w:p>
            <w:pPr>
              <w:jc w:val="right"/>
              <w:spacing w:after="0"/>
              <w:rPr>
                <w:sz w:val="20"/>
                <w:szCs w:val="20"/>
                <w:color w:val="auto"/>
              </w:rPr>
            </w:pPr>
            <w:r>
              <w:rPr>
                <w:rFonts w:ascii="Arial" w:cs="Arial" w:eastAsia="Arial" w:hAnsi="Arial"/>
                <w:sz w:val="16"/>
                <w:szCs w:val="16"/>
                <w:b w:val="1"/>
                <w:bCs w:val="1"/>
                <w:color w:val="auto"/>
              </w:rPr>
              <w:t>2,176,122</w:t>
            </w:r>
          </w:p>
        </w:tc>
      </w:tr>
      <w:tr>
        <w:trPr>
          <w:trHeight w:val="552"/>
        </w:trPr>
        <w:tc>
          <w:tcPr>
            <w:tcW w:w="6540" w:type="dxa"/>
            <w:vAlign w:val="bottom"/>
            <w:gridSpan w:val="8"/>
          </w:tcPr>
          <w:p>
            <w:pPr>
              <w:spacing w:after="0"/>
              <w:rPr>
                <w:sz w:val="20"/>
                <w:szCs w:val="20"/>
                <w:color w:val="auto"/>
              </w:rPr>
            </w:pPr>
            <w:r>
              <w:rPr>
                <w:rFonts w:ascii="Arial" w:cs="Arial" w:eastAsia="Arial" w:hAnsi="Arial"/>
                <w:sz w:val="16"/>
                <w:szCs w:val="16"/>
                <w:b w:val="1"/>
                <w:bCs w:val="1"/>
                <w:color w:val="191769"/>
              </w:rPr>
              <w:t>CALCULATION OF COMPENSATION ACTUALLY PAID TO NON-CEO NEOs</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5"/>
        </w:trPr>
        <w:tc>
          <w:tcPr>
            <w:tcW w:w="10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20" w:type="dxa"/>
            <w:vAlign w:val="bottom"/>
          </w:tcPr>
          <w:p>
            <w:pPr>
              <w:jc w:val="right"/>
              <w:ind w:right="603"/>
              <w:spacing w:after="0"/>
              <w:rPr>
                <w:sz w:val="20"/>
                <w:szCs w:val="20"/>
                <w:color w:val="auto"/>
              </w:rPr>
            </w:pPr>
            <w:r>
              <w:rPr>
                <w:rFonts w:ascii="Arial" w:cs="Arial" w:eastAsia="Arial" w:hAnsi="Arial"/>
                <w:sz w:val="13"/>
                <w:szCs w:val="13"/>
                <w:b w:val="1"/>
                <w:bCs w:val="1"/>
                <w:color w:val="191769"/>
              </w:rPr>
              <w:t>Average</w:t>
            </w:r>
          </w:p>
        </w:tc>
        <w:tc>
          <w:tcPr>
            <w:tcW w:w="1680" w:type="dxa"/>
            <w:vAlign w:val="bottom"/>
            <w:gridSpan w:val="2"/>
          </w:tcPr>
          <w:p>
            <w:pPr>
              <w:jc w:val="right"/>
              <w:ind w:right="443"/>
              <w:spacing w:after="0"/>
              <w:rPr>
                <w:sz w:val="20"/>
                <w:szCs w:val="20"/>
                <w:color w:val="auto"/>
              </w:rPr>
            </w:pPr>
            <w:r>
              <w:rPr>
                <w:rFonts w:ascii="Arial" w:cs="Arial" w:eastAsia="Arial" w:hAnsi="Arial"/>
                <w:sz w:val="13"/>
                <w:szCs w:val="13"/>
                <w:b w:val="1"/>
                <w:bCs w:val="1"/>
                <w:color w:val="191769"/>
                <w:w w:val="99"/>
              </w:rPr>
              <w:t>Average Summary</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60" w:type="dxa"/>
            <w:vAlign w:val="bottom"/>
            <w:gridSpan w:val="2"/>
          </w:tcPr>
          <w:p>
            <w:pPr>
              <w:ind w:left="180"/>
              <w:spacing w:after="0"/>
              <w:rPr>
                <w:sz w:val="20"/>
                <w:szCs w:val="20"/>
                <w:color w:val="auto"/>
              </w:rPr>
            </w:pPr>
            <w:r>
              <w:rPr>
                <w:rFonts w:ascii="Arial" w:cs="Arial" w:eastAsia="Arial" w:hAnsi="Arial"/>
                <w:sz w:val="13"/>
                <w:szCs w:val="13"/>
                <w:b w:val="1"/>
                <w:bCs w:val="1"/>
                <w:color w:val="191769"/>
              </w:rPr>
              <w:t>Average Summary</w:t>
            </w: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60"/>
        </w:trPr>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jc w:val="right"/>
              <w:ind w:right="603"/>
              <w:spacing w:after="0"/>
              <w:rPr>
                <w:sz w:val="20"/>
                <w:szCs w:val="20"/>
                <w:color w:val="auto"/>
              </w:rPr>
            </w:pPr>
            <w:r>
              <w:rPr>
                <w:rFonts w:ascii="Arial" w:cs="Arial" w:eastAsia="Arial" w:hAnsi="Arial"/>
                <w:sz w:val="13"/>
                <w:szCs w:val="13"/>
                <w:b w:val="1"/>
                <w:bCs w:val="1"/>
                <w:color w:val="191769"/>
              </w:rPr>
              <w:t>Summary</w:t>
            </w:r>
          </w:p>
        </w:tc>
        <w:tc>
          <w:tcPr>
            <w:tcW w:w="1680" w:type="dxa"/>
            <w:vAlign w:val="bottom"/>
            <w:gridSpan w:val="2"/>
          </w:tcPr>
          <w:p>
            <w:pPr>
              <w:jc w:val="right"/>
              <w:ind w:right="443"/>
              <w:spacing w:after="0"/>
              <w:rPr>
                <w:sz w:val="20"/>
                <w:szCs w:val="20"/>
                <w:color w:val="auto"/>
              </w:rPr>
            </w:pPr>
            <w:r>
              <w:rPr>
                <w:rFonts w:ascii="Arial" w:cs="Arial" w:eastAsia="Arial" w:hAnsi="Arial"/>
                <w:sz w:val="13"/>
                <w:szCs w:val="13"/>
                <w:b w:val="1"/>
                <w:bCs w:val="1"/>
                <w:color w:val="191769"/>
              </w:rPr>
              <w:t>Compensation</w:t>
            </w:r>
          </w:p>
        </w:tc>
        <w:tc>
          <w:tcPr>
            <w:tcW w:w="240" w:type="dxa"/>
            <w:vAlign w:val="bottom"/>
          </w:tcPr>
          <w:p>
            <w:pPr>
              <w:spacing w:after="0"/>
              <w:rPr>
                <w:sz w:val="13"/>
                <w:szCs w:val="13"/>
                <w:color w:val="auto"/>
              </w:rPr>
            </w:pPr>
          </w:p>
        </w:tc>
        <w:tc>
          <w:tcPr>
            <w:tcW w:w="1320" w:type="dxa"/>
            <w:vAlign w:val="bottom"/>
            <w:gridSpan w:val="2"/>
          </w:tcPr>
          <w:p>
            <w:pPr>
              <w:jc w:val="right"/>
              <w:ind w:right="441"/>
              <w:spacing w:after="0"/>
              <w:rPr>
                <w:sz w:val="20"/>
                <w:szCs w:val="20"/>
                <w:color w:val="auto"/>
              </w:rPr>
            </w:pPr>
            <w:r>
              <w:rPr>
                <w:rFonts w:ascii="Arial" w:cs="Arial" w:eastAsia="Arial" w:hAnsi="Arial"/>
                <w:sz w:val="13"/>
                <w:szCs w:val="13"/>
                <w:b w:val="1"/>
                <w:bCs w:val="1"/>
                <w:color w:val="191769"/>
              </w:rPr>
              <w:t>Average</w:t>
            </w:r>
          </w:p>
        </w:tc>
        <w:tc>
          <w:tcPr>
            <w:tcW w:w="1360" w:type="dxa"/>
            <w:vAlign w:val="bottom"/>
            <w:gridSpan w:val="2"/>
          </w:tcPr>
          <w:p>
            <w:pPr>
              <w:jc w:val="right"/>
              <w:spacing w:after="0"/>
              <w:rPr>
                <w:sz w:val="20"/>
                <w:szCs w:val="20"/>
                <w:color w:val="auto"/>
              </w:rPr>
            </w:pPr>
            <w:r>
              <w:rPr>
                <w:rFonts w:ascii="Arial" w:cs="Arial" w:eastAsia="Arial" w:hAnsi="Arial"/>
                <w:sz w:val="13"/>
                <w:szCs w:val="13"/>
                <w:b w:val="1"/>
                <w:bCs w:val="1"/>
                <w:color w:val="191769"/>
              </w:rPr>
              <w:t>Compensation</w:t>
            </w:r>
          </w:p>
        </w:tc>
        <w:tc>
          <w:tcPr>
            <w:tcW w:w="224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191769"/>
              </w:rPr>
              <w:t>Average Pension</w:t>
            </w:r>
          </w:p>
        </w:tc>
        <w:tc>
          <w:tcPr>
            <w:tcW w:w="1100" w:type="dxa"/>
            <w:vAlign w:val="bottom"/>
            <w:gridSpan w:val="2"/>
          </w:tcPr>
          <w:p>
            <w:pPr>
              <w:jc w:val="right"/>
              <w:spacing w:after="0"/>
              <w:rPr>
                <w:sz w:val="20"/>
                <w:szCs w:val="20"/>
                <w:color w:val="auto"/>
              </w:rPr>
            </w:pPr>
            <w:r>
              <w:rPr>
                <w:rFonts w:ascii="Arial" w:cs="Arial" w:eastAsia="Arial" w:hAnsi="Arial"/>
                <w:sz w:val="13"/>
                <w:szCs w:val="13"/>
                <w:b w:val="1"/>
                <w:bCs w:val="1"/>
                <w:color w:val="191769"/>
              </w:rPr>
              <w:t>Average Total</w:t>
            </w:r>
          </w:p>
        </w:tc>
      </w:tr>
      <w:tr>
        <w:trPr>
          <w:trHeight w:val="160"/>
        </w:trPr>
        <w:tc>
          <w:tcPr>
            <w:tcW w:w="1020" w:type="dxa"/>
            <w:vAlign w:val="bottom"/>
          </w:tcPr>
          <w:p>
            <w:pPr>
              <w:spacing w:after="0"/>
              <w:rPr>
                <w:sz w:val="13"/>
                <w:szCs w:val="13"/>
                <w:color w:val="auto"/>
              </w:rPr>
            </w:pPr>
          </w:p>
        </w:tc>
        <w:tc>
          <w:tcPr>
            <w:tcW w:w="2280" w:type="dxa"/>
            <w:vAlign w:val="bottom"/>
            <w:gridSpan w:val="2"/>
          </w:tcPr>
          <w:p>
            <w:pPr>
              <w:ind w:left="700"/>
              <w:spacing w:after="0"/>
              <w:rPr>
                <w:sz w:val="20"/>
                <w:szCs w:val="20"/>
                <w:color w:val="auto"/>
              </w:rPr>
            </w:pPr>
            <w:r>
              <w:rPr>
                <w:rFonts w:ascii="Arial" w:cs="Arial" w:eastAsia="Arial" w:hAnsi="Arial"/>
                <w:sz w:val="13"/>
                <w:szCs w:val="13"/>
                <w:b w:val="1"/>
                <w:bCs w:val="1"/>
                <w:color w:val="191769"/>
              </w:rPr>
              <w:t>Compensation</w:t>
            </w:r>
          </w:p>
        </w:tc>
        <w:tc>
          <w:tcPr>
            <w:tcW w:w="360" w:type="dxa"/>
            <w:vAlign w:val="bottom"/>
          </w:tcPr>
          <w:p>
            <w:pPr>
              <w:spacing w:after="0"/>
              <w:rPr>
                <w:sz w:val="13"/>
                <w:szCs w:val="13"/>
                <w:color w:val="auto"/>
              </w:rPr>
            </w:pPr>
          </w:p>
        </w:tc>
        <w:tc>
          <w:tcPr>
            <w:tcW w:w="1320" w:type="dxa"/>
            <w:vAlign w:val="bottom"/>
          </w:tcPr>
          <w:p>
            <w:pPr>
              <w:jc w:val="right"/>
              <w:ind w:right="443"/>
              <w:spacing w:after="0"/>
              <w:rPr>
                <w:sz w:val="20"/>
                <w:szCs w:val="20"/>
                <w:color w:val="auto"/>
              </w:rPr>
            </w:pPr>
            <w:r>
              <w:rPr>
                <w:rFonts w:ascii="Arial" w:cs="Arial" w:eastAsia="Arial" w:hAnsi="Arial"/>
                <w:sz w:val="13"/>
                <w:szCs w:val="13"/>
                <w:b w:val="1"/>
                <w:bCs w:val="1"/>
                <w:color w:val="191769"/>
              </w:rPr>
              <w:t>Table Equity</w:t>
            </w:r>
          </w:p>
        </w:tc>
        <w:tc>
          <w:tcPr>
            <w:tcW w:w="1560" w:type="dxa"/>
            <w:vAlign w:val="bottom"/>
            <w:gridSpan w:val="3"/>
          </w:tcPr>
          <w:p>
            <w:pPr>
              <w:jc w:val="right"/>
              <w:ind w:right="441"/>
              <w:spacing w:after="0"/>
              <w:rPr>
                <w:sz w:val="20"/>
                <w:szCs w:val="20"/>
                <w:color w:val="auto"/>
              </w:rPr>
            </w:pPr>
            <w:r>
              <w:rPr>
                <w:rFonts w:ascii="Arial" w:cs="Arial" w:eastAsia="Arial" w:hAnsi="Arial"/>
                <w:sz w:val="13"/>
                <w:szCs w:val="13"/>
                <w:b w:val="1"/>
                <w:bCs w:val="1"/>
                <w:color w:val="191769"/>
              </w:rPr>
              <w:t>Equity Awards</w:t>
            </w:r>
          </w:p>
        </w:tc>
        <w:tc>
          <w:tcPr>
            <w:tcW w:w="1360" w:type="dxa"/>
            <w:vAlign w:val="bottom"/>
            <w:gridSpan w:val="2"/>
          </w:tcPr>
          <w:p>
            <w:pPr>
              <w:ind w:left="320"/>
              <w:spacing w:after="0"/>
              <w:rPr>
                <w:sz w:val="20"/>
                <w:szCs w:val="20"/>
                <w:color w:val="auto"/>
              </w:rPr>
            </w:pPr>
            <w:r>
              <w:rPr>
                <w:rFonts w:ascii="Arial" w:cs="Arial" w:eastAsia="Arial" w:hAnsi="Arial"/>
                <w:sz w:val="13"/>
                <w:szCs w:val="13"/>
                <w:b w:val="1"/>
                <w:bCs w:val="1"/>
                <w:color w:val="191769"/>
              </w:rPr>
              <w:t>Table Change in</w:t>
            </w:r>
          </w:p>
        </w:tc>
        <w:tc>
          <w:tcPr>
            <w:tcW w:w="224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191769"/>
              </w:rPr>
              <w:t>Service Cost</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191769"/>
                <w:w w:val="99"/>
              </w:rPr>
              <w:t>Compensation</w:t>
            </w:r>
          </w:p>
        </w:tc>
      </w:tr>
      <w:tr>
        <w:trPr>
          <w:trHeight w:val="160"/>
        </w:trPr>
        <w:tc>
          <w:tcPr>
            <w:tcW w:w="1020" w:type="dxa"/>
            <w:vAlign w:val="bottom"/>
          </w:tcPr>
          <w:p>
            <w:pPr>
              <w:spacing w:after="0"/>
              <w:rPr>
                <w:sz w:val="13"/>
                <w:szCs w:val="13"/>
                <w:color w:val="auto"/>
              </w:rPr>
            </w:pPr>
          </w:p>
        </w:tc>
        <w:tc>
          <w:tcPr>
            <w:tcW w:w="2280" w:type="dxa"/>
            <w:vAlign w:val="bottom"/>
            <w:gridSpan w:val="2"/>
          </w:tcPr>
          <w:p>
            <w:pPr>
              <w:jc w:val="right"/>
              <w:ind w:right="603"/>
              <w:spacing w:after="0"/>
              <w:rPr>
                <w:sz w:val="20"/>
                <w:szCs w:val="20"/>
                <w:color w:val="auto"/>
              </w:rPr>
            </w:pPr>
            <w:r>
              <w:rPr>
                <w:rFonts w:ascii="Arial" w:cs="Arial" w:eastAsia="Arial" w:hAnsi="Arial"/>
                <w:sz w:val="13"/>
                <w:szCs w:val="13"/>
                <w:b w:val="1"/>
                <w:bCs w:val="1"/>
                <w:color w:val="191769"/>
              </w:rPr>
              <w:t>Table Total for</w:t>
            </w:r>
          </w:p>
        </w:tc>
        <w:tc>
          <w:tcPr>
            <w:tcW w:w="360" w:type="dxa"/>
            <w:vAlign w:val="bottom"/>
          </w:tcPr>
          <w:p>
            <w:pPr>
              <w:spacing w:after="0"/>
              <w:rPr>
                <w:sz w:val="13"/>
                <w:szCs w:val="13"/>
                <w:color w:val="auto"/>
              </w:rPr>
            </w:pPr>
          </w:p>
        </w:tc>
        <w:tc>
          <w:tcPr>
            <w:tcW w:w="1320" w:type="dxa"/>
            <w:vAlign w:val="bottom"/>
          </w:tcPr>
          <w:p>
            <w:pPr>
              <w:jc w:val="right"/>
              <w:ind w:right="443"/>
              <w:spacing w:after="0"/>
              <w:rPr>
                <w:sz w:val="20"/>
                <w:szCs w:val="20"/>
                <w:color w:val="auto"/>
              </w:rPr>
            </w:pPr>
            <w:r>
              <w:rPr>
                <w:rFonts w:ascii="Arial" w:cs="Arial" w:eastAsia="Arial" w:hAnsi="Arial"/>
                <w:sz w:val="13"/>
                <w:szCs w:val="13"/>
                <w:b w:val="1"/>
                <w:bCs w:val="1"/>
                <w:color w:val="191769"/>
              </w:rPr>
              <w:t>Awards for</w:t>
            </w:r>
          </w:p>
        </w:tc>
        <w:tc>
          <w:tcPr>
            <w:tcW w:w="1560" w:type="dxa"/>
            <w:vAlign w:val="bottom"/>
            <w:gridSpan w:val="3"/>
          </w:tcPr>
          <w:p>
            <w:pPr>
              <w:jc w:val="right"/>
              <w:ind w:right="441"/>
              <w:spacing w:after="0"/>
              <w:rPr>
                <w:sz w:val="20"/>
                <w:szCs w:val="20"/>
                <w:color w:val="auto"/>
              </w:rPr>
            </w:pPr>
            <w:r>
              <w:rPr>
                <w:rFonts w:ascii="Arial" w:cs="Arial" w:eastAsia="Arial" w:hAnsi="Arial"/>
                <w:sz w:val="13"/>
                <w:szCs w:val="13"/>
                <w:b w:val="1"/>
                <w:bCs w:val="1"/>
                <w:color w:val="191769"/>
              </w:rPr>
              <w:t>Adjustment for</w:t>
            </w:r>
          </w:p>
        </w:tc>
        <w:tc>
          <w:tcPr>
            <w:tcW w:w="1360" w:type="dxa"/>
            <w:vAlign w:val="bottom"/>
            <w:gridSpan w:val="2"/>
          </w:tcPr>
          <w:p>
            <w:pPr>
              <w:jc w:val="right"/>
              <w:spacing w:after="0"/>
              <w:rPr>
                <w:sz w:val="20"/>
                <w:szCs w:val="20"/>
                <w:color w:val="auto"/>
              </w:rPr>
            </w:pPr>
            <w:r>
              <w:rPr>
                <w:rFonts w:ascii="Arial" w:cs="Arial" w:eastAsia="Arial" w:hAnsi="Arial"/>
                <w:sz w:val="13"/>
                <w:szCs w:val="13"/>
                <w:b w:val="1"/>
                <w:bCs w:val="1"/>
                <w:color w:val="191769"/>
              </w:rPr>
              <w:t>Pension Value for</w:t>
            </w:r>
          </w:p>
        </w:tc>
        <w:tc>
          <w:tcPr>
            <w:tcW w:w="224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191769"/>
              </w:rPr>
              <w:t>Adjustment for</w:t>
            </w:r>
          </w:p>
        </w:tc>
        <w:tc>
          <w:tcPr>
            <w:tcW w:w="1100" w:type="dxa"/>
            <w:vAlign w:val="bottom"/>
            <w:gridSpan w:val="2"/>
          </w:tcPr>
          <w:p>
            <w:pPr>
              <w:ind w:left="100"/>
              <w:spacing w:after="0"/>
              <w:rPr>
                <w:sz w:val="20"/>
                <w:szCs w:val="20"/>
                <w:color w:val="auto"/>
              </w:rPr>
            </w:pPr>
            <w:r>
              <w:rPr>
                <w:rFonts w:ascii="Arial" w:cs="Arial" w:eastAsia="Arial" w:hAnsi="Arial"/>
                <w:sz w:val="13"/>
                <w:szCs w:val="13"/>
                <w:b w:val="1"/>
                <w:bCs w:val="1"/>
                <w:color w:val="191769"/>
              </w:rPr>
              <w:t>Actually Paid to</w:t>
            </w:r>
          </w:p>
        </w:tc>
      </w:tr>
      <w:tr>
        <w:trPr>
          <w:trHeight w:val="186"/>
        </w:trPr>
        <w:tc>
          <w:tcPr>
            <w:tcW w:w="1020" w:type="dxa"/>
            <w:vAlign w:val="bottom"/>
            <w:tcBorders>
              <w:bottom w:val="single" w:sz="8" w:color="00AEEF"/>
            </w:tcBorders>
          </w:tcPr>
          <w:p>
            <w:pPr>
              <w:ind w:left="20"/>
              <w:spacing w:after="0"/>
              <w:rPr>
                <w:sz w:val="20"/>
                <w:szCs w:val="20"/>
                <w:color w:val="auto"/>
              </w:rPr>
            </w:pPr>
            <w:r>
              <w:rPr>
                <w:rFonts w:ascii="Arial" w:cs="Arial" w:eastAsia="Arial" w:hAnsi="Arial"/>
                <w:sz w:val="13"/>
                <w:szCs w:val="13"/>
                <w:b w:val="1"/>
                <w:bCs w:val="1"/>
                <w:color w:val="191769"/>
              </w:rPr>
              <w:t>Year</w:t>
            </w:r>
          </w:p>
        </w:tc>
        <w:tc>
          <w:tcPr>
            <w:tcW w:w="2280" w:type="dxa"/>
            <w:vAlign w:val="bottom"/>
            <w:tcBorders>
              <w:bottom w:val="single" w:sz="8" w:color="00AEEF"/>
            </w:tcBorders>
            <w:gridSpan w:val="2"/>
          </w:tcPr>
          <w:p>
            <w:pPr>
              <w:jc w:val="right"/>
              <w:ind w:right="603"/>
              <w:spacing w:after="0"/>
              <w:rPr>
                <w:sz w:val="20"/>
                <w:szCs w:val="20"/>
                <w:color w:val="auto"/>
              </w:rPr>
            </w:pPr>
            <w:r>
              <w:rPr>
                <w:rFonts w:ascii="Arial" w:cs="Arial" w:eastAsia="Arial" w:hAnsi="Arial"/>
                <w:sz w:val="13"/>
                <w:szCs w:val="13"/>
                <w:b w:val="1"/>
                <w:bCs w:val="1"/>
                <w:color w:val="191769"/>
              </w:rPr>
              <w:t>non-CEO NEOs</w:t>
            </w:r>
          </w:p>
        </w:tc>
        <w:tc>
          <w:tcPr>
            <w:tcW w:w="1680" w:type="dxa"/>
            <w:vAlign w:val="bottom"/>
            <w:tcBorders>
              <w:bottom w:val="single" w:sz="8" w:color="00AEEF"/>
            </w:tcBorders>
            <w:gridSpan w:val="2"/>
          </w:tcPr>
          <w:p>
            <w:pPr>
              <w:jc w:val="right"/>
              <w:ind w:right="443"/>
              <w:spacing w:after="0"/>
              <w:rPr>
                <w:sz w:val="20"/>
                <w:szCs w:val="20"/>
                <w:color w:val="auto"/>
              </w:rPr>
            </w:pPr>
            <w:r>
              <w:rPr>
                <w:rFonts w:ascii="Arial" w:cs="Arial" w:eastAsia="Arial" w:hAnsi="Arial"/>
                <w:sz w:val="13"/>
                <w:szCs w:val="13"/>
                <w:b w:val="1"/>
                <w:bCs w:val="1"/>
                <w:color w:val="191769"/>
              </w:rPr>
              <w:t>non-CEO NEOs</w:t>
            </w:r>
          </w:p>
        </w:tc>
        <w:tc>
          <w:tcPr>
            <w:tcW w:w="1560" w:type="dxa"/>
            <w:vAlign w:val="bottom"/>
            <w:tcBorders>
              <w:bottom w:val="single" w:sz="8" w:color="00AEEF"/>
            </w:tcBorders>
            <w:gridSpan w:val="3"/>
          </w:tcPr>
          <w:p>
            <w:pPr>
              <w:jc w:val="right"/>
              <w:ind w:right="441"/>
              <w:spacing w:after="0"/>
              <w:rPr>
                <w:sz w:val="20"/>
                <w:szCs w:val="20"/>
                <w:color w:val="auto"/>
              </w:rPr>
            </w:pPr>
            <w:r>
              <w:rPr>
                <w:rFonts w:ascii="Arial" w:cs="Arial" w:eastAsia="Arial" w:hAnsi="Arial"/>
                <w:sz w:val="13"/>
                <w:szCs w:val="13"/>
                <w:b w:val="1"/>
                <w:bCs w:val="1"/>
                <w:color w:val="191769"/>
              </w:rPr>
              <w:t>non-CEO NEOs</w:t>
            </w:r>
          </w:p>
        </w:tc>
        <w:tc>
          <w:tcPr>
            <w:tcW w:w="1360" w:type="dxa"/>
            <w:vAlign w:val="bottom"/>
            <w:tcBorders>
              <w:bottom w:val="single" w:sz="8" w:color="00AEEF"/>
            </w:tcBorders>
            <w:gridSpan w:val="2"/>
          </w:tcPr>
          <w:p>
            <w:pPr>
              <w:jc w:val="right"/>
              <w:spacing w:after="0"/>
              <w:rPr>
                <w:sz w:val="20"/>
                <w:szCs w:val="20"/>
                <w:color w:val="auto"/>
              </w:rPr>
            </w:pPr>
            <w:r>
              <w:rPr>
                <w:rFonts w:ascii="Arial" w:cs="Arial" w:eastAsia="Arial" w:hAnsi="Arial"/>
                <w:sz w:val="13"/>
                <w:szCs w:val="13"/>
                <w:b w:val="1"/>
                <w:bCs w:val="1"/>
                <w:color w:val="191769"/>
              </w:rPr>
              <w:t>non-CEO NEOs</w:t>
            </w:r>
          </w:p>
        </w:tc>
        <w:tc>
          <w:tcPr>
            <w:tcW w:w="2240" w:type="dxa"/>
            <w:vAlign w:val="bottom"/>
            <w:tcBorders>
              <w:bottom w:val="single" w:sz="8" w:color="00AEEF"/>
            </w:tcBorders>
            <w:gridSpan w:val="3"/>
          </w:tcPr>
          <w:p>
            <w:pPr>
              <w:jc w:val="right"/>
              <w:ind w:right="460"/>
              <w:spacing w:after="0"/>
              <w:rPr>
                <w:sz w:val="20"/>
                <w:szCs w:val="20"/>
                <w:color w:val="auto"/>
              </w:rPr>
            </w:pPr>
            <w:r>
              <w:rPr>
                <w:rFonts w:ascii="Arial" w:cs="Arial" w:eastAsia="Arial" w:hAnsi="Arial"/>
                <w:sz w:val="13"/>
                <w:szCs w:val="13"/>
                <w:b w:val="1"/>
                <w:bCs w:val="1"/>
                <w:color w:val="191769"/>
              </w:rPr>
              <w:t>non-CEO NEOs</w:t>
            </w:r>
          </w:p>
        </w:tc>
        <w:tc>
          <w:tcPr>
            <w:tcW w:w="1100" w:type="dxa"/>
            <w:vAlign w:val="bottom"/>
            <w:tcBorders>
              <w:bottom w:val="single" w:sz="8" w:color="00AEEF"/>
            </w:tcBorders>
            <w:gridSpan w:val="2"/>
          </w:tcPr>
          <w:p>
            <w:pPr>
              <w:ind w:left="140"/>
              <w:spacing w:after="0"/>
              <w:rPr>
                <w:sz w:val="20"/>
                <w:szCs w:val="20"/>
                <w:color w:val="auto"/>
              </w:rPr>
            </w:pPr>
            <w:r>
              <w:rPr>
                <w:rFonts w:ascii="Arial" w:cs="Arial" w:eastAsia="Arial" w:hAnsi="Arial"/>
                <w:sz w:val="13"/>
                <w:szCs w:val="13"/>
                <w:b w:val="1"/>
                <w:bCs w:val="1"/>
                <w:color w:val="191769"/>
                <w:w w:val="98"/>
              </w:rPr>
              <w:t>non-CEO NEOs</w:t>
            </w:r>
          </w:p>
        </w:tc>
      </w:tr>
      <w:tr>
        <w:trPr>
          <w:trHeight w:val="223"/>
        </w:trPr>
        <w:tc>
          <w:tcPr>
            <w:tcW w:w="1020" w:type="dxa"/>
            <w:vAlign w:val="bottom"/>
          </w:tcPr>
          <w:p>
            <w:pPr>
              <w:ind w:left="20"/>
              <w:spacing w:after="0"/>
              <w:rPr>
                <w:sz w:val="20"/>
                <w:szCs w:val="20"/>
                <w:color w:val="auto"/>
              </w:rPr>
            </w:pPr>
            <w:r>
              <w:rPr>
                <w:rFonts w:ascii="Arial" w:cs="Arial" w:eastAsia="Arial" w:hAnsi="Arial"/>
                <w:sz w:val="16"/>
                <w:szCs w:val="16"/>
                <w:color w:val="auto"/>
              </w:rPr>
              <w:t>2025</w:t>
            </w:r>
          </w:p>
        </w:tc>
        <w:tc>
          <w:tcPr>
            <w:tcW w:w="860" w:type="dxa"/>
            <w:vAlign w:val="bottom"/>
          </w:tcPr>
          <w:p>
            <w:pPr>
              <w:ind w:left="68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43"/>
              <w:spacing w:after="0"/>
              <w:rPr>
                <w:sz w:val="20"/>
                <w:szCs w:val="20"/>
                <w:color w:val="auto"/>
              </w:rPr>
            </w:pPr>
            <w:r>
              <w:rPr>
                <w:rFonts w:ascii="Arial" w:cs="Arial" w:eastAsia="Arial" w:hAnsi="Arial"/>
                <w:sz w:val="16"/>
                <w:szCs w:val="16"/>
                <w:color w:val="auto"/>
              </w:rPr>
              <w:t>693,760</w:t>
            </w:r>
          </w:p>
        </w:tc>
        <w:tc>
          <w:tcPr>
            <w:tcW w:w="3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63"/>
              <w:spacing w:after="0"/>
              <w:rPr>
                <w:sz w:val="20"/>
                <w:szCs w:val="20"/>
                <w:color w:val="auto"/>
              </w:rPr>
            </w:pPr>
            <w:r>
              <w:rPr>
                <w:rFonts w:ascii="Arial" w:cs="Arial" w:eastAsia="Arial" w:hAnsi="Arial"/>
                <w:sz w:val="16"/>
                <w:szCs w:val="16"/>
                <w:color w:val="auto"/>
              </w:rPr>
              <w:t>(93,750)</w:t>
            </w:r>
          </w:p>
        </w:tc>
        <w:tc>
          <w:tcPr>
            <w:tcW w:w="24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481"/>
              <w:spacing w:after="0"/>
              <w:rPr>
                <w:sz w:val="20"/>
                <w:szCs w:val="20"/>
                <w:color w:val="auto"/>
              </w:rPr>
            </w:pPr>
            <w:r>
              <w:rPr>
                <w:rFonts w:ascii="Arial" w:cs="Arial" w:eastAsia="Arial" w:hAnsi="Arial"/>
                <w:sz w:val="16"/>
                <w:szCs w:val="16"/>
                <w:color w:val="auto"/>
              </w:rPr>
              <w:t>76,235</w:t>
            </w:r>
          </w:p>
        </w:tc>
        <w:tc>
          <w:tcPr>
            <w:tcW w:w="520" w:type="dxa"/>
            <w:vAlign w:val="bottom"/>
          </w:tcPr>
          <w:p>
            <w:pPr>
              <w:ind w:left="340"/>
              <w:spacing w:after="0"/>
              <w:rPr>
                <w:sz w:val="20"/>
                <w:szCs w:val="20"/>
                <w:color w:val="auto"/>
              </w:rPr>
            </w:pPr>
            <w:r>
              <w:rPr>
                <w:rFonts w:ascii="Arial" w:cs="Arial" w:eastAsia="Arial" w:hAnsi="Arial"/>
                <w:sz w:val="16"/>
                <w:szCs w:val="16"/>
                <w:color w:val="auto"/>
              </w:rPr>
              <w:t>$</w:t>
            </w:r>
          </w:p>
        </w:tc>
        <w:tc>
          <w:tcPr>
            <w:tcW w:w="840" w:type="dxa"/>
            <w:vAlign w:val="bottom"/>
          </w:tcPr>
          <w:p>
            <w:pPr>
              <w:ind w:left="5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ind w:right="520"/>
              <w:spacing w:after="0"/>
              <w:rPr>
                <w:sz w:val="20"/>
                <w:szCs w:val="20"/>
                <w:color w:val="auto"/>
              </w:rPr>
            </w:pPr>
            <w:r>
              <w:rPr>
                <w:rFonts w:ascii="Arial" w:cs="Arial" w:eastAsia="Arial" w:hAnsi="Arial"/>
                <w:sz w:val="16"/>
                <w:szCs w:val="16"/>
                <w:color w:val="auto"/>
              </w:rPr>
              <w:t>—</w:t>
            </w:r>
          </w:p>
        </w:tc>
        <w:tc>
          <w:tcPr>
            <w:tcW w:w="280" w:type="dxa"/>
            <w:vAlign w:val="bottom"/>
          </w:tcPr>
          <w:p>
            <w:pPr>
              <w:ind w:lef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676,245</w:t>
            </w:r>
          </w:p>
        </w:tc>
      </w:tr>
      <w:tr>
        <w:trPr>
          <w:trHeight w:val="22"/>
        </w:trPr>
        <w:tc>
          <w:tcPr>
            <w:tcW w:w="1020" w:type="dxa"/>
            <w:vAlign w:val="bottom"/>
            <w:tcBorders>
              <w:bottom w:val="single" w:sz="8" w:color="D9D9D9"/>
            </w:tcBorders>
          </w:tcPr>
          <w:p>
            <w:pPr>
              <w:spacing w:after="0" w:line="20" w:lineRule="exact"/>
              <w:rPr>
                <w:sz w:val="1"/>
                <w:szCs w:val="1"/>
                <w:color w:val="auto"/>
              </w:rPr>
            </w:pPr>
          </w:p>
        </w:tc>
        <w:tc>
          <w:tcPr>
            <w:tcW w:w="860" w:type="dxa"/>
            <w:vAlign w:val="bottom"/>
            <w:tcBorders>
              <w:bottom w:val="single" w:sz="8" w:color="D9D9D9"/>
            </w:tcBorders>
          </w:tcPr>
          <w:p>
            <w:pPr>
              <w:spacing w:after="0" w:line="20" w:lineRule="exact"/>
              <w:rPr>
                <w:sz w:val="1"/>
                <w:szCs w:val="1"/>
                <w:color w:val="auto"/>
              </w:rPr>
            </w:pPr>
          </w:p>
        </w:tc>
        <w:tc>
          <w:tcPr>
            <w:tcW w:w="1420" w:type="dxa"/>
            <w:vAlign w:val="bottom"/>
            <w:tcBorders>
              <w:bottom w:val="single" w:sz="8" w:color="D9D9D9"/>
            </w:tcBorders>
          </w:tcPr>
          <w:p>
            <w:pPr>
              <w:spacing w:after="0" w:line="20" w:lineRule="exact"/>
              <w:rPr>
                <w:sz w:val="1"/>
                <w:szCs w:val="1"/>
                <w:color w:val="auto"/>
              </w:rPr>
            </w:pPr>
          </w:p>
        </w:tc>
        <w:tc>
          <w:tcPr>
            <w:tcW w:w="360" w:type="dxa"/>
            <w:vAlign w:val="bottom"/>
            <w:tcBorders>
              <w:bottom w:val="single" w:sz="8" w:color="D9D9D9"/>
            </w:tcBorders>
          </w:tcPr>
          <w:p>
            <w:pPr>
              <w:spacing w:after="0" w:line="20" w:lineRule="exact"/>
              <w:rPr>
                <w:sz w:val="1"/>
                <w:szCs w:val="1"/>
                <w:color w:val="auto"/>
              </w:rPr>
            </w:pPr>
          </w:p>
        </w:tc>
        <w:tc>
          <w:tcPr>
            <w:tcW w:w="1320" w:type="dxa"/>
            <w:vAlign w:val="bottom"/>
            <w:tcBorders>
              <w:bottom w:val="single" w:sz="8" w:color="D9D9D9"/>
            </w:tcBorders>
          </w:tcPr>
          <w:p>
            <w:pPr>
              <w:spacing w:after="0" w:line="20" w:lineRule="exact"/>
              <w:rPr>
                <w:sz w:val="1"/>
                <w:szCs w:val="1"/>
                <w:color w:val="auto"/>
              </w:rPr>
            </w:pPr>
          </w:p>
        </w:tc>
        <w:tc>
          <w:tcPr>
            <w:tcW w:w="240" w:type="dxa"/>
            <w:vAlign w:val="bottom"/>
            <w:tcBorders>
              <w:bottom w:val="single" w:sz="8" w:color="D9D9D9"/>
            </w:tcBorders>
          </w:tcPr>
          <w:p>
            <w:pPr>
              <w:spacing w:after="0" w:line="20" w:lineRule="exact"/>
              <w:rPr>
                <w:sz w:val="1"/>
                <w:szCs w:val="1"/>
                <w:color w:val="auto"/>
              </w:rPr>
            </w:pPr>
          </w:p>
        </w:tc>
        <w:tc>
          <w:tcPr>
            <w:tcW w:w="1320" w:type="dxa"/>
            <w:vAlign w:val="bottom"/>
            <w:tcBorders>
              <w:bottom w:val="single" w:sz="8" w:color="D9D9D9"/>
            </w:tcBorders>
            <w:gridSpan w:val="2"/>
          </w:tcPr>
          <w:p>
            <w:pPr>
              <w:spacing w:after="0" w:line="20" w:lineRule="exact"/>
              <w:rPr>
                <w:sz w:val="1"/>
                <w:szCs w:val="1"/>
                <w:color w:val="auto"/>
              </w:rPr>
            </w:pPr>
          </w:p>
        </w:tc>
        <w:tc>
          <w:tcPr>
            <w:tcW w:w="520" w:type="dxa"/>
            <w:vAlign w:val="bottom"/>
            <w:tcBorders>
              <w:bottom w:val="single" w:sz="8" w:color="D9D9D9"/>
            </w:tcBorders>
          </w:tcPr>
          <w:p>
            <w:pPr>
              <w:spacing w:after="0" w:line="20" w:lineRule="exact"/>
              <w:rPr>
                <w:sz w:val="1"/>
                <w:szCs w:val="1"/>
                <w:color w:val="auto"/>
              </w:rPr>
            </w:pPr>
          </w:p>
        </w:tc>
        <w:tc>
          <w:tcPr>
            <w:tcW w:w="840" w:type="dxa"/>
            <w:vAlign w:val="bottom"/>
            <w:tcBorders>
              <w:bottom w:val="single" w:sz="8" w:color="D9D9D9"/>
            </w:tcBorders>
          </w:tcPr>
          <w:p>
            <w:pPr>
              <w:spacing w:after="0" w:line="20" w:lineRule="exact"/>
              <w:rPr>
                <w:sz w:val="1"/>
                <w:szCs w:val="1"/>
                <w:color w:val="auto"/>
              </w:rPr>
            </w:pPr>
          </w:p>
        </w:tc>
        <w:tc>
          <w:tcPr>
            <w:tcW w:w="980" w:type="dxa"/>
            <w:vAlign w:val="bottom"/>
            <w:tcBorders>
              <w:bottom w:val="single" w:sz="8" w:color="D9D9D9"/>
            </w:tcBorders>
          </w:tcPr>
          <w:p>
            <w:pPr>
              <w:spacing w:after="0" w:line="20" w:lineRule="exact"/>
              <w:rPr>
                <w:sz w:val="1"/>
                <w:szCs w:val="1"/>
                <w:color w:val="auto"/>
              </w:rPr>
            </w:pPr>
          </w:p>
        </w:tc>
        <w:tc>
          <w:tcPr>
            <w:tcW w:w="140" w:type="dxa"/>
            <w:vAlign w:val="bottom"/>
            <w:tcBorders>
              <w:bottom w:val="single" w:sz="8" w:color="D9D9D9"/>
            </w:tcBorders>
          </w:tcPr>
          <w:p>
            <w:pPr>
              <w:spacing w:after="0" w:line="20" w:lineRule="exact"/>
              <w:rPr>
                <w:sz w:val="1"/>
                <w:szCs w:val="1"/>
                <w:color w:val="auto"/>
              </w:rPr>
            </w:pPr>
          </w:p>
        </w:tc>
        <w:tc>
          <w:tcPr>
            <w:tcW w:w="1120" w:type="dxa"/>
            <w:vAlign w:val="bottom"/>
            <w:tcBorders>
              <w:bottom w:val="single" w:sz="8" w:color="D9D9D9"/>
            </w:tcBorders>
          </w:tcPr>
          <w:p>
            <w:pPr>
              <w:spacing w:after="0" w:line="20" w:lineRule="exact"/>
              <w:rPr>
                <w:sz w:val="1"/>
                <w:szCs w:val="1"/>
                <w:color w:val="auto"/>
              </w:rPr>
            </w:pPr>
          </w:p>
        </w:tc>
        <w:tc>
          <w:tcPr>
            <w:tcW w:w="280" w:type="dxa"/>
            <w:vAlign w:val="bottom"/>
            <w:tcBorders>
              <w:bottom w:val="single" w:sz="8" w:color="D9D9D9"/>
            </w:tcBorders>
          </w:tcPr>
          <w:p>
            <w:pPr>
              <w:spacing w:after="0" w:line="20" w:lineRule="exact"/>
              <w:rPr>
                <w:sz w:val="1"/>
                <w:szCs w:val="1"/>
                <w:color w:val="auto"/>
              </w:rPr>
            </w:pPr>
          </w:p>
        </w:tc>
        <w:tc>
          <w:tcPr>
            <w:tcW w:w="820" w:type="dxa"/>
            <w:vAlign w:val="bottom"/>
            <w:tcBorders>
              <w:bottom w:val="single" w:sz="8" w:color="D9D9D9"/>
            </w:tcBorders>
          </w:tcPr>
          <w:p>
            <w:pPr>
              <w:spacing w:after="0" w:line="20" w:lineRule="exact"/>
              <w:rPr>
                <w:sz w:val="1"/>
                <w:szCs w:val="1"/>
                <w:color w:val="auto"/>
              </w:rPr>
            </w:pPr>
          </w:p>
        </w:tc>
      </w:tr>
      <w:tr>
        <w:trPr>
          <w:trHeight w:val="217"/>
        </w:trPr>
        <w:tc>
          <w:tcPr>
            <w:tcW w:w="1020" w:type="dxa"/>
            <w:vAlign w:val="bottom"/>
          </w:tcPr>
          <w:p>
            <w:pPr>
              <w:ind w:left="20"/>
              <w:spacing w:after="0"/>
              <w:rPr>
                <w:sz w:val="20"/>
                <w:szCs w:val="20"/>
                <w:color w:val="auto"/>
              </w:rPr>
            </w:pPr>
            <w:r>
              <w:rPr>
                <w:rFonts w:ascii="Arial" w:cs="Arial" w:eastAsia="Arial" w:hAnsi="Arial"/>
                <w:sz w:val="16"/>
                <w:szCs w:val="16"/>
                <w:color w:val="auto"/>
              </w:rPr>
              <w:t>2024</w:t>
            </w:r>
          </w:p>
        </w:tc>
        <w:tc>
          <w:tcPr>
            <w:tcW w:w="860" w:type="dxa"/>
            <w:vAlign w:val="bottom"/>
          </w:tcPr>
          <w:p>
            <w:pPr>
              <w:ind w:left="68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43"/>
              <w:spacing w:after="0"/>
              <w:rPr>
                <w:sz w:val="20"/>
                <w:szCs w:val="20"/>
                <w:color w:val="auto"/>
              </w:rPr>
            </w:pPr>
            <w:r>
              <w:rPr>
                <w:rFonts w:ascii="Arial" w:cs="Arial" w:eastAsia="Arial" w:hAnsi="Arial"/>
                <w:sz w:val="16"/>
                <w:szCs w:val="16"/>
                <w:color w:val="auto"/>
              </w:rPr>
              <w:t>616,182</w:t>
            </w:r>
          </w:p>
        </w:tc>
        <w:tc>
          <w:tcPr>
            <w:tcW w:w="3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63"/>
              <w:spacing w:after="0"/>
              <w:rPr>
                <w:sz w:val="20"/>
                <w:szCs w:val="20"/>
                <w:color w:val="auto"/>
              </w:rPr>
            </w:pPr>
            <w:r>
              <w:rPr>
                <w:rFonts w:ascii="Arial" w:cs="Arial" w:eastAsia="Arial" w:hAnsi="Arial"/>
                <w:sz w:val="16"/>
                <w:szCs w:val="16"/>
                <w:color w:val="auto"/>
              </w:rPr>
              <w:t>(114,000)</w:t>
            </w:r>
          </w:p>
        </w:tc>
        <w:tc>
          <w:tcPr>
            <w:tcW w:w="24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441"/>
              <w:spacing w:after="0"/>
              <w:rPr>
                <w:sz w:val="20"/>
                <w:szCs w:val="20"/>
                <w:color w:val="auto"/>
              </w:rPr>
            </w:pPr>
            <w:r>
              <w:rPr>
                <w:rFonts w:ascii="Arial" w:cs="Arial" w:eastAsia="Arial" w:hAnsi="Arial"/>
                <w:sz w:val="16"/>
                <w:szCs w:val="16"/>
                <w:color w:val="auto"/>
              </w:rPr>
              <w:t>(21,535)</w:t>
            </w:r>
          </w:p>
        </w:tc>
        <w:tc>
          <w:tcPr>
            <w:tcW w:w="520" w:type="dxa"/>
            <w:vAlign w:val="bottom"/>
          </w:tcPr>
          <w:p>
            <w:pPr>
              <w:ind w:left="340"/>
              <w:spacing w:after="0"/>
              <w:rPr>
                <w:sz w:val="20"/>
                <w:szCs w:val="20"/>
                <w:color w:val="auto"/>
              </w:rPr>
            </w:pPr>
            <w:r>
              <w:rPr>
                <w:rFonts w:ascii="Arial" w:cs="Arial" w:eastAsia="Arial" w:hAnsi="Arial"/>
                <w:sz w:val="16"/>
                <w:szCs w:val="16"/>
                <w:color w:val="auto"/>
              </w:rPr>
              <w:t>$</w:t>
            </w:r>
          </w:p>
        </w:tc>
        <w:tc>
          <w:tcPr>
            <w:tcW w:w="840" w:type="dxa"/>
            <w:vAlign w:val="bottom"/>
          </w:tcPr>
          <w:p>
            <w:pPr>
              <w:ind w:left="180"/>
              <w:spacing w:after="0"/>
              <w:rPr>
                <w:sz w:val="20"/>
                <w:szCs w:val="20"/>
                <w:color w:val="auto"/>
              </w:rPr>
            </w:pPr>
            <w:r>
              <w:rPr>
                <w:rFonts w:ascii="Arial" w:cs="Arial" w:eastAsia="Arial" w:hAnsi="Arial"/>
                <w:sz w:val="16"/>
                <w:szCs w:val="16"/>
                <w:color w:val="auto"/>
              </w:rPr>
              <w:t>(80,489)</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520"/>
              <w:spacing w:after="0"/>
              <w:rPr>
                <w:sz w:val="20"/>
                <w:szCs w:val="20"/>
                <w:color w:val="auto"/>
              </w:rPr>
            </w:pPr>
            <w:r>
              <w:rPr>
                <w:rFonts w:ascii="Arial" w:cs="Arial" w:eastAsia="Arial" w:hAnsi="Arial"/>
                <w:sz w:val="16"/>
                <w:szCs w:val="16"/>
                <w:color w:val="auto"/>
              </w:rPr>
              <w:t>11,320</w:t>
            </w:r>
          </w:p>
        </w:tc>
        <w:tc>
          <w:tcPr>
            <w:tcW w:w="280" w:type="dxa"/>
            <w:vAlign w:val="bottom"/>
          </w:tcPr>
          <w:p>
            <w:pPr>
              <w:ind w:lef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411,477</w:t>
            </w:r>
          </w:p>
        </w:tc>
      </w:tr>
      <w:tr>
        <w:trPr>
          <w:trHeight w:val="22"/>
        </w:trPr>
        <w:tc>
          <w:tcPr>
            <w:tcW w:w="1020" w:type="dxa"/>
            <w:vAlign w:val="bottom"/>
            <w:tcBorders>
              <w:bottom w:val="single" w:sz="8" w:color="D9D9D9"/>
            </w:tcBorders>
          </w:tcPr>
          <w:p>
            <w:pPr>
              <w:spacing w:after="0" w:line="20" w:lineRule="exact"/>
              <w:rPr>
                <w:sz w:val="1"/>
                <w:szCs w:val="1"/>
                <w:color w:val="auto"/>
              </w:rPr>
            </w:pPr>
          </w:p>
        </w:tc>
        <w:tc>
          <w:tcPr>
            <w:tcW w:w="860" w:type="dxa"/>
            <w:vAlign w:val="bottom"/>
            <w:tcBorders>
              <w:bottom w:val="single" w:sz="8" w:color="D9D9D9"/>
            </w:tcBorders>
          </w:tcPr>
          <w:p>
            <w:pPr>
              <w:spacing w:after="0" w:line="20" w:lineRule="exact"/>
              <w:rPr>
                <w:sz w:val="1"/>
                <w:szCs w:val="1"/>
                <w:color w:val="auto"/>
              </w:rPr>
            </w:pPr>
          </w:p>
        </w:tc>
        <w:tc>
          <w:tcPr>
            <w:tcW w:w="1420" w:type="dxa"/>
            <w:vAlign w:val="bottom"/>
            <w:tcBorders>
              <w:bottom w:val="single" w:sz="8" w:color="D9D9D9"/>
            </w:tcBorders>
          </w:tcPr>
          <w:p>
            <w:pPr>
              <w:spacing w:after="0" w:line="20" w:lineRule="exact"/>
              <w:rPr>
                <w:sz w:val="1"/>
                <w:szCs w:val="1"/>
                <w:color w:val="auto"/>
              </w:rPr>
            </w:pPr>
          </w:p>
        </w:tc>
        <w:tc>
          <w:tcPr>
            <w:tcW w:w="360" w:type="dxa"/>
            <w:vAlign w:val="bottom"/>
            <w:tcBorders>
              <w:bottom w:val="single" w:sz="8" w:color="D9D9D9"/>
            </w:tcBorders>
          </w:tcPr>
          <w:p>
            <w:pPr>
              <w:spacing w:after="0" w:line="20" w:lineRule="exact"/>
              <w:rPr>
                <w:sz w:val="1"/>
                <w:szCs w:val="1"/>
                <w:color w:val="auto"/>
              </w:rPr>
            </w:pPr>
          </w:p>
        </w:tc>
        <w:tc>
          <w:tcPr>
            <w:tcW w:w="1320" w:type="dxa"/>
            <w:vAlign w:val="bottom"/>
            <w:tcBorders>
              <w:bottom w:val="single" w:sz="8" w:color="D9D9D9"/>
            </w:tcBorders>
          </w:tcPr>
          <w:p>
            <w:pPr>
              <w:spacing w:after="0" w:line="20" w:lineRule="exact"/>
              <w:rPr>
                <w:sz w:val="1"/>
                <w:szCs w:val="1"/>
                <w:color w:val="auto"/>
              </w:rPr>
            </w:pPr>
          </w:p>
        </w:tc>
        <w:tc>
          <w:tcPr>
            <w:tcW w:w="240" w:type="dxa"/>
            <w:vAlign w:val="bottom"/>
            <w:tcBorders>
              <w:bottom w:val="single" w:sz="8" w:color="D9D9D9"/>
            </w:tcBorders>
          </w:tcPr>
          <w:p>
            <w:pPr>
              <w:spacing w:after="0" w:line="20" w:lineRule="exact"/>
              <w:rPr>
                <w:sz w:val="1"/>
                <w:szCs w:val="1"/>
                <w:color w:val="auto"/>
              </w:rPr>
            </w:pPr>
          </w:p>
        </w:tc>
        <w:tc>
          <w:tcPr>
            <w:tcW w:w="1320" w:type="dxa"/>
            <w:vAlign w:val="bottom"/>
            <w:tcBorders>
              <w:bottom w:val="single" w:sz="8" w:color="D9D9D9"/>
            </w:tcBorders>
            <w:gridSpan w:val="2"/>
          </w:tcPr>
          <w:p>
            <w:pPr>
              <w:spacing w:after="0" w:line="20" w:lineRule="exact"/>
              <w:rPr>
                <w:sz w:val="1"/>
                <w:szCs w:val="1"/>
                <w:color w:val="auto"/>
              </w:rPr>
            </w:pPr>
          </w:p>
        </w:tc>
        <w:tc>
          <w:tcPr>
            <w:tcW w:w="520" w:type="dxa"/>
            <w:vAlign w:val="bottom"/>
            <w:tcBorders>
              <w:bottom w:val="single" w:sz="8" w:color="D9D9D9"/>
            </w:tcBorders>
          </w:tcPr>
          <w:p>
            <w:pPr>
              <w:spacing w:after="0" w:line="20" w:lineRule="exact"/>
              <w:rPr>
                <w:sz w:val="1"/>
                <w:szCs w:val="1"/>
                <w:color w:val="auto"/>
              </w:rPr>
            </w:pPr>
          </w:p>
        </w:tc>
        <w:tc>
          <w:tcPr>
            <w:tcW w:w="840" w:type="dxa"/>
            <w:vAlign w:val="bottom"/>
            <w:tcBorders>
              <w:bottom w:val="single" w:sz="8" w:color="D9D9D9"/>
            </w:tcBorders>
          </w:tcPr>
          <w:p>
            <w:pPr>
              <w:spacing w:after="0" w:line="20" w:lineRule="exact"/>
              <w:rPr>
                <w:sz w:val="1"/>
                <w:szCs w:val="1"/>
                <w:color w:val="auto"/>
              </w:rPr>
            </w:pPr>
          </w:p>
        </w:tc>
        <w:tc>
          <w:tcPr>
            <w:tcW w:w="980" w:type="dxa"/>
            <w:vAlign w:val="bottom"/>
            <w:tcBorders>
              <w:bottom w:val="single" w:sz="8" w:color="D9D9D9"/>
            </w:tcBorders>
          </w:tcPr>
          <w:p>
            <w:pPr>
              <w:spacing w:after="0" w:line="20" w:lineRule="exact"/>
              <w:rPr>
                <w:sz w:val="1"/>
                <w:szCs w:val="1"/>
                <w:color w:val="auto"/>
              </w:rPr>
            </w:pPr>
          </w:p>
        </w:tc>
        <w:tc>
          <w:tcPr>
            <w:tcW w:w="140" w:type="dxa"/>
            <w:vAlign w:val="bottom"/>
            <w:tcBorders>
              <w:bottom w:val="single" w:sz="8" w:color="D9D9D9"/>
            </w:tcBorders>
          </w:tcPr>
          <w:p>
            <w:pPr>
              <w:spacing w:after="0" w:line="20" w:lineRule="exact"/>
              <w:rPr>
                <w:sz w:val="1"/>
                <w:szCs w:val="1"/>
                <w:color w:val="auto"/>
              </w:rPr>
            </w:pPr>
          </w:p>
        </w:tc>
        <w:tc>
          <w:tcPr>
            <w:tcW w:w="1120" w:type="dxa"/>
            <w:vAlign w:val="bottom"/>
            <w:tcBorders>
              <w:bottom w:val="single" w:sz="8" w:color="D9D9D9"/>
            </w:tcBorders>
          </w:tcPr>
          <w:p>
            <w:pPr>
              <w:spacing w:after="0" w:line="20" w:lineRule="exact"/>
              <w:rPr>
                <w:sz w:val="1"/>
                <w:szCs w:val="1"/>
                <w:color w:val="auto"/>
              </w:rPr>
            </w:pPr>
          </w:p>
        </w:tc>
        <w:tc>
          <w:tcPr>
            <w:tcW w:w="280" w:type="dxa"/>
            <w:vAlign w:val="bottom"/>
            <w:tcBorders>
              <w:bottom w:val="single" w:sz="8" w:color="D9D9D9"/>
            </w:tcBorders>
          </w:tcPr>
          <w:p>
            <w:pPr>
              <w:spacing w:after="0" w:line="20" w:lineRule="exact"/>
              <w:rPr>
                <w:sz w:val="1"/>
                <w:szCs w:val="1"/>
                <w:color w:val="auto"/>
              </w:rPr>
            </w:pPr>
          </w:p>
        </w:tc>
        <w:tc>
          <w:tcPr>
            <w:tcW w:w="820" w:type="dxa"/>
            <w:vAlign w:val="bottom"/>
            <w:tcBorders>
              <w:bottom w:val="single" w:sz="8" w:color="D9D9D9"/>
            </w:tcBorders>
          </w:tcPr>
          <w:p>
            <w:pPr>
              <w:spacing w:after="0" w:line="20" w:lineRule="exact"/>
              <w:rPr>
                <w:sz w:val="1"/>
                <w:szCs w:val="1"/>
                <w:color w:val="auto"/>
              </w:rPr>
            </w:pPr>
          </w:p>
        </w:tc>
      </w:tr>
      <w:tr>
        <w:trPr>
          <w:trHeight w:val="217"/>
        </w:trPr>
        <w:tc>
          <w:tcPr>
            <w:tcW w:w="1020" w:type="dxa"/>
            <w:vAlign w:val="bottom"/>
          </w:tcPr>
          <w:p>
            <w:pPr>
              <w:ind w:left="20"/>
              <w:spacing w:after="0"/>
              <w:rPr>
                <w:sz w:val="20"/>
                <w:szCs w:val="20"/>
                <w:color w:val="auto"/>
              </w:rPr>
            </w:pPr>
            <w:r>
              <w:rPr>
                <w:rFonts w:ascii="Arial" w:cs="Arial" w:eastAsia="Arial" w:hAnsi="Arial"/>
                <w:sz w:val="16"/>
                <w:szCs w:val="16"/>
                <w:color w:val="auto"/>
              </w:rPr>
              <w:t>2023</w:t>
            </w:r>
          </w:p>
        </w:tc>
        <w:tc>
          <w:tcPr>
            <w:tcW w:w="860" w:type="dxa"/>
            <w:vAlign w:val="bottom"/>
          </w:tcPr>
          <w:p>
            <w:pPr>
              <w:ind w:left="68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43"/>
              <w:spacing w:after="0"/>
              <w:rPr>
                <w:sz w:val="20"/>
                <w:szCs w:val="20"/>
                <w:color w:val="auto"/>
              </w:rPr>
            </w:pPr>
            <w:r>
              <w:rPr>
                <w:rFonts w:ascii="Arial" w:cs="Arial" w:eastAsia="Arial" w:hAnsi="Arial"/>
                <w:sz w:val="16"/>
                <w:szCs w:val="16"/>
                <w:color w:val="auto"/>
              </w:rPr>
              <w:t>673,736</w:t>
            </w:r>
          </w:p>
        </w:tc>
        <w:tc>
          <w:tcPr>
            <w:tcW w:w="3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63"/>
              <w:spacing w:after="0"/>
              <w:rPr>
                <w:sz w:val="20"/>
                <w:szCs w:val="20"/>
                <w:color w:val="auto"/>
              </w:rPr>
            </w:pPr>
            <w:r>
              <w:rPr>
                <w:rFonts w:ascii="Arial" w:cs="Arial" w:eastAsia="Arial" w:hAnsi="Arial"/>
                <w:sz w:val="16"/>
                <w:szCs w:val="16"/>
                <w:color w:val="auto"/>
              </w:rPr>
              <w:t>(45,064)</w:t>
            </w:r>
          </w:p>
        </w:tc>
        <w:tc>
          <w:tcPr>
            <w:tcW w:w="24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481"/>
              <w:spacing w:after="0"/>
              <w:rPr>
                <w:sz w:val="20"/>
                <w:szCs w:val="20"/>
                <w:color w:val="auto"/>
              </w:rPr>
            </w:pPr>
            <w:r>
              <w:rPr>
                <w:rFonts w:ascii="Arial" w:cs="Arial" w:eastAsia="Arial" w:hAnsi="Arial"/>
                <w:sz w:val="16"/>
                <w:szCs w:val="16"/>
                <w:color w:val="auto"/>
              </w:rPr>
              <w:t>22,748</w:t>
            </w:r>
          </w:p>
        </w:tc>
        <w:tc>
          <w:tcPr>
            <w:tcW w:w="520" w:type="dxa"/>
            <w:vAlign w:val="bottom"/>
          </w:tcPr>
          <w:p>
            <w:pPr>
              <w:ind w:left="3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(196,877)</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520"/>
              <w:spacing w:after="0"/>
              <w:rPr>
                <w:sz w:val="20"/>
                <w:szCs w:val="20"/>
                <w:color w:val="auto"/>
              </w:rPr>
            </w:pPr>
            <w:r>
              <w:rPr>
                <w:rFonts w:ascii="Arial" w:cs="Arial" w:eastAsia="Arial" w:hAnsi="Arial"/>
                <w:sz w:val="16"/>
                <w:szCs w:val="16"/>
                <w:color w:val="auto"/>
              </w:rPr>
              <w:t>12,926</w:t>
            </w:r>
          </w:p>
        </w:tc>
        <w:tc>
          <w:tcPr>
            <w:tcW w:w="280" w:type="dxa"/>
            <w:vAlign w:val="bottom"/>
          </w:tcPr>
          <w:p>
            <w:pPr>
              <w:ind w:lef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467,470</w:t>
            </w:r>
          </w:p>
        </w:tc>
      </w:tr>
      <w:tr>
        <w:trPr>
          <w:trHeight w:val="22"/>
        </w:trPr>
        <w:tc>
          <w:tcPr>
            <w:tcW w:w="1020" w:type="dxa"/>
            <w:vAlign w:val="bottom"/>
            <w:tcBorders>
              <w:bottom w:val="single" w:sz="8" w:color="D9D9D9"/>
            </w:tcBorders>
          </w:tcPr>
          <w:p>
            <w:pPr>
              <w:spacing w:after="0" w:line="20" w:lineRule="exact"/>
              <w:rPr>
                <w:sz w:val="1"/>
                <w:szCs w:val="1"/>
                <w:color w:val="auto"/>
              </w:rPr>
            </w:pPr>
          </w:p>
        </w:tc>
        <w:tc>
          <w:tcPr>
            <w:tcW w:w="860" w:type="dxa"/>
            <w:vAlign w:val="bottom"/>
            <w:tcBorders>
              <w:bottom w:val="single" w:sz="8" w:color="D9D9D9"/>
            </w:tcBorders>
          </w:tcPr>
          <w:p>
            <w:pPr>
              <w:spacing w:after="0" w:line="20" w:lineRule="exact"/>
              <w:rPr>
                <w:sz w:val="1"/>
                <w:szCs w:val="1"/>
                <w:color w:val="auto"/>
              </w:rPr>
            </w:pPr>
          </w:p>
        </w:tc>
        <w:tc>
          <w:tcPr>
            <w:tcW w:w="1420" w:type="dxa"/>
            <w:vAlign w:val="bottom"/>
            <w:tcBorders>
              <w:bottom w:val="single" w:sz="8" w:color="D9D9D9"/>
            </w:tcBorders>
          </w:tcPr>
          <w:p>
            <w:pPr>
              <w:spacing w:after="0" w:line="20" w:lineRule="exact"/>
              <w:rPr>
                <w:sz w:val="1"/>
                <w:szCs w:val="1"/>
                <w:color w:val="auto"/>
              </w:rPr>
            </w:pPr>
          </w:p>
        </w:tc>
        <w:tc>
          <w:tcPr>
            <w:tcW w:w="360" w:type="dxa"/>
            <w:vAlign w:val="bottom"/>
            <w:tcBorders>
              <w:bottom w:val="single" w:sz="8" w:color="D9D9D9"/>
            </w:tcBorders>
          </w:tcPr>
          <w:p>
            <w:pPr>
              <w:spacing w:after="0" w:line="20" w:lineRule="exact"/>
              <w:rPr>
                <w:sz w:val="1"/>
                <w:szCs w:val="1"/>
                <w:color w:val="auto"/>
              </w:rPr>
            </w:pPr>
          </w:p>
        </w:tc>
        <w:tc>
          <w:tcPr>
            <w:tcW w:w="1320" w:type="dxa"/>
            <w:vAlign w:val="bottom"/>
            <w:tcBorders>
              <w:bottom w:val="single" w:sz="8" w:color="D9D9D9"/>
            </w:tcBorders>
          </w:tcPr>
          <w:p>
            <w:pPr>
              <w:spacing w:after="0" w:line="20" w:lineRule="exact"/>
              <w:rPr>
                <w:sz w:val="1"/>
                <w:szCs w:val="1"/>
                <w:color w:val="auto"/>
              </w:rPr>
            </w:pPr>
          </w:p>
        </w:tc>
        <w:tc>
          <w:tcPr>
            <w:tcW w:w="240" w:type="dxa"/>
            <w:vAlign w:val="bottom"/>
            <w:tcBorders>
              <w:bottom w:val="single" w:sz="8" w:color="D9D9D9"/>
            </w:tcBorders>
          </w:tcPr>
          <w:p>
            <w:pPr>
              <w:spacing w:after="0" w:line="20" w:lineRule="exact"/>
              <w:rPr>
                <w:sz w:val="1"/>
                <w:szCs w:val="1"/>
                <w:color w:val="auto"/>
              </w:rPr>
            </w:pPr>
          </w:p>
        </w:tc>
        <w:tc>
          <w:tcPr>
            <w:tcW w:w="1320" w:type="dxa"/>
            <w:vAlign w:val="bottom"/>
            <w:tcBorders>
              <w:bottom w:val="single" w:sz="8" w:color="D9D9D9"/>
            </w:tcBorders>
            <w:gridSpan w:val="2"/>
          </w:tcPr>
          <w:p>
            <w:pPr>
              <w:spacing w:after="0" w:line="20" w:lineRule="exact"/>
              <w:rPr>
                <w:sz w:val="1"/>
                <w:szCs w:val="1"/>
                <w:color w:val="auto"/>
              </w:rPr>
            </w:pPr>
          </w:p>
        </w:tc>
        <w:tc>
          <w:tcPr>
            <w:tcW w:w="520" w:type="dxa"/>
            <w:vAlign w:val="bottom"/>
            <w:tcBorders>
              <w:bottom w:val="single" w:sz="8" w:color="D9D9D9"/>
            </w:tcBorders>
          </w:tcPr>
          <w:p>
            <w:pPr>
              <w:spacing w:after="0" w:line="20" w:lineRule="exact"/>
              <w:rPr>
                <w:sz w:val="1"/>
                <w:szCs w:val="1"/>
                <w:color w:val="auto"/>
              </w:rPr>
            </w:pPr>
          </w:p>
        </w:tc>
        <w:tc>
          <w:tcPr>
            <w:tcW w:w="840" w:type="dxa"/>
            <w:vAlign w:val="bottom"/>
            <w:tcBorders>
              <w:bottom w:val="single" w:sz="8" w:color="D9D9D9"/>
            </w:tcBorders>
          </w:tcPr>
          <w:p>
            <w:pPr>
              <w:spacing w:after="0" w:line="20" w:lineRule="exact"/>
              <w:rPr>
                <w:sz w:val="1"/>
                <w:szCs w:val="1"/>
                <w:color w:val="auto"/>
              </w:rPr>
            </w:pPr>
          </w:p>
        </w:tc>
        <w:tc>
          <w:tcPr>
            <w:tcW w:w="980" w:type="dxa"/>
            <w:vAlign w:val="bottom"/>
            <w:tcBorders>
              <w:bottom w:val="single" w:sz="8" w:color="D9D9D9"/>
            </w:tcBorders>
          </w:tcPr>
          <w:p>
            <w:pPr>
              <w:spacing w:after="0" w:line="20" w:lineRule="exact"/>
              <w:rPr>
                <w:sz w:val="1"/>
                <w:szCs w:val="1"/>
                <w:color w:val="auto"/>
              </w:rPr>
            </w:pPr>
          </w:p>
        </w:tc>
        <w:tc>
          <w:tcPr>
            <w:tcW w:w="140" w:type="dxa"/>
            <w:vAlign w:val="bottom"/>
            <w:tcBorders>
              <w:bottom w:val="single" w:sz="8" w:color="D9D9D9"/>
            </w:tcBorders>
          </w:tcPr>
          <w:p>
            <w:pPr>
              <w:spacing w:after="0" w:line="20" w:lineRule="exact"/>
              <w:rPr>
                <w:sz w:val="1"/>
                <w:szCs w:val="1"/>
                <w:color w:val="auto"/>
              </w:rPr>
            </w:pPr>
          </w:p>
        </w:tc>
        <w:tc>
          <w:tcPr>
            <w:tcW w:w="1120" w:type="dxa"/>
            <w:vAlign w:val="bottom"/>
            <w:tcBorders>
              <w:bottom w:val="single" w:sz="8" w:color="D9D9D9"/>
            </w:tcBorders>
          </w:tcPr>
          <w:p>
            <w:pPr>
              <w:spacing w:after="0" w:line="20" w:lineRule="exact"/>
              <w:rPr>
                <w:sz w:val="1"/>
                <w:szCs w:val="1"/>
                <w:color w:val="auto"/>
              </w:rPr>
            </w:pPr>
          </w:p>
        </w:tc>
        <w:tc>
          <w:tcPr>
            <w:tcW w:w="280" w:type="dxa"/>
            <w:vAlign w:val="bottom"/>
            <w:tcBorders>
              <w:bottom w:val="single" w:sz="8" w:color="D9D9D9"/>
            </w:tcBorders>
          </w:tcPr>
          <w:p>
            <w:pPr>
              <w:spacing w:after="0" w:line="20" w:lineRule="exact"/>
              <w:rPr>
                <w:sz w:val="1"/>
                <w:szCs w:val="1"/>
                <w:color w:val="auto"/>
              </w:rPr>
            </w:pPr>
          </w:p>
        </w:tc>
        <w:tc>
          <w:tcPr>
            <w:tcW w:w="820" w:type="dxa"/>
            <w:vAlign w:val="bottom"/>
            <w:tcBorders>
              <w:bottom w:val="single" w:sz="8" w:color="D9D9D9"/>
            </w:tcBorders>
          </w:tcPr>
          <w:p>
            <w:pPr>
              <w:spacing w:after="0" w:line="20" w:lineRule="exact"/>
              <w:rPr>
                <w:sz w:val="1"/>
                <w:szCs w:val="1"/>
                <w:color w:val="auto"/>
              </w:rPr>
            </w:pPr>
          </w:p>
        </w:tc>
      </w:tr>
      <w:tr>
        <w:trPr>
          <w:trHeight w:val="217"/>
        </w:trPr>
        <w:tc>
          <w:tcPr>
            <w:tcW w:w="1020" w:type="dxa"/>
            <w:vAlign w:val="bottom"/>
          </w:tcPr>
          <w:p>
            <w:pPr>
              <w:ind w:left="20"/>
              <w:spacing w:after="0"/>
              <w:rPr>
                <w:sz w:val="20"/>
                <w:szCs w:val="20"/>
                <w:color w:val="auto"/>
              </w:rPr>
            </w:pPr>
            <w:r>
              <w:rPr>
                <w:rFonts w:ascii="Arial" w:cs="Arial" w:eastAsia="Arial" w:hAnsi="Arial"/>
                <w:sz w:val="16"/>
                <w:szCs w:val="16"/>
                <w:color w:val="auto"/>
              </w:rPr>
              <w:t>2022</w:t>
            </w:r>
          </w:p>
        </w:tc>
        <w:tc>
          <w:tcPr>
            <w:tcW w:w="860" w:type="dxa"/>
            <w:vAlign w:val="bottom"/>
          </w:tcPr>
          <w:p>
            <w:pPr>
              <w:ind w:left="68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43"/>
              <w:spacing w:after="0"/>
              <w:rPr>
                <w:sz w:val="20"/>
                <w:szCs w:val="20"/>
                <w:color w:val="auto"/>
              </w:rPr>
            </w:pPr>
            <w:r>
              <w:rPr>
                <w:rFonts w:ascii="Arial" w:cs="Arial" w:eastAsia="Arial" w:hAnsi="Arial"/>
                <w:sz w:val="16"/>
                <w:szCs w:val="16"/>
                <w:color w:val="auto"/>
              </w:rPr>
              <w:t>452,477</w:t>
            </w:r>
          </w:p>
        </w:tc>
        <w:tc>
          <w:tcPr>
            <w:tcW w:w="3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63"/>
              <w:spacing w:after="0"/>
              <w:rPr>
                <w:sz w:val="20"/>
                <w:szCs w:val="20"/>
                <w:color w:val="auto"/>
              </w:rPr>
            </w:pPr>
            <w:r>
              <w:rPr>
                <w:rFonts w:ascii="Arial" w:cs="Arial" w:eastAsia="Arial" w:hAnsi="Arial"/>
                <w:sz w:val="16"/>
                <w:szCs w:val="16"/>
                <w:color w:val="auto"/>
              </w:rPr>
              <w:t>(92,500)</w:t>
            </w:r>
          </w:p>
        </w:tc>
        <w:tc>
          <w:tcPr>
            <w:tcW w:w="24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441"/>
              <w:spacing w:after="0"/>
              <w:rPr>
                <w:sz w:val="20"/>
                <w:szCs w:val="20"/>
                <w:color w:val="auto"/>
              </w:rPr>
            </w:pPr>
            <w:r>
              <w:rPr>
                <w:rFonts w:ascii="Arial" w:cs="Arial" w:eastAsia="Arial" w:hAnsi="Arial"/>
                <w:sz w:val="16"/>
                <w:szCs w:val="16"/>
                <w:color w:val="auto"/>
              </w:rPr>
              <w:t>(120,479)</w:t>
            </w:r>
          </w:p>
        </w:tc>
        <w:tc>
          <w:tcPr>
            <w:tcW w:w="520" w:type="dxa"/>
            <w:vAlign w:val="bottom"/>
          </w:tcPr>
          <w:p>
            <w:pPr>
              <w:ind w:left="340"/>
              <w:spacing w:after="0"/>
              <w:rPr>
                <w:sz w:val="20"/>
                <w:szCs w:val="20"/>
                <w:color w:val="auto"/>
              </w:rPr>
            </w:pPr>
            <w:r>
              <w:rPr>
                <w:rFonts w:ascii="Arial" w:cs="Arial" w:eastAsia="Arial" w:hAnsi="Arial"/>
                <w:sz w:val="16"/>
                <w:szCs w:val="16"/>
                <w:color w:val="auto"/>
              </w:rPr>
              <w:t>$</w:t>
            </w:r>
          </w:p>
        </w:tc>
        <w:tc>
          <w:tcPr>
            <w:tcW w:w="840" w:type="dxa"/>
            <w:vAlign w:val="bottom"/>
          </w:tcPr>
          <w:p>
            <w:pPr>
              <w:ind w:left="5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520"/>
              <w:spacing w:after="0"/>
              <w:rPr>
                <w:sz w:val="20"/>
                <w:szCs w:val="20"/>
                <w:color w:val="auto"/>
              </w:rPr>
            </w:pPr>
            <w:r>
              <w:rPr>
                <w:rFonts w:ascii="Arial" w:cs="Arial" w:eastAsia="Arial" w:hAnsi="Arial"/>
                <w:sz w:val="16"/>
                <w:szCs w:val="16"/>
                <w:color w:val="auto"/>
              </w:rPr>
              <w:t>45,098</w:t>
            </w:r>
          </w:p>
        </w:tc>
        <w:tc>
          <w:tcPr>
            <w:tcW w:w="280" w:type="dxa"/>
            <w:vAlign w:val="bottom"/>
          </w:tcPr>
          <w:p>
            <w:pPr>
              <w:ind w:lef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284,597</w:t>
            </w:r>
          </w:p>
        </w:tc>
      </w:tr>
      <w:tr>
        <w:trPr>
          <w:trHeight w:val="22"/>
        </w:trPr>
        <w:tc>
          <w:tcPr>
            <w:tcW w:w="1020" w:type="dxa"/>
            <w:vAlign w:val="bottom"/>
            <w:tcBorders>
              <w:bottom w:val="single" w:sz="8" w:color="D9D9D9"/>
            </w:tcBorders>
          </w:tcPr>
          <w:p>
            <w:pPr>
              <w:spacing w:after="0" w:line="20" w:lineRule="exact"/>
              <w:rPr>
                <w:sz w:val="1"/>
                <w:szCs w:val="1"/>
                <w:color w:val="auto"/>
              </w:rPr>
            </w:pPr>
          </w:p>
        </w:tc>
        <w:tc>
          <w:tcPr>
            <w:tcW w:w="860" w:type="dxa"/>
            <w:vAlign w:val="bottom"/>
            <w:tcBorders>
              <w:bottom w:val="single" w:sz="8" w:color="D9D9D9"/>
            </w:tcBorders>
          </w:tcPr>
          <w:p>
            <w:pPr>
              <w:spacing w:after="0" w:line="20" w:lineRule="exact"/>
              <w:rPr>
                <w:sz w:val="1"/>
                <w:szCs w:val="1"/>
                <w:color w:val="auto"/>
              </w:rPr>
            </w:pPr>
          </w:p>
        </w:tc>
        <w:tc>
          <w:tcPr>
            <w:tcW w:w="1420" w:type="dxa"/>
            <w:vAlign w:val="bottom"/>
            <w:tcBorders>
              <w:bottom w:val="single" w:sz="8" w:color="D9D9D9"/>
            </w:tcBorders>
          </w:tcPr>
          <w:p>
            <w:pPr>
              <w:spacing w:after="0" w:line="20" w:lineRule="exact"/>
              <w:rPr>
                <w:sz w:val="1"/>
                <w:szCs w:val="1"/>
                <w:color w:val="auto"/>
              </w:rPr>
            </w:pPr>
          </w:p>
        </w:tc>
        <w:tc>
          <w:tcPr>
            <w:tcW w:w="360" w:type="dxa"/>
            <w:vAlign w:val="bottom"/>
            <w:tcBorders>
              <w:bottom w:val="single" w:sz="8" w:color="D9D9D9"/>
            </w:tcBorders>
          </w:tcPr>
          <w:p>
            <w:pPr>
              <w:spacing w:after="0" w:line="20" w:lineRule="exact"/>
              <w:rPr>
                <w:sz w:val="1"/>
                <w:szCs w:val="1"/>
                <w:color w:val="auto"/>
              </w:rPr>
            </w:pPr>
          </w:p>
        </w:tc>
        <w:tc>
          <w:tcPr>
            <w:tcW w:w="1320" w:type="dxa"/>
            <w:vAlign w:val="bottom"/>
            <w:tcBorders>
              <w:bottom w:val="single" w:sz="8" w:color="D9D9D9"/>
            </w:tcBorders>
          </w:tcPr>
          <w:p>
            <w:pPr>
              <w:spacing w:after="0" w:line="20" w:lineRule="exact"/>
              <w:rPr>
                <w:sz w:val="1"/>
                <w:szCs w:val="1"/>
                <w:color w:val="auto"/>
              </w:rPr>
            </w:pPr>
          </w:p>
        </w:tc>
        <w:tc>
          <w:tcPr>
            <w:tcW w:w="240" w:type="dxa"/>
            <w:vAlign w:val="bottom"/>
            <w:tcBorders>
              <w:bottom w:val="single" w:sz="8" w:color="D9D9D9"/>
            </w:tcBorders>
          </w:tcPr>
          <w:p>
            <w:pPr>
              <w:spacing w:after="0" w:line="20" w:lineRule="exact"/>
              <w:rPr>
                <w:sz w:val="1"/>
                <w:szCs w:val="1"/>
                <w:color w:val="auto"/>
              </w:rPr>
            </w:pPr>
          </w:p>
        </w:tc>
        <w:tc>
          <w:tcPr>
            <w:tcW w:w="1320" w:type="dxa"/>
            <w:vAlign w:val="bottom"/>
            <w:tcBorders>
              <w:bottom w:val="single" w:sz="8" w:color="D9D9D9"/>
            </w:tcBorders>
            <w:gridSpan w:val="2"/>
          </w:tcPr>
          <w:p>
            <w:pPr>
              <w:spacing w:after="0" w:line="20" w:lineRule="exact"/>
              <w:rPr>
                <w:sz w:val="1"/>
                <w:szCs w:val="1"/>
                <w:color w:val="auto"/>
              </w:rPr>
            </w:pPr>
          </w:p>
        </w:tc>
        <w:tc>
          <w:tcPr>
            <w:tcW w:w="520" w:type="dxa"/>
            <w:vAlign w:val="bottom"/>
            <w:tcBorders>
              <w:bottom w:val="single" w:sz="8" w:color="D9D9D9"/>
            </w:tcBorders>
          </w:tcPr>
          <w:p>
            <w:pPr>
              <w:spacing w:after="0" w:line="20" w:lineRule="exact"/>
              <w:rPr>
                <w:sz w:val="1"/>
                <w:szCs w:val="1"/>
                <w:color w:val="auto"/>
              </w:rPr>
            </w:pPr>
          </w:p>
        </w:tc>
        <w:tc>
          <w:tcPr>
            <w:tcW w:w="840" w:type="dxa"/>
            <w:vAlign w:val="bottom"/>
            <w:tcBorders>
              <w:bottom w:val="single" w:sz="8" w:color="D9D9D9"/>
            </w:tcBorders>
          </w:tcPr>
          <w:p>
            <w:pPr>
              <w:spacing w:after="0" w:line="20" w:lineRule="exact"/>
              <w:rPr>
                <w:sz w:val="1"/>
                <w:szCs w:val="1"/>
                <w:color w:val="auto"/>
              </w:rPr>
            </w:pPr>
          </w:p>
        </w:tc>
        <w:tc>
          <w:tcPr>
            <w:tcW w:w="980" w:type="dxa"/>
            <w:vAlign w:val="bottom"/>
            <w:tcBorders>
              <w:bottom w:val="single" w:sz="8" w:color="D9D9D9"/>
            </w:tcBorders>
          </w:tcPr>
          <w:p>
            <w:pPr>
              <w:spacing w:after="0" w:line="20" w:lineRule="exact"/>
              <w:rPr>
                <w:sz w:val="1"/>
                <w:szCs w:val="1"/>
                <w:color w:val="auto"/>
              </w:rPr>
            </w:pPr>
          </w:p>
        </w:tc>
        <w:tc>
          <w:tcPr>
            <w:tcW w:w="140" w:type="dxa"/>
            <w:vAlign w:val="bottom"/>
            <w:tcBorders>
              <w:bottom w:val="single" w:sz="8" w:color="D9D9D9"/>
            </w:tcBorders>
          </w:tcPr>
          <w:p>
            <w:pPr>
              <w:spacing w:after="0" w:line="20" w:lineRule="exact"/>
              <w:rPr>
                <w:sz w:val="1"/>
                <w:szCs w:val="1"/>
                <w:color w:val="auto"/>
              </w:rPr>
            </w:pPr>
          </w:p>
        </w:tc>
        <w:tc>
          <w:tcPr>
            <w:tcW w:w="1120" w:type="dxa"/>
            <w:vAlign w:val="bottom"/>
            <w:tcBorders>
              <w:bottom w:val="single" w:sz="8" w:color="D9D9D9"/>
            </w:tcBorders>
          </w:tcPr>
          <w:p>
            <w:pPr>
              <w:spacing w:after="0" w:line="20" w:lineRule="exact"/>
              <w:rPr>
                <w:sz w:val="1"/>
                <w:szCs w:val="1"/>
                <w:color w:val="auto"/>
              </w:rPr>
            </w:pPr>
          </w:p>
        </w:tc>
        <w:tc>
          <w:tcPr>
            <w:tcW w:w="280" w:type="dxa"/>
            <w:vAlign w:val="bottom"/>
            <w:tcBorders>
              <w:bottom w:val="single" w:sz="8" w:color="D9D9D9"/>
            </w:tcBorders>
          </w:tcPr>
          <w:p>
            <w:pPr>
              <w:spacing w:after="0" w:line="20" w:lineRule="exact"/>
              <w:rPr>
                <w:sz w:val="1"/>
                <w:szCs w:val="1"/>
                <w:color w:val="auto"/>
              </w:rPr>
            </w:pPr>
          </w:p>
        </w:tc>
        <w:tc>
          <w:tcPr>
            <w:tcW w:w="820" w:type="dxa"/>
            <w:vAlign w:val="bottom"/>
            <w:tcBorders>
              <w:bottom w:val="single" w:sz="8" w:color="D9D9D9"/>
            </w:tcBorders>
          </w:tcPr>
          <w:p>
            <w:pPr>
              <w:spacing w:after="0" w:line="20" w:lineRule="exact"/>
              <w:rPr>
                <w:sz w:val="1"/>
                <w:szCs w:val="1"/>
                <w:color w:val="auto"/>
              </w:rPr>
            </w:pPr>
          </w:p>
        </w:tc>
      </w:tr>
      <w:tr>
        <w:trPr>
          <w:trHeight w:val="217"/>
        </w:trPr>
        <w:tc>
          <w:tcPr>
            <w:tcW w:w="1020" w:type="dxa"/>
            <w:vAlign w:val="bottom"/>
          </w:tcPr>
          <w:p>
            <w:pPr>
              <w:ind w:left="20"/>
              <w:spacing w:after="0"/>
              <w:rPr>
                <w:sz w:val="20"/>
                <w:szCs w:val="20"/>
                <w:color w:val="auto"/>
              </w:rPr>
            </w:pPr>
            <w:r>
              <w:rPr>
                <w:rFonts w:ascii="Arial" w:cs="Arial" w:eastAsia="Arial" w:hAnsi="Arial"/>
                <w:sz w:val="16"/>
                <w:szCs w:val="16"/>
                <w:color w:val="auto"/>
              </w:rPr>
              <w:t>2021</w:t>
            </w:r>
          </w:p>
        </w:tc>
        <w:tc>
          <w:tcPr>
            <w:tcW w:w="860" w:type="dxa"/>
            <w:vAlign w:val="bottom"/>
          </w:tcPr>
          <w:p>
            <w:pPr>
              <w:ind w:left="68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43"/>
              <w:spacing w:after="0"/>
              <w:rPr>
                <w:sz w:val="20"/>
                <w:szCs w:val="20"/>
                <w:color w:val="auto"/>
              </w:rPr>
            </w:pPr>
            <w:r>
              <w:rPr>
                <w:rFonts w:ascii="Arial" w:cs="Arial" w:eastAsia="Arial" w:hAnsi="Arial"/>
                <w:sz w:val="16"/>
                <w:szCs w:val="16"/>
                <w:color w:val="auto"/>
              </w:rPr>
              <w:t>490,567</w:t>
            </w:r>
          </w:p>
        </w:tc>
        <w:tc>
          <w:tcPr>
            <w:tcW w:w="3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63"/>
              <w:spacing w:after="0"/>
              <w:rPr>
                <w:sz w:val="20"/>
                <w:szCs w:val="20"/>
                <w:color w:val="auto"/>
              </w:rPr>
            </w:pPr>
            <w:r>
              <w:rPr>
                <w:rFonts w:ascii="Arial" w:cs="Arial" w:eastAsia="Arial" w:hAnsi="Arial"/>
                <w:sz w:val="16"/>
                <w:szCs w:val="16"/>
                <w:color w:val="auto"/>
              </w:rPr>
              <w:t>(88,750)</w:t>
            </w:r>
          </w:p>
        </w:tc>
        <w:tc>
          <w:tcPr>
            <w:tcW w:w="24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481"/>
              <w:spacing w:after="0"/>
              <w:rPr>
                <w:sz w:val="20"/>
                <w:szCs w:val="20"/>
                <w:color w:val="auto"/>
              </w:rPr>
            </w:pPr>
            <w:r>
              <w:rPr>
                <w:rFonts w:ascii="Arial" w:cs="Arial" w:eastAsia="Arial" w:hAnsi="Arial"/>
                <w:sz w:val="16"/>
                <w:szCs w:val="16"/>
                <w:color w:val="auto"/>
              </w:rPr>
              <w:t>390,457</w:t>
            </w:r>
          </w:p>
        </w:tc>
        <w:tc>
          <w:tcPr>
            <w:tcW w:w="520" w:type="dxa"/>
            <w:vAlign w:val="bottom"/>
          </w:tcPr>
          <w:p>
            <w:pPr>
              <w:ind w:left="340"/>
              <w:spacing w:after="0"/>
              <w:rPr>
                <w:sz w:val="20"/>
                <w:szCs w:val="20"/>
                <w:color w:val="auto"/>
              </w:rPr>
            </w:pPr>
            <w:r>
              <w:rPr>
                <w:rFonts w:ascii="Arial" w:cs="Arial" w:eastAsia="Arial" w:hAnsi="Arial"/>
                <w:sz w:val="16"/>
                <w:szCs w:val="16"/>
                <w:color w:val="auto"/>
              </w:rPr>
              <w:t>$</w:t>
            </w:r>
          </w:p>
        </w:tc>
        <w:tc>
          <w:tcPr>
            <w:tcW w:w="840" w:type="dxa"/>
            <w:vAlign w:val="bottom"/>
          </w:tcPr>
          <w:p>
            <w:pPr>
              <w:ind w:left="180"/>
              <w:spacing w:after="0"/>
              <w:rPr>
                <w:sz w:val="20"/>
                <w:szCs w:val="20"/>
                <w:color w:val="auto"/>
              </w:rPr>
            </w:pPr>
            <w:r>
              <w:rPr>
                <w:rFonts w:ascii="Arial" w:cs="Arial" w:eastAsia="Arial" w:hAnsi="Arial"/>
                <w:sz w:val="16"/>
                <w:szCs w:val="16"/>
                <w:color w:val="auto"/>
              </w:rPr>
              <w:t>(78,407)</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520"/>
              <w:spacing w:after="0"/>
              <w:rPr>
                <w:sz w:val="20"/>
                <w:szCs w:val="20"/>
                <w:color w:val="auto"/>
              </w:rPr>
            </w:pPr>
            <w:r>
              <w:rPr>
                <w:rFonts w:ascii="Arial" w:cs="Arial" w:eastAsia="Arial" w:hAnsi="Arial"/>
                <w:sz w:val="16"/>
                <w:szCs w:val="16"/>
                <w:color w:val="auto"/>
              </w:rPr>
              <w:t>68,461</w:t>
            </w:r>
          </w:p>
        </w:tc>
        <w:tc>
          <w:tcPr>
            <w:tcW w:w="280" w:type="dxa"/>
            <w:vAlign w:val="bottom"/>
          </w:tcPr>
          <w:p>
            <w:pPr>
              <w:ind w:lef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782,328</w:t>
            </w:r>
          </w:p>
        </w:tc>
      </w:tr>
      <w:tr>
        <w:trPr>
          <w:trHeight w:val="22"/>
        </w:trPr>
        <w:tc>
          <w:tcPr>
            <w:tcW w:w="1020" w:type="dxa"/>
            <w:vAlign w:val="bottom"/>
            <w:tcBorders>
              <w:bottom w:val="single" w:sz="8" w:color="00AEEF"/>
            </w:tcBorders>
          </w:tcPr>
          <w:p>
            <w:pPr>
              <w:spacing w:after="0" w:line="20" w:lineRule="exact"/>
              <w:rPr>
                <w:sz w:val="1"/>
                <w:szCs w:val="1"/>
                <w:color w:val="auto"/>
              </w:rPr>
            </w:pPr>
          </w:p>
        </w:tc>
        <w:tc>
          <w:tcPr>
            <w:tcW w:w="860" w:type="dxa"/>
            <w:vAlign w:val="bottom"/>
            <w:tcBorders>
              <w:bottom w:val="single" w:sz="8" w:color="00AEEF"/>
            </w:tcBorders>
          </w:tcPr>
          <w:p>
            <w:pPr>
              <w:spacing w:after="0" w:line="20" w:lineRule="exact"/>
              <w:rPr>
                <w:sz w:val="1"/>
                <w:szCs w:val="1"/>
                <w:color w:val="auto"/>
              </w:rPr>
            </w:pPr>
          </w:p>
        </w:tc>
        <w:tc>
          <w:tcPr>
            <w:tcW w:w="1420" w:type="dxa"/>
            <w:vAlign w:val="bottom"/>
            <w:tcBorders>
              <w:bottom w:val="single" w:sz="8" w:color="00AEEF"/>
            </w:tcBorders>
          </w:tcPr>
          <w:p>
            <w:pPr>
              <w:spacing w:after="0" w:line="20" w:lineRule="exact"/>
              <w:rPr>
                <w:sz w:val="1"/>
                <w:szCs w:val="1"/>
                <w:color w:val="auto"/>
              </w:rPr>
            </w:pPr>
          </w:p>
        </w:tc>
        <w:tc>
          <w:tcPr>
            <w:tcW w:w="360" w:type="dxa"/>
            <w:vAlign w:val="bottom"/>
            <w:tcBorders>
              <w:bottom w:val="single" w:sz="8" w:color="00AEEF"/>
            </w:tcBorders>
          </w:tcPr>
          <w:p>
            <w:pPr>
              <w:spacing w:after="0" w:line="20" w:lineRule="exact"/>
              <w:rPr>
                <w:sz w:val="1"/>
                <w:szCs w:val="1"/>
                <w:color w:val="auto"/>
              </w:rPr>
            </w:pPr>
          </w:p>
        </w:tc>
        <w:tc>
          <w:tcPr>
            <w:tcW w:w="1320" w:type="dxa"/>
            <w:vAlign w:val="bottom"/>
            <w:tcBorders>
              <w:bottom w:val="single" w:sz="8" w:color="00AEEF"/>
            </w:tcBorders>
          </w:tcPr>
          <w:p>
            <w:pPr>
              <w:spacing w:after="0" w:line="20" w:lineRule="exact"/>
              <w:rPr>
                <w:sz w:val="1"/>
                <w:szCs w:val="1"/>
                <w:color w:val="auto"/>
              </w:rPr>
            </w:pPr>
          </w:p>
        </w:tc>
        <w:tc>
          <w:tcPr>
            <w:tcW w:w="240" w:type="dxa"/>
            <w:vAlign w:val="bottom"/>
            <w:tcBorders>
              <w:bottom w:val="single" w:sz="8" w:color="00AEEF"/>
            </w:tcBorders>
          </w:tcPr>
          <w:p>
            <w:pPr>
              <w:spacing w:after="0" w:line="20" w:lineRule="exact"/>
              <w:rPr>
                <w:sz w:val="1"/>
                <w:szCs w:val="1"/>
                <w:color w:val="auto"/>
              </w:rPr>
            </w:pPr>
          </w:p>
        </w:tc>
        <w:tc>
          <w:tcPr>
            <w:tcW w:w="400" w:type="dxa"/>
            <w:vAlign w:val="bottom"/>
            <w:tcBorders>
              <w:bottom w:val="single" w:sz="8" w:color="00AEEF"/>
            </w:tcBorders>
          </w:tcPr>
          <w:p>
            <w:pPr>
              <w:spacing w:after="0" w:line="20" w:lineRule="exact"/>
              <w:rPr>
                <w:sz w:val="1"/>
                <w:szCs w:val="1"/>
                <w:color w:val="auto"/>
              </w:rPr>
            </w:pPr>
          </w:p>
        </w:tc>
        <w:tc>
          <w:tcPr>
            <w:tcW w:w="920" w:type="dxa"/>
            <w:vAlign w:val="bottom"/>
            <w:tcBorders>
              <w:bottom w:val="single" w:sz="8" w:color="00AEEF"/>
            </w:tcBorders>
          </w:tcPr>
          <w:p>
            <w:pPr>
              <w:spacing w:after="0" w:line="20" w:lineRule="exact"/>
              <w:rPr>
                <w:sz w:val="1"/>
                <w:szCs w:val="1"/>
                <w:color w:val="auto"/>
              </w:rPr>
            </w:pPr>
          </w:p>
        </w:tc>
        <w:tc>
          <w:tcPr>
            <w:tcW w:w="520" w:type="dxa"/>
            <w:vAlign w:val="bottom"/>
            <w:tcBorders>
              <w:bottom w:val="single" w:sz="8" w:color="00AEEF"/>
            </w:tcBorders>
          </w:tcPr>
          <w:p>
            <w:pPr>
              <w:spacing w:after="0" w:line="20" w:lineRule="exact"/>
              <w:rPr>
                <w:sz w:val="1"/>
                <w:szCs w:val="1"/>
                <w:color w:val="auto"/>
              </w:rPr>
            </w:pPr>
          </w:p>
        </w:tc>
        <w:tc>
          <w:tcPr>
            <w:tcW w:w="840" w:type="dxa"/>
            <w:vAlign w:val="bottom"/>
            <w:tcBorders>
              <w:bottom w:val="single" w:sz="8" w:color="00AEEF"/>
            </w:tcBorders>
          </w:tcPr>
          <w:p>
            <w:pPr>
              <w:spacing w:after="0" w:line="20" w:lineRule="exact"/>
              <w:rPr>
                <w:sz w:val="1"/>
                <w:szCs w:val="1"/>
                <w:color w:val="auto"/>
              </w:rPr>
            </w:pPr>
          </w:p>
        </w:tc>
        <w:tc>
          <w:tcPr>
            <w:tcW w:w="980" w:type="dxa"/>
            <w:vAlign w:val="bottom"/>
            <w:tcBorders>
              <w:bottom w:val="single" w:sz="8" w:color="00AEEF"/>
            </w:tcBorders>
          </w:tcPr>
          <w:p>
            <w:pPr>
              <w:spacing w:after="0" w:line="20" w:lineRule="exact"/>
              <w:rPr>
                <w:sz w:val="1"/>
                <w:szCs w:val="1"/>
                <w:color w:val="auto"/>
              </w:rPr>
            </w:pPr>
          </w:p>
        </w:tc>
        <w:tc>
          <w:tcPr>
            <w:tcW w:w="140" w:type="dxa"/>
            <w:vAlign w:val="bottom"/>
            <w:tcBorders>
              <w:bottom w:val="single" w:sz="8" w:color="00AEEF"/>
            </w:tcBorders>
          </w:tcPr>
          <w:p>
            <w:pPr>
              <w:spacing w:after="0" w:line="20" w:lineRule="exact"/>
              <w:rPr>
                <w:sz w:val="1"/>
                <w:szCs w:val="1"/>
                <w:color w:val="auto"/>
              </w:rPr>
            </w:pPr>
          </w:p>
        </w:tc>
        <w:tc>
          <w:tcPr>
            <w:tcW w:w="1120" w:type="dxa"/>
            <w:vAlign w:val="bottom"/>
            <w:tcBorders>
              <w:bottom w:val="single" w:sz="8" w:color="00AEEF"/>
            </w:tcBorders>
          </w:tcPr>
          <w:p>
            <w:pPr>
              <w:spacing w:after="0" w:line="20" w:lineRule="exact"/>
              <w:rPr>
                <w:sz w:val="1"/>
                <w:szCs w:val="1"/>
                <w:color w:val="auto"/>
              </w:rPr>
            </w:pPr>
          </w:p>
        </w:tc>
        <w:tc>
          <w:tcPr>
            <w:tcW w:w="280" w:type="dxa"/>
            <w:vAlign w:val="bottom"/>
            <w:tcBorders>
              <w:bottom w:val="single" w:sz="8" w:color="00AEEF"/>
            </w:tcBorders>
          </w:tcPr>
          <w:p>
            <w:pPr>
              <w:spacing w:after="0" w:line="20" w:lineRule="exact"/>
              <w:rPr>
                <w:sz w:val="1"/>
                <w:szCs w:val="1"/>
                <w:color w:val="auto"/>
              </w:rPr>
            </w:pPr>
          </w:p>
        </w:tc>
        <w:tc>
          <w:tcPr>
            <w:tcW w:w="820" w:type="dxa"/>
            <w:vAlign w:val="bottom"/>
            <w:tcBorders>
              <w:bottom w:val="single" w:sz="8" w:color="00AEEF"/>
            </w:tcBorders>
          </w:tcPr>
          <w:p>
            <w:pPr>
              <w:spacing w:after="0" w:line="20" w:lineRule="exact"/>
              <w:rPr>
                <w:sz w:val="1"/>
                <w:szCs w:val="1"/>
                <w:color w:val="auto"/>
              </w:rPr>
            </w:pPr>
          </w:p>
        </w:tc>
      </w:tr>
    </w:tbl>
    <w:p>
      <w:pPr>
        <w:spacing w:after="0" w:line="251" w:lineRule="exact"/>
        <w:rPr>
          <w:sz w:val="20"/>
          <w:szCs w:val="20"/>
          <w:color w:val="auto"/>
        </w:rPr>
      </w:pPr>
    </w:p>
    <w:tbl>
      <w:tblPr>
        <w:tblLayout w:type="fixed"/>
        <w:tblInd w:w="2" w:type="dxa"/>
        <w:tblCellMar>
          <w:top w:w="0" w:type="dxa"/>
          <w:left w:w="0" w:type="dxa"/>
          <w:bottom w:w="0" w:type="dxa"/>
          <w:right w:w="0" w:type="dxa"/>
        </w:tblCellMar>
      </w:tblPr>
      <w:tr>
        <w:trPr>
          <w:trHeight w:val="186"/>
        </w:trPr>
        <w:tc>
          <w:tcPr>
            <w:tcW w:w="5120" w:type="dxa"/>
            <w:vAlign w:val="bottom"/>
            <w:tcBorders>
              <w:bottom w:val="single" w:sz="8" w:color="00AEEF"/>
            </w:tcBorders>
          </w:tcPr>
          <w:p>
            <w:pPr>
              <w:ind w:left="20"/>
              <w:spacing w:after="0"/>
              <w:rPr>
                <w:sz w:val="20"/>
                <w:szCs w:val="20"/>
                <w:color w:val="auto"/>
              </w:rPr>
            </w:pPr>
            <w:r>
              <w:rPr>
                <w:rFonts w:ascii="Arial" w:cs="Arial" w:eastAsia="Arial" w:hAnsi="Arial"/>
                <w:sz w:val="13"/>
                <w:szCs w:val="13"/>
                <w:b w:val="1"/>
                <w:bCs w:val="1"/>
                <w:color w:val="191769"/>
              </w:rPr>
              <w:t>Fair Value of Equity Awards for non-CEO NEOs</w:t>
            </w:r>
          </w:p>
        </w:tc>
        <w:tc>
          <w:tcPr>
            <w:tcW w:w="400" w:type="dxa"/>
            <w:vAlign w:val="bottom"/>
            <w:tcBorders>
              <w:bottom w:val="single" w:sz="8" w:color="00AEEF"/>
            </w:tcBorders>
          </w:tcPr>
          <w:p>
            <w:pPr>
              <w:spacing w:after="0"/>
              <w:rPr>
                <w:sz w:val="16"/>
                <w:szCs w:val="16"/>
                <w:color w:val="auto"/>
              </w:rPr>
            </w:pPr>
          </w:p>
        </w:tc>
        <w:tc>
          <w:tcPr>
            <w:tcW w:w="800" w:type="dxa"/>
            <w:vAlign w:val="bottom"/>
            <w:tcBorders>
              <w:bottom w:val="single" w:sz="8" w:color="00AEEF"/>
            </w:tcBorders>
          </w:tcPr>
          <w:p>
            <w:pPr>
              <w:jc w:val="right"/>
              <w:ind w:right="61"/>
              <w:spacing w:after="0"/>
              <w:rPr>
                <w:sz w:val="20"/>
                <w:szCs w:val="20"/>
                <w:color w:val="auto"/>
              </w:rPr>
            </w:pPr>
            <w:r>
              <w:rPr>
                <w:rFonts w:ascii="Arial" w:cs="Arial" w:eastAsia="Arial" w:hAnsi="Arial"/>
                <w:sz w:val="13"/>
                <w:szCs w:val="13"/>
                <w:b w:val="1"/>
                <w:bCs w:val="1"/>
                <w:color w:val="191769"/>
              </w:rPr>
              <w:t>2025</w:t>
            </w:r>
          </w:p>
        </w:tc>
        <w:tc>
          <w:tcPr>
            <w:tcW w:w="300" w:type="dxa"/>
            <w:vAlign w:val="bottom"/>
            <w:tcBorders>
              <w:bottom w:val="single" w:sz="8" w:color="00AEEF"/>
            </w:tcBorders>
          </w:tcPr>
          <w:p>
            <w:pPr>
              <w:spacing w:after="0"/>
              <w:rPr>
                <w:sz w:val="16"/>
                <w:szCs w:val="16"/>
                <w:color w:val="auto"/>
              </w:rPr>
            </w:pPr>
          </w:p>
        </w:tc>
        <w:tc>
          <w:tcPr>
            <w:tcW w:w="840" w:type="dxa"/>
            <w:vAlign w:val="bottom"/>
            <w:tcBorders>
              <w:bottom w:val="single" w:sz="8" w:color="00AEEF"/>
            </w:tcBorders>
          </w:tcPr>
          <w:p>
            <w:pPr>
              <w:jc w:val="right"/>
              <w:ind w:right="61"/>
              <w:spacing w:after="0"/>
              <w:rPr>
                <w:sz w:val="20"/>
                <w:szCs w:val="20"/>
                <w:color w:val="auto"/>
              </w:rPr>
            </w:pPr>
            <w:r>
              <w:rPr>
                <w:rFonts w:ascii="Arial" w:cs="Arial" w:eastAsia="Arial" w:hAnsi="Arial"/>
                <w:sz w:val="13"/>
                <w:szCs w:val="13"/>
                <w:b w:val="1"/>
                <w:bCs w:val="1"/>
                <w:color w:val="191769"/>
              </w:rPr>
              <w:t>2024</w:t>
            </w:r>
          </w:p>
        </w:tc>
        <w:tc>
          <w:tcPr>
            <w:tcW w:w="340" w:type="dxa"/>
            <w:vAlign w:val="bottom"/>
            <w:tcBorders>
              <w:bottom w:val="single" w:sz="8" w:color="00AEEF"/>
            </w:tcBorders>
          </w:tcPr>
          <w:p>
            <w:pPr>
              <w:spacing w:after="0"/>
              <w:rPr>
                <w:sz w:val="16"/>
                <w:szCs w:val="16"/>
                <w:color w:val="auto"/>
              </w:rPr>
            </w:pPr>
          </w:p>
        </w:tc>
        <w:tc>
          <w:tcPr>
            <w:tcW w:w="860" w:type="dxa"/>
            <w:vAlign w:val="bottom"/>
            <w:tcBorders>
              <w:bottom w:val="single" w:sz="8" w:color="00AEEF"/>
            </w:tcBorders>
          </w:tcPr>
          <w:p>
            <w:pPr>
              <w:jc w:val="right"/>
              <w:ind w:right="21"/>
              <w:spacing w:after="0"/>
              <w:rPr>
                <w:sz w:val="20"/>
                <w:szCs w:val="20"/>
                <w:color w:val="auto"/>
              </w:rPr>
            </w:pPr>
            <w:r>
              <w:rPr>
                <w:rFonts w:ascii="Arial" w:cs="Arial" w:eastAsia="Arial" w:hAnsi="Arial"/>
                <w:sz w:val="13"/>
                <w:szCs w:val="13"/>
                <w:b w:val="1"/>
                <w:bCs w:val="1"/>
                <w:color w:val="191769"/>
              </w:rPr>
              <w:t>2023</w:t>
            </w:r>
          </w:p>
        </w:tc>
        <w:tc>
          <w:tcPr>
            <w:tcW w:w="260" w:type="dxa"/>
            <w:vAlign w:val="bottom"/>
            <w:tcBorders>
              <w:bottom w:val="single" w:sz="8" w:color="00AEEF"/>
            </w:tcBorders>
          </w:tcPr>
          <w:p>
            <w:pPr>
              <w:spacing w:after="0"/>
              <w:rPr>
                <w:sz w:val="16"/>
                <w:szCs w:val="16"/>
                <w:color w:val="auto"/>
              </w:rPr>
            </w:pPr>
          </w:p>
        </w:tc>
        <w:tc>
          <w:tcPr>
            <w:tcW w:w="940" w:type="dxa"/>
            <w:vAlign w:val="bottom"/>
            <w:tcBorders>
              <w:bottom w:val="single" w:sz="8" w:color="00AEEF"/>
            </w:tcBorders>
          </w:tcPr>
          <w:p>
            <w:pPr>
              <w:jc w:val="right"/>
              <w:ind w:right="61"/>
              <w:spacing w:after="0"/>
              <w:rPr>
                <w:sz w:val="20"/>
                <w:szCs w:val="20"/>
                <w:color w:val="auto"/>
              </w:rPr>
            </w:pPr>
            <w:r>
              <w:rPr>
                <w:rFonts w:ascii="Arial" w:cs="Arial" w:eastAsia="Arial" w:hAnsi="Arial"/>
                <w:sz w:val="13"/>
                <w:szCs w:val="13"/>
                <w:b w:val="1"/>
                <w:bCs w:val="1"/>
                <w:color w:val="191769"/>
              </w:rPr>
              <w:t>2022</w:t>
            </w:r>
          </w:p>
        </w:tc>
        <w:tc>
          <w:tcPr>
            <w:tcW w:w="420" w:type="dxa"/>
            <w:vAlign w:val="bottom"/>
            <w:tcBorders>
              <w:bottom w:val="single" w:sz="8" w:color="00AEEF"/>
            </w:tcBorders>
          </w:tcPr>
          <w:p>
            <w:pPr>
              <w:spacing w:after="0"/>
              <w:rPr>
                <w:sz w:val="16"/>
                <w:szCs w:val="16"/>
                <w:color w:val="auto"/>
              </w:rPr>
            </w:pPr>
          </w:p>
        </w:tc>
        <w:tc>
          <w:tcPr>
            <w:tcW w:w="880" w:type="dxa"/>
            <w:vAlign w:val="bottom"/>
            <w:tcBorders>
              <w:bottom w:val="single" w:sz="8" w:color="00AEEF"/>
            </w:tcBorders>
          </w:tcPr>
          <w:p>
            <w:pPr>
              <w:jc w:val="right"/>
              <w:spacing w:after="0"/>
              <w:rPr>
                <w:sz w:val="20"/>
                <w:szCs w:val="20"/>
                <w:color w:val="auto"/>
              </w:rPr>
            </w:pPr>
            <w:r>
              <w:rPr>
                <w:rFonts w:ascii="Arial" w:cs="Arial" w:eastAsia="Arial" w:hAnsi="Arial"/>
                <w:sz w:val="13"/>
                <w:szCs w:val="13"/>
                <w:b w:val="1"/>
                <w:bCs w:val="1"/>
                <w:color w:val="191769"/>
              </w:rPr>
              <w:t>2021</w:t>
            </w:r>
          </w:p>
        </w:tc>
      </w:tr>
      <w:tr>
        <w:trPr>
          <w:trHeight w:val="223"/>
        </w:trPr>
        <w:tc>
          <w:tcPr>
            <w:tcW w:w="5120" w:type="dxa"/>
            <w:vAlign w:val="bottom"/>
          </w:tcPr>
          <w:p>
            <w:pPr>
              <w:ind w:left="20"/>
              <w:spacing w:after="0"/>
              <w:rPr>
                <w:sz w:val="20"/>
                <w:szCs w:val="20"/>
                <w:color w:val="auto"/>
              </w:rPr>
            </w:pPr>
            <w:r>
              <w:rPr>
                <w:rFonts w:ascii="Arial" w:cs="Arial" w:eastAsia="Arial" w:hAnsi="Arial"/>
                <w:sz w:val="16"/>
                <w:szCs w:val="16"/>
                <w:color w:val="auto"/>
              </w:rPr>
              <w:t>Year End Fair Value of Current Year Equity Award</w:t>
            </w:r>
          </w:p>
        </w:tc>
        <w:tc>
          <w:tcPr>
            <w:tcW w:w="40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01"/>
              <w:spacing w:after="0"/>
              <w:rPr>
                <w:sz w:val="20"/>
                <w:szCs w:val="20"/>
                <w:color w:val="auto"/>
              </w:rPr>
            </w:pPr>
            <w:r>
              <w:rPr>
                <w:rFonts w:ascii="Arial" w:cs="Arial" w:eastAsia="Arial" w:hAnsi="Arial"/>
                <w:sz w:val="16"/>
                <w:szCs w:val="16"/>
                <w:color w:val="auto"/>
              </w:rPr>
              <w:t>74,500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36,136</w:t>
            </w:r>
          </w:p>
        </w:tc>
        <w:tc>
          <w:tcPr>
            <w:tcW w:w="3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78,203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67,342</w:t>
            </w:r>
          </w:p>
        </w:tc>
        <w:tc>
          <w:tcPr>
            <w:tcW w:w="42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135,097</w:t>
            </w:r>
          </w:p>
        </w:tc>
      </w:tr>
      <w:tr>
        <w:trPr>
          <w:trHeight w:val="22"/>
        </w:trPr>
        <w:tc>
          <w:tcPr>
            <w:tcW w:w="5120" w:type="dxa"/>
            <w:vAlign w:val="bottom"/>
            <w:tcBorders>
              <w:bottom w:val="single" w:sz="8" w:color="D9D9D9"/>
            </w:tcBorders>
          </w:tcPr>
          <w:p>
            <w:pPr>
              <w:spacing w:after="0" w:line="20" w:lineRule="exact"/>
              <w:rPr>
                <w:sz w:val="1"/>
                <w:szCs w:val="1"/>
                <w:color w:val="auto"/>
              </w:rPr>
            </w:pPr>
          </w:p>
        </w:tc>
        <w:tc>
          <w:tcPr>
            <w:tcW w:w="400" w:type="dxa"/>
            <w:vAlign w:val="bottom"/>
            <w:tcBorders>
              <w:bottom w:val="single" w:sz="8" w:color="D9D9D9"/>
            </w:tcBorders>
          </w:tcPr>
          <w:p>
            <w:pPr>
              <w:spacing w:after="0" w:line="20" w:lineRule="exact"/>
              <w:rPr>
                <w:sz w:val="1"/>
                <w:szCs w:val="1"/>
                <w:color w:val="auto"/>
              </w:rPr>
            </w:pPr>
          </w:p>
        </w:tc>
        <w:tc>
          <w:tcPr>
            <w:tcW w:w="800" w:type="dxa"/>
            <w:vAlign w:val="bottom"/>
            <w:tcBorders>
              <w:bottom w:val="single" w:sz="8" w:color="D9D9D9"/>
            </w:tcBorders>
          </w:tcPr>
          <w:p>
            <w:pPr>
              <w:spacing w:after="0" w:line="20" w:lineRule="exact"/>
              <w:rPr>
                <w:sz w:val="1"/>
                <w:szCs w:val="1"/>
                <w:color w:val="auto"/>
              </w:rPr>
            </w:pPr>
          </w:p>
        </w:tc>
        <w:tc>
          <w:tcPr>
            <w:tcW w:w="300" w:type="dxa"/>
            <w:vAlign w:val="bottom"/>
            <w:tcBorders>
              <w:bottom w:val="single" w:sz="8" w:color="D9D9D9"/>
            </w:tcBorders>
          </w:tcPr>
          <w:p>
            <w:pPr>
              <w:spacing w:after="0" w:line="20" w:lineRule="exact"/>
              <w:rPr>
                <w:sz w:val="1"/>
                <w:szCs w:val="1"/>
                <w:color w:val="auto"/>
              </w:rPr>
            </w:pPr>
          </w:p>
        </w:tc>
        <w:tc>
          <w:tcPr>
            <w:tcW w:w="840" w:type="dxa"/>
            <w:vAlign w:val="bottom"/>
            <w:tcBorders>
              <w:bottom w:val="single" w:sz="8" w:color="D9D9D9"/>
            </w:tcBorders>
          </w:tcPr>
          <w:p>
            <w:pPr>
              <w:spacing w:after="0" w:line="20" w:lineRule="exact"/>
              <w:rPr>
                <w:sz w:val="1"/>
                <w:szCs w:val="1"/>
                <w:color w:val="auto"/>
              </w:rPr>
            </w:pPr>
          </w:p>
        </w:tc>
        <w:tc>
          <w:tcPr>
            <w:tcW w:w="340" w:type="dxa"/>
            <w:vAlign w:val="bottom"/>
            <w:tcBorders>
              <w:bottom w:val="single" w:sz="8" w:color="D9D9D9"/>
            </w:tcBorders>
          </w:tcPr>
          <w:p>
            <w:pPr>
              <w:spacing w:after="0" w:line="20" w:lineRule="exact"/>
              <w:rPr>
                <w:sz w:val="1"/>
                <w:szCs w:val="1"/>
                <w:color w:val="auto"/>
              </w:rPr>
            </w:pPr>
          </w:p>
        </w:tc>
        <w:tc>
          <w:tcPr>
            <w:tcW w:w="860" w:type="dxa"/>
            <w:vAlign w:val="bottom"/>
            <w:tcBorders>
              <w:bottom w:val="single" w:sz="8" w:color="D9D9D9"/>
            </w:tcBorders>
          </w:tcPr>
          <w:p>
            <w:pPr>
              <w:spacing w:after="0" w:line="20" w:lineRule="exact"/>
              <w:rPr>
                <w:sz w:val="1"/>
                <w:szCs w:val="1"/>
                <w:color w:val="auto"/>
              </w:rPr>
            </w:pPr>
          </w:p>
        </w:tc>
        <w:tc>
          <w:tcPr>
            <w:tcW w:w="260" w:type="dxa"/>
            <w:vAlign w:val="bottom"/>
            <w:tcBorders>
              <w:bottom w:val="single" w:sz="8" w:color="D9D9D9"/>
            </w:tcBorders>
          </w:tcPr>
          <w:p>
            <w:pPr>
              <w:spacing w:after="0" w:line="20" w:lineRule="exact"/>
              <w:rPr>
                <w:sz w:val="1"/>
                <w:szCs w:val="1"/>
                <w:color w:val="auto"/>
              </w:rPr>
            </w:pPr>
          </w:p>
        </w:tc>
        <w:tc>
          <w:tcPr>
            <w:tcW w:w="940" w:type="dxa"/>
            <w:vAlign w:val="bottom"/>
            <w:tcBorders>
              <w:bottom w:val="single" w:sz="8" w:color="D9D9D9"/>
            </w:tcBorders>
          </w:tcPr>
          <w:p>
            <w:pPr>
              <w:spacing w:after="0" w:line="20" w:lineRule="exact"/>
              <w:rPr>
                <w:sz w:val="1"/>
                <w:szCs w:val="1"/>
                <w:color w:val="auto"/>
              </w:rPr>
            </w:pPr>
          </w:p>
        </w:tc>
        <w:tc>
          <w:tcPr>
            <w:tcW w:w="420" w:type="dxa"/>
            <w:vAlign w:val="bottom"/>
            <w:tcBorders>
              <w:bottom w:val="single" w:sz="8" w:color="D9D9D9"/>
            </w:tcBorders>
          </w:tcPr>
          <w:p>
            <w:pPr>
              <w:spacing w:after="0" w:line="20" w:lineRule="exact"/>
              <w:rPr>
                <w:sz w:val="1"/>
                <w:szCs w:val="1"/>
                <w:color w:val="auto"/>
              </w:rPr>
            </w:pPr>
          </w:p>
        </w:tc>
        <w:tc>
          <w:tcPr>
            <w:tcW w:w="880" w:type="dxa"/>
            <w:vAlign w:val="bottom"/>
            <w:tcBorders>
              <w:bottom w:val="single" w:sz="8" w:color="D9D9D9"/>
            </w:tcBorders>
          </w:tcPr>
          <w:p>
            <w:pPr>
              <w:spacing w:after="0" w:line="20" w:lineRule="exact"/>
              <w:rPr>
                <w:sz w:val="1"/>
                <w:szCs w:val="1"/>
                <w:color w:val="auto"/>
              </w:rPr>
            </w:pPr>
          </w:p>
        </w:tc>
      </w:tr>
      <w:tr>
        <w:trPr>
          <w:trHeight w:val="217"/>
        </w:trPr>
        <w:tc>
          <w:tcPr>
            <w:tcW w:w="5120" w:type="dxa"/>
            <w:vAlign w:val="bottom"/>
          </w:tcPr>
          <w:p>
            <w:pPr>
              <w:ind w:left="20"/>
              <w:spacing w:after="0"/>
              <w:rPr>
                <w:sz w:val="20"/>
                <w:szCs w:val="20"/>
                <w:color w:val="auto"/>
              </w:rPr>
            </w:pPr>
            <w:r>
              <w:rPr>
                <w:rFonts w:ascii="Arial" w:cs="Arial" w:eastAsia="Arial" w:hAnsi="Arial"/>
                <w:sz w:val="16"/>
                <w:szCs w:val="16"/>
                <w:color w:val="auto"/>
              </w:rPr>
              <w:t>Year End Change in Fair Value of Prior Year Equity Awards</w:t>
            </w:r>
          </w:p>
        </w:tc>
        <w:tc>
          <w:tcPr>
            <w:tcW w:w="40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(2,664)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(23,073)</w:t>
            </w:r>
          </w:p>
        </w:tc>
        <w:tc>
          <w:tcPr>
            <w:tcW w:w="3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(54,533)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(175,221)</w:t>
            </w:r>
          </w:p>
        </w:tc>
        <w:tc>
          <w:tcPr>
            <w:tcW w:w="42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246,026</w:t>
            </w:r>
          </w:p>
        </w:tc>
      </w:tr>
      <w:tr>
        <w:trPr>
          <w:trHeight w:val="22"/>
        </w:trPr>
        <w:tc>
          <w:tcPr>
            <w:tcW w:w="5120" w:type="dxa"/>
            <w:vAlign w:val="bottom"/>
            <w:tcBorders>
              <w:bottom w:val="single" w:sz="8" w:color="D9D9D9"/>
            </w:tcBorders>
          </w:tcPr>
          <w:p>
            <w:pPr>
              <w:spacing w:after="0" w:line="20" w:lineRule="exact"/>
              <w:rPr>
                <w:sz w:val="1"/>
                <w:szCs w:val="1"/>
                <w:color w:val="auto"/>
              </w:rPr>
            </w:pPr>
          </w:p>
        </w:tc>
        <w:tc>
          <w:tcPr>
            <w:tcW w:w="400" w:type="dxa"/>
            <w:vAlign w:val="bottom"/>
            <w:tcBorders>
              <w:bottom w:val="single" w:sz="8" w:color="D9D9D9"/>
            </w:tcBorders>
          </w:tcPr>
          <w:p>
            <w:pPr>
              <w:spacing w:after="0" w:line="20" w:lineRule="exact"/>
              <w:rPr>
                <w:sz w:val="1"/>
                <w:szCs w:val="1"/>
                <w:color w:val="auto"/>
              </w:rPr>
            </w:pPr>
          </w:p>
        </w:tc>
        <w:tc>
          <w:tcPr>
            <w:tcW w:w="800" w:type="dxa"/>
            <w:vAlign w:val="bottom"/>
            <w:tcBorders>
              <w:bottom w:val="single" w:sz="8" w:color="D9D9D9"/>
            </w:tcBorders>
          </w:tcPr>
          <w:p>
            <w:pPr>
              <w:spacing w:after="0" w:line="20" w:lineRule="exact"/>
              <w:rPr>
                <w:sz w:val="1"/>
                <w:szCs w:val="1"/>
                <w:color w:val="auto"/>
              </w:rPr>
            </w:pPr>
          </w:p>
        </w:tc>
        <w:tc>
          <w:tcPr>
            <w:tcW w:w="300" w:type="dxa"/>
            <w:vAlign w:val="bottom"/>
            <w:tcBorders>
              <w:bottom w:val="single" w:sz="8" w:color="D9D9D9"/>
            </w:tcBorders>
          </w:tcPr>
          <w:p>
            <w:pPr>
              <w:spacing w:after="0" w:line="20" w:lineRule="exact"/>
              <w:rPr>
                <w:sz w:val="1"/>
                <w:szCs w:val="1"/>
                <w:color w:val="auto"/>
              </w:rPr>
            </w:pPr>
          </w:p>
        </w:tc>
        <w:tc>
          <w:tcPr>
            <w:tcW w:w="840" w:type="dxa"/>
            <w:vAlign w:val="bottom"/>
            <w:tcBorders>
              <w:bottom w:val="single" w:sz="8" w:color="D9D9D9"/>
            </w:tcBorders>
          </w:tcPr>
          <w:p>
            <w:pPr>
              <w:spacing w:after="0" w:line="20" w:lineRule="exact"/>
              <w:rPr>
                <w:sz w:val="1"/>
                <w:szCs w:val="1"/>
                <w:color w:val="auto"/>
              </w:rPr>
            </w:pPr>
          </w:p>
        </w:tc>
        <w:tc>
          <w:tcPr>
            <w:tcW w:w="340" w:type="dxa"/>
            <w:vAlign w:val="bottom"/>
            <w:tcBorders>
              <w:bottom w:val="single" w:sz="8" w:color="D9D9D9"/>
            </w:tcBorders>
          </w:tcPr>
          <w:p>
            <w:pPr>
              <w:spacing w:after="0" w:line="20" w:lineRule="exact"/>
              <w:rPr>
                <w:sz w:val="1"/>
                <w:szCs w:val="1"/>
                <w:color w:val="auto"/>
              </w:rPr>
            </w:pPr>
          </w:p>
        </w:tc>
        <w:tc>
          <w:tcPr>
            <w:tcW w:w="860" w:type="dxa"/>
            <w:vAlign w:val="bottom"/>
            <w:tcBorders>
              <w:bottom w:val="single" w:sz="8" w:color="D9D9D9"/>
            </w:tcBorders>
          </w:tcPr>
          <w:p>
            <w:pPr>
              <w:spacing w:after="0" w:line="20" w:lineRule="exact"/>
              <w:rPr>
                <w:sz w:val="1"/>
                <w:szCs w:val="1"/>
                <w:color w:val="auto"/>
              </w:rPr>
            </w:pPr>
          </w:p>
        </w:tc>
        <w:tc>
          <w:tcPr>
            <w:tcW w:w="260" w:type="dxa"/>
            <w:vAlign w:val="bottom"/>
            <w:tcBorders>
              <w:bottom w:val="single" w:sz="8" w:color="D9D9D9"/>
            </w:tcBorders>
          </w:tcPr>
          <w:p>
            <w:pPr>
              <w:spacing w:after="0" w:line="20" w:lineRule="exact"/>
              <w:rPr>
                <w:sz w:val="1"/>
                <w:szCs w:val="1"/>
                <w:color w:val="auto"/>
              </w:rPr>
            </w:pPr>
          </w:p>
        </w:tc>
        <w:tc>
          <w:tcPr>
            <w:tcW w:w="940" w:type="dxa"/>
            <w:vAlign w:val="bottom"/>
            <w:tcBorders>
              <w:bottom w:val="single" w:sz="8" w:color="D9D9D9"/>
            </w:tcBorders>
          </w:tcPr>
          <w:p>
            <w:pPr>
              <w:spacing w:after="0" w:line="20" w:lineRule="exact"/>
              <w:rPr>
                <w:sz w:val="1"/>
                <w:szCs w:val="1"/>
                <w:color w:val="auto"/>
              </w:rPr>
            </w:pPr>
          </w:p>
        </w:tc>
        <w:tc>
          <w:tcPr>
            <w:tcW w:w="420" w:type="dxa"/>
            <w:vAlign w:val="bottom"/>
            <w:tcBorders>
              <w:bottom w:val="single" w:sz="8" w:color="D9D9D9"/>
            </w:tcBorders>
          </w:tcPr>
          <w:p>
            <w:pPr>
              <w:spacing w:after="0" w:line="20" w:lineRule="exact"/>
              <w:rPr>
                <w:sz w:val="1"/>
                <w:szCs w:val="1"/>
                <w:color w:val="auto"/>
              </w:rPr>
            </w:pPr>
          </w:p>
        </w:tc>
        <w:tc>
          <w:tcPr>
            <w:tcW w:w="880" w:type="dxa"/>
            <w:vAlign w:val="bottom"/>
            <w:tcBorders>
              <w:bottom w:val="single" w:sz="8" w:color="D9D9D9"/>
            </w:tcBorders>
          </w:tcPr>
          <w:p>
            <w:pPr>
              <w:spacing w:after="0" w:line="20" w:lineRule="exact"/>
              <w:rPr>
                <w:sz w:val="1"/>
                <w:szCs w:val="1"/>
                <w:color w:val="auto"/>
              </w:rPr>
            </w:pPr>
          </w:p>
        </w:tc>
      </w:tr>
      <w:tr>
        <w:trPr>
          <w:trHeight w:val="197"/>
        </w:trPr>
        <w:tc>
          <w:tcPr>
            <w:tcW w:w="5120" w:type="dxa"/>
            <w:vAlign w:val="bottom"/>
          </w:tcPr>
          <w:p>
            <w:pPr>
              <w:ind w:left="20"/>
              <w:spacing w:after="0"/>
              <w:rPr>
                <w:sz w:val="20"/>
                <w:szCs w:val="20"/>
                <w:color w:val="auto"/>
              </w:rPr>
            </w:pPr>
            <w:r>
              <w:rPr>
                <w:rFonts w:ascii="Arial" w:cs="Arial" w:eastAsia="Arial" w:hAnsi="Arial"/>
                <w:sz w:val="16"/>
                <w:szCs w:val="16"/>
                <w:color w:val="auto"/>
              </w:rPr>
              <w:t>Change in Fair Value of Prior Year Equity Awards Vesting in Current</w:t>
            </w:r>
          </w:p>
        </w:tc>
        <w:tc>
          <w:tcPr>
            <w:tcW w:w="40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01"/>
              <w:spacing w:after="0"/>
              <w:rPr>
                <w:sz w:val="20"/>
                <w:szCs w:val="20"/>
                <w:color w:val="auto"/>
              </w:rPr>
            </w:pPr>
            <w:r>
              <w:rPr>
                <w:rFonts w:ascii="Arial" w:cs="Arial" w:eastAsia="Arial" w:hAnsi="Arial"/>
                <w:sz w:val="16"/>
                <w:szCs w:val="16"/>
                <w:color w:val="auto"/>
              </w:rPr>
              <w:t>4,399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(34,598)</w:t>
            </w:r>
          </w:p>
        </w:tc>
        <w:tc>
          <w:tcPr>
            <w:tcW w:w="3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(922)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(12,600)</w:t>
            </w:r>
          </w:p>
        </w:tc>
        <w:tc>
          <w:tcPr>
            <w:tcW w:w="42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9,334</w:t>
            </w:r>
          </w:p>
        </w:tc>
      </w:tr>
      <w:tr>
        <w:trPr>
          <w:trHeight w:val="216"/>
        </w:trPr>
        <w:tc>
          <w:tcPr>
            <w:tcW w:w="5120" w:type="dxa"/>
            <w:vAlign w:val="bottom"/>
          </w:tcPr>
          <w:p>
            <w:pPr>
              <w:ind w:left="20"/>
              <w:spacing w:after="0"/>
              <w:rPr>
                <w:sz w:val="20"/>
                <w:szCs w:val="20"/>
                <w:color w:val="auto"/>
              </w:rPr>
            </w:pPr>
            <w:r>
              <w:rPr>
                <w:rFonts w:ascii="Arial" w:cs="Arial" w:eastAsia="Arial" w:hAnsi="Arial"/>
                <w:sz w:val="16"/>
                <w:szCs w:val="16"/>
                <w:color w:val="auto"/>
              </w:rPr>
              <w:t>Year</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
        </w:trPr>
        <w:tc>
          <w:tcPr>
            <w:tcW w:w="5120" w:type="dxa"/>
            <w:vAlign w:val="bottom"/>
            <w:tcBorders>
              <w:bottom w:val="single" w:sz="8" w:color="D9D9D9"/>
            </w:tcBorders>
          </w:tcPr>
          <w:p>
            <w:pPr>
              <w:spacing w:after="0" w:line="20" w:lineRule="exact"/>
              <w:rPr>
                <w:sz w:val="1"/>
                <w:szCs w:val="1"/>
                <w:color w:val="auto"/>
              </w:rPr>
            </w:pPr>
          </w:p>
        </w:tc>
        <w:tc>
          <w:tcPr>
            <w:tcW w:w="400" w:type="dxa"/>
            <w:vAlign w:val="bottom"/>
            <w:tcBorders>
              <w:bottom w:val="single" w:sz="8" w:color="D9D9D9"/>
            </w:tcBorders>
          </w:tcPr>
          <w:p>
            <w:pPr>
              <w:spacing w:after="0" w:line="20" w:lineRule="exact"/>
              <w:rPr>
                <w:sz w:val="1"/>
                <w:szCs w:val="1"/>
                <w:color w:val="auto"/>
              </w:rPr>
            </w:pPr>
          </w:p>
        </w:tc>
        <w:tc>
          <w:tcPr>
            <w:tcW w:w="800" w:type="dxa"/>
            <w:vAlign w:val="bottom"/>
            <w:tcBorders>
              <w:bottom w:val="single" w:sz="8" w:color="D9D9D9"/>
            </w:tcBorders>
          </w:tcPr>
          <w:p>
            <w:pPr>
              <w:spacing w:after="0" w:line="20" w:lineRule="exact"/>
              <w:rPr>
                <w:sz w:val="1"/>
                <w:szCs w:val="1"/>
                <w:color w:val="auto"/>
              </w:rPr>
            </w:pPr>
          </w:p>
        </w:tc>
        <w:tc>
          <w:tcPr>
            <w:tcW w:w="300" w:type="dxa"/>
            <w:vAlign w:val="bottom"/>
            <w:tcBorders>
              <w:bottom w:val="single" w:sz="8" w:color="D9D9D9"/>
            </w:tcBorders>
          </w:tcPr>
          <w:p>
            <w:pPr>
              <w:spacing w:after="0" w:line="20" w:lineRule="exact"/>
              <w:rPr>
                <w:sz w:val="1"/>
                <w:szCs w:val="1"/>
                <w:color w:val="auto"/>
              </w:rPr>
            </w:pPr>
          </w:p>
        </w:tc>
        <w:tc>
          <w:tcPr>
            <w:tcW w:w="840" w:type="dxa"/>
            <w:vAlign w:val="bottom"/>
            <w:tcBorders>
              <w:bottom w:val="single" w:sz="8" w:color="D9D9D9"/>
            </w:tcBorders>
          </w:tcPr>
          <w:p>
            <w:pPr>
              <w:spacing w:after="0" w:line="20" w:lineRule="exact"/>
              <w:rPr>
                <w:sz w:val="1"/>
                <w:szCs w:val="1"/>
                <w:color w:val="auto"/>
              </w:rPr>
            </w:pPr>
          </w:p>
        </w:tc>
        <w:tc>
          <w:tcPr>
            <w:tcW w:w="340" w:type="dxa"/>
            <w:vAlign w:val="bottom"/>
            <w:tcBorders>
              <w:bottom w:val="single" w:sz="8" w:color="D9D9D9"/>
            </w:tcBorders>
          </w:tcPr>
          <w:p>
            <w:pPr>
              <w:spacing w:after="0" w:line="20" w:lineRule="exact"/>
              <w:rPr>
                <w:sz w:val="1"/>
                <w:szCs w:val="1"/>
                <w:color w:val="auto"/>
              </w:rPr>
            </w:pPr>
          </w:p>
        </w:tc>
        <w:tc>
          <w:tcPr>
            <w:tcW w:w="860" w:type="dxa"/>
            <w:vAlign w:val="bottom"/>
            <w:tcBorders>
              <w:bottom w:val="single" w:sz="8" w:color="D9D9D9"/>
            </w:tcBorders>
          </w:tcPr>
          <w:p>
            <w:pPr>
              <w:spacing w:after="0" w:line="20" w:lineRule="exact"/>
              <w:rPr>
                <w:sz w:val="1"/>
                <w:szCs w:val="1"/>
                <w:color w:val="auto"/>
              </w:rPr>
            </w:pPr>
          </w:p>
        </w:tc>
        <w:tc>
          <w:tcPr>
            <w:tcW w:w="260" w:type="dxa"/>
            <w:vAlign w:val="bottom"/>
            <w:tcBorders>
              <w:bottom w:val="single" w:sz="8" w:color="D9D9D9"/>
            </w:tcBorders>
          </w:tcPr>
          <w:p>
            <w:pPr>
              <w:spacing w:after="0" w:line="20" w:lineRule="exact"/>
              <w:rPr>
                <w:sz w:val="1"/>
                <w:szCs w:val="1"/>
                <w:color w:val="auto"/>
              </w:rPr>
            </w:pPr>
          </w:p>
        </w:tc>
        <w:tc>
          <w:tcPr>
            <w:tcW w:w="940" w:type="dxa"/>
            <w:vAlign w:val="bottom"/>
            <w:tcBorders>
              <w:bottom w:val="single" w:sz="8" w:color="D9D9D9"/>
            </w:tcBorders>
          </w:tcPr>
          <w:p>
            <w:pPr>
              <w:spacing w:after="0" w:line="20" w:lineRule="exact"/>
              <w:rPr>
                <w:sz w:val="1"/>
                <w:szCs w:val="1"/>
                <w:color w:val="auto"/>
              </w:rPr>
            </w:pPr>
          </w:p>
        </w:tc>
        <w:tc>
          <w:tcPr>
            <w:tcW w:w="420" w:type="dxa"/>
            <w:vAlign w:val="bottom"/>
            <w:tcBorders>
              <w:bottom w:val="single" w:sz="8" w:color="D9D9D9"/>
            </w:tcBorders>
          </w:tcPr>
          <w:p>
            <w:pPr>
              <w:spacing w:after="0" w:line="20" w:lineRule="exact"/>
              <w:rPr>
                <w:sz w:val="1"/>
                <w:szCs w:val="1"/>
                <w:color w:val="auto"/>
              </w:rPr>
            </w:pPr>
          </w:p>
        </w:tc>
        <w:tc>
          <w:tcPr>
            <w:tcW w:w="880" w:type="dxa"/>
            <w:vAlign w:val="bottom"/>
            <w:tcBorders>
              <w:bottom w:val="single" w:sz="8" w:color="D9D9D9"/>
            </w:tcBorders>
          </w:tcPr>
          <w:p>
            <w:pPr>
              <w:spacing w:after="0" w:line="20" w:lineRule="exact"/>
              <w:rPr>
                <w:sz w:val="1"/>
                <w:szCs w:val="1"/>
                <w:color w:val="auto"/>
              </w:rPr>
            </w:pPr>
          </w:p>
        </w:tc>
      </w:tr>
      <w:tr>
        <w:trPr>
          <w:trHeight w:val="232"/>
        </w:trPr>
        <w:tc>
          <w:tcPr>
            <w:tcW w:w="5120" w:type="dxa"/>
            <w:vAlign w:val="bottom"/>
            <w:tcBorders>
              <w:bottom w:val="single" w:sz="8" w:color="00AEEF"/>
            </w:tcBorders>
          </w:tcPr>
          <w:p>
            <w:pPr>
              <w:ind w:left="20"/>
              <w:spacing w:after="0"/>
              <w:rPr>
                <w:sz w:val="20"/>
                <w:szCs w:val="20"/>
                <w:color w:val="auto"/>
              </w:rPr>
            </w:pPr>
            <w:r>
              <w:rPr>
                <w:rFonts w:ascii="Arial" w:cs="Arial" w:eastAsia="Arial" w:hAnsi="Arial"/>
                <w:sz w:val="16"/>
                <w:szCs w:val="16"/>
                <w:b w:val="1"/>
                <w:bCs w:val="1"/>
                <w:color w:val="auto"/>
              </w:rPr>
              <w:t>Total Equity Awards Adjustments non-CEO NEOs</w:t>
            </w:r>
          </w:p>
        </w:tc>
        <w:tc>
          <w:tcPr>
            <w:tcW w:w="400" w:type="dxa"/>
            <w:vAlign w:val="bottom"/>
            <w:tcBorders>
              <w:bottom w:val="single" w:sz="8" w:color="00AEEF"/>
            </w:tcBorders>
          </w:tcPr>
          <w:p>
            <w:pPr>
              <w:jc w:val="right"/>
              <w:ind w:right="18"/>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00AEEF"/>
            </w:tcBorders>
          </w:tcPr>
          <w:p>
            <w:pPr>
              <w:jc w:val="right"/>
              <w:ind w:right="101"/>
              <w:spacing w:after="0"/>
              <w:rPr>
                <w:sz w:val="20"/>
                <w:szCs w:val="20"/>
                <w:color w:val="auto"/>
              </w:rPr>
            </w:pPr>
            <w:r>
              <w:rPr>
                <w:rFonts w:ascii="Arial" w:cs="Arial" w:eastAsia="Arial" w:hAnsi="Arial"/>
                <w:sz w:val="16"/>
                <w:szCs w:val="16"/>
                <w:b w:val="1"/>
                <w:bCs w:val="1"/>
                <w:color w:val="auto"/>
              </w:rPr>
              <w:t>76,235</w:t>
            </w:r>
          </w:p>
        </w:tc>
        <w:tc>
          <w:tcPr>
            <w:tcW w:w="300" w:type="dxa"/>
            <w:vAlign w:val="bottom"/>
            <w:tcBorders>
              <w:bottom w:val="single" w:sz="8" w:color="00AEEF"/>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00AEEF"/>
            </w:tcBorders>
          </w:tcPr>
          <w:p>
            <w:pPr>
              <w:jc w:val="right"/>
              <w:ind w:right="61"/>
              <w:spacing w:after="0"/>
              <w:rPr>
                <w:sz w:val="20"/>
                <w:szCs w:val="20"/>
                <w:color w:val="auto"/>
              </w:rPr>
            </w:pPr>
            <w:r>
              <w:rPr>
                <w:rFonts w:ascii="Arial" w:cs="Arial" w:eastAsia="Arial" w:hAnsi="Arial"/>
                <w:sz w:val="16"/>
                <w:szCs w:val="16"/>
                <w:b w:val="1"/>
                <w:bCs w:val="1"/>
                <w:color w:val="auto"/>
              </w:rPr>
              <w:t>(21,535)</w:t>
            </w:r>
          </w:p>
        </w:tc>
        <w:tc>
          <w:tcPr>
            <w:tcW w:w="340" w:type="dxa"/>
            <w:vAlign w:val="bottom"/>
            <w:tcBorders>
              <w:bottom w:val="single" w:sz="8" w:color="00AEEF"/>
            </w:tcBorders>
          </w:tcPr>
          <w:p>
            <w:pPr>
              <w:jc w:val="right"/>
              <w:ind w:right="38"/>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00AEEF"/>
            </w:tcBorders>
          </w:tcPr>
          <w:p>
            <w:pPr>
              <w:jc w:val="right"/>
              <w:ind w:right="81"/>
              <w:spacing w:after="0"/>
              <w:rPr>
                <w:sz w:val="20"/>
                <w:szCs w:val="20"/>
                <w:color w:val="auto"/>
              </w:rPr>
            </w:pPr>
            <w:r>
              <w:rPr>
                <w:rFonts w:ascii="Arial" w:cs="Arial" w:eastAsia="Arial" w:hAnsi="Arial"/>
                <w:sz w:val="16"/>
                <w:szCs w:val="16"/>
                <w:b w:val="1"/>
                <w:bCs w:val="1"/>
                <w:color w:val="auto"/>
              </w:rPr>
              <w:t>22,748</w:t>
            </w:r>
          </w:p>
        </w:tc>
        <w:tc>
          <w:tcPr>
            <w:tcW w:w="260" w:type="dxa"/>
            <w:vAlign w:val="bottom"/>
            <w:tcBorders>
              <w:bottom w:val="single" w:sz="8" w:color="00AEEF"/>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00AEEF"/>
            </w:tcBorders>
          </w:tcPr>
          <w:p>
            <w:pPr>
              <w:jc w:val="right"/>
              <w:ind w:right="61"/>
              <w:spacing w:after="0"/>
              <w:rPr>
                <w:sz w:val="20"/>
                <w:szCs w:val="20"/>
                <w:color w:val="auto"/>
              </w:rPr>
            </w:pPr>
            <w:r>
              <w:rPr>
                <w:rFonts w:ascii="Arial" w:cs="Arial" w:eastAsia="Arial" w:hAnsi="Arial"/>
                <w:sz w:val="16"/>
                <w:szCs w:val="16"/>
                <w:b w:val="1"/>
                <w:bCs w:val="1"/>
                <w:color w:val="auto"/>
              </w:rPr>
              <w:t>(120,479)</w:t>
            </w:r>
          </w:p>
        </w:tc>
        <w:tc>
          <w:tcPr>
            <w:tcW w:w="420" w:type="dxa"/>
            <w:vAlign w:val="bottom"/>
            <w:tcBorders>
              <w:bottom w:val="single" w:sz="8" w:color="00AEEF"/>
            </w:tcBorders>
          </w:tcPr>
          <w:p>
            <w:pPr>
              <w:jc w:val="right"/>
              <w:ind w:right="118"/>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00AEEF"/>
            </w:tcBorders>
          </w:tcPr>
          <w:p>
            <w:pPr>
              <w:jc w:val="right"/>
              <w:spacing w:after="0"/>
              <w:rPr>
                <w:sz w:val="20"/>
                <w:szCs w:val="20"/>
                <w:color w:val="auto"/>
              </w:rPr>
            </w:pPr>
            <w:r>
              <w:rPr>
                <w:rFonts w:ascii="Arial" w:cs="Arial" w:eastAsia="Arial" w:hAnsi="Arial"/>
                <w:sz w:val="16"/>
                <w:szCs w:val="16"/>
                <w:b w:val="1"/>
                <w:bCs w:val="1"/>
                <w:color w:val="auto"/>
              </w:rPr>
              <w:t>390,457</w:t>
            </w:r>
          </w:p>
        </w:tc>
      </w:tr>
    </w:tbl>
    <w:p>
      <w:pPr>
        <w:spacing w:after="0" w:line="327" w:lineRule="exact"/>
        <w:rPr>
          <w:sz w:val="20"/>
          <w:szCs w:val="20"/>
          <w:color w:val="auto"/>
        </w:rPr>
      </w:pPr>
    </w:p>
    <w:p>
      <w:pPr>
        <w:ind w:left="2"/>
        <w:spacing w:after="0"/>
        <w:rPr>
          <w:sz w:val="20"/>
          <w:szCs w:val="20"/>
          <w:color w:val="auto"/>
        </w:rPr>
      </w:pPr>
      <w:r>
        <w:rPr>
          <w:rFonts w:ascii="Arial" w:cs="Arial" w:eastAsia="Arial" w:hAnsi="Arial"/>
          <w:sz w:val="36"/>
          <w:szCs w:val="36"/>
          <w:b w:val="1"/>
          <w:bCs w:val="1"/>
          <w:color w:val="0076A8"/>
        </w:rPr>
        <w:t>Pay for Performance Alignment</w:t>
      </w:r>
    </w:p>
    <w:p>
      <w:pPr>
        <w:spacing w:after="0" w:line="181"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191769"/>
        </w:rPr>
        <w:t>Pay Versus Performance Tabular List</w:t>
      </w:r>
    </w:p>
    <w:p>
      <w:pPr>
        <w:spacing w:after="0" w:line="87" w:lineRule="exact"/>
        <w:rPr>
          <w:sz w:val="20"/>
          <w:szCs w:val="20"/>
          <w:color w:val="auto"/>
        </w:rPr>
      </w:pPr>
    </w:p>
    <w:p>
      <w:pPr>
        <w:ind w:left="2" w:right="340"/>
        <w:spacing w:after="0" w:line="299" w:lineRule="auto"/>
        <w:rPr>
          <w:sz w:val="20"/>
          <w:szCs w:val="20"/>
          <w:color w:val="auto"/>
        </w:rPr>
      </w:pPr>
      <w:r>
        <w:rPr>
          <w:rFonts w:ascii="Arial" w:cs="Arial" w:eastAsia="Arial" w:hAnsi="Arial"/>
          <w:sz w:val="16"/>
          <w:szCs w:val="16"/>
          <w:color w:val="auto"/>
        </w:rPr>
        <w:t>The following performance measures represent the most important financial and non-financial performance measures used by us to link compensation actually paid to our NEOs to performance for the fiscal year ended December 31, 2025:</w:t>
      </w:r>
    </w:p>
    <w:p>
      <w:pPr>
        <w:spacing w:after="0" w:line="71" w:lineRule="exact"/>
        <w:rPr>
          <w:sz w:val="20"/>
          <w:szCs w:val="20"/>
          <w:color w:val="auto"/>
        </w:rPr>
      </w:pPr>
    </w:p>
    <w:p>
      <w:pPr>
        <w:ind w:left="162" w:hanging="162"/>
        <w:spacing w:after="0"/>
        <w:tabs>
          <w:tab w:leader="none" w:pos="162" w:val="left"/>
        </w:tabs>
        <w:numPr>
          <w:ilvl w:val="0"/>
          <w:numId w:val="76"/>
        </w:numPr>
        <w:rPr>
          <w:rFonts w:ascii="Arial" w:cs="Arial" w:eastAsia="Arial" w:hAnsi="Arial"/>
          <w:sz w:val="16"/>
          <w:szCs w:val="16"/>
          <w:b w:val="1"/>
          <w:bCs w:val="1"/>
          <w:color w:val="auto"/>
        </w:rPr>
      </w:pPr>
      <w:r>
        <w:rPr>
          <w:rFonts w:ascii="Arial" w:cs="Arial" w:eastAsia="Arial" w:hAnsi="Arial"/>
          <w:sz w:val="16"/>
          <w:szCs w:val="16"/>
          <w:color w:val="auto"/>
        </w:rPr>
        <w:t>Diluted earnings per share;</w:t>
      </w:r>
    </w:p>
    <w:p>
      <w:pPr>
        <w:spacing w:after="0" w:line="148" w:lineRule="exact"/>
        <w:rPr>
          <w:rFonts w:ascii="Arial" w:cs="Arial" w:eastAsia="Arial" w:hAnsi="Arial"/>
          <w:sz w:val="16"/>
          <w:szCs w:val="16"/>
          <w:b w:val="1"/>
          <w:bCs w:val="1"/>
          <w:color w:val="auto"/>
        </w:rPr>
      </w:pPr>
    </w:p>
    <w:p>
      <w:pPr>
        <w:ind w:left="162" w:hanging="162"/>
        <w:spacing w:after="0"/>
        <w:tabs>
          <w:tab w:leader="none" w:pos="162" w:val="left"/>
        </w:tabs>
        <w:numPr>
          <w:ilvl w:val="0"/>
          <w:numId w:val="76"/>
        </w:numPr>
        <w:rPr>
          <w:rFonts w:ascii="Arial" w:cs="Arial" w:eastAsia="Arial" w:hAnsi="Arial"/>
          <w:sz w:val="16"/>
          <w:szCs w:val="16"/>
          <w:b w:val="1"/>
          <w:bCs w:val="1"/>
          <w:color w:val="auto"/>
        </w:rPr>
      </w:pPr>
      <w:r>
        <w:rPr>
          <w:rFonts w:ascii="Arial" w:cs="Arial" w:eastAsia="Arial" w:hAnsi="Arial"/>
          <w:sz w:val="16"/>
          <w:szCs w:val="16"/>
          <w:color w:val="auto"/>
        </w:rPr>
        <w:t>Net income;</w:t>
      </w:r>
    </w:p>
    <w:p>
      <w:pPr>
        <w:spacing w:after="0" w:line="136" w:lineRule="exact"/>
        <w:rPr>
          <w:rFonts w:ascii="Arial" w:cs="Arial" w:eastAsia="Arial" w:hAnsi="Arial"/>
          <w:sz w:val="16"/>
          <w:szCs w:val="16"/>
          <w:b w:val="1"/>
          <w:bCs w:val="1"/>
          <w:color w:val="auto"/>
        </w:rPr>
      </w:pPr>
    </w:p>
    <w:p>
      <w:pPr>
        <w:ind w:left="162" w:hanging="162"/>
        <w:spacing w:after="0"/>
        <w:tabs>
          <w:tab w:leader="none" w:pos="162" w:val="left"/>
        </w:tabs>
        <w:numPr>
          <w:ilvl w:val="0"/>
          <w:numId w:val="76"/>
        </w:numPr>
        <w:rPr>
          <w:rFonts w:ascii="Arial" w:cs="Arial" w:eastAsia="Arial" w:hAnsi="Arial"/>
          <w:sz w:val="16"/>
          <w:szCs w:val="16"/>
          <w:b w:val="1"/>
          <w:bCs w:val="1"/>
          <w:color w:val="auto"/>
        </w:rPr>
      </w:pPr>
      <w:r>
        <w:rPr>
          <w:rFonts w:ascii="Arial" w:cs="Arial" w:eastAsia="Arial" w:hAnsi="Arial"/>
          <w:sz w:val="16"/>
          <w:szCs w:val="16"/>
          <w:color w:val="auto"/>
        </w:rPr>
        <w:t>Capital investment delivery;</w:t>
      </w:r>
    </w:p>
    <w:p>
      <w:pPr>
        <w:spacing w:after="0" w:line="148" w:lineRule="exact"/>
        <w:rPr>
          <w:rFonts w:ascii="Arial" w:cs="Arial" w:eastAsia="Arial" w:hAnsi="Arial"/>
          <w:sz w:val="16"/>
          <w:szCs w:val="16"/>
          <w:b w:val="1"/>
          <w:bCs w:val="1"/>
          <w:color w:val="auto"/>
        </w:rPr>
      </w:pPr>
    </w:p>
    <w:p>
      <w:pPr>
        <w:ind w:left="162" w:hanging="162"/>
        <w:spacing w:after="0"/>
        <w:tabs>
          <w:tab w:leader="none" w:pos="162" w:val="left"/>
        </w:tabs>
        <w:numPr>
          <w:ilvl w:val="0"/>
          <w:numId w:val="76"/>
        </w:numPr>
        <w:rPr>
          <w:rFonts w:ascii="Arial" w:cs="Arial" w:eastAsia="Arial" w:hAnsi="Arial"/>
          <w:sz w:val="16"/>
          <w:szCs w:val="16"/>
          <w:b w:val="1"/>
          <w:bCs w:val="1"/>
          <w:color w:val="auto"/>
        </w:rPr>
      </w:pPr>
      <w:r>
        <w:rPr>
          <w:rFonts w:ascii="Arial" w:cs="Arial" w:eastAsia="Arial" w:hAnsi="Arial"/>
          <w:sz w:val="16"/>
          <w:szCs w:val="16"/>
          <w:color w:val="auto"/>
        </w:rPr>
        <w:t>Employee engagement and satisfaction;</w:t>
      </w:r>
    </w:p>
    <w:p>
      <w:pPr>
        <w:spacing w:after="0" w:line="200" w:lineRule="exact"/>
        <w:rPr>
          <w:sz w:val="20"/>
          <w:szCs w:val="20"/>
          <w:color w:val="auto"/>
        </w:rPr>
      </w:pPr>
    </w:p>
    <w:p>
      <w:pPr>
        <w:spacing w:after="0" w:line="273" w:lineRule="exact"/>
        <w:rPr>
          <w:sz w:val="20"/>
          <w:szCs w:val="20"/>
          <w:color w:val="auto"/>
        </w:rPr>
      </w:pPr>
    </w:p>
    <w:tbl>
      <w:tblPr>
        <w:tblLayout w:type="fixed"/>
        <w:tblInd w:w="2" w:type="dxa"/>
        <w:tblCellMar>
          <w:top w:w="0" w:type="dxa"/>
          <w:left w:w="0" w:type="dxa"/>
          <w:bottom w:w="0" w:type="dxa"/>
          <w:right w:w="0" w:type="dxa"/>
        </w:tblCellMar>
      </w:tblPr>
      <w:tr>
        <w:trPr>
          <w:trHeight w:val="209"/>
        </w:trPr>
        <w:tc>
          <w:tcPr>
            <w:tcW w:w="10860" w:type="dxa"/>
            <w:vAlign w:val="bottom"/>
            <w:tcBorders>
              <w:right w:val="single" w:sz="8" w:color="00AEEF"/>
            </w:tcBorders>
          </w:tcPr>
          <w:p>
            <w:pPr>
              <w:ind w:left="94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57</w:t>
            </w:r>
          </w:p>
        </w:tc>
      </w:tr>
      <w:tr>
        <w:trPr>
          <w:trHeight w:val="325"/>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-27940</wp:posOffset>
            </wp:positionV>
            <wp:extent cx="33020" cy="412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2"/>
          </w:cols>
          <w:pgMar w:left="318" w:top="124" w:right="339" w:bottom="1440" w:gutter="0" w:footer="0" w:header="0"/>
        </w:sectPr>
      </w:pPr>
    </w:p>
    <w:bookmarkStart w:id="59" w:name="page60"/>
    <w:bookmarkEnd w:id="59"/>
    <w:p>
      <w:pPr>
        <w:ind w:left="2"/>
        <w:spacing w:after="0"/>
        <w:rPr>
          <w:sz w:val="20"/>
          <w:szCs w:val="20"/>
          <w:color w:val="auto"/>
        </w:rPr>
      </w:pPr>
      <w:r>
        <w:rPr>
          <w:rFonts w:ascii="Arial" w:cs="Arial" w:eastAsia="Arial" w:hAnsi="Arial"/>
          <w:sz w:val="14"/>
          <w:szCs w:val="14"/>
          <w:b w:val="1"/>
          <w:bCs w:val="1"/>
          <w:color w:val="191769"/>
        </w:rPr>
        <w:t>Pay for Performance Comparison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2" w:hanging="162"/>
        <w:spacing w:after="0"/>
        <w:tabs>
          <w:tab w:leader="none" w:pos="162" w:val="left"/>
        </w:tabs>
        <w:numPr>
          <w:ilvl w:val="0"/>
          <w:numId w:val="77"/>
        </w:numPr>
        <w:rPr>
          <w:rFonts w:ascii="Arial" w:cs="Arial" w:eastAsia="Arial" w:hAnsi="Arial"/>
          <w:sz w:val="16"/>
          <w:szCs w:val="16"/>
          <w:b w:val="1"/>
          <w:bCs w:val="1"/>
          <w:color w:val="auto"/>
        </w:rPr>
      </w:pPr>
      <w:r>
        <w:rPr>
          <w:rFonts w:ascii="Arial" w:cs="Arial" w:eastAsia="Arial" w:hAnsi="Arial"/>
          <w:sz w:val="16"/>
          <w:szCs w:val="16"/>
          <w:color w:val="auto"/>
        </w:rPr>
        <w:t>Customer experience; and</w:t>
      </w:r>
    </w:p>
    <w:p>
      <w:pPr>
        <w:spacing w:after="0" w:line="148" w:lineRule="exact"/>
        <w:rPr>
          <w:rFonts w:ascii="Arial" w:cs="Arial" w:eastAsia="Arial" w:hAnsi="Arial"/>
          <w:sz w:val="16"/>
          <w:szCs w:val="16"/>
          <w:b w:val="1"/>
          <w:bCs w:val="1"/>
          <w:color w:val="auto"/>
        </w:rPr>
      </w:pPr>
    </w:p>
    <w:p>
      <w:pPr>
        <w:ind w:left="162" w:hanging="162"/>
        <w:spacing w:after="0"/>
        <w:tabs>
          <w:tab w:leader="none" w:pos="162" w:val="left"/>
        </w:tabs>
        <w:numPr>
          <w:ilvl w:val="0"/>
          <w:numId w:val="77"/>
        </w:numPr>
        <w:rPr>
          <w:rFonts w:ascii="Arial" w:cs="Arial" w:eastAsia="Arial" w:hAnsi="Arial"/>
          <w:sz w:val="16"/>
          <w:szCs w:val="16"/>
          <w:b w:val="1"/>
          <w:bCs w:val="1"/>
          <w:color w:val="auto"/>
        </w:rPr>
      </w:pPr>
      <w:r>
        <w:rPr>
          <w:rFonts w:ascii="Arial" w:cs="Arial" w:eastAsia="Arial" w:hAnsi="Arial"/>
          <w:sz w:val="16"/>
          <w:szCs w:val="16"/>
          <w:color w:val="auto"/>
        </w:rPr>
        <w:t>Safety metrics</w:t>
      </w:r>
    </w:p>
    <w:p>
      <w:pPr>
        <w:spacing w:after="0" w:line="275"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191769"/>
        </w:rPr>
        <w:t>Relationship between Pay and Performance</w:t>
      </w:r>
    </w:p>
    <w:p>
      <w:pPr>
        <w:spacing w:after="0" w:line="87" w:lineRule="exact"/>
        <w:rPr>
          <w:sz w:val="20"/>
          <w:szCs w:val="20"/>
          <w:color w:val="auto"/>
        </w:rPr>
      </w:pPr>
    </w:p>
    <w:p>
      <w:pPr>
        <w:ind w:left="2"/>
        <w:spacing w:after="0"/>
        <w:rPr>
          <w:sz w:val="20"/>
          <w:szCs w:val="20"/>
          <w:color w:val="auto"/>
        </w:rPr>
      </w:pPr>
      <w:r>
        <w:rPr>
          <w:rFonts w:ascii="Arial" w:cs="Arial" w:eastAsia="Arial" w:hAnsi="Arial"/>
          <w:sz w:val="16"/>
          <w:szCs w:val="16"/>
          <w:color w:val="auto"/>
        </w:rPr>
        <w:t>Below are graphs showing the relationship of Compensation Actually Paid (CAP) to our CEO and other NEOs in 2021, 2022, 2023, 2024, and 2025.</w:t>
      </w:r>
    </w:p>
    <w:p>
      <w:pPr>
        <w:spacing w:after="0" w:line="136" w:lineRule="exact"/>
        <w:rPr>
          <w:sz w:val="20"/>
          <w:szCs w:val="20"/>
          <w:color w:val="auto"/>
        </w:rPr>
      </w:pPr>
    </w:p>
    <w:p>
      <w:pPr>
        <w:ind w:left="2"/>
        <w:spacing w:after="0"/>
        <w:rPr>
          <w:sz w:val="20"/>
          <w:szCs w:val="20"/>
          <w:color w:val="auto"/>
        </w:rPr>
      </w:pPr>
      <w:r>
        <w:rPr>
          <w:rFonts w:ascii="Arial" w:cs="Arial" w:eastAsia="Arial" w:hAnsi="Arial"/>
          <w:sz w:val="16"/>
          <w:szCs w:val="16"/>
          <w:color w:val="auto"/>
        </w:rPr>
        <w:t>(1) TSR of both Middlesex and the Peer Group, (2) Middlesex’s net income and (3) Middlesex’s diluted earnings per share.</w:t>
      </w:r>
    </w:p>
    <w:p>
      <w:pPr>
        <w:spacing w:after="0" w:line="148" w:lineRule="exact"/>
        <w:rPr>
          <w:sz w:val="20"/>
          <w:szCs w:val="20"/>
          <w:color w:val="auto"/>
        </w:rPr>
      </w:pPr>
    </w:p>
    <w:p>
      <w:pPr>
        <w:ind w:left="2"/>
        <w:spacing w:after="0" w:line="267" w:lineRule="auto"/>
        <w:rPr>
          <w:sz w:val="20"/>
          <w:szCs w:val="20"/>
          <w:color w:val="auto"/>
        </w:rPr>
      </w:pPr>
      <w:r>
        <w:rPr>
          <w:rFonts w:ascii="Arial" w:cs="Arial" w:eastAsia="Arial" w:hAnsi="Arial"/>
          <w:sz w:val="16"/>
          <w:szCs w:val="16"/>
          <w:color w:val="auto"/>
        </w:rPr>
        <w:t>CAP, as required under SEC rules, reflects adjusted values to unvested and vested equity awards during the years shown in the table based on year-end stock prices, various accounting valuation assumptions, and projected performance modifiers but does not reflect actual amounts paid out for those awards. CAP generally fluctuates due to stock price achievement and varying levels of projected and actual achievement of performance goals. For a discussion of how our Compensation Committee assessed Middlesex’s performance and our NEOs’ pay each year, see the CD&amp;A in the Proxy Statement for each respective year in the comparison.</w:t>
      </w:r>
    </w:p>
    <w:p>
      <w:pPr>
        <w:spacing w:after="0" w:line="220" w:lineRule="exact"/>
        <w:rPr>
          <w:sz w:val="20"/>
          <w:szCs w:val="20"/>
          <w:color w:val="auto"/>
        </w:rPr>
      </w:pPr>
    </w:p>
    <w:p>
      <w:pPr>
        <w:jc w:val="center"/>
        <w:ind w:right="-101"/>
        <w:spacing w:after="0"/>
        <w:rPr>
          <w:sz w:val="20"/>
          <w:szCs w:val="20"/>
          <w:color w:val="auto"/>
        </w:rPr>
      </w:pPr>
      <w:r>
        <w:rPr>
          <w:rFonts w:ascii="Arial" w:cs="Arial" w:eastAsia="Arial" w:hAnsi="Arial"/>
          <w:sz w:val="16"/>
          <w:szCs w:val="16"/>
          <w:b w:val="1"/>
          <w:bCs w:val="1"/>
          <w:color w:val="191769"/>
        </w:rPr>
        <w:t>CAP VS.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1133475</wp:posOffset>
            </wp:positionH>
            <wp:positionV relativeFrom="paragraph">
              <wp:posOffset>73660</wp:posOffset>
            </wp:positionV>
            <wp:extent cx="4877435" cy="2094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877435" cy="2094865"/>
                    </a:xfrm>
                    <a:prstGeom prst="rect">
                      <a:avLst/>
                    </a:prstGeom>
                    <a:noFill/>
                  </pic:spPr>
                </pic:pic>
              </a:graphicData>
            </a:graphic>
          </wp:anchor>
        </w:drawing>
      </w:r>
    </w:p>
    <w:p>
      <w:pPr>
        <w:sectPr>
          <w:pgSz w:w="11900" w:h="16838" w:orient="portrait"/>
          <w:cols w:equalWidth="0" w:num="1">
            <w:col w:w="11142"/>
          </w:cols>
          <w:pgMar w:left="318" w:top="12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022"/>
        <w:spacing w:after="0"/>
        <w:tabs>
          <w:tab w:leader="none" w:pos="3381" w:val="left"/>
        </w:tabs>
        <w:rPr>
          <w:sz w:val="20"/>
          <w:szCs w:val="20"/>
          <w:color w:val="auto"/>
        </w:rPr>
      </w:pPr>
      <w:r>
        <w:rPr>
          <w:rFonts w:ascii="Arial" w:cs="Arial" w:eastAsia="Arial" w:hAnsi="Arial"/>
          <w:sz w:val="13"/>
          <w:szCs w:val="13"/>
          <w:b w:val="1"/>
          <w:bCs w:val="1"/>
          <w:color w:val="191769"/>
        </w:rPr>
        <w:t>¢</w:t>
      </w:r>
      <w:r>
        <w:rPr>
          <w:sz w:val="20"/>
          <w:szCs w:val="20"/>
          <w:color w:val="auto"/>
        </w:rPr>
        <w:tab/>
      </w:r>
      <w:r>
        <w:rPr>
          <w:rFonts w:ascii="Arial" w:cs="Arial" w:eastAsia="Arial" w:hAnsi="Arial"/>
          <w:sz w:val="13"/>
          <w:szCs w:val="13"/>
          <w:color w:val="auto"/>
        </w:rPr>
        <w:t>CAP to PEO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380" w:val="left"/>
        </w:tabs>
        <w:rPr>
          <w:sz w:val="20"/>
          <w:szCs w:val="20"/>
          <w:color w:val="auto"/>
        </w:rPr>
      </w:pPr>
      <w:r>
        <w:rPr>
          <w:rFonts w:ascii="Arial" w:cs="Arial" w:eastAsia="Arial" w:hAnsi="Arial"/>
          <w:sz w:val="13"/>
          <w:szCs w:val="13"/>
          <w:b w:val="1"/>
          <w:bCs w:val="1"/>
          <w:color w:val="0076A8"/>
        </w:rPr>
        <w:t>¢</w:t>
      </w:r>
      <w:r>
        <w:rPr>
          <w:sz w:val="20"/>
          <w:szCs w:val="20"/>
          <w:color w:val="auto"/>
        </w:rPr>
        <w:tab/>
      </w:r>
      <w:r>
        <w:rPr>
          <w:rFonts w:ascii="Arial" w:cs="Arial" w:eastAsia="Arial" w:hAnsi="Arial"/>
          <w:sz w:val="13"/>
          <w:szCs w:val="13"/>
          <w:color w:val="auto"/>
        </w:rPr>
        <w:t>Avg. CAP to non-PEO NEOs</w:t>
      </w:r>
    </w:p>
    <w:p>
      <w:pPr>
        <w:spacing w:after="0" w:line="134" w:lineRule="exact"/>
        <w:rPr>
          <w:sz w:val="20"/>
          <w:szCs w:val="20"/>
          <w:color w:val="auto"/>
        </w:rPr>
      </w:pPr>
    </w:p>
    <w:p>
      <w:pPr>
        <w:sectPr>
          <w:pgSz w:w="11900" w:h="16838" w:orient="portrait"/>
          <w:cols w:equalWidth="0" w:num="2">
            <w:col w:w="5342" w:space="720"/>
            <w:col w:w="5080"/>
          </w:cols>
          <w:pgMar w:left="318" w:top="124" w:right="439" w:bottom="1440" w:gutter="0" w:footer="0" w:header="0"/>
          <w:type w:val="continuous"/>
        </w:sectPr>
      </w:pPr>
    </w:p>
    <w:p>
      <w:pPr>
        <w:ind w:left="3402"/>
        <w:spacing w:after="0"/>
        <w:rPr>
          <w:sz w:val="20"/>
          <w:szCs w:val="20"/>
          <w:color w:val="auto"/>
        </w:rPr>
      </w:pPr>
      <w:r>
        <w:rPr>
          <w:rFonts w:ascii="Arial" w:cs="Arial" w:eastAsia="Arial" w:hAnsi="Arial"/>
          <w:sz w:val="13"/>
          <w:szCs w:val="13"/>
          <w:color w:val="auto"/>
        </w:rPr>
        <w:t>MSEX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370840</wp:posOffset>
            </wp:positionV>
            <wp:extent cx="7620" cy="132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Peer Group TSR</w:t>
      </w:r>
    </w:p>
    <w:p>
      <w:pPr>
        <w:spacing w:after="0" w:line="200" w:lineRule="exact"/>
        <w:rPr>
          <w:sz w:val="20"/>
          <w:szCs w:val="20"/>
          <w:color w:val="auto"/>
        </w:rPr>
      </w:pPr>
    </w:p>
    <w:p>
      <w:pPr>
        <w:sectPr>
          <w:pgSz w:w="11900" w:h="16838" w:orient="portrait"/>
          <w:cols w:equalWidth="0" w:num="2">
            <w:col w:w="5742" w:space="720"/>
            <w:col w:w="4680"/>
          </w:cols>
          <w:pgMar w:left="318" w:top="124" w:right="43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ind w:left="462" w:hanging="445"/>
        <w:spacing w:after="0"/>
        <w:tabs>
          <w:tab w:leader="none" w:pos="462" w:val="left"/>
        </w:tabs>
        <w:numPr>
          <w:ilvl w:val="0"/>
          <w:numId w:val="78"/>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217805</wp:posOffset>
            </wp:positionV>
            <wp:extent cx="7169785" cy="412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142"/>
          </w:cols>
          <w:pgMar w:left="318" w:top="124" w:right="439" w:bottom="1440" w:gutter="0" w:footer="0" w:header="0"/>
          <w:type w:val="continuous"/>
        </w:sectPr>
      </w:pPr>
    </w:p>
    <w:bookmarkStart w:id="60" w:name="page61"/>
    <w:bookmarkEnd w:id="60"/>
    <w:p>
      <w:pPr>
        <w:jc w:val="right"/>
        <w:spacing w:after="0"/>
        <w:rPr>
          <w:sz w:val="20"/>
          <w:szCs w:val="20"/>
          <w:color w:val="auto"/>
        </w:rPr>
      </w:pPr>
      <w:r>
        <w:rPr>
          <w:rFonts w:ascii="Arial" w:cs="Arial" w:eastAsia="Arial" w:hAnsi="Arial"/>
          <w:sz w:val="14"/>
          <w:szCs w:val="14"/>
          <w:b w:val="1"/>
          <w:bCs w:val="1"/>
          <w:color w:val="191769"/>
        </w:rPr>
        <w:t>Pay for Performance Comparison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191769"/>
        </w:rPr>
        <w:t>CAP VS. NET INCOME AND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1132205</wp:posOffset>
            </wp:positionH>
            <wp:positionV relativeFrom="paragraph">
              <wp:posOffset>73660</wp:posOffset>
            </wp:positionV>
            <wp:extent cx="4877435" cy="20948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877435" cy="209486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940"/>
        <w:spacing w:after="0"/>
        <w:tabs>
          <w:tab w:leader="none" w:pos="3320" w:val="left"/>
        </w:tabs>
        <w:rPr>
          <w:sz w:val="20"/>
          <w:szCs w:val="20"/>
          <w:color w:val="auto"/>
        </w:rPr>
      </w:pPr>
      <w:r>
        <w:rPr>
          <w:rFonts w:ascii="Arial" w:cs="Arial" w:eastAsia="Arial" w:hAnsi="Arial"/>
          <w:sz w:val="13"/>
          <w:szCs w:val="13"/>
          <w:b w:val="1"/>
          <w:bCs w:val="1"/>
          <w:color w:val="191769"/>
        </w:rPr>
        <w:t>¢</w:t>
      </w:r>
      <w:r>
        <w:rPr>
          <w:sz w:val="20"/>
          <w:szCs w:val="20"/>
          <w:color w:val="auto"/>
        </w:rPr>
        <w:tab/>
      </w:r>
      <w:r>
        <w:rPr>
          <w:rFonts w:ascii="Arial" w:cs="Arial" w:eastAsia="Arial" w:hAnsi="Arial"/>
          <w:sz w:val="12"/>
          <w:szCs w:val="12"/>
          <w:color w:val="auto"/>
        </w:rPr>
        <w:t>CAP to PEO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360" w:val="left"/>
        </w:tabs>
        <w:rPr>
          <w:sz w:val="20"/>
          <w:szCs w:val="20"/>
          <w:color w:val="auto"/>
        </w:rPr>
      </w:pPr>
      <w:r>
        <w:rPr>
          <w:rFonts w:ascii="Arial" w:cs="Arial" w:eastAsia="Arial" w:hAnsi="Arial"/>
          <w:sz w:val="13"/>
          <w:szCs w:val="13"/>
          <w:b w:val="1"/>
          <w:bCs w:val="1"/>
          <w:color w:val="0076A8"/>
        </w:rPr>
        <w:t>¢</w:t>
      </w:r>
      <w:r>
        <w:rPr>
          <w:sz w:val="20"/>
          <w:szCs w:val="20"/>
          <w:color w:val="auto"/>
        </w:rPr>
        <w:tab/>
      </w:r>
      <w:r>
        <w:rPr>
          <w:rFonts w:ascii="Arial" w:cs="Arial" w:eastAsia="Arial" w:hAnsi="Arial"/>
          <w:sz w:val="13"/>
          <w:szCs w:val="13"/>
          <w:color w:val="auto"/>
        </w:rPr>
        <w:t>Avg. CAP to non-PEO NEOs</w:t>
      </w:r>
    </w:p>
    <w:p>
      <w:pPr>
        <w:spacing w:after="0" w:line="134" w:lineRule="exact"/>
        <w:rPr>
          <w:sz w:val="20"/>
          <w:szCs w:val="20"/>
          <w:color w:val="auto"/>
        </w:rPr>
      </w:pPr>
    </w:p>
    <w:p>
      <w:pPr>
        <w:sectPr>
          <w:pgSz w:w="11900" w:h="16838" w:orient="portrait"/>
          <w:cols w:equalWidth="0" w:num="2">
            <w:col w:w="5280" w:space="720"/>
            <w:col w:w="5240"/>
          </w:cols>
          <w:pgMar w:left="320" w:top="124" w:right="339" w:bottom="1440" w:gutter="0" w:footer="0" w:header="0"/>
          <w:type w:val="continuous"/>
        </w:sectPr>
      </w:pPr>
    </w:p>
    <w:p>
      <w:pPr>
        <w:ind w:left="3340"/>
        <w:spacing w:after="0"/>
        <w:rPr>
          <w:sz w:val="20"/>
          <w:szCs w:val="20"/>
          <w:color w:val="auto"/>
        </w:rPr>
      </w:pPr>
      <w:r>
        <w:rPr>
          <w:rFonts w:ascii="Arial" w:cs="Arial" w:eastAsia="Arial" w:hAnsi="Arial"/>
          <w:sz w:val="12"/>
          <w:szCs w:val="12"/>
          <w:color w:val="auto"/>
        </w:rPr>
        <w:t>Net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Diluted Earnings Per Share</w:t>
      </w:r>
    </w:p>
    <w:p>
      <w:pPr>
        <w:spacing w:after="0" w:line="200" w:lineRule="exact"/>
        <w:rPr>
          <w:sz w:val="20"/>
          <w:szCs w:val="20"/>
          <w:color w:val="auto"/>
        </w:rPr>
      </w:pPr>
    </w:p>
    <w:p>
      <w:pPr>
        <w:sectPr>
          <w:pgSz w:w="11900" w:h="16838" w:orient="portrait"/>
          <w:cols w:equalWidth="0" w:num="2">
            <w:col w:w="5660" w:space="720"/>
            <w:col w:w="4860"/>
          </w:cols>
          <w:pgMar w:left="320" w:top="124" w:right="339" w:bottom="1440" w:gutter="0" w:footer="0" w:header="0"/>
          <w:type w:val="continuous"/>
        </w:sect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860" w:type="dxa"/>
            <w:vAlign w:val="bottom"/>
            <w:tcBorders>
              <w:right w:val="single" w:sz="8" w:color="00AEEF"/>
            </w:tcBorders>
          </w:tcPr>
          <w:p>
            <w:pPr>
              <w:ind w:left="94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59</w:t>
            </w:r>
          </w:p>
        </w:tc>
      </w:tr>
      <w:tr>
        <w:trPr>
          <w:trHeight w:val="312"/>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61" w:name="page62"/>
    <w:bookmarkEnd w:id="61"/>
    <w:p>
      <w:pPr>
        <w:spacing w:after="0" w:line="1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753110</wp:posOffset>
            </wp:positionV>
            <wp:extent cx="7144385" cy="17665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4385" cy="1766570"/>
                    </a:xfrm>
                    <a:prstGeom prst="rect">
                      <a:avLst/>
                    </a:prstGeom>
                    <a:noFill/>
                  </pic:spPr>
                </pic:pic>
              </a:graphicData>
            </a:graphic>
          </wp:anchor>
        </w:drawing>
      </w:r>
    </w:p>
    <w:p>
      <w:pPr>
        <w:ind w:left="160"/>
        <w:spacing w:after="0"/>
        <w:rPr>
          <w:sz w:val="20"/>
          <w:szCs w:val="20"/>
          <w:color w:val="auto"/>
        </w:rPr>
      </w:pPr>
      <w:r>
        <w:rPr>
          <w:rFonts w:ascii="Arial" w:cs="Arial" w:eastAsia="Arial" w:hAnsi="Arial"/>
          <w:sz w:val="23"/>
          <w:szCs w:val="23"/>
          <w:b w:val="1"/>
          <w:bCs w:val="1"/>
          <w:color w:val="0076A8"/>
        </w:rPr>
        <w:t>PROPOSAL 2</w:t>
      </w:r>
    </w:p>
    <w:p>
      <w:pPr>
        <w:spacing w:after="0" w:line="200" w:lineRule="exact"/>
        <w:rPr>
          <w:sz w:val="20"/>
          <w:szCs w:val="20"/>
          <w:color w:val="auto"/>
        </w:rPr>
      </w:pPr>
    </w:p>
    <w:p>
      <w:pPr>
        <w:spacing w:after="0" w:line="389" w:lineRule="exact"/>
        <w:rPr>
          <w:sz w:val="20"/>
          <w:szCs w:val="20"/>
          <w:color w:val="auto"/>
        </w:rPr>
      </w:pPr>
    </w:p>
    <w:p>
      <w:pPr>
        <w:ind w:left="160" w:right="400"/>
        <w:spacing w:after="0" w:line="248" w:lineRule="auto"/>
        <w:rPr>
          <w:sz w:val="20"/>
          <w:szCs w:val="20"/>
          <w:color w:val="auto"/>
        </w:rPr>
      </w:pPr>
      <w:r>
        <w:rPr>
          <w:rFonts w:ascii="Arial" w:cs="Arial" w:eastAsia="Arial" w:hAnsi="Arial"/>
          <w:sz w:val="46"/>
          <w:szCs w:val="46"/>
          <w:color w:val="191769"/>
        </w:rPr>
        <w:t>Non-Binding Proposal to Approve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Section 14A of the Exchange Act, as amended by the Dodd-Frank Wall Street Reform and Consumer Protection Act of 2010, or the “Dodd-Frank Act,” enables our shareholders to vote to approve, on an advisory (non-binding) basis, the compensation of our NEOs as disclosed in this Proxy Statement in accordance with the SEC’s rules. As previously disclosed, the Board has determined that it will hold an advisory vote on the compensation of our NEOs on an annual basis. The Compensation of our NEOs is described in the CD&amp;A, the compensation tables and the accompanying narrative in the CD&amp;A of this Proxy Statement.</w:t>
      </w:r>
    </w:p>
    <w:p>
      <w:pPr>
        <w:spacing w:after="0" w:line="97"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The Compensation Committee of the Board is responsible for making recommendations to the full Board with respect to the compensation of the NEOs, including the CEO. As part of these duties, the Compensation Committee administers the Company’s equity-based incentive compensation plan and conducts an annual performance review of the CEO and, in consultation with the CEO, reviews the performance of the other NEOs. The Board has ultimate authority to determine the compensation of all NEOs, including the CEO.</w:t>
      </w:r>
    </w:p>
    <w:p>
      <w:pPr>
        <w:spacing w:after="0" w:line="92"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The overall objectives of the Company’s compensation program are to retain, motivate, and reward employees and officers (including the NEOs) for short-and long-term performance, and to provide competitive compensation to attract appropriate talent to the Company. The methods used to achieve these goals for NEOs are influenced by the compensation and employment practices of our peers and competitors within the utilities industry, and elsewhere in the marketplace, for Executive talent. Other considerations include each NEO’s individual performance in achieving both financial and non-financial corporate goals.</w:t>
      </w:r>
    </w:p>
    <w:p>
      <w:pPr>
        <w:spacing w:after="0" w:line="8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Based on its review of the total compensation of our NEOs for fiscal year 2025, the Compensation Committee believes that the total compensation for each of the NEOs is reasonable and effectively achieves the objective of aligning compensation with performance measures directly related to our financial goals and creation of shareholder value without encouraging NEOs to take unnecessary or excessive risks.</w:t>
      </w:r>
    </w:p>
    <w:p>
      <w:pPr>
        <w:spacing w:after="0" w:line="87"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The CD&amp;A section of this Proxy Statement and the accompanying tables and narrative provide a comprehensive review of NEO compensation objectives, program and rationale. We urge you to read this disclosure before voting on this proposal, the approval of which is included as Proposal 2 in this Proxy Statement. This advisory vote, which is required under Section 14A of the Exchange Act (as amended by the Dodd-Frank Act), is typically referred to as a “say-on-pay” vote. The frequency of the “say-on-pay” vote is one year as last voted on by the shareholders in 2023. The next frequency of the “say-on-pay” vote is next scheduled for 2029.</w:t>
      </w:r>
    </w:p>
    <w:p>
      <w:pPr>
        <w:spacing w:after="0" w:line="97" w:lineRule="exact"/>
        <w:rPr>
          <w:sz w:val="20"/>
          <w:szCs w:val="20"/>
          <w:color w:val="auto"/>
        </w:rPr>
      </w:pPr>
    </w:p>
    <w:p>
      <w:pPr>
        <w:ind w:right="940"/>
        <w:spacing w:after="0" w:line="299" w:lineRule="auto"/>
        <w:rPr>
          <w:sz w:val="20"/>
          <w:szCs w:val="20"/>
          <w:color w:val="auto"/>
        </w:rPr>
      </w:pPr>
      <w:r>
        <w:rPr>
          <w:rFonts w:ascii="Arial" w:cs="Arial" w:eastAsia="Arial" w:hAnsi="Arial"/>
          <w:sz w:val="16"/>
          <w:szCs w:val="16"/>
          <w:color w:val="auto"/>
        </w:rPr>
        <w:t>For the reasons stated above, the Board is requesting your non-binding approval of the compensation of NEOs, as disclosed in the CD&amp;A, the compensation tables and the accompanying narrative in the CD&amp;A of this Proxy Statement.</w:t>
      </w:r>
    </w:p>
    <w:p>
      <w:pPr>
        <w:spacing w:after="0" w:line="5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Your vote on this proposal will be non-binding and will not be construed as overruling a decision by the Board. Your vote will not create or imply any change to fiduciary duties or create or imply any additional fiduciary duties for the Board. However, the Board values the opinions that our shareholders express in their votes and will take the outcome of the vote into account when making future Executive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120650</wp:posOffset>
            </wp:positionV>
            <wp:extent cx="7144385" cy="5314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4385" cy="531495"/>
                    </a:xfrm>
                    <a:prstGeom prst="rect">
                      <a:avLst/>
                    </a:prstGeom>
                    <a:noFill/>
                  </pic:spPr>
                </pic:pic>
              </a:graphicData>
            </a:graphic>
          </wp:anchor>
        </w:drawing>
      </w:r>
    </w:p>
    <w:p>
      <w:pPr>
        <w:spacing w:after="0" w:line="270" w:lineRule="exact"/>
        <w:rPr>
          <w:sz w:val="20"/>
          <w:szCs w:val="20"/>
          <w:color w:val="auto"/>
        </w:rPr>
      </w:pPr>
    </w:p>
    <w:p>
      <w:pPr>
        <w:ind w:left="1480" w:right="1100"/>
        <w:spacing w:after="0" w:line="294" w:lineRule="auto"/>
        <w:rPr>
          <w:sz w:val="20"/>
          <w:szCs w:val="20"/>
          <w:color w:val="auto"/>
        </w:rPr>
      </w:pPr>
      <w:r>
        <w:rPr>
          <w:rFonts w:ascii="Arial" w:cs="Arial" w:eastAsia="Arial" w:hAnsi="Arial"/>
          <w:sz w:val="23"/>
          <w:szCs w:val="23"/>
          <w:color w:val="auto"/>
        </w:rPr>
        <w:t xml:space="preserve">The board recommends shareholders vote </w:t>
      </w:r>
      <w:r>
        <w:rPr>
          <w:rFonts w:ascii="Arial" w:cs="Arial" w:eastAsia="Arial" w:hAnsi="Arial"/>
          <w:sz w:val="23"/>
          <w:szCs w:val="23"/>
          <w:b w:val="1"/>
          <w:bCs w:val="1"/>
          <w:color w:val="191769"/>
        </w:rPr>
        <w:t>FOR</w:t>
      </w:r>
      <w:r>
        <w:rPr>
          <w:rFonts w:ascii="Arial" w:cs="Arial" w:eastAsia="Arial" w:hAnsi="Arial"/>
          <w:sz w:val="23"/>
          <w:szCs w:val="23"/>
          <w:color w:val="auto"/>
        </w:rPr>
        <w:t xml:space="preserve"> Proposal 2, the non-binding advisory proposal approving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447040</wp:posOffset>
            </wp:positionV>
            <wp:extent cx="7620" cy="132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0" w:hanging="445"/>
        <w:spacing w:after="0"/>
        <w:tabs>
          <w:tab w:leader="none" w:pos="460" w:val="left"/>
        </w:tabs>
        <w:numPr>
          <w:ilvl w:val="0"/>
          <w:numId w:val="79"/>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217805</wp:posOffset>
            </wp:positionV>
            <wp:extent cx="7169785" cy="412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rPr>
          <w:sz w:val="20"/>
          <w:szCs w:val="20"/>
          <w:color w:val="auto"/>
        </w:rPr>
      </w:pPr>
      <w:r>
        <w:rPr>
          <w:rFonts w:ascii="Arial" w:cs="Arial" w:eastAsia="Arial" w:hAnsi="Arial"/>
          <w:sz w:val="46"/>
          <w:szCs w:val="46"/>
          <w:color w:val="191769"/>
        </w:rPr>
        <w:t>Report of the Audit Committee</w:t>
      </w:r>
    </w:p>
    <w:p>
      <w:pPr>
        <w:spacing w:after="0" w:line="285"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 xml:space="preserve">The Company’s Audit Committee is comprised of independent directors, all of whom meet the qualifications required by the Nasdaq Stock Exchange and Securities U.S. Securities and Exchange Committee. The Audit Committee operates under a written charter adopted by the Board of Directors that is available on the Company’s website, </w:t>
      </w:r>
      <w:r>
        <w:rPr>
          <w:rFonts w:ascii="Arial" w:cs="Arial" w:eastAsia="Arial" w:hAnsi="Arial"/>
          <w:sz w:val="16"/>
          <w:szCs w:val="16"/>
          <w:u w:val="single" w:color="auto"/>
          <w:color w:val="0076A8"/>
        </w:rPr>
        <w:t>MiddlesexWater.com</w:t>
      </w:r>
    </w:p>
    <w:p>
      <w:pPr>
        <w:spacing w:after="0" w:line="87"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Management is responsible for the Company’s internal controls, financial reporting processes and compliance with legal and regulatory requirements. PricewaterhouseCoopers LLP, the Company’s independent registered public accounting firm for 2025, was responsible for performing an independent audit of the Company’s consolidated financial statements and for issuing a report of their opinions on the Company’s consolidated financial statements and on the effectiveness of the Company’s internal control over financial reporting.</w:t>
      </w:r>
    </w:p>
    <w:p>
      <w:pPr>
        <w:spacing w:after="0" w:line="80"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The Audit Committee has reviewed and discussed with management and PricewaterhouseCoopers LLP the Company’s audited consolidated financial statements, and internal control over financial reporting, for the year ended December 31, 2025. The Audit Committee also received a report from PricewaterhouseCoopers LLP regarding matters required to be discussed under the rules adopted by the Public Company Accounting Oversight Board (‘‘PCAOB’’). The Audit Committee has received the written disclosures and the letter from PricewaterhouseCoopers LLP, required by the PCAOB, regarding their communications with the Audit Committee concerning independence, and has discussed with PricewaterhouseCoopers LLP their independence.</w:t>
      </w:r>
    </w:p>
    <w:p>
      <w:pPr>
        <w:spacing w:after="0" w:line="98" w:lineRule="exact"/>
        <w:rPr>
          <w:sz w:val="20"/>
          <w:szCs w:val="20"/>
          <w:color w:val="auto"/>
        </w:rPr>
      </w:pPr>
    </w:p>
    <w:p>
      <w:pPr>
        <w:ind w:right="600"/>
        <w:spacing w:after="0" w:line="299" w:lineRule="auto"/>
        <w:rPr>
          <w:sz w:val="20"/>
          <w:szCs w:val="20"/>
          <w:color w:val="auto"/>
        </w:rPr>
      </w:pPr>
      <w:r>
        <w:rPr>
          <w:rFonts w:ascii="Arial" w:cs="Arial" w:eastAsia="Arial" w:hAnsi="Arial"/>
          <w:sz w:val="16"/>
          <w:szCs w:val="16"/>
          <w:color w:val="auto"/>
        </w:rPr>
        <w:t>Based on the above, the Audit Committee recommended to the Board Directors that the Company’s audited financial statements be included in the Company’s Annual Report on Form 10-K for the year ended December 31, 2025.</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Audit Committee issuing this report were:</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Steven M. Klein</w:t>
      </w:r>
      <w:r>
        <w:rPr>
          <w:rFonts w:ascii="Arial" w:cs="Arial" w:eastAsia="Arial" w:hAnsi="Arial"/>
          <w:sz w:val="16"/>
          <w:szCs w:val="16"/>
          <w:color w:val="000000"/>
        </w:rPr>
        <w:t>, Chair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Joshua Bershad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Robert Hoglund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191769"/>
        </w:rPr>
        <w:t>Ann L. Noble</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860" w:type="dxa"/>
            <w:vAlign w:val="bottom"/>
            <w:tcBorders>
              <w:right w:val="single" w:sz="8" w:color="00AEEF"/>
            </w:tcBorders>
          </w:tcPr>
          <w:p>
            <w:pPr>
              <w:ind w:left="94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61</w:t>
            </w:r>
          </w:p>
        </w:tc>
      </w:tr>
      <w:tr>
        <w:trPr>
          <w:trHeight w:val="312"/>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spacing w:after="0" w:line="1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753110</wp:posOffset>
            </wp:positionV>
            <wp:extent cx="7144385" cy="17665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4385" cy="1766570"/>
                    </a:xfrm>
                    <a:prstGeom prst="rect">
                      <a:avLst/>
                    </a:prstGeom>
                    <a:noFill/>
                  </pic:spPr>
                </pic:pic>
              </a:graphicData>
            </a:graphic>
          </wp:anchor>
        </w:drawing>
      </w:r>
    </w:p>
    <w:p>
      <w:pPr>
        <w:ind w:left="160"/>
        <w:spacing w:after="0"/>
        <w:rPr>
          <w:sz w:val="20"/>
          <w:szCs w:val="20"/>
          <w:color w:val="auto"/>
        </w:rPr>
      </w:pPr>
      <w:r>
        <w:rPr>
          <w:rFonts w:ascii="Arial" w:cs="Arial" w:eastAsia="Arial" w:hAnsi="Arial"/>
          <w:sz w:val="23"/>
          <w:szCs w:val="23"/>
          <w:b w:val="1"/>
          <w:bCs w:val="1"/>
          <w:color w:val="0076A8"/>
        </w:rPr>
        <w:t>PROPOSAL 3</w:t>
      </w:r>
    </w:p>
    <w:p>
      <w:pPr>
        <w:spacing w:after="0" w:line="200" w:lineRule="exact"/>
        <w:rPr>
          <w:sz w:val="20"/>
          <w:szCs w:val="20"/>
          <w:color w:val="auto"/>
        </w:rPr>
      </w:pPr>
    </w:p>
    <w:p>
      <w:pPr>
        <w:spacing w:after="0" w:line="389" w:lineRule="exact"/>
        <w:rPr>
          <w:sz w:val="20"/>
          <w:szCs w:val="20"/>
          <w:color w:val="auto"/>
        </w:rPr>
      </w:pPr>
    </w:p>
    <w:p>
      <w:pPr>
        <w:ind w:left="160" w:right="100"/>
        <w:spacing w:after="0" w:line="248" w:lineRule="auto"/>
        <w:rPr>
          <w:sz w:val="20"/>
          <w:szCs w:val="20"/>
          <w:color w:val="auto"/>
        </w:rPr>
      </w:pPr>
      <w:r>
        <w:rPr>
          <w:rFonts w:ascii="Arial" w:cs="Arial" w:eastAsia="Arial" w:hAnsi="Arial"/>
          <w:sz w:val="46"/>
          <w:szCs w:val="46"/>
          <w:color w:val="191769"/>
        </w:rPr>
        <w:t>Ratification of Appointment by the Audit Committee of the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The shares represented by the proxies will be voted for ratification of the appointment by the Audit Committee of PricewaterhouseCoopers LLP as our independent registered public accounting firm, to issue a report to the Board and shareholders on our financial statements for the year ending December 31, 2026.</w:t>
      </w:r>
    </w:p>
    <w:p>
      <w:pPr>
        <w:spacing w:after="0" w:line="75"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Although submission of the appointment of an independent registered public accounting firm to shareholders for ratification is not required by law or regulation, the Board is submitting the selection of an independent registered public accounting firm for shareholder ratification. The Audit Committee is solely responsible for the appointment, compensation and oversight of the work of our independent registered public accounting firm. Representatives of PricewaterhouseCoopers LLP are expected to participate in the Annual Meeting and will be afforded an opportunity to make a statement, if they so desire, and to respond to appropriate questions.</w:t>
      </w:r>
    </w:p>
    <w:p>
      <w:pPr>
        <w:spacing w:after="0" w:line="72"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affirmative vote of a majority of the votes cast by shareholders in person or represented by proxy, at the Annual Meeting is required for the approval of this Proposal. The Board has not determined what action it would take if the shareholders do not approve the selection of PricewaterhouseCoopers LLP, but may reconsider the selection if the shareholders’ action so warrants. Even if the selection is ratified, the Audit Committee, exercising its own discretion, may select different auditors at any time during the year if it determines that such a change would be in the Company’s best interests and in the best interests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330200</wp:posOffset>
            </wp:positionV>
            <wp:extent cx="7620" cy="132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460" w:hanging="445"/>
        <w:spacing w:after="0"/>
        <w:tabs>
          <w:tab w:leader="none" w:pos="460" w:val="left"/>
        </w:tabs>
        <w:numPr>
          <w:ilvl w:val="0"/>
          <w:numId w:val="80"/>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217805</wp:posOffset>
            </wp:positionV>
            <wp:extent cx="7169785" cy="412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4" w:name="page65"/>
    <w:bookmarkEnd w:id="64"/>
    <w:p>
      <w:pPr>
        <w:jc w:val="right"/>
        <w:spacing w:after="0"/>
        <w:rPr>
          <w:sz w:val="20"/>
          <w:szCs w:val="20"/>
          <w:color w:val="auto"/>
        </w:rPr>
      </w:pPr>
      <w:r>
        <w:rPr>
          <w:rFonts w:ascii="Arial" w:cs="Arial" w:eastAsia="Arial" w:hAnsi="Arial"/>
          <w:sz w:val="14"/>
          <w:szCs w:val="14"/>
          <w:b w:val="1"/>
          <w:bCs w:val="1"/>
          <w:color w:val="191769"/>
        </w:rPr>
        <w:t>PROPOSAL 3: Ratification of Appointment by the Audit Committee of the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
        <w:spacing w:after="0"/>
        <w:rPr>
          <w:sz w:val="20"/>
          <w:szCs w:val="20"/>
          <w:color w:val="auto"/>
        </w:rPr>
      </w:pPr>
      <w:r>
        <w:rPr>
          <w:rFonts w:ascii="Arial" w:cs="Arial" w:eastAsia="Arial" w:hAnsi="Arial"/>
          <w:sz w:val="36"/>
          <w:szCs w:val="36"/>
          <w:b w:val="1"/>
          <w:bCs w:val="1"/>
          <w:color w:val="0076A8"/>
        </w:rPr>
        <w:t>Independent Registered Public Accounting Firm Fees</w:t>
      </w:r>
    </w:p>
    <w:p>
      <w:pPr>
        <w:spacing w:after="0" w:line="191" w:lineRule="exact"/>
        <w:rPr>
          <w:sz w:val="20"/>
          <w:szCs w:val="20"/>
          <w:color w:val="auto"/>
        </w:rPr>
      </w:pPr>
    </w:p>
    <w:p>
      <w:pPr>
        <w:ind w:left="2" w:right="580"/>
        <w:spacing w:after="0" w:line="278" w:lineRule="auto"/>
        <w:rPr>
          <w:sz w:val="20"/>
          <w:szCs w:val="20"/>
          <w:color w:val="auto"/>
        </w:rPr>
      </w:pPr>
      <w:r>
        <w:rPr>
          <w:rFonts w:ascii="Arial" w:cs="Arial" w:eastAsia="Arial" w:hAnsi="Arial"/>
          <w:sz w:val="16"/>
          <w:szCs w:val="16"/>
          <w:color w:val="auto"/>
        </w:rPr>
        <w:t>PricewaterhouseCoopers LLP was previously approved and appointed by the Audit Committee as the Company’s independent registered public accounting firm for the year ended December 31, 2025. Baker Tilly US, LLP was previously approved and appointed by the Audit Committee as the Company’s independent registered public accounting firm for the year ended December 31, 2024.</w:t>
      </w:r>
    </w:p>
    <w:p>
      <w:pPr>
        <w:spacing w:after="0" w:line="62"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table presents fees for professional services rendered by PricewaterhouseCoopers LLP for 2025 and 2024:</w:t>
      </w:r>
    </w:p>
    <w:p>
      <w:pPr>
        <w:spacing w:after="0" w:line="182" w:lineRule="exact"/>
        <w:rPr>
          <w:sz w:val="20"/>
          <w:szCs w:val="20"/>
          <w:color w:val="auto"/>
        </w:rPr>
      </w:pPr>
    </w:p>
    <w:tbl>
      <w:tblPr>
        <w:tblLayout w:type="fixed"/>
        <w:tblInd w:w="2" w:type="dxa"/>
        <w:tblCellMar>
          <w:top w:w="0" w:type="dxa"/>
          <w:left w:w="0" w:type="dxa"/>
          <w:bottom w:w="0" w:type="dxa"/>
          <w:right w:w="0" w:type="dxa"/>
        </w:tblCellMar>
      </w:tblPr>
      <w:tr>
        <w:trPr>
          <w:trHeight w:val="160"/>
        </w:trPr>
        <w:tc>
          <w:tcPr>
            <w:tcW w:w="57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180" w:type="dxa"/>
            <w:vAlign w:val="bottom"/>
          </w:tcPr>
          <w:p>
            <w:pPr>
              <w:jc w:val="right"/>
              <w:ind w:right="362"/>
              <w:spacing w:after="0"/>
              <w:rPr>
                <w:sz w:val="20"/>
                <w:szCs w:val="20"/>
                <w:color w:val="auto"/>
              </w:rPr>
            </w:pPr>
            <w:r>
              <w:rPr>
                <w:rFonts w:ascii="Arial" w:cs="Arial" w:eastAsia="Arial" w:hAnsi="Arial"/>
                <w:sz w:val="13"/>
                <w:szCs w:val="13"/>
                <w:b w:val="1"/>
                <w:bCs w:val="1"/>
                <w:color w:val="191769"/>
              </w:rPr>
              <w:t>2025</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b w:val="1"/>
                <w:bCs w:val="1"/>
                <w:color w:val="191769"/>
              </w:rPr>
              <w:t>2024</w:t>
            </w:r>
          </w:p>
        </w:tc>
      </w:tr>
      <w:tr>
        <w:trPr>
          <w:trHeight w:val="186"/>
        </w:trPr>
        <w:tc>
          <w:tcPr>
            <w:tcW w:w="5720" w:type="dxa"/>
            <w:vAlign w:val="bottom"/>
            <w:tcBorders>
              <w:bottom w:val="single" w:sz="8" w:color="00AEEF"/>
            </w:tcBorders>
          </w:tcPr>
          <w:p>
            <w:pPr>
              <w:spacing w:after="0"/>
              <w:rPr>
                <w:sz w:val="16"/>
                <w:szCs w:val="16"/>
                <w:color w:val="auto"/>
              </w:rPr>
            </w:pPr>
          </w:p>
        </w:tc>
        <w:tc>
          <w:tcPr>
            <w:tcW w:w="3360" w:type="dxa"/>
            <w:vAlign w:val="bottom"/>
            <w:tcBorders>
              <w:bottom w:val="single" w:sz="8" w:color="00AEEF"/>
            </w:tcBorders>
          </w:tcPr>
          <w:p>
            <w:pPr>
              <w:spacing w:after="0"/>
              <w:rPr>
                <w:sz w:val="16"/>
                <w:szCs w:val="16"/>
                <w:color w:val="auto"/>
              </w:rPr>
            </w:pPr>
          </w:p>
        </w:tc>
        <w:tc>
          <w:tcPr>
            <w:tcW w:w="1180" w:type="dxa"/>
            <w:vAlign w:val="bottom"/>
            <w:tcBorders>
              <w:bottom w:val="single" w:sz="8" w:color="00AEEF"/>
            </w:tcBorders>
          </w:tcPr>
          <w:p>
            <w:pPr>
              <w:jc w:val="right"/>
              <w:ind w:right="362"/>
              <w:spacing w:after="0"/>
              <w:rPr>
                <w:sz w:val="20"/>
                <w:szCs w:val="20"/>
                <w:color w:val="auto"/>
              </w:rPr>
            </w:pPr>
            <w:r>
              <w:rPr>
                <w:rFonts w:ascii="Arial" w:cs="Arial" w:eastAsia="Arial" w:hAnsi="Arial"/>
                <w:sz w:val="13"/>
                <w:szCs w:val="13"/>
                <w:b w:val="1"/>
                <w:bCs w:val="1"/>
                <w:color w:val="191769"/>
              </w:rPr>
              <w:t>($)</w:t>
            </w:r>
          </w:p>
        </w:tc>
        <w:tc>
          <w:tcPr>
            <w:tcW w:w="620" w:type="dxa"/>
            <w:vAlign w:val="bottom"/>
            <w:tcBorders>
              <w:bottom w:val="single" w:sz="8" w:color="00AEEF"/>
            </w:tcBorders>
          </w:tcPr>
          <w:p>
            <w:pPr>
              <w:spacing w:after="0"/>
              <w:rPr>
                <w:sz w:val="16"/>
                <w:szCs w:val="16"/>
                <w:color w:val="auto"/>
              </w:rPr>
            </w:pPr>
          </w:p>
        </w:tc>
        <w:tc>
          <w:tcPr>
            <w:tcW w:w="360" w:type="dxa"/>
            <w:vAlign w:val="bottom"/>
            <w:tcBorders>
              <w:bottom w:val="single" w:sz="8" w:color="00AEEF"/>
            </w:tcBorders>
          </w:tcPr>
          <w:p>
            <w:pPr>
              <w:jc w:val="right"/>
              <w:spacing w:after="0"/>
              <w:rPr>
                <w:sz w:val="20"/>
                <w:szCs w:val="20"/>
                <w:color w:val="auto"/>
              </w:rPr>
            </w:pPr>
            <w:r>
              <w:rPr>
                <w:rFonts w:ascii="Arial" w:cs="Arial" w:eastAsia="Arial" w:hAnsi="Arial"/>
                <w:sz w:val="13"/>
                <w:szCs w:val="13"/>
                <w:b w:val="1"/>
                <w:bCs w:val="1"/>
                <w:color w:val="191769"/>
              </w:rPr>
              <w:t>($)</w:t>
            </w:r>
          </w:p>
        </w:tc>
      </w:tr>
      <w:tr>
        <w:trPr>
          <w:trHeight w:val="245"/>
        </w:trPr>
        <w:tc>
          <w:tcPr>
            <w:tcW w:w="5720" w:type="dxa"/>
            <w:vAlign w:val="bottom"/>
            <w:tcBorders>
              <w:bottom w:val="single" w:sz="8" w:color="D9D9D9"/>
            </w:tcBorders>
          </w:tcPr>
          <w:p>
            <w:pPr>
              <w:ind w:left="2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(a)</w:t>
            </w:r>
          </w:p>
        </w:tc>
        <w:tc>
          <w:tcPr>
            <w:tcW w:w="336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9D9D9"/>
            </w:tcBorders>
          </w:tcPr>
          <w:p>
            <w:pPr>
              <w:jc w:val="right"/>
              <w:ind w:right="422"/>
              <w:spacing w:after="0"/>
              <w:rPr>
                <w:sz w:val="20"/>
                <w:szCs w:val="20"/>
                <w:color w:val="auto"/>
              </w:rPr>
            </w:pPr>
            <w:r>
              <w:rPr>
                <w:rFonts w:ascii="Arial" w:cs="Arial" w:eastAsia="Arial" w:hAnsi="Arial"/>
                <w:sz w:val="16"/>
                <w:szCs w:val="16"/>
                <w:color w:val="auto"/>
              </w:rPr>
              <w:t>854,273</w:t>
            </w:r>
          </w:p>
        </w:tc>
        <w:tc>
          <w:tcPr>
            <w:tcW w:w="62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720" w:type="dxa"/>
            <w:vAlign w:val="bottom"/>
          </w:tcPr>
          <w:p>
            <w:pPr>
              <w:ind w:left="20"/>
              <w:spacing w:after="0"/>
              <w:rPr>
                <w:sz w:val="20"/>
                <w:szCs w:val="20"/>
                <w:color w:val="auto"/>
              </w:rPr>
            </w:pPr>
            <w:r>
              <w:rPr>
                <w:rFonts w:ascii="Arial" w:cs="Arial" w:eastAsia="Arial" w:hAnsi="Arial"/>
                <w:sz w:val="16"/>
                <w:szCs w:val="16"/>
                <w:color w:val="auto"/>
              </w:rPr>
              <w:t>Audit-Related Fees</w:t>
            </w:r>
          </w:p>
        </w:tc>
        <w:tc>
          <w:tcPr>
            <w:tcW w:w="3360" w:type="dxa"/>
            <w:vAlign w:val="bottom"/>
          </w:tcPr>
          <w:p>
            <w:pPr>
              <w:spacing w:after="0"/>
              <w:rPr>
                <w:sz w:val="18"/>
                <w:szCs w:val="18"/>
                <w:color w:val="auto"/>
              </w:rPr>
            </w:pPr>
          </w:p>
        </w:tc>
        <w:tc>
          <w:tcPr>
            <w:tcW w:w="118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
        </w:trPr>
        <w:tc>
          <w:tcPr>
            <w:tcW w:w="5720" w:type="dxa"/>
            <w:vAlign w:val="bottom"/>
            <w:tcBorders>
              <w:bottom w:val="single" w:sz="8" w:color="D9D9D9"/>
            </w:tcBorders>
          </w:tcPr>
          <w:p>
            <w:pPr>
              <w:spacing w:after="0" w:line="20" w:lineRule="exact"/>
              <w:rPr>
                <w:sz w:val="1"/>
                <w:szCs w:val="1"/>
                <w:color w:val="auto"/>
              </w:rPr>
            </w:pPr>
          </w:p>
        </w:tc>
        <w:tc>
          <w:tcPr>
            <w:tcW w:w="3360" w:type="dxa"/>
            <w:vAlign w:val="bottom"/>
            <w:tcBorders>
              <w:bottom w:val="single" w:sz="8" w:color="D9D9D9"/>
            </w:tcBorders>
          </w:tcPr>
          <w:p>
            <w:pPr>
              <w:spacing w:after="0" w:line="20" w:lineRule="exact"/>
              <w:rPr>
                <w:sz w:val="1"/>
                <w:szCs w:val="1"/>
                <w:color w:val="auto"/>
              </w:rPr>
            </w:pPr>
          </w:p>
        </w:tc>
        <w:tc>
          <w:tcPr>
            <w:tcW w:w="1180" w:type="dxa"/>
            <w:vAlign w:val="bottom"/>
            <w:tcBorders>
              <w:bottom w:val="single" w:sz="8" w:color="D9D9D9"/>
            </w:tcBorders>
          </w:tcPr>
          <w:p>
            <w:pPr>
              <w:spacing w:after="0" w:line="20" w:lineRule="exact"/>
              <w:rPr>
                <w:sz w:val="1"/>
                <w:szCs w:val="1"/>
                <w:color w:val="auto"/>
              </w:rPr>
            </w:pPr>
          </w:p>
        </w:tc>
        <w:tc>
          <w:tcPr>
            <w:tcW w:w="620" w:type="dxa"/>
            <w:vAlign w:val="bottom"/>
            <w:tcBorders>
              <w:bottom w:val="single" w:sz="8" w:color="D9D9D9"/>
            </w:tcBorders>
          </w:tcPr>
          <w:p>
            <w:pPr>
              <w:spacing w:after="0" w:line="20" w:lineRule="exact"/>
              <w:rPr>
                <w:sz w:val="1"/>
                <w:szCs w:val="1"/>
                <w:color w:val="auto"/>
              </w:rPr>
            </w:pPr>
          </w:p>
        </w:tc>
        <w:tc>
          <w:tcPr>
            <w:tcW w:w="360" w:type="dxa"/>
            <w:vAlign w:val="bottom"/>
            <w:tcBorders>
              <w:bottom w:val="single" w:sz="8" w:color="D9D9D9"/>
            </w:tcBorders>
          </w:tcPr>
          <w:p>
            <w:pPr>
              <w:spacing w:after="0" w:line="20" w:lineRule="exact"/>
              <w:rPr>
                <w:sz w:val="1"/>
                <w:szCs w:val="1"/>
                <w:color w:val="auto"/>
              </w:rPr>
            </w:pPr>
          </w:p>
        </w:tc>
      </w:tr>
      <w:tr>
        <w:trPr>
          <w:trHeight w:val="217"/>
        </w:trPr>
        <w:tc>
          <w:tcPr>
            <w:tcW w:w="5720" w:type="dxa"/>
            <w:vAlign w:val="bottom"/>
          </w:tcPr>
          <w:p>
            <w:pPr>
              <w:ind w:left="20"/>
              <w:spacing w:after="0"/>
              <w:rPr>
                <w:sz w:val="20"/>
                <w:szCs w:val="20"/>
                <w:color w:val="auto"/>
              </w:rPr>
            </w:pPr>
            <w:r>
              <w:rPr>
                <w:rFonts w:ascii="Arial" w:cs="Arial" w:eastAsia="Arial" w:hAnsi="Arial"/>
                <w:sz w:val="16"/>
                <w:szCs w:val="16"/>
                <w:color w:val="auto"/>
              </w:rPr>
              <w:t>Total Audit and Audit-Related Fees</w:t>
            </w:r>
          </w:p>
        </w:tc>
        <w:tc>
          <w:tcPr>
            <w:tcW w:w="3360" w:type="dxa"/>
            <w:vAlign w:val="bottom"/>
          </w:tcPr>
          <w:p>
            <w:pPr>
              <w:spacing w:after="0"/>
              <w:rPr>
                <w:sz w:val="18"/>
                <w:szCs w:val="18"/>
                <w:color w:val="auto"/>
              </w:rPr>
            </w:pPr>
          </w:p>
        </w:tc>
        <w:tc>
          <w:tcPr>
            <w:tcW w:w="1180" w:type="dxa"/>
            <w:vAlign w:val="bottom"/>
          </w:tcPr>
          <w:p>
            <w:pPr>
              <w:jc w:val="right"/>
              <w:ind w:right="422"/>
              <w:spacing w:after="0"/>
              <w:rPr>
                <w:sz w:val="20"/>
                <w:szCs w:val="20"/>
                <w:color w:val="auto"/>
              </w:rPr>
            </w:pPr>
            <w:r>
              <w:rPr>
                <w:rFonts w:ascii="Arial" w:cs="Arial" w:eastAsia="Arial" w:hAnsi="Arial"/>
                <w:sz w:val="16"/>
                <w:szCs w:val="16"/>
                <w:color w:val="auto"/>
              </w:rPr>
              <w:t>854,273</w:t>
            </w:r>
          </w:p>
        </w:tc>
        <w:tc>
          <w:tcPr>
            <w:tcW w:w="6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
        </w:trPr>
        <w:tc>
          <w:tcPr>
            <w:tcW w:w="5720" w:type="dxa"/>
            <w:vAlign w:val="bottom"/>
            <w:tcBorders>
              <w:bottom w:val="single" w:sz="8" w:color="D9D9D9"/>
            </w:tcBorders>
          </w:tcPr>
          <w:p>
            <w:pPr>
              <w:spacing w:after="0" w:line="20" w:lineRule="exact"/>
              <w:rPr>
                <w:sz w:val="1"/>
                <w:szCs w:val="1"/>
                <w:color w:val="auto"/>
              </w:rPr>
            </w:pPr>
          </w:p>
        </w:tc>
        <w:tc>
          <w:tcPr>
            <w:tcW w:w="3360" w:type="dxa"/>
            <w:vAlign w:val="bottom"/>
            <w:tcBorders>
              <w:bottom w:val="single" w:sz="8" w:color="D9D9D9"/>
            </w:tcBorders>
          </w:tcPr>
          <w:p>
            <w:pPr>
              <w:spacing w:after="0" w:line="20" w:lineRule="exact"/>
              <w:rPr>
                <w:sz w:val="1"/>
                <w:szCs w:val="1"/>
                <w:color w:val="auto"/>
              </w:rPr>
            </w:pPr>
          </w:p>
        </w:tc>
        <w:tc>
          <w:tcPr>
            <w:tcW w:w="1180" w:type="dxa"/>
            <w:vAlign w:val="bottom"/>
            <w:tcBorders>
              <w:bottom w:val="single" w:sz="8" w:color="D9D9D9"/>
            </w:tcBorders>
          </w:tcPr>
          <w:p>
            <w:pPr>
              <w:spacing w:after="0" w:line="20" w:lineRule="exact"/>
              <w:rPr>
                <w:sz w:val="1"/>
                <w:szCs w:val="1"/>
                <w:color w:val="auto"/>
              </w:rPr>
            </w:pPr>
          </w:p>
        </w:tc>
        <w:tc>
          <w:tcPr>
            <w:tcW w:w="620" w:type="dxa"/>
            <w:vAlign w:val="bottom"/>
            <w:tcBorders>
              <w:bottom w:val="single" w:sz="8" w:color="D9D9D9"/>
            </w:tcBorders>
          </w:tcPr>
          <w:p>
            <w:pPr>
              <w:spacing w:after="0" w:line="20" w:lineRule="exact"/>
              <w:rPr>
                <w:sz w:val="1"/>
                <w:szCs w:val="1"/>
                <w:color w:val="auto"/>
              </w:rPr>
            </w:pPr>
          </w:p>
        </w:tc>
        <w:tc>
          <w:tcPr>
            <w:tcW w:w="360" w:type="dxa"/>
            <w:vAlign w:val="bottom"/>
            <w:tcBorders>
              <w:bottom w:val="single" w:sz="8" w:color="D9D9D9"/>
            </w:tcBorders>
          </w:tcPr>
          <w:p>
            <w:pPr>
              <w:spacing w:after="0" w:line="20" w:lineRule="exact"/>
              <w:rPr>
                <w:sz w:val="1"/>
                <w:szCs w:val="1"/>
                <w:color w:val="auto"/>
              </w:rPr>
            </w:pPr>
          </w:p>
        </w:tc>
      </w:tr>
      <w:tr>
        <w:trPr>
          <w:trHeight w:val="217"/>
        </w:trPr>
        <w:tc>
          <w:tcPr>
            <w:tcW w:w="5720" w:type="dxa"/>
            <w:vAlign w:val="bottom"/>
          </w:tcPr>
          <w:p>
            <w:pPr>
              <w:ind w:left="20"/>
              <w:spacing w:after="0"/>
              <w:rPr>
                <w:sz w:val="20"/>
                <w:szCs w:val="20"/>
                <w:color w:val="auto"/>
              </w:rPr>
            </w:pPr>
            <w:r>
              <w:rPr>
                <w:rFonts w:ascii="Arial" w:cs="Arial" w:eastAsia="Arial" w:hAnsi="Arial"/>
                <w:sz w:val="16"/>
                <w:szCs w:val="16"/>
                <w:color w:val="auto"/>
              </w:rPr>
              <w:t>Tax Fees</w:t>
            </w:r>
          </w:p>
        </w:tc>
        <w:tc>
          <w:tcPr>
            <w:tcW w:w="3360" w:type="dxa"/>
            <w:vAlign w:val="bottom"/>
          </w:tcPr>
          <w:p>
            <w:pPr>
              <w:spacing w:after="0"/>
              <w:rPr>
                <w:sz w:val="18"/>
                <w:szCs w:val="18"/>
                <w:color w:val="auto"/>
              </w:rPr>
            </w:pPr>
          </w:p>
        </w:tc>
        <w:tc>
          <w:tcPr>
            <w:tcW w:w="118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
        </w:trPr>
        <w:tc>
          <w:tcPr>
            <w:tcW w:w="5720" w:type="dxa"/>
            <w:vAlign w:val="bottom"/>
            <w:tcBorders>
              <w:bottom w:val="single" w:sz="8" w:color="D9D9D9"/>
            </w:tcBorders>
          </w:tcPr>
          <w:p>
            <w:pPr>
              <w:spacing w:after="0" w:line="20" w:lineRule="exact"/>
              <w:rPr>
                <w:sz w:val="1"/>
                <w:szCs w:val="1"/>
                <w:color w:val="auto"/>
              </w:rPr>
            </w:pPr>
          </w:p>
        </w:tc>
        <w:tc>
          <w:tcPr>
            <w:tcW w:w="3360" w:type="dxa"/>
            <w:vAlign w:val="bottom"/>
            <w:tcBorders>
              <w:bottom w:val="single" w:sz="8" w:color="D9D9D9"/>
            </w:tcBorders>
          </w:tcPr>
          <w:p>
            <w:pPr>
              <w:spacing w:after="0" w:line="20" w:lineRule="exact"/>
              <w:rPr>
                <w:sz w:val="1"/>
                <w:szCs w:val="1"/>
                <w:color w:val="auto"/>
              </w:rPr>
            </w:pPr>
          </w:p>
        </w:tc>
        <w:tc>
          <w:tcPr>
            <w:tcW w:w="1180" w:type="dxa"/>
            <w:vAlign w:val="bottom"/>
            <w:tcBorders>
              <w:bottom w:val="single" w:sz="8" w:color="D9D9D9"/>
            </w:tcBorders>
          </w:tcPr>
          <w:p>
            <w:pPr>
              <w:spacing w:after="0" w:line="20" w:lineRule="exact"/>
              <w:rPr>
                <w:sz w:val="1"/>
                <w:szCs w:val="1"/>
                <w:color w:val="auto"/>
              </w:rPr>
            </w:pPr>
          </w:p>
        </w:tc>
        <w:tc>
          <w:tcPr>
            <w:tcW w:w="620" w:type="dxa"/>
            <w:vAlign w:val="bottom"/>
            <w:tcBorders>
              <w:bottom w:val="single" w:sz="8" w:color="D9D9D9"/>
            </w:tcBorders>
          </w:tcPr>
          <w:p>
            <w:pPr>
              <w:spacing w:after="0" w:line="20" w:lineRule="exact"/>
              <w:rPr>
                <w:sz w:val="1"/>
                <w:szCs w:val="1"/>
                <w:color w:val="auto"/>
              </w:rPr>
            </w:pPr>
          </w:p>
        </w:tc>
        <w:tc>
          <w:tcPr>
            <w:tcW w:w="360" w:type="dxa"/>
            <w:vAlign w:val="bottom"/>
            <w:tcBorders>
              <w:bottom w:val="single" w:sz="8" w:color="D9D9D9"/>
            </w:tcBorders>
          </w:tcPr>
          <w:p>
            <w:pPr>
              <w:spacing w:after="0" w:line="20" w:lineRule="exact"/>
              <w:rPr>
                <w:sz w:val="1"/>
                <w:szCs w:val="1"/>
                <w:color w:val="auto"/>
              </w:rPr>
            </w:pPr>
          </w:p>
        </w:tc>
      </w:tr>
      <w:tr>
        <w:trPr>
          <w:trHeight w:val="239"/>
        </w:trPr>
        <w:tc>
          <w:tcPr>
            <w:tcW w:w="5720" w:type="dxa"/>
            <w:vAlign w:val="bottom"/>
            <w:tcBorders>
              <w:bottom w:val="single" w:sz="8" w:color="D9D9D9"/>
            </w:tcBorders>
          </w:tcPr>
          <w:p>
            <w:pPr>
              <w:ind w:left="20"/>
              <w:spacing w:after="0" w:line="239" w:lineRule="exact"/>
              <w:rPr>
                <w:sz w:val="20"/>
                <w:szCs w:val="20"/>
                <w:color w:val="auto"/>
              </w:rPr>
            </w:pPr>
            <w:r>
              <w:rPr>
                <w:rFonts w:ascii="Arial" w:cs="Arial" w:eastAsia="Arial" w:hAnsi="Arial"/>
                <w:sz w:val="16"/>
                <w:szCs w:val="16"/>
                <w:color w:val="auto"/>
              </w:rPr>
              <w:t>All Other Fees</w:t>
            </w:r>
            <w:r>
              <w:rPr>
                <w:rFonts w:ascii="Arial" w:cs="Arial" w:eastAsia="Arial" w:hAnsi="Arial"/>
                <w:sz w:val="21"/>
                <w:szCs w:val="21"/>
                <w:color w:val="auto"/>
                <w:vertAlign w:val="superscript"/>
              </w:rPr>
              <w:t>(b)</w:t>
            </w:r>
          </w:p>
        </w:tc>
        <w:tc>
          <w:tcPr>
            <w:tcW w:w="3360" w:type="dxa"/>
            <w:vAlign w:val="bottom"/>
            <w:tcBorders>
              <w:bottom w:val="single" w:sz="8" w:color="D9D9D9"/>
            </w:tcBorders>
          </w:tcPr>
          <w:p>
            <w:pPr>
              <w:spacing w:after="0"/>
              <w:rPr>
                <w:sz w:val="20"/>
                <w:szCs w:val="20"/>
                <w:color w:val="auto"/>
              </w:rPr>
            </w:pPr>
          </w:p>
        </w:tc>
        <w:tc>
          <w:tcPr>
            <w:tcW w:w="1180" w:type="dxa"/>
            <w:vAlign w:val="bottom"/>
            <w:tcBorders>
              <w:bottom w:val="single" w:sz="8" w:color="D9D9D9"/>
            </w:tcBorders>
          </w:tcPr>
          <w:p>
            <w:pPr>
              <w:jc w:val="right"/>
              <w:ind w:right="422"/>
              <w:spacing w:after="0"/>
              <w:rPr>
                <w:sz w:val="20"/>
                <w:szCs w:val="20"/>
                <w:color w:val="auto"/>
              </w:rPr>
            </w:pPr>
            <w:r>
              <w:rPr>
                <w:rFonts w:ascii="Arial" w:cs="Arial" w:eastAsia="Arial" w:hAnsi="Arial"/>
                <w:sz w:val="16"/>
                <w:szCs w:val="16"/>
                <w:color w:val="auto"/>
              </w:rPr>
              <w:t>2,000</w:t>
            </w:r>
          </w:p>
        </w:tc>
        <w:tc>
          <w:tcPr>
            <w:tcW w:w="620" w:type="dxa"/>
            <w:vAlign w:val="bottom"/>
            <w:tcBorders>
              <w:bottom w:val="single" w:sz="8" w:color="D9D9D9"/>
            </w:tcBorders>
          </w:tcPr>
          <w:p>
            <w:pPr>
              <w:spacing w:after="0"/>
              <w:rPr>
                <w:sz w:val="20"/>
                <w:szCs w:val="20"/>
                <w:color w:val="auto"/>
              </w:rPr>
            </w:pPr>
          </w:p>
        </w:tc>
        <w:tc>
          <w:tcPr>
            <w:tcW w:w="36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720" w:type="dxa"/>
            <w:vAlign w:val="bottom"/>
          </w:tcPr>
          <w:p>
            <w:pPr>
              <w:ind w:left="20"/>
              <w:spacing w:after="0"/>
              <w:rPr>
                <w:sz w:val="20"/>
                <w:szCs w:val="20"/>
                <w:color w:val="auto"/>
              </w:rPr>
            </w:pPr>
            <w:r>
              <w:rPr>
                <w:rFonts w:ascii="Arial" w:cs="Arial" w:eastAsia="Arial" w:hAnsi="Arial"/>
                <w:sz w:val="16"/>
                <w:szCs w:val="16"/>
                <w:color w:val="auto"/>
              </w:rPr>
              <w:t>Total Fees</w:t>
            </w:r>
          </w:p>
        </w:tc>
        <w:tc>
          <w:tcPr>
            <w:tcW w:w="33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22"/>
              <w:spacing w:after="0"/>
              <w:rPr>
                <w:sz w:val="20"/>
                <w:szCs w:val="20"/>
                <w:color w:val="auto"/>
              </w:rPr>
            </w:pPr>
            <w:r>
              <w:rPr>
                <w:rFonts w:ascii="Arial" w:cs="Arial" w:eastAsia="Arial" w:hAnsi="Arial"/>
                <w:sz w:val="16"/>
                <w:szCs w:val="16"/>
                <w:color w:val="auto"/>
              </w:rPr>
              <w:t>856,273</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
        </w:trPr>
        <w:tc>
          <w:tcPr>
            <w:tcW w:w="5720" w:type="dxa"/>
            <w:vAlign w:val="bottom"/>
            <w:tcBorders>
              <w:bottom w:val="single" w:sz="8" w:color="00AEEF"/>
            </w:tcBorders>
          </w:tcPr>
          <w:p>
            <w:pPr>
              <w:spacing w:after="0" w:line="20" w:lineRule="exact"/>
              <w:rPr>
                <w:sz w:val="1"/>
                <w:szCs w:val="1"/>
                <w:color w:val="auto"/>
              </w:rPr>
            </w:pPr>
          </w:p>
        </w:tc>
        <w:tc>
          <w:tcPr>
            <w:tcW w:w="3360" w:type="dxa"/>
            <w:vAlign w:val="bottom"/>
            <w:tcBorders>
              <w:bottom w:val="single" w:sz="8" w:color="00AEEF"/>
            </w:tcBorders>
          </w:tcPr>
          <w:p>
            <w:pPr>
              <w:spacing w:after="0" w:line="20" w:lineRule="exact"/>
              <w:rPr>
                <w:sz w:val="1"/>
                <w:szCs w:val="1"/>
                <w:color w:val="auto"/>
              </w:rPr>
            </w:pPr>
          </w:p>
        </w:tc>
        <w:tc>
          <w:tcPr>
            <w:tcW w:w="1180" w:type="dxa"/>
            <w:vAlign w:val="bottom"/>
            <w:tcBorders>
              <w:bottom w:val="single" w:sz="8" w:color="00AEEF"/>
            </w:tcBorders>
          </w:tcPr>
          <w:p>
            <w:pPr>
              <w:spacing w:after="0" w:line="20" w:lineRule="exact"/>
              <w:rPr>
                <w:sz w:val="1"/>
                <w:szCs w:val="1"/>
                <w:color w:val="auto"/>
              </w:rPr>
            </w:pPr>
          </w:p>
        </w:tc>
        <w:tc>
          <w:tcPr>
            <w:tcW w:w="620" w:type="dxa"/>
            <w:vAlign w:val="bottom"/>
            <w:tcBorders>
              <w:bottom w:val="single" w:sz="8" w:color="00AEEF"/>
            </w:tcBorders>
          </w:tcPr>
          <w:p>
            <w:pPr>
              <w:spacing w:after="0" w:line="20" w:lineRule="exact"/>
              <w:rPr>
                <w:sz w:val="1"/>
                <w:szCs w:val="1"/>
                <w:color w:val="auto"/>
              </w:rPr>
            </w:pPr>
          </w:p>
        </w:tc>
        <w:tc>
          <w:tcPr>
            <w:tcW w:w="360" w:type="dxa"/>
            <w:vAlign w:val="bottom"/>
            <w:tcBorders>
              <w:bottom w:val="single" w:sz="8" w:color="00AEEF"/>
            </w:tcBorders>
          </w:tcPr>
          <w:p>
            <w:pPr>
              <w:spacing w:after="0" w:line="20" w:lineRule="exact"/>
              <w:rPr>
                <w:sz w:val="1"/>
                <w:szCs w:val="1"/>
                <w:color w:val="auto"/>
              </w:rPr>
            </w:pPr>
          </w:p>
        </w:tc>
      </w:tr>
    </w:tbl>
    <w:p>
      <w:pPr>
        <w:spacing w:after="0" w:line="140" w:lineRule="exact"/>
        <w:rPr>
          <w:sz w:val="20"/>
          <w:szCs w:val="20"/>
          <w:color w:val="auto"/>
        </w:rPr>
      </w:pPr>
    </w:p>
    <w:p>
      <w:pPr>
        <w:ind w:left="242" w:right="40" w:hanging="242"/>
        <w:spacing w:after="0" w:line="222" w:lineRule="auto"/>
        <w:tabs>
          <w:tab w:leader="none" w:pos="253" w:val="left"/>
        </w:tabs>
        <w:numPr>
          <w:ilvl w:val="0"/>
          <w:numId w:val="81"/>
        </w:numPr>
        <w:rPr>
          <w:rFonts w:ascii="Arial" w:cs="Arial" w:eastAsia="Arial" w:hAnsi="Arial"/>
          <w:sz w:val="17"/>
          <w:szCs w:val="17"/>
          <w:color w:val="auto"/>
          <w:vertAlign w:val="superscript"/>
        </w:rPr>
      </w:pPr>
      <w:r>
        <w:rPr>
          <w:rFonts w:ascii="Arial" w:cs="Arial" w:eastAsia="Arial" w:hAnsi="Arial"/>
          <w:sz w:val="13"/>
          <w:szCs w:val="13"/>
          <w:color w:val="auto"/>
        </w:rPr>
        <w:t>Audit fees were incurred for the audit of the financial statements and internal control over financial reporting of the Company, audit of the financial statements of a subsidiary of the Company, reviews of the financial statements included in the Company’s quarterly reports on Form 10-Q and comfort letter procedures.</w:t>
      </w:r>
    </w:p>
    <w:p>
      <w:pPr>
        <w:spacing w:after="0" w:line="27" w:lineRule="exact"/>
        <w:rPr>
          <w:rFonts w:ascii="Arial" w:cs="Arial" w:eastAsia="Arial" w:hAnsi="Arial"/>
          <w:sz w:val="17"/>
          <w:szCs w:val="17"/>
          <w:color w:val="auto"/>
          <w:vertAlign w:val="superscript"/>
        </w:rPr>
      </w:pPr>
    </w:p>
    <w:p>
      <w:pPr>
        <w:ind w:left="242" w:hanging="242"/>
        <w:spacing w:after="0"/>
        <w:tabs>
          <w:tab w:leader="none" w:pos="242" w:val="left"/>
        </w:tabs>
        <w:numPr>
          <w:ilvl w:val="0"/>
          <w:numId w:val="81"/>
        </w:numPr>
        <w:rPr>
          <w:rFonts w:ascii="Arial" w:cs="Arial" w:eastAsia="Arial" w:hAnsi="Arial"/>
          <w:sz w:val="17"/>
          <w:szCs w:val="17"/>
          <w:color w:val="auto"/>
          <w:vertAlign w:val="superscript"/>
        </w:rPr>
      </w:pPr>
      <w:r>
        <w:rPr>
          <w:rFonts w:ascii="Arial" w:cs="Arial" w:eastAsia="Arial" w:hAnsi="Arial"/>
          <w:sz w:val="13"/>
          <w:szCs w:val="13"/>
          <w:color w:val="auto"/>
        </w:rPr>
        <w:t>License for accounting and reporting checklist software.</w:t>
      </w:r>
    </w:p>
    <w:p>
      <w:pPr>
        <w:spacing w:after="0" w:line="101" w:lineRule="exact"/>
        <w:rPr>
          <w:sz w:val="20"/>
          <w:szCs w:val="20"/>
          <w:color w:val="auto"/>
        </w:rPr>
      </w:pPr>
    </w:p>
    <w:p>
      <w:pPr>
        <w:ind w:left="2" w:right="200"/>
        <w:spacing w:after="0" w:line="299" w:lineRule="auto"/>
        <w:rPr>
          <w:sz w:val="20"/>
          <w:szCs w:val="20"/>
          <w:color w:val="auto"/>
        </w:rPr>
      </w:pPr>
      <w:r>
        <w:rPr>
          <w:rFonts w:ascii="Arial" w:cs="Arial" w:eastAsia="Arial" w:hAnsi="Arial"/>
          <w:sz w:val="16"/>
          <w:szCs w:val="16"/>
          <w:color w:val="auto"/>
        </w:rPr>
        <w:t>The following table presents fees for professional services rendered by our former independent registered public accounting firm, Baker Tilly US, LLP for 2025 and 2024:</w:t>
      </w:r>
    </w:p>
    <w:p>
      <w:pPr>
        <w:spacing w:after="0" w:line="43" w:lineRule="exact"/>
        <w:rPr>
          <w:sz w:val="20"/>
          <w:szCs w:val="20"/>
          <w:color w:val="auto"/>
        </w:rPr>
      </w:pPr>
    </w:p>
    <w:tbl>
      <w:tblPr>
        <w:tblLayout w:type="fixed"/>
        <w:tblInd w:w="2" w:type="dxa"/>
        <w:tblCellMar>
          <w:top w:w="0" w:type="dxa"/>
          <w:left w:w="0" w:type="dxa"/>
          <w:bottom w:w="0" w:type="dxa"/>
          <w:right w:w="0" w:type="dxa"/>
        </w:tblCellMar>
      </w:tblPr>
      <w:tr>
        <w:trPr>
          <w:trHeight w:val="160"/>
        </w:trPr>
        <w:tc>
          <w:tcPr>
            <w:tcW w:w="55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200" w:type="dxa"/>
            <w:vAlign w:val="bottom"/>
          </w:tcPr>
          <w:p>
            <w:pPr>
              <w:jc w:val="right"/>
              <w:ind w:right="382"/>
              <w:spacing w:after="0"/>
              <w:rPr>
                <w:sz w:val="20"/>
                <w:szCs w:val="20"/>
                <w:color w:val="auto"/>
              </w:rPr>
            </w:pPr>
            <w:r>
              <w:rPr>
                <w:rFonts w:ascii="Arial" w:cs="Arial" w:eastAsia="Arial" w:hAnsi="Arial"/>
                <w:sz w:val="13"/>
                <w:szCs w:val="13"/>
                <w:b w:val="1"/>
                <w:bCs w:val="1"/>
                <w:color w:val="191769"/>
              </w:rPr>
              <w:t>2025</w:t>
            </w:r>
          </w:p>
        </w:tc>
        <w:tc>
          <w:tcPr>
            <w:tcW w:w="6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191769"/>
              </w:rPr>
              <w:t>2024</w:t>
            </w:r>
          </w:p>
        </w:tc>
      </w:tr>
      <w:tr>
        <w:trPr>
          <w:trHeight w:val="186"/>
        </w:trPr>
        <w:tc>
          <w:tcPr>
            <w:tcW w:w="5520" w:type="dxa"/>
            <w:vAlign w:val="bottom"/>
            <w:tcBorders>
              <w:bottom w:val="single" w:sz="8" w:color="00AEEF"/>
            </w:tcBorders>
          </w:tcPr>
          <w:p>
            <w:pPr>
              <w:spacing w:after="0"/>
              <w:rPr>
                <w:sz w:val="16"/>
                <w:szCs w:val="16"/>
                <w:color w:val="auto"/>
              </w:rPr>
            </w:pPr>
          </w:p>
        </w:tc>
        <w:tc>
          <w:tcPr>
            <w:tcW w:w="3160" w:type="dxa"/>
            <w:vAlign w:val="bottom"/>
            <w:tcBorders>
              <w:bottom w:val="single" w:sz="8" w:color="00AEEF"/>
            </w:tcBorders>
          </w:tcPr>
          <w:p>
            <w:pPr>
              <w:spacing w:after="0"/>
              <w:rPr>
                <w:sz w:val="16"/>
                <w:szCs w:val="16"/>
                <w:color w:val="auto"/>
              </w:rPr>
            </w:pPr>
          </w:p>
        </w:tc>
        <w:tc>
          <w:tcPr>
            <w:tcW w:w="1200" w:type="dxa"/>
            <w:vAlign w:val="bottom"/>
            <w:tcBorders>
              <w:bottom w:val="single" w:sz="8" w:color="00AEEF"/>
            </w:tcBorders>
          </w:tcPr>
          <w:p>
            <w:pPr>
              <w:jc w:val="right"/>
              <w:ind w:right="382"/>
              <w:spacing w:after="0"/>
              <w:rPr>
                <w:sz w:val="20"/>
                <w:szCs w:val="20"/>
                <w:color w:val="auto"/>
              </w:rPr>
            </w:pPr>
            <w:r>
              <w:rPr>
                <w:rFonts w:ascii="Arial" w:cs="Arial" w:eastAsia="Arial" w:hAnsi="Arial"/>
                <w:sz w:val="13"/>
                <w:szCs w:val="13"/>
                <w:b w:val="1"/>
                <w:bCs w:val="1"/>
                <w:color w:val="191769"/>
              </w:rPr>
              <w:t>($)</w:t>
            </w:r>
          </w:p>
        </w:tc>
        <w:tc>
          <w:tcPr>
            <w:tcW w:w="620" w:type="dxa"/>
            <w:vAlign w:val="bottom"/>
            <w:tcBorders>
              <w:bottom w:val="single" w:sz="8" w:color="00AEEF"/>
            </w:tcBorders>
          </w:tcPr>
          <w:p>
            <w:pPr>
              <w:spacing w:after="0"/>
              <w:rPr>
                <w:sz w:val="16"/>
                <w:szCs w:val="16"/>
                <w:color w:val="auto"/>
              </w:rPr>
            </w:pPr>
          </w:p>
        </w:tc>
        <w:tc>
          <w:tcPr>
            <w:tcW w:w="740" w:type="dxa"/>
            <w:vAlign w:val="bottom"/>
            <w:tcBorders>
              <w:bottom w:val="single" w:sz="8" w:color="00AEEF"/>
            </w:tcBorders>
          </w:tcPr>
          <w:p>
            <w:pPr>
              <w:jc w:val="right"/>
              <w:spacing w:after="0"/>
              <w:rPr>
                <w:sz w:val="20"/>
                <w:szCs w:val="20"/>
                <w:color w:val="auto"/>
              </w:rPr>
            </w:pPr>
            <w:r>
              <w:rPr>
                <w:rFonts w:ascii="Arial" w:cs="Arial" w:eastAsia="Arial" w:hAnsi="Arial"/>
                <w:sz w:val="13"/>
                <w:szCs w:val="13"/>
                <w:b w:val="1"/>
                <w:bCs w:val="1"/>
                <w:color w:val="191769"/>
              </w:rPr>
              <w:t>($)</w:t>
            </w:r>
          </w:p>
        </w:tc>
      </w:tr>
      <w:tr>
        <w:trPr>
          <w:trHeight w:val="245"/>
        </w:trPr>
        <w:tc>
          <w:tcPr>
            <w:tcW w:w="5520" w:type="dxa"/>
            <w:vAlign w:val="bottom"/>
            <w:tcBorders>
              <w:bottom w:val="single" w:sz="8" w:color="D9D9D9"/>
            </w:tcBorders>
          </w:tcPr>
          <w:p>
            <w:pPr>
              <w:ind w:left="2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(a)</w:t>
            </w:r>
          </w:p>
        </w:tc>
        <w:tc>
          <w:tcPr>
            <w:tcW w:w="316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D9D9D9"/>
            </w:tcBorders>
          </w:tcPr>
          <w:p>
            <w:pPr>
              <w:jc w:val="right"/>
              <w:ind w:right="42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D9D9D9"/>
            </w:tcBorders>
          </w:tcPr>
          <w:p>
            <w:pPr>
              <w:jc w:val="right"/>
              <w:ind w:right="18"/>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715,732</w:t>
            </w:r>
          </w:p>
        </w:tc>
      </w:tr>
      <w:tr>
        <w:trPr>
          <w:trHeight w:val="239"/>
        </w:trPr>
        <w:tc>
          <w:tcPr>
            <w:tcW w:w="5520" w:type="dxa"/>
            <w:vAlign w:val="bottom"/>
            <w:tcBorders>
              <w:bottom w:val="single" w:sz="8" w:color="D9D9D9"/>
            </w:tcBorders>
          </w:tcPr>
          <w:p>
            <w:pPr>
              <w:ind w:left="20"/>
              <w:spacing w:after="0" w:line="239" w:lineRule="exact"/>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(b)</w:t>
            </w:r>
          </w:p>
        </w:tc>
        <w:tc>
          <w:tcPr>
            <w:tcW w:w="3160" w:type="dxa"/>
            <w:vAlign w:val="bottom"/>
            <w:tcBorders>
              <w:bottom w:val="single" w:sz="8" w:color="D9D9D9"/>
            </w:tcBorders>
          </w:tcPr>
          <w:p>
            <w:pPr>
              <w:spacing w:after="0"/>
              <w:rPr>
                <w:sz w:val="20"/>
                <w:szCs w:val="20"/>
                <w:color w:val="auto"/>
              </w:rPr>
            </w:pPr>
          </w:p>
        </w:tc>
        <w:tc>
          <w:tcPr>
            <w:tcW w:w="1200" w:type="dxa"/>
            <w:vAlign w:val="bottom"/>
            <w:tcBorders>
              <w:bottom w:val="single" w:sz="8" w:color="D9D9D9"/>
            </w:tcBorders>
          </w:tcPr>
          <w:p>
            <w:pPr>
              <w:jc w:val="right"/>
              <w:ind w:right="442"/>
              <w:spacing w:after="0"/>
              <w:rPr>
                <w:sz w:val="20"/>
                <w:szCs w:val="20"/>
                <w:color w:val="auto"/>
              </w:rPr>
            </w:pPr>
            <w:r>
              <w:rPr>
                <w:rFonts w:ascii="Arial" w:cs="Arial" w:eastAsia="Arial" w:hAnsi="Arial"/>
                <w:sz w:val="16"/>
                <w:szCs w:val="16"/>
                <w:color w:val="auto"/>
              </w:rPr>
              <w:t>147,000</w:t>
            </w:r>
          </w:p>
        </w:tc>
        <w:tc>
          <w:tcPr>
            <w:tcW w:w="620" w:type="dxa"/>
            <w:vAlign w:val="bottom"/>
            <w:tcBorders>
              <w:bottom w:val="single" w:sz="8" w:color="D9D9D9"/>
            </w:tcBorders>
          </w:tcPr>
          <w:p>
            <w:pPr>
              <w:spacing w:after="0"/>
              <w:rPr>
                <w:sz w:val="20"/>
                <w:szCs w:val="20"/>
                <w:color w:val="auto"/>
              </w:rPr>
            </w:pPr>
          </w:p>
        </w:tc>
        <w:tc>
          <w:tcPr>
            <w:tcW w:w="74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520" w:type="dxa"/>
            <w:vAlign w:val="bottom"/>
          </w:tcPr>
          <w:p>
            <w:pPr>
              <w:ind w:left="20"/>
              <w:spacing w:after="0"/>
              <w:rPr>
                <w:sz w:val="20"/>
                <w:szCs w:val="20"/>
                <w:color w:val="auto"/>
              </w:rPr>
            </w:pPr>
            <w:r>
              <w:rPr>
                <w:rFonts w:ascii="Arial" w:cs="Arial" w:eastAsia="Arial" w:hAnsi="Arial"/>
                <w:sz w:val="16"/>
                <w:szCs w:val="16"/>
                <w:color w:val="auto"/>
              </w:rPr>
              <w:t>Total Audit and Audit-Related Fees</w:t>
            </w:r>
          </w:p>
        </w:tc>
        <w:tc>
          <w:tcPr>
            <w:tcW w:w="3160" w:type="dxa"/>
            <w:vAlign w:val="bottom"/>
          </w:tcPr>
          <w:p>
            <w:pPr>
              <w:spacing w:after="0"/>
              <w:rPr>
                <w:sz w:val="18"/>
                <w:szCs w:val="18"/>
                <w:color w:val="auto"/>
              </w:rPr>
            </w:pPr>
          </w:p>
        </w:tc>
        <w:tc>
          <w:tcPr>
            <w:tcW w:w="1200" w:type="dxa"/>
            <w:vAlign w:val="bottom"/>
          </w:tcPr>
          <w:p>
            <w:pPr>
              <w:jc w:val="right"/>
              <w:ind w:right="442"/>
              <w:spacing w:after="0"/>
              <w:rPr>
                <w:sz w:val="20"/>
                <w:szCs w:val="20"/>
                <w:color w:val="auto"/>
              </w:rPr>
            </w:pPr>
            <w:r>
              <w:rPr>
                <w:rFonts w:ascii="Arial" w:cs="Arial" w:eastAsia="Arial" w:hAnsi="Arial"/>
                <w:sz w:val="16"/>
                <w:szCs w:val="16"/>
                <w:color w:val="auto"/>
              </w:rPr>
              <w:t>147,000</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715,732</w:t>
            </w:r>
          </w:p>
        </w:tc>
      </w:tr>
      <w:tr>
        <w:trPr>
          <w:trHeight w:val="22"/>
        </w:trPr>
        <w:tc>
          <w:tcPr>
            <w:tcW w:w="5520" w:type="dxa"/>
            <w:vAlign w:val="bottom"/>
            <w:tcBorders>
              <w:bottom w:val="single" w:sz="8" w:color="D9D9D9"/>
            </w:tcBorders>
          </w:tcPr>
          <w:p>
            <w:pPr>
              <w:spacing w:after="0" w:line="20" w:lineRule="exact"/>
              <w:rPr>
                <w:sz w:val="1"/>
                <w:szCs w:val="1"/>
                <w:color w:val="auto"/>
              </w:rPr>
            </w:pPr>
          </w:p>
        </w:tc>
        <w:tc>
          <w:tcPr>
            <w:tcW w:w="3160" w:type="dxa"/>
            <w:vAlign w:val="bottom"/>
            <w:tcBorders>
              <w:bottom w:val="single" w:sz="8" w:color="D9D9D9"/>
            </w:tcBorders>
          </w:tcPr>
          <w:p>
            <w:pPr>
              <w:spacing w:after="0" w:line="20" w:lineRule="exact"/>
              <w:rPr>
                <w:sz w:val="1"/>
                <w:szCs w:val="1"/>
                <w:color w:val="auto"/>
              </w:rPr>
            </w:pPr>
          </w:p>
        </w:tc>
        <w:tc>
          <w:tcPr>
            <w:tcW w:w="1200" w:type="dxa"/>
            <w:vAlign w:val="bottom"/>
            <w:tcBorders>
              <w:bottom w:val="single" w:sz="8" w:color="D9D9D9"/>
            </w:tcBorders>
          </w:tcPr>
          <w:p>
            <w:pPr>
              <w:spacing w:after="0" w:line="20" w:lineRule="exact"/>
              <w:rPr>
                <w:sz w:val="1"/>
                <w:szCs w:val="1"/>
                <w:color w:val="auto"/>
              </w:rPr>
            </w:pPr>
          </w:p>
        </w:tc>
        <w:tc>
          <w:tcPr>
            <w:tcW w:w="620" w:type="dxa"/>
            <w:vAlign w:val="bottom"/>
            <w:tcBorders>
              <w:bottom w:val="single" w:sz="8" w:color="D9D9D9"/>
            </w:tcBorders>
          </w:tcPr>
          <w:p>
            <w:pPr>
              <w:spacing w:after="0" w:line="20" w:lineRule="exact"/>
              <w:rPr>
                <w:sz w:val="1"/>
                <w:szCs w:val="1"/>
                <w:color w:val="auto"/>
              </w:rPr>
            </w:pPr>
          </w:p>
        </w:tc>
        <w:tc>
          <w:tcPr>
            <w:tcW w:w="740" w:type="dxa"/>
            <w:vAlign w:val="bottom"/>
            <w:tcBorders>
              <w:bottom w:val="single" w:sz="8" w:color="D9D9D9"/>
            </w:tcBorders>
          </w:tcPr>
          <w:p>
            <w:pPr>
              <w:spacing w:after="0" w:line="20" w:lineRule="exact"/>
              <w:rPr>
                <w:sz w:val="1"/>
                <w:szCs w:val="1"/>
                <w:color w:val="auto"/>
              </w:rPr>
            </w:pPr>
          </w:p>
        </w:tc>
      </w:tr>
      <w:tr>
        <w:trPr>
          <w:trHeight w:val="239"/>
        </w:trPr>
        <w:tc>
          <w:tcPr>
            <w:tcW w:w="5520" w:type="dxa"/>
            <w:vAlign w:val="bottom"/>
            <w:tcBorders>
              <w:bottom w:val="single" w:sz="8" w:color="D9D9D9"/>
            </w:tcBorders>
          </w:tcPr>
          <w:p>
            <w:pPr>
              <w:ind w:left="20"/>
              <w:spacing w:after="0" w:line="239" w:lineRule="exact"/>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(c)</w:t>
            </w:r>
          </w:p>
        </w:tc>
        <w:tc>
          <w:tcPr>
            <w:tcW w:w="3160" w:type="dxa"/>
            <w:vAlign w:val="bottom"/>
            <w:tcBorders>
              <w:bottom w:val="single" w:sz="8" w:color="D9D9D9"/>
            </w:tcBorders>
          </w:tcPr>
          <w:p>
            <w:pPr>
              <w:spacing w:after="0"/>
              <w:rPr>
                <w:sz w:val="20"/>
                <w:szCs w:val="20"/>
                <w:color w:val="auto"/>
              </w:rPr>
            </w:pPr>
          </w:p>
        </w:tc>
        <w:tc>
          <w:tcPr>
            <w:tcW w:w="1200" w:type="dxa"/>
            <w:vAlign w:val="bottom"/>
            <w:tcBorders>
              <w:bottom w:val="single" w:sz="8" w:color="D9D9D9"/>
            </w:tcBorders>
          </w:tcPr>
          <w:p>
            <w:pPr>
              <w:jc w:val="right"/>
              <w:ind w:right="42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D9D9D9"/>
            </w:tcBorders>
          </w:tcPr>
          <w:p>
            <w:pPr>
              <w:spacing w:after="0"/>
              <w:rPr>
                <w:sz w:val="20"/>
                <w:szCs w:val="20"/>
                <w:color w:val="auto"/>
              </w:rPr>
            </w:pPr>
          </w:p>
        </w:tc>
        <w:tc>
          <w:tcPr>
            <w:tcW w:w="74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68,250</w:t>
            </w:r>
          </w:p>
        </w:tc>
      </w:tr>
      <w:tr>
        <w:trPr>
          <w:trHeight w:val="217"/>
        </w:trPr>
        <w:tc>
          <w:tcPr>
            <w:tcW w:w="5520" w:type="dxa"/>
            <w:vAlign w:val="bottom"/>
          </w:tcPr>
          <w:p>
            <w:pPr>
              <w:ind w:left="20"/>
              <w:spacing w:after="0"/>
              <w:rPr>
                <w:sz w:val="20"/>
                <w:szCs w:val="20"/>
                <w:color w:val="auto"/>
              </w:rPr>
            </w:pPr>
            <w:r>
              <w:rPr>
                <w:rFonts w:ascii="Arial" w:cs="Arial" w:eastAsia="Arial" w:hAnsi="Arial"/>
                <w:sz w:val="16"/>
                <w:szCs w:val="16"/>
                <w:color w:val="auto"/>
              </w:rPr>
              <w:t>All Other Fees</w:t>
            </w:r>
          </w:p>
        </w:tc>
        <w:tc>
          <w:tcPr>
            <w:tcW w:w="3160" w:type="dxa"/>
            <w:vAlign w:val="bottom"/>
          </w:tcPr>
          <w:p>
            <w:pPr>
              <w:spacing w:after="0"/>
              <w:rPr>
                <w:sz w:val="18"/>
                <w:szCs w:val="18"/>
                <w:color w:val="auto"/>
              </w:rPr>
            </w:pPr>
          </w:p>
        </w:tc>
        <w:tc>
          <w:tcPr>
            <w:tcW w:w="120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
        </w:trPr>
        <w:tc>
          <w:tcPr>
            <w:tcW w:w="5520" w:type="dxa"/>
            <w:vAlign w:val="bottom"/>
            <w:tcBorders>
              <w:bottom w:val="single" w:sz="8" w:color="D9D9D9"/>
            </w:tcBorders>
          </w:tcPr>
          <w:p>
            <w:pPr>
              <w:spacing w:after="0" w:line="20" w:lineRule="exact"/>
              <w:rPr>
                <w:sz w:val="1"/>
                <w:szCs w:val="1"/>
                <w:color w:val="auto"/>
              </w:rPr>
            </w:pPr>
          </w:p>
        </w:tc>
        <w:tc>
          <w:tcPr>
            <w:tcW w:w="3160" w:type="dxa"/>
            <w:vAlign w:val="bottom"/>
            <w:tcBorders>
              <w:bottom w:val="single" w:sz="8" w:color="D9D9D9"/>
            </w:tcBorders>
          </w:tcPr>
          <w:p>
            <w:pPr>
              <w:spacing w:after="0" w:line="20" w:lineRule="exact"/>
              <w:rPr>
                <w:sz w:val="1"/>
                <w:szCs w:val="1"/>
                <w:color w:val="auto"/>
              </w:rPr>
            </w:pPr>
          </w:p>
        </w:tc>
        <w:tc>
          <w:tcPr>
            <w:tcW w:w="1200" w:type="dxa"/>
            <w:vAlign w:val="bottom"/>
            <w:tcBorders>
              <w:bottom w:val="single" w:sz="8" w:color="D9D9D9"/>
            </w:tcBorders>
          </w:tcPr>
          <w:p>
            <w:pPr>
              <w:spacing w:after="0" w:line="20" w:lineRule="exact"/>
              <w:rPr>
                <w:sz w:val="1"/>
                <w:szCs w:val="1"/>
                <w:color w:val="auto"/>
              </w:rPr>
            </w:pPr>
          </w:p>
        </w:tc>
        <w:tc>
          <w:tcPr>
            <w:tcW w:w="620" w:type="dxa"/>
            <w:vAlign w:val="bottom"/>
            <w:tcBorders>
              <w:bottom w:val="single" w:sz="8" w:color="D9D9D9"/>
            </w:tcBorders>
          </w:tcPr>
          <w:p>
            <w:pPr>
              <w:spacing w:after="0" w:line="20" w:lineRule="exact"/>
              <w:rPr>
                <w:sz w:val="1"/>
                <w:szCs w:val="1"/>
                <w:color w:val="auto"/>
              </w:rPr>
            </w:pPr>
          </w:p>
        </w:tc>
        <w:tc>
          <w:tcPr>
            <w:tcW w:w="740" w:type="dxa"/>
            <w:vAlign w:val="bottom"/>
            <w:tcBorders>
              <w:bottom w:val="single" w:sz="8" w:color="D9D9D9"/>
            </w:tcBorders>
          </w:tcPr>
          <w:p>
            <w:pPr>
              <w:spacing w:after="0" w:line="20" w:lineRule="exact"/>
              <w:rPr>
                <w:sz w:val="1"/>
                <w:szCs w:val="1"/>
                <w:color w:val="auto"/>
              </w:rPr>
            </w:pPr>
          </w:p>
        </w:tc>
      </w:tr>
      <w:tr>
        <w:trPr>
          <w:trHeight w:val="217"/>
        </w:trPr>
        <w:tc>
          <w:tcPr>
            <w:tcW w:w="5520" w:type="dxa"/>
            <w:vAlign w:val="bottom"/>
          </w:tcPr>
          <w:p>
            <w:pPr>
              <w:ind w:left="20"/>
              <w:spacing w:after="0"/>
              <w:rPr>
                <w:sz w:val="20"/>
                <w:szCs w:val="20"/>
                <w:color w:val="auto"/>
              </w:rPr>
            </w:pPr>
            <w:r>
              <w:rPr>
                <w:rFonts w:ascii="Arial" w:cs="Arial" w:eastAsia="Arial" w:hAnsi="Arial"/>
                <w:sz w:val="16"/>
                <w:szCs w:val="16"/>
                <w:color w:val="auto"/>
              </w:rPr>
              <w:t>Total Fees</w:t>
            </w:r>
          </w:p>
        </w:tc>
        <w:tc>
          <w:tcPr>
            <w:tcW w:w="3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42"/>
              <w:spacing w:after="0"/>
              <w:rPr>
                <w:sz w:val="20"/>
                <w:szCs w:val="20"/>
                <w:color w:val="auto"/>
              </w:rPr>
            </w:pPr>
            <w:r>
              <w:rPr>
                <w:rFonts w:ascii="Arial" w:cs="Arial" w:eastAsia="Arial" w:hAnsi="Arial"/>
                <w:sz w:val="16"/>
                <w:szCs w:val="16"/>
                <w:color w:val="auto"/>
              </w:rPr>
              <w:t>147,000</w:t>
            </w:r>
          </w:p>
        </w:tc>
        <w:tc>
          <w:tcPr>
            <w:tcW w:w="62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783,982</w:t>
            </w:r>
          </w:p>
        </w:tc>
      </w:tr>
      <w:tr>
        <w:trPr>
          <w:trHeight w:val="22"/>
        </w:trPr>
        <w:tc>
          <w:tcPr>
            <w:tcW w:w="5520" w:type="dxa"/>
            <w:vAlign w:val="bottom"/>
            <w:tcBorders>
              <w:bottom w:val="single" w:sz="8" w:color="00AEEF"/>
            </w:tcBorders>
          </w:tcPr>
          <w:p>
            <w:pPr>
              <w:spacing w:after="0" w:line="20" w:lineRule="exact"/>
              <w:rPr>
                <w:sz w:val="1"/>
                <w:szCs w:val="1"/>
                <w:color w:val="auto"/>
              </w:rPr>
            </w:pPr>
          </w:p>
        </w:tc>
        <w:tc>
          <w:tcPr>
            <w:tcW w:w="3160" w:type="dxa"/>
            <w:vAlign w:val="bottom"/>
            <w:tcBorders>
              <w:bottom w:val="single" w:sz="8" w:color="00AEEF"/>
            </w:tcBorders>
          </w:tcPr>
          <w:p>
            <w:pPr>
              <w:spacing w:after="0" w:line="20" w:lineRule="exact"/>
              <w:rPr>
                <w:sz w:val="1"/>
                <w:szCs w:val="1"/>
                <w:color w:val="auto"/>
              </w:rPr>
            </w:pPr>
          </w:p>
        </w:tc>
        <w:tc>
          <w:tcPr>
            <w:tcW w:w="1200" w:type="dxa"/>
            <w:vAlign w:val="bottom"/>
            <w:tcBorders>
              <w:bottom w:val="single" w:sz="8" w:color="00AEEF"/>
            </w:tcBorders>
          </w:tcPr>
          <w:p>
            <w:pPr>
              <w:spacing w:after="0" w:line="20" w:lineRule="exact"/>
              <w:rPr>
                <w:sz w:val="1"/>
                <w:szCs w:val="1"/>
                <w:color w:val="auto"/>
              </w:rPr>
            </w:pPr>
          </w:p>
        </w:tc>
        <w:tc>
          <w:tcPr>
            <w:tcW w:w="620" w:type="dxa"/>
            <w:vAlign w:val="bottom"/>
            <w:tcBorders>
              <w:bottom w:val="single" w:sz="8" w:color="00AEEF"/>
            </w:tcBorders>
          </w:tcPr>
          <w:p>
            <w:pPr>
              <w:spacing w:after="0" w:line="20" w:lineRule="exact"/>
              <w:rPr>
                <w:sz w:val="1"/>
                <w:szCs w:val="1"/>
                <w:color w:val="auto"/>
              </w:rPr>
            </w:pPr>
          </w:p>
        </w:tc>
        <w:tc>
          <w:tcPr>
            <w:tcW w:w="740" w:type="dxa"/>
            <w:vAlign w:val="bottom"/>
            <w:tcBorders>
              <w:bottom w:val="single" w:sz="8" w:color="00AEEF"/>
            </w:tcBorders>
          </w:tcPr>
          <w:p>
            <w:pPr>
              <w:spacing w:after="0" w:line="20" w:lineRule="exact"/>
              <w:rPr>
                <w:sz w:val="1"/>
                <w:szCs w:val="1"/>
                <w:color w:val="auto"/>
              </w:rPr>
            </w:pPr>
          </w:p>
        </w:tc>
      </w:tr>
    </w:tbl>
    <w:p>
      <w:pPr>
        <w:spacing w:after="0" w:line="214" w:lineRule="exact"/>
        <w:rPr>
          <w:sz w:val="20"/>
          <w:szCs w:val="20"/>
          <w:color w:val="auto"/>
        </w:rPr>
      </w:pPr>
    </w:p>
    <w:p>
      <w:pPr>
        <w:ind w:left="242" w:right="40" w:hanging="242"/>
        <w:spacing w:after="0" w:line="231" w:lineRule="auto"/>
        <w:tabs>
          <w:tab w:leader="none" w:pos="253" w:val="left"/>
        </w:tabs>
        <w:numPr>
          <w:ilvl w:val="0"/>
          <w:numId w:val="82"/>
        </w:numPr>
        <w:rPr>
          <w:rFonts w:ascii="Arial" w:cs="Arial" w:eastAsia="Arial" w:hAnsi="Arial"/>
          <w:sz w:val="17"/>
          <w:szCs w:val="17"/>
          <w:color w:val="auto"/>
          <w:vertAlign w:val="superscript"/>
        </w:rPr>
      </w:pPr>
      <w:r>
        <w:rPr>
          <w:rFonts w:ascii="Arial" w:cs="Arial" w:eastAsia="Arial" w:hAnsi="Arial"/>
          <w:sz w:val="13"/>
          <w:szCs w:val="13"/>
          <w:color w:val="auto"/>
        </w:rPr>
        <w:t>Audit fees were incurred for the audit of the financial statements and internal control over financial reporting of the Company, audit of the financial statements of a subsidiary of the Company, issuance of consents, reviews of the financial statements included in the Company’s quarterly reports on Form 10-Q.</w:t>
      </w:r>
    </w:p>
    <w:p>
      <w:pPr>
        <w:spacing w:after="0" w:line="26" w:lineRule="exact"/>
        <w:rPr>
          <w:rFonts w:ascii="Arial" w:cs="Arial" w:eastAsia="Arial" w:hAnsi="Arial"/>
          <w:sz w:val="17"/>
          <w:szCs w:val="17"/>
          <w:color w:val="auto"/>
          <w:vertAlign w:val="superscript"/>
        </w:rPr>
      </w:pPr>
    </w:p>
    <w:p>
      <w:pPr>
        <w:ind w:left="242" w:hanging="242"/>
        <w:spacing w:after="0"/>
        <w:tabs>
          <w:tab w:leader="none" w:pos="242" w:val="left"/>
        </w:tabs>
        <w:numPr>
          <w:ilvl w:val="0"/>
          <w:numId w:val="82"/>
        </w:numPr>
        <w:rPr>
          <w:rFonts w:ascii="Arial" w:cs="Arial" w:eastAsia="Arial" w:hAnsi="Arial"/>
          <w:sz w:val="17"/>
          <w:szCs w:val="17"/>
          <w:color w:val="auto"/>
          <w:vertAlign w:val="superscript"/>
        </w:rPr>
      </w:pPr>
      <w:r>
        <w:rPr>
          <w:rFonts w:ascii="Arial" w:cs="Arial" w:eastAsia="Arial" w:hAnsi="Arial"/>
          <w:sz w:val="13"/>
          <w:szCs w:val="13"/>
          <w:color w:val="auto"/>
        </w:rPr>
        <w:t>Audit related fees incurred in connection with the issuance of consent in the filing of the Company’s Form 10-K for 2025 and other procedures related to a Form S-3 registration statement.</w:t>
      </w:r>
    </w:p>
    <w:p>
      <w:pPr>
        <w:spacing w:after="0" w:line="50" w:lineRule="exact"/>
        <w:rPr>
          <w:rFonts w:ascii="Arial" w:cs="Arial" w:eastAsia="Arial" w:hAnsi="Arial"/>
          <w:sz w:val="17"/>
          <w:szCs w:val="17"/>
          <w:color w:val="auto"/>
          <w:vertAlign w:val="superscript"/>
        </w:rPr>
      </w:pPr>
    </w:p>
    <w:p>
      <w:pPr>
        <w:ind w:left="242" w:hanging="242"/>
        <w:spacing w:after="0" w:line="209" w:lineRule="auto"/>
        <w:tabs>
          <w:tab w:leader="none" w:pos="242" w:val="left"/>
        </w:tabs>
        <w:numPr>
          <w:ilvl w:val="0"/>
          <w:numId w:val="82"/>
        </w:numPr>
        <w:rPr>
          <w:rFonts w:ascii="Arial" w:cs="Arial" w:eastAsia="Arial" w:hAnsi="Arial"/>
          <w:sz w:val="17"/>
          <w:szCs w:val="17"/>
          <w:color w:val="auto"/>
          <w:vertAlign w:val="superscript"/>
        </w:rPr>
      </w:pPr>
      <w:r>
        <w:rPr>
          <w:rFonts w:ascii="Arial" w:cs="Arial" w:eastAsia="Arial" w:hAnsi="Arial"/>
          <w:sz w:val="13"/>
          <w:szCs w:val="13"/>
          <w:color w:val="auto"/>
        </w:rPr>
        <w:t>Tax fees were incurred for the preparation of the Company’s tax returns.</w:t>
      </w:r>
    </w:p>
    <w:p>
      <w:pPr>
        <w:spacing w:after="0" w:line="102" w:lineRule="exact"/>
        <w:rPr>
          <w:sz w:val="20"/>
          <w:szCs w:val="20"/>
          <w:color w:val="auto"/>
        </w:rPr>
      </w:pPr>
    </w:p>
    <w:p>
      <w:pPr>
        <w:ind w:left="2" w:right="80"/>
        <w:spacing w:after="0" w:line="267" w:lineRule="auto"/>
        <w:rPr>
          <w:sz w:val="20"/>
          <w:szCs w:val="20"/>
          <w:color w:val="auto"/>
        </w:rPr>
      </w:pPr>
      <w:r>
        <w:rPr>
          <w:rFonts w:ascii="Arial" w:cs="Arial" w:eastAsia="Arial" w:hAnsi="Arial"/>
          <w:sz w:val="16"/>
          <w:szCs w:val="16"/>
          <w:color w:val="auto"/>
        </w:rPr>
        <w:t>The Audit Committee has established an approval policy for all recurring audit services and all other permitted services to be performed by the Company’s independent registered public accounting firm. Recurring audit services include annual audits of the Company’s financial statements and internal control over financial reporting, and reviews of the Company’s Quarterly Reports on Form 10-Q. Recurring audit services require the pre-approval of the Audit Committee. All other permitted services with fees less than $50,000, individually and in the aggregate, are subject to the pre-approval of the Audit Committee Chair, with subsequent ratification by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 w:type="dxa"/>
        <w:tblCellMar>
          <w:top w:w="0" w:type="dxa"/>
          <w:left w:w="0" w:type="dxa"/>
          <w:bottom w:w="0" w:type="dxa"/>
          <w:right w:w="0" w:type="dxa"/>
        </w:tblCellMar>
      </w:tblPr>
      <w:tr>
        <w:trPr>
          <w:trHeight w:val="209"/>
        </w:trPr>
        <w:tc>
          <w:tcPr>
            <w:tcW w:w="10860" w:type="dxa"/>
            <w:vAlign w:val="bottom"/>
            <w:tcBorders>
              <w:right w:val="single" w:sz="8" w:color="00AEEF"/>
            </w:tcBorders>
          </w:tcPr>
          <w:p>
            <w:pPr>
              <w:ind w:left="94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63</w:t>
            </w:r>
          </w:p>
        </w:tc>
      </w:tr>
      <w:tr>
        <w:trPr>
          <w:trHeight w:val="312"/>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-27940</wp:posOffset>
            </wp:positionV>
            <wp:extent cx="33020" cy="412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2"/>
          </w:cols>
          <w:pgMar w:left="318" w:top="124"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color w:val="191769"/>
        </w:rPr>
        <w:t>PROPOSAL 3: Ratification of Appointment by the Audit Committee of the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6"/>
          <w:szCs w:val="36"/>
          <w:b w:val="1"/>
          <w:bCs w:val="1"/>
          <w:color w:val="0076A8"/>
        </w:rPr>
        <w:t>Change in Independent Registered Public Accounting Firm</w:t>
      </w:r>
    </w:p>
    <w:p>
      <w:pPr>
        <w:spacing w:after="0" w:line="178"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In October 2024, the Audit Committee began a competitive selection process to determine the Company’s independent registered public accounting firm for the fiscal year ending December 31, 2025. The Audit Committee invited several public accounting firms to participate in this process. As a result of that</w:t>
      </w:r>
    </w:p>
    <w:p>
      <w:pPr>
        <w:ind w:right="200"/>
        <w:spacing w:after="0" w:line="262" w:lineRule="auto"/>
        <w:rPr>
          <w:sz w:val="20"/>
          <w:szCs w:val="20"/>
          <w:color w:val="auto"/>
        </w:rPr>
      </w:pPr>
      <w:r>
        <w:rPr>
          <w:rFonts w:ascii="Arial" w:cs="Arial" w:eastAsia="Arial" w:hAnsi="Arial"/>
          <w:sz w:val="16"/>
          <w:szCs w:val="16"/>
          <w:color w:val="auto"/>
        </w:rPr>
        <w:t>process, on February 28, 2025, the Committee dismissed Baker Tilly US, LLP (“Baker Tilly”) as the Company’s independent registered public accounting firm effective March 3, 2025.</w:t>
      </w:r>
    </w:p>
    <w:p>
      <w:pPr>
        <w:spacing w:after="0" w:line="173"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The audit reports of Baker Tilly on the Company’s consolidated financial statements as of and for the years ended December 31, 2024 and 2023 did not contain an adverse opinion or a disclaimer of opinion, and were not qualified or modified as to uncertainty, audit scope or accounting principle. The audit report of Baker Tilly on the effectiveness of internal control over financial reporting as of December 31, 2023 indicated the Company did not maintain effective internal control over financial reporting as of December 31, 2023, because of the effect of the material weaknesses, described below.</w:t>
      </w:r>
    </w:p>
    <w:p>
      <w:pPr>
        <w:spacing w:after="0" w:line="18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During the years ended December 31, 2024 and 2023, and the subsequent interim period from January 1, 2025 through March 3, 2025, there were no disagreements as described under Item 304(a)(1)(iv) of Regulation S-K with Baker Tilly on any matter of accounting principles or practices, financial statement disclosure, or auditing scope or procedure, which disagreements, if not resolved to the satisfaction of Baker Tilly, would have caused Baker Tilly to make reference to the subject matter thereof in connection with its reports on the financial statements of the Company for such years.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addition, during the years ended December 31, 2024 and 2023, there were no reportable events as described under Item 304(a)(1)(v) of Regulation S-K,</w:t>
      </w:r>
    </w:p>
    <w:p>
      <w:pPr>
        <w:spacing w:after="0" w:line="17" w:lineRule="exact"/>
        <w:rPr>
          <w:sz w:val="20"/>
          <w:szCs w:val="20"/>
          <w:color w:val="auto"/>
        </w:rPr>
      </w:pPr>
    </w:p>
    <w:p>
      <w:pPr>
        <w:ind w:right="140"/>
        <w:spacing w:after="0" w:line="232" w:lineRule="auto"/>
        <w:rPr>
          <w:sz w:val="20"/>
          <w:szCs w:val="20"/>
          <w:color w:val="auto"/>
        </w:rPr>
      </w:pPr>
      <w:r>
        <w:rPr>
          <w:rFonts w:ascii="Arial" w:cs="Arial" w:eastAsia="Arial" w:hAnsi="Arial"/>
          <w:sz w:val="16"/>
          <w:szCs w:val="16"/>
          <w:color w:val="auto"/>
        </w:rPr>
        <w:t>other than the material weaknesses in the Company’s internal control over financial reporting, as reported in Item 9A of Part II of the Company’s Annual Report on Form 10-K as of and for the year ended December 31, 2023, filed with the U.S. Securities and Exchange Commission (“SEC”) on February 29,</w:t>
      </w:r>
    </w:p>
    <w:p>
      <w:pPr>
        <w:spacing w:after="0" w:line="1" w:lineRule="exact"/>
        <w:rPr>
          <w:sz w:val="20"/>
          <w:szCs w:val="20"/>
          <w:color w:val="auto"/>
        </w:rPr>
      </w:pPr>
    </w:p>
    <w:p>
      <w:pPr>
        <w:ind w:right="540"/>
        <w:spacing w:after="0" w:line="251" w:lineRule="auto"/>
        <w:rPr>
          <w:sz w:val="20"/>
          <w:szCs w:val="20"/>
          <w:color w:val="auto"/>
        </w:rPr>
      </w:pPr>
      <w:r>
        <w:rPr>
          <w:rFonts w:ascii="Arial" w:cs="Arial" w:eastAsia="Arial" w:hAnsi="Arial"/>
          <w:sz w:val="16"/>
          <w:szCs w:val="16"/>
          <w:color w:val="auto"/>
        </w:rPr>
        <w:t>2024, related to (i) ineffective information technology general controls in the areas of user access and change management over certain information technology systems that supports the Company’s financial reporting; and (ii) ineffective controls related to income tax accounting for a non-routine transaction. The Company remediated the material weaknesses in the third quarter of 2024.</w:t>
      </w:r>
    </w:p>
    <w:p>
      <w:pPr>
        <w:spacing w:after="0" w:line="182"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The Company has provided Baker Tilly with a copy of the foregoing disclosures and requested that Baker Tilly furnish it with a letter addressed to the SEC stating whether or not it agrees with the statements made herein. A copy of Baker Tilly’s letter, dated March 3, 2025, is filed as Exhibit 99.1 to a Current Report on Form 8-K previously filed with the SEC on March 4, 2025.</w:t>
      </w:r>
    </w:p>
    <w:p>
      <w:pPr>
        <w:spacing w:after="0" w:line="173" w:lineRule="exact"/>
        <w:rPr>
          <w:sz w:val="20"/>
          <w:szCs w:val="20"/>
          <w:color w:val="auto"/>
        </w:rPr>
      </w:pPr>
    </w:p>
    <w:p>
      <w:pPr>
        <w:ind w:right="300"/>
        <w:spacing w:after="0" w:line="262" w:lineRule="auto"/>
        <w:rPr>
          <w:sz w:val="20"/>
          <w:szCs w:val="20"/>
          <w:color w:val="auto"/>
        </w:rPr>
      </w:pPr>
      <w:r>
        <w:rPr>
          <w:rFonts w:ascii="Arial" w:cs="Arial" w:eastAsia="Arial" w:hAnsi="Arial"/>
          <w:sz w:val="16"/>
          <w:szCs w:val="16"/>
          <w:color w:val="auto"/>
        </w:rPr>
        <w:t>As a result of the competitive process noted above, on February 28, 2025, the Audit Committee approved the appointment of PricewaterhouseCoopers LLP (“PwC”) to serve as the Company’s independent registered public accounting firm for the year ending December 31, 2025, subject to PwC’s completion of its standard client acceptance procedures.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During the two years ended December 31, 2024 and 2023 and the subsequent interim period from January 1, 2025 through March 3, 2025, neither the</w:t>
      </w:r>
    </w:p>
    <w:p>
      <w:pPr>
        <w:spacing w:after="0" w:line="17" w:lineRule="exact"/>
        <w:rPr>
          <w:sz w:val="20"/>
          <w:szCs w:val="20"/>
          <w:color w:val="auto"/>
        </w:rPr>
      </w:pPr>
    </w:p>
    <w:p>
      <w:pPr>
        <w:ind w:right="200"/>
        <w:spacing w:after="0" w:line="232" w:lineRule="auto"/>
        <w:rPr>
          <w:sz w:val="20"/>
          <w:szCs w:val="20"/>
          <w:color w:val="auto"/>
        </w:rPr>
      </w:pPr>
      <w:r>
        <w:rPr>
          <w:rFonts w:ascii="Arial" w:cs="Arial" w:eastAsia="Arial" w:hAnsi="Arial"/>
          <w:sz w:val="16"/>
          <w:szCs w:val="16"/>
          <w:color w:val="auto"/>
        </w:rPr>
        <w:t>Company nor anyone acting on its behalf has consulted with PwC with respect to (i) the application of accounting principles to a specified transaction, either completed or proposed, or the type of audit opinion that might be rendered on the Company’s financial statements, and neither a written report nor</w:t>
      </w:r>
    </w:p>
    <w:p>
      <w:pPr>
        <w:spacing w:after="0" w:line="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oral advice was provided to us by PwC that was an important factor considered by us in reaching a decision as to any accounting, auditing or financial reporting issue; (ii) any matter that was the subject of a disagreement as defined in Item 304(a)(1)(iv) of Regulation S-K of Securities and Exchange Act of 1934, as amended, and the related instructions thereof; or (iii) a reportable event as described in Item 304(a)(1)(v)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133985</wp:posOffset>
            </wp:positionV>
            <wp:extent cx="7144385" cy="5080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4385" cy="508000"/>
                    </a:xfrm>
                    <a:prstGeom prst="rect">
                      <a:avLst/>
                    </a:prstGeom>
                    <a:noFill/>
                  </pic:spPr>
                </pic:pic>
              </a:graphicData>
            </a:graphic>
          </wp:anchor>
        </w:drawing>
      </w:r>
    </w:p>
    <w:p>
      <w:pPr>
        <w:spacing w:after="0" w:line="292" w:lineRule="exact"/>
        <w:rPr>
          <w:sz w:val="20"/>
          <w:szCs w:val="20"/>
          <w:color w:val="auto"/>
        </w:rPr>
      </w:pPr>
    </w:p>
    <w:p>
      <w:pPr>
        <w:ind w:left="1480" w:right="560"/>
        <w:spacing w:after="0" w:line="294" w:lineRule="auto"/>
        <w:rPr>
          <w:sz w:val="20"/>
          <w:szCs w:val="20"/>
          <w:color w:val="auto"/>
        </w:rPr>
      </w:pPr>
      <w:r>
        <w:rPr>
          <w:rFonts w:ascii="Arial" w:cs="Arial" w:eastAsia="Arial" w:hAnsi="Arial"/>
          <w:sz w:val="23"/>
          <w:szCs w:val="23"/>
          <w:color w:val="auto"/>
        </w:rPr>
        <w:t xml:space="preserve">The board recommends shareholders vote </w:t>
      </w:r>
      <w:r>
        <w:rPr>
          <w:rFonts w:ascii="Arial" w:cs="Arial" w:eastAsia="Arial" w:hAnsi="Arial"/>
          <w:sz w:val="23"/>
          <w:szCs w:val="23"/>
          <w:b w:val="1"/>
          <w:bCs w:val="1"/>
          <w:color w:val="191769"/>
        </w:rPr>
        <w:t>FOR</w:t>
      </w:r>
      <w:r>
        <w:rPr>
          <w:rFonts w:ascii="Arial" w:cs="Arial" w:eastAsia="Arial" w:hAnsi="Arial"/>
          <w:sz w:val="23"/>
          <w:szCs w:val="23"/>
          <w:color w:val="auto"/>
        </w:rPr>
        <w:t xml:space="preserve"> Proposal 3, Ratification of Appointment by the Audit Committee of the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5283835" cy="234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283835" cy="23495"/>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447040</wp:posOffset>
            </wp:positionV>
            <wp:extent cx="7620" cy="132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0" w:hanging="445"/>
        <w:spacing w:after="0"/>
        <w:tabs>
          <w:tab w:leader="none" w:pos="460" w:val="left"/>
        </w:tabs>
        <w:numPr>
          <w:ilvl w:val="0"/>
          <w:numId w:val="83"/>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210185</wp:posOffset>
            </wp:positionV>
            <wp:extent cx="7169785" cy="412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6" w:name="page67"/>
    <w:bookmarkEnd w:id="66"/>
    <w:p>
      <w:pPr>
        <w:ind w:left="2"/>
        <w:spacing w:after="0"/>
        <w:rPr>
          <w:sz w:val="20"/>
          <w:szCs w:val="20"/>
          <w:color w:val="auto"/>
        </w:rPr>
      </w:pPr>
      <w:r>
        <w:rPr>
          <w:rFonts w:ascii="Arial" w:cs="Arial" w:eastAsia="Arial" w:hAnsi="Arial"/>
          <w:sz w:val="46"/>
          <w:szCs w:val="46"/>
          <w:color w:val="191769"/>
        </w:rPr>
        <w:t>Security Ownership and Other Matters</w:t>
      </w:r>
    </w:p>
    <w:p>
      <w:pPr>
        <w:spacing w:after="0" w:line="284" w:lineRule="exact"/>
        <w:rPr>
          <w:sz w:val="20"/>
          <w:szCs w:val="20"/>
          <w:color w:val="auto"/>
        </w:rPr>
      </w:pPr>
    </w:p>
    <w:p>
      <w:pPr>
        <w:ind w:left="2" w:right="1240"/>
        <w:spacing w:after="0" w:line="297" w:lineRule="auto"/>
        <w:rPr>
          <w:sz w:val="20"/>
          <w:szCs w:val="20"/>
          <w:color w:val="auto"/>
        </w:rPr>
      </w:pPr>
      <w:r>
        <w:rPr>
          <w:rFonts w:ascii="Arial" w:cs="Arial" w:eastAsia="Arial" w:hAnsi="Arial"/>
          <w:sz w:val="36"/>
          <w:szCs w:val="36"/>
          <w:b w:val="1"/>
          <w:bCs w:val="1"/>
          <w:color w:val="0076A8"/>
        </w:rPr>
        <w:t>Security Ownership of Directors, Management and Certain Beneficial Owners</w:t>
      </w:r>
    </w:p>
    <w:p>
      <w:pPr>
        <w:spacing w:after="0" w:line="11" w:lineRule="exact"/>
        <w:rPr>
          <w:sz w:val="20"/>
          <w:szCs w:val="20"/>
          <w:color w:val="auto"/>
        </w:rPr>
      </w:pPr>
    </w:p>
    <w:p>
      <w:pPr>
        <w:ind w:left="2" w:right="60"/>
        <w:spacing w:after="0" w:line="278" w:lineRule="auto"/>
        <w:rPr>
          <w:sz w:val="20"/>
          <w:szCs w:val="20"/>
          <w:color w:val="auto"/>
        </w:rPr>
      </w:pPr>
      <w:r>
        <w:rPr>
          <w:rFonts w:ascii="Arial" w:cs="Arial" w:eastAsia="Arial" w:hAnsi="Arial"/>
          <w:sz w:val="16"/>
          <w:szCs w:val="16"/>
          <w:color w:val="auto"/>
        </w:rPr>
        <w:t>The following table sets forth as of March 24, 2026, the number of shares of Middlesex common stock beneficially owned by the elected Directors, Executive Officers named in the table appearing under Executive Compensation, and all elected Directors and Executive Officers as a group. All individual elected Directors and Executive Officers owned less than 1.92% of the shares outstanding on March 24, 2026.</w:t>
      </w:r>
    </w:p>
    <w:p>
      <w:pPr>
        <w:spacing w:after="0" w:line="133" w:lineRule="exact"/>
        <w:rPr>
          <w:sz w:val="20"/>
          <w:szCs w:val="20"/>
          <w:color w:val="auto"/>
        </w:rPr>
      </w:pPr>
    </w:p>
    <w:tbl>
      <w:tblPr>
        <w:tblLayout w:type="fixed"/>
        <w:tblInd w:w="2" w:type="dxa"/>
        <w:tblCellMar>
          <w:top w:w="0" w:type="dxa"/>
          <w:left w:w="0" w:type="dxa"/>
          <w:bottom w:w="0" w:type="dxa"/>
          <w:right w:w="0" w:type="dxa"/>
        </w:tblCellMar>
      </w:tblPr>
      <w:tr>
        <w:trPr>
          <w:trHeight w:val="186"/>
        </w:trPr>
        <w:tc>
          <w:tcPr>
            <w:tcW w:w="8100" w:type="dxa"/>
            <w:vAlign w:val="bottom"/>
            <w:tcBorders>
              <w:bottom w:val="single" w:sz="8" w:color="00AEEF"/>
            </w:tcBorders>
          </w:tcPr>
          <w:p>
            <w:pPr>
              <w:ind w:left="20"/>
              <w:spacing w:after="0"/>
              <w:rPr>
                <w:sz w:val="20"/>
                <w:szCs w:val="20"/>
                <w:color w:val="auto"/>
              </w:rPr>
            </w:pPr>
            <w:r>
              <w:rPr>
                <w:rFonts w:ascii="Arial" w:cs="Arial" w:eastAsia="Arial" w:hAnsi="Arial"/>
                <w:sz w:val="13"/>
                <w:szCs w:val="13"/>
                <w:color w:val="191769"/>
              </w:rPr>
              <w:t>Name</w:t>
            </w:r>
          </w:p>
        </w:tc>
        <w:tc>
          <w:tcPr>
            <w:tcW w:w="3140" w:type="dxa"/>
            <w:vAlign w:val="bottom"/>
            <w:tcBorders>
              <w:bottom w:val="single" w:sz="8" w:color="00AEEF"/>
            </w:tcBorders>
          </w:tcPr>
          <w:p>
            <w:pPr>
              <w:jc w:val="right"/>
              <w:spacing w:after="0"/>
              <w:rPr>
                <w:sz w:val="20"/>
                <w:szCs w:val="20"/>
                <w:color w:val="auto"/>
              </w:rPr>
            </w:pPr>
            <w:r>
              <w:rPr>
                <w:rFonts w:ascii="Arial" w:cs="Arial" w:eastAsia="Arial" w:hAnsi="Arial"/>
                <w:sz w:val="13"/>
                <w:szCs w:val="13"/>
                <w:b w:val="1"/>
                <w:bCs w:val="1"/>
                <w:color w:val="191769"/>
              </w:rPr>
              <w:t>Total Shares Beneficially Owned</w:t>
            </w:r>
            <w:r>
              <w:rPr>
                <w:rFonts w:ascii="Arial" w:cs="Arial" w:eastAsia="Arial" w:hAnsi="Arial"/>
                <w:sz w:val="8"/>
                <w:szCs w:val="8"/>
                <w:b w:val="1"/>
                <w:bCs w:val="1"/>
                <w:color w:val="191769"/>
              </w:rPr>
              <w:t>(1)</w:t>
            </w:r>
          </w:p>
        </w:tc>
      </w:tr>
      <w:tr>
        <w:trPr>
          <w:trHeight w:val="238"/>
        </w:trPr>
        <w:tc>
          <w:tcPr>
            <w:tcW w:w="810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auto"/>
              </w:rPr>
              <w:t>Directors</w:t>
            </w:r>
          </w:p>
        </w:tc>
        <w:tc>
          <w:tcPr>
            <w:tcW w:w="3140" w:type="dxa"/>
            <w:vAlign w:val="bottom"/>
            <w:tcBorders>
              <w:bottom w:val="single" w:sz="8" w:color="D9D9D9"/>
            </w:tcBorders>
          </w:tcPr>
          <w:p>
            <w:pPr>
              <w:spacing w:after="0"/>
              <w:rPr>
                <w:sz w:val="20"/>
                <w:szCs w:val="20"/>
                <w:color w:val="auto"/>
              </w:rPr>
            </w:pPr>
          </w:p>
        </w:tc>
      </w:tr>
      <w:tr>
        <w:trPr>
          <w:trHeight w:val="245"/>
        </w:trPr>
        <w:tc>
          <w:tcPr>
            <w:tcW w:w="810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Joshua Bershad, M.D.</w:t>
            </w:r>
            <w:r>
              <w:rPr>
                <w:rFonts w:ascii="Arial" w:cs="Arial" w:eastAsia="Arial" w:hAnsi="Arial"/>
                <w:sz w:val="21"/>
                <w:szCs w:val="21"/>
                <w:b w:val="1"/>
                <w:bCs w:val="1"/>
                <w:color w:val="191769"/>
                <w:vertAlign w:val="superscript"/>
              </w:rPr>
              <w:t>(2)</w:t>
            </w:r>
          </w:p>
        </w:tc>
        <w:tc>
          <w:tcPr>
            <w:tcW w:w="314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255,391</w:t>
            </w:r>
          </w:p>
        </w:tc>
      </w:tr>
      <w:tr>
        <w:trPr>
          <w:trHeight w:val="232"/>
        </w:trPr>
        <w:tc>
          <w:tcPr>
            <w:tcW w:w="810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James F. Cosgrove, Jr.</w:t>
            </w:r>
          </w:p>
        </w:tc>
        <w:tc>
          <w:tcPr>
            <w:tcW w:w="314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10,901</w:t>
            </w:r>
          </w:p>
        </w:tc>
      </w:tr>
      <w:tr>
        <w:trPr>
          <w:trHeight w:val="239"/>
        </w:trPr>
        <w:tc>
          <w:tcPr>
            <w:tcW w:w="810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Kim C. Hanemann</w:t>
            </w:r>
          </w:p>
        </w:tc>
        <w:tc>
          <w:tcPr>
            <w:tcW w:w="314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4,753</w:t>
            </w:r>
          </w:p>
        </w:tc>
      </w:tr>
      <w:tr>
        <w:trPr>
          <w:trHeight w:val="239"/>
        </w:trPr>
        <w:tc>
          <w:tcPr>
            <w:tcW w:w="810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Robert Hoglund</w:t>
            </w:r>
          </w:p>
        </w:tc>
        <w:tc>
          <w:tcPr>
            <w:tcW w:w="314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2,000</w:t>
            </w:r>
          </w:p>
        </w:tc>
      </w:tr>
      <w:tr>
        <w:trPr>
          <w:trHeight w:val="239"/>
        </w:trPr>
        <w:tc>
          <w:tcPr>
            <w:tcW w:w="810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Steven M. Klein</w:t>
            </w:r>
          </w:p>
        </w:tc>
        <w:tc>
          <w:tcPr>
            <w:tcW w:w="314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10,027</w:t>
            </w:r>
          </w:p>
        </w:tc>
      </w:tr>
      <w:tr>
        <w:trPr>
          <w:trHeight w:val="239"/>
        </w:trPr>
        <w:tc>
          <w:tcPr>
            <w:tcW w:w="810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Amy B. Mansue</w:t>
            </w:r>
          </w:p>
        </w:tc>
        <w:tc>
          <w:tcPr>
            <w:tcW w:w="314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11,201</w:t>
            </w:r>
          </w:p>
        </w:tc>
      </w:tr>
      <w:tr>
        <w:trPr>
          <w:trHeight w:val="239"/>
        </w:trPr>
        <w:tc>
          <w:tcPr>
            <w:tcW w:w="810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Vaughn L. McKoy</w:t>
            </w:r>
          </w:p>
        </w:tc>
        <w:tc>
          <w:tcPr>
            <w:tcW w:w="314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2,693</w:t>
            </w:r>
          </w:p>
        </w:tc>
      </w:tr>
      <w:tr>
        <w:trPr>
          <w:trHeight w:val="239"/>
        </w:trPr>
        <w:tc>
          <w:tcPr>
            <w:tcW w:w="810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Ann L. Noble</w:t>
            </w:r>
          </w:p>
        </w:tc>
        <w:tc>
          <w:tcPr>
            <w:tcW w:w="314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4,131</w:t>
            </w:r>
          </w:p>
        </w:tc>
      </w:tr>
      <w:tr>
        <w:trPr>
          <w:trHeight w:val="239"/>
        </w:trPr>
        <w:tc>
          <w:tcPr>
            <w:tcW w:w="810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Walter G. Reinhard</w:t>
            </w:r>
          </w:p>
        </w:tc>
        <w:tc>
          <w:tcPr>
            <w:tcW w:w="314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6,051</w:t>
            </w:r>
          </w:p>
        </w:tc>
      </w:tr>
      <w:tr>
        <w:trPr>
          <w:trHeight w:val="239"/>
        </w:trPr>
        <w:tc>
          <w:tcPr>
            <w:tcW w:w="810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auto"/>
              </w:rPr>
              <w:t>Named Executive Officers</w:t>
            </w:r>
          </w:p>
        </w:tc>
        <w:tc>
          <w:tcPr>
            <w:tcW w:w="3140" w:type="dxa"/>
            <w:vAlign w:val="bottom"/>
            <w:tcBorders>
              <w:bottom w:val="single" w:sz="8" w:color="D9D9D9"/>
            </w:tcBorders>
          </w:tcPr>
          <w:p>
            <w:pPr>
              <w:spacing w:after="0"/>
              <w:rPr>
                <w:sz w:val="20"/>
                <w:szCs w:val="20"/>
                <w:color w:val="auto"/>
              </w:rPr>
            </w:pPr>
          </w:p>
        </w:tc>
      </w:tr>
      <w:tr>
        <w:trPr>
          <w:trHeight w:val="239"/>
        </w:trPr>
        <w:tc>
          <w:tcPr>
            <w:tcW w:w="810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Nadine Leslie</w:t>
            </w:r>
          </w:p>
        </w:tc>
        <w:tc>
          <w:tcPr>
            <w:tcW w:w="314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13,806</w:t>
            </w:r>
          </w:p>
        </w:tc>
      </w:tr>
      <w:tr>
        <w:trPr>
          <w:trHeight w:val="239"/>
        </w:trPr>
        <w:tc>
          <w:tcPr>
            <w:tcW w:w="810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Mohammed G. Zerhouni</w:t>
            </w:r>
          </w:p>
        </w:tc>
        <w:tc>
          <w:tcPr>
            <w:tcW w:w="314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4,476</w:t>
            </w:r>
          </w:p>
        </w:tc>
      </w:tr>
      <w:tr>
        <w:trPr>
          <w:trHeight w:val="239"/>
        </w:trPr>
        <w:tc>
          <w:tcPr>
            <w:tcW w:w="810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Gregory S. Sorensen</w:t>
            </w:r>
          </w:p>
        </w:tc>
        <w:tc>
          <w:tcPr>
            <w:tcW w:w="314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1,314</w:t>
            </w:r>
          </w:p>
        </w:tc>
      </w:tr>
      <w:tr>
        <w:trPr>
          <w:trHeight w:val="239"/>
        </w:trPr>
        <w:tc>
          <w:tcPr>
            <w:tcW w:w="810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Jay L. Kooper</w:t>
            </w:r>
          </w:p>
        </w:tc>
        <w:tc>
          <w:tcPr>
            <w:tcW w:w="314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5,381</w:t>
            </w:r>
          </w:p>
        </w:tc>
      </w:tr>
      <w:tr>
        <w:trPr>
          <w:trHeight w:val="239"/>
        </w:trPr>
        <w:tc>
          <w:tcPr>
            <w:tcW w:w="810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191769"/>
              </w:rPr>
              <w:t>Georgia M. Simpson</w:t>
            </w:r>
          </w:p>
        </w:tc>
        <w:tc>
          <w:tcPr>
            <w:tcW w:w="3140" w:type="dxa"/>
            <w:vAlign w:val="bottom"/>
            <w:tcBorders>
              <w:bottom w:val="single" w:sz="8" w:color="D9D9D9"/>
            </w:tcBorders>
          </w:tcPr>
          <w:p>
            <w:pPr>
              <w:jc w:val="right"/>
              <w:spacing w:after="0"/>
              <w:rPr>
                <w:sz w:val="20"/>
                <w:szCs w:val="20"/>
                <w:color w:val="auto"/>
              </w:rPr>
            </w:pPr>
            <w:r>
              <w:rPr>
                <w:rFonts w:ascii="Arial" w:cs="Arial" w:eastAsia="Arial" w:hAnsi="Arial"/>
                <w:sz w:val="16"/>
                <w:szCs w:val="16"/>
                <w:color w:val="auto"/>
              </w:rPr>
              <w:t>5,114</w:t>
            </w:r>
          </w:p>
        </w:tc>
      </w:tr>
      <w:tr>
        <w:trPr>
          <w:trHeight w:val="224"/>
        </w:trPr>
        <w:tc>
          <w:tcPr>
            <w:tcW w:w="8100" w:type="dxa"/>
            <w:vAlign w:val="bottom"/>
          </w:tcPr>
          <w:p>
            <w:pPr>
              <w:ind w:left="20"/>
              <w:spacing w:after="0"/>
              <w:rPr>
                <w:sz w:val="20"/>
                <w:szCs w:val="20"/>
                <w:color w:val="auto"/>
              </w:rPr>
            </w:pPr>
            <w:r>
              <w:rPr>
                <w:rFonts w:ascii="Arial" w:cs="Arial" w:eastAsia="Arial" w:hAnsi="Arial"/>
                <w:sz w:val="16"/>
                <w:szCs w:val="16"/>
                <w:i w:val="1"/>
                <w:iCs w:val="1"/>
                <w:color w:val="auto"/>
              </w:rPr>
              <w:t>All elected Directors and Executive Officers as a group including those named above. (17 people)</w:t>
            </w:r>
          </w:p>
        </w:tc>
        <w:tc>
          <w:tcPr>
            <w:tcW w:w="3140" w:type="dxa"/>
            <w:vAlign w:val="bottom"/>
          </w:tcPr>
          <w:p>
            <w:pPr>
              <w:jc w:val="right"/>
              <w:spacing w:after="0"/>
              <w:rPr>
                <w:sz w:val="20"/>
                <w:szCs w:val="20"/>
                <w:color w:val="auto"/>
              </w:rPr>
            </w:pPr>
            <w:r>
              <w:rPr>
                <w:rFonts w:ascii="Arial" w:cs="Arial" w:eastAsia="Arial" w:hAnsi="Arial"/>
                <w:sz w:val="16"/>
                <w:szCs w:val="16"/>
                <w:color w:val="auto"/>
              </w:rPr>
              <w:t>354,575*</w:t>
            </w:r>
          </w:p>
        </w:tc>
      </w:tr>
      <w:tr>
        <w:trPr>
          <w:trHeight w:val="22"/>
        </w:trPr>
        <w:tc>
          <w:tcPr>
            <w:tcW w:w="8100" w:type="dxa"/>
            <w:vAlign w:val="bottom"/>
            <w:tcBorders>
              <w:bottom w:val="single" w:sz="8" w:color="00AEEF"/>
            </w:tcBorders>
          </w:tcPr>
          <w:p>
            <w:pPr>
              <w:spacing w:after="0" w:line="20" w:lineRule="exact"/>
              <w:rPr>
                <w:sz w:val="1"/>
                <w:szCs w:val="1"/>
                <w:color w:val="auto"/>
              </w:rPr>
            </w:pPr>
          </w:p>
        </w:tc>
        <w:tc>
          <w:tcPr>
            <w:tcW w:w="3140" w:type="dxa"/>
            <w:vAlign w:val="bottom"/>
            <w:tcBorders>
              <w:bottom w:val="single" w:sz="8" w:color="00AEEF"/>
            </w:tcBorders>
          </w:tcPr>
          <w:p>
            <w:pPr>
              <w:spacing w:after="0" w:line="20" w:lineRule="exact"/>
              <w:rPr>
                <w:sz w:val="1"/>
                <w:szCs w:val="1"/>
                <w:color w:val="auto"/>
              </w:rPr>
            </w:pPr>
          </w:p>
        </w:tc>
      </w:tr>
    </w:tbl>
    <w:p>
      <w:pPr>
        <w:spacing w:after="0" w:line="140" w:lineRule="exact"/>
        <w:rPr>
          <w:sz w:val="20"/>
          <w:szCs w:val="20"/>
          <w:color w:val="auto"/>
        </w:rPr>
      </w:pPr>
    </w:p>
    <w:p>
      <w:pPr>
        <w:ind w:left="242" w:right="560" w:hanging="242"/>
        <w:spacing w:after="0" w:line="294" w:lineRule="auto"/>
        <w:tabs>
          <w:tab w:leader="none" w:pos="257" w:val="left"/>
        </w:tabs>
        <w:numPr>
          <w:ilvl w:val="0"/>
          <w:numId w:val="84"/>
        </w:numPr>
        <w:rPr>
          <w:rFonts w:ascii="Arial" w:cs="Arial" w:eastAsia="Arial" w:hAnsi="Arial"/>
          <w:sz w:val="9"/>
          <w:szCs w:val="9"/>
          <w:color w:val="auto"/>
        </w:rPr>
      </w:pPr>
      <w:r>
        <w:rPr>
          <w:rFonts w:ascii="Arial" w:cs="Arial" w:eastAsia="Arial" w:hAnsi="Arial"/>
          <w:sz w:val="13"/>
          <w:szCs w:val="13"/>
          <w:color w:val="auto"/>
        </w:rPr>
        <w:t>Beneficial owner has the sole power to vote such shares. Each beneficial owner individually owns less than 1% of shares outstanding as of March 24, 2026 with the exception of Dr. Bershard as detailed in note (2) below.</w:t>
      </w:r>
    </w:p>
    <w:p>
      <w:pPr>
        <w:spacing w:after="0" w:line="15" w:lineRule="exact"/>
        <w:rPr>
          <w:rFonts w:ascii="Arial" w:cs="Arial" w:eastAsia="Arial" w:hAnsi="Arial"/>
          <w:sz w:val="9"/>
          <w:szCs w:val="9"/>
          <w:color w:val="auto"/>
        </w:rPr>
      </w:pPr>
    </w:p>
    <w:p>
      <w:pPr>
        <w:ind w:left="262" w:hanging="262"/>
        <w:spacing w:after="0"/>
        <w:tabs>
          <w:tab w:leader="none" w:pos="262" w:val="left"/>
        </w:tabs>
        <w:numPr>
          <w:ilvl w:val="0"/>
          <w:numId w:val="84"/>
        </w:numPr>
        <w:rPr>
          <w:rFonts w:ascii="Arial" w:cs="Arial" w:eastAsia="Arial" w:hAnsi="Arial"/>
          <w:sz w:val="9"/>
          <w:szCs w:val="9"/>
          <w:color w:val="auto"/>
        </w:rPr>
      </w:pPr>
      <w:r>
        <w:rPr>
          <w:rFonts w:ascii="Arial" w:cs="Arial" w:eastAsia="Arial" w:hAnsi="Arial"/>
          <w:sz w:val="13"/>
          <w:szCs w:val="13"/>
          <w:color w:val="auto"/>
        </w:rPr>
        <w:t>Dr. Bershad owns 1.37% of the shares outstanding on March 24, 2026.</w:t>
      </w:r>
    </w:p>
    <w:p>
      <w:pPr>
        <w:spacing w:after="0" w:line="84" w:lineRule="exact"/>
        <w:rPr>
          <w:sz w:val="20"/>
          <w:szCs w:val="20"/>
          <w:color w:val="auto"/>
        </w:rPr>
      </w:pPr>
    </w:p>
    <w:p>
      <w:pPr>
        <w:ind w:left="202" w:hanging="202"/>
        <w:spacing w:after="0"/>
        <w:tabs>
          <w:tab w:leader="none" w:pos="202" w:val="left"/>
        </w:tabs>
        <w:numPr>
          <w:ilvl w:val="0"/>
          <w:numId w:val="85"/>
        </w:numPr>
        <w:rPr>
          <w:rFonts w:ascii="Arial" w:cs="Arial" w:eastAsia="Arial" w:hAnsi="Arial"/>
          <w:sz w:val="13"/>
          <w:szCs w:val="13"/>
          <w:color w:val="auto"/>
        </w:rPr>
      </w:pPr>
      <w:r>
        <w:rPr>
          <w:rFonts w:ascii="Arial" w:cs="Arial" w:eastAsia="Arial" w:hAnsi="Arial"/>
          <w:sz w:val="13"/>
          <w:szCs w:val="13"/>
          <w:color w:val="auto"/>
        </w:rPr>
        <w:t>Represents 1.91% of the shares outstanding on March 24, 2026 Percentage of each individual is based on shares outstanding as of March 24, 2026.</w:t>
      </w:r>
    </w:p>
    <w:p>
      <w:pPr>
        <w:spacing w:after="0" w:line="255"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191769"/>
        </w:rPr>
        <w:t>Section 16(A) Beneficial Ownership Reporting Compliance</w:t>
      </w:r>
    </w:p>
    <w:p>
      <w:pPr>
        <w:spacing w:after="0" w:line="89" w:lineRule="exact"/>
        <w:rPr>
          <w:sz w:val="20"/>
          <w:szCs w:val="20"/>
          <w:color w:val="auto"/>
        </w:rPr>
      </w:pPr>
    </w:p>
    <w:p>
      <w:pPr>
        <w:ind w:left="2" w:right="140"/>
        <w:spacing w:after="0" w:line="263" w:lineRule="auto"/>
        <w:rPr>
          <w:sz w:val="20"/>
          <w:szCs w:val="20"/>
          <w:color w:val="auto"/>
        </w:rPr>
      </w:pPr>
      <w:r>
        <w:rPr>
          <w:rFonts w:ascii="Arial" w:cs="Arial" w:eastAsia="Arial" w:hAnsi="Arial"/>
          <w:sz w:val="16"/>
          <w:szCs w:val="16"/>
          <w:color w:val="auto"/>
        </w:rPr>
        <w:t>Under Section 16 of the Securities Exchange Act of 1934, Officers and Directors, and certain beneficial owners of the Company’s equity securities are required to file reports of ownership and changes in ownership with the SEC on specified due dates. Based solely on a review of the copies of these reports furnished to us, we believe that all filing requirements applicable to such Officers and Directors (we are not aware of any five percent holder) were met during 2025 other than as follows. During June 2025, as a result of the passing of a third party, Dr. Bershad and his spouse became co-trustees of a trust that holds shares of the Company’s common stock. Although Dr. Bershad disclaims beneficial ownership of these shares except to the extent of his pecuniary interest therein, he was required under Section 16 to report such shares as having been acquired by him during June 2025. Dr. Bershad filed a Form 4 reporting the acquisition of such shares by virtue of his and his spouse becoming co-trustees of a trust in the first quarter of 2026.</w:t>
      </w:r>
    </w:p>
    <w:p>
      <w:pPr>
        <w:spacing w:after="0" w:line="200" w:lineRule="exact"/>
        <w:rPr>
          <w:sz w:val="20"/>
          <w:szCs w:val="20"/>
          <w:color w:val="auto"/>
        </w:rPr>
      </w:pPr>
    </w:p>
    <w:p>
      <w:pPr>
        <w:spacing w:after="0" w:line="240" w:lineRule="exact"/>
        <w:rPr>
          <w:sz w:val="20"/>
          <w:szCs w:val="20"/>
          <w:color w:val="auto"/>
        </w:rPr>
      </w:pPr>
    </w:p>
    <w:tbl>
      <w:tblPr>
        <w:tblLayout w:type="fixed"/>
        <w:tblInd w:w="2" w:type="dxa"/>
        <w:tblCellMar>
          <w:top w:w="0" w:type="dxa"/>
          <w:left w:w="0" w:type="dxa"/>
          <w:bottom w:w="0" w:type="dxa"/>
          <w:right w:w="0" w:type="dxa"/>
        </w:tblCellMar>
      </w:tblPr>
      <w:tr>
        <w:trPr>
          <w:trHeight w:val="209"/>
        </w:trPr>
        <w:tc>
          <w:tcPr>
            <w:tcW w:w="10860" w:type="dxa"/>
            <w:vAlign w:val="bottom"/>
            <w:tcBorders>
              <w:right w:val="single" w:sz="8" w:color="00AEEF"/>
            </w:tcBorders>
          </w:tcPr>
          <w:p>
            <w:pPr>
              <w:ind w:left="9420"/>
              <w:spacing w:after="0"/>
              <w:rPr>
                <w:sz w:val="20"/>
                <w:szCs w:val="20"/>
                <w:color w:val="auto"/>
              </w:rPr>
            </w:pPr>
            <w:r>
              <w:rPr>
                <w:rFonts w:ascii="Arial" w:cs="Arial" w:eastAsia="Arial" w:hAnsi="Arial"/>
                <w:sz w:val="13"/>
                <w:szCs w:val="13"/>
                <w:b w:val="1"/>
                <w:bCs w:val="1"/>
                <w:color w:val="191769"/>
              </w:rPr>
              <w:t xml:space="preserve">2026 </w:t>
            </w:r>
            <w:r>
              <w:rPr>
                <w:rFonts w:ascii="Arial" w:cs="Arial" w:eastAsia="Arial" w:hAnsi="Arial"/>
                <w:sz w:val="13"/>
                <w:szCs w:val="13"/>
                <w:color w:val="000000"/>
              </w:rPr>
              <w:t>Proxy Statement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191769"/>
              </w:rPr>
              <w:t>65</w:t>
            </w:r>
          </w:p>
        </w:tc>
      </w:tr>
      <w:tr>
        <w:trPr>
          <w:trHeight w:val="312"/>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-27940</wp:posOffset>
            </wp:positionV>
            <wp:extent cx="33020" cy="412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2"/>
          </w:cols>
          <w:pgMar w:left="318" w:top="1093" w:right="339" w:bottom="1440" w:gutter="0" w:footer="0" w:header="0"/>
        </w:sectPr>
      </w:pPr>
    </w:p>
    <w:bookmarkStart w:id="67" w:name="page68"/>
    <w:bookmarkEnd w:id="67"/>
    <w:p>
      <w:pPr>
        <w:ind w:left="2"/>
        <w:spacing w:after="0"/>
        <w:rPr>
          <w:sz w:val="20"/>
          <w:szCs w:val="20"/>
          <w:color w:val="auto"/>
        </w:rPr>
      </w:pPr>
      <w:r>
        <w:rPr>
          <w:rFonts w:ascii="Arial" w:cs="Arial" w:eastAsia="Arial" w:hAnsi="Arial"/>
          <w:sz w:val="14"/>
          <w:szCs w:val="14"/>
          <w:b w:val="1"/>
          <w:bCs w:val="1"/>
          <w:color w:val="191769"/>
        </w:rPr>
        <w:t>Security Ownership and Other Matters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191769"/>
        </w:rPr>
        <w:t>Other Security Holders</w:t>
      </w:r>
    </w:p>
    <w:p>
      <w:pPr>
        <w:spacing w:after="0" w:line="102" w:lineRule="exact"/>
        <w:rPr>
          <w:sz w:val="20"/>
          <w:szCs w:val="20"/>
          <w:color w:val="auto"/>
        </w:rPr>
      </w:pPr>
    </w:p>
    <w:p>
      <w:pPr>
        <w:ind w:left="2" w:right="520"/>
        <w:spacing w:after="0" w:line="292" w:lineRule="auto"/>
        <w:rPr>
          <w:sz w:val="20"/>
          <w:szCs w:val="20"/>
          <w:color w:val="auto"/>
        </w:rPr>
      </w:pPr>
      <w:r>
        <w:rPr>
          <w:rFonts w:ascii="Arial" w:cs="Arial" w:eastAsia="Arial" w:hAnsi="Arial"/>
          <w:sz w:val="16"/>
          <w:szCs w:val="16"/>
          <w:color w:val="auto"/>
        </w:rPr>
        <w:t>The following table sets forth as of March 24, 2026, certain information with respect to the beneficial ownership of shares of Common Stock by each person or group we know to beneficially own more than five percent of the outstanding shares of such stock.</w:t>
      </w:r>
      <w:r>
        <w:rPr>
          <w:rFonts w:ascii="Arial" w:cs="Arial" w:eastAsia="Arial" w:hAnsi="Arial"/>
          <w:sz w:val="21"/>
          <w:szCs w:val="21"/>
          <w:color w:val="auto"/>
          <w:vertAlign w:val="superscript"/>
        </w:rPr>
        <w:t>(1)</w:t>
      </w:r>
    </w:p>
    <w:p>
      <w:pPr>
        <w:spacing w:after="0" w:line="70" w:lineRule="exact"/>
        <w:rPr>
          <w:sz w:val="20"/>
          <w:szCs w:val="20"/>
          <w:color w:val="auto"/>
        </w:rPr>
      </w:pPr>
    </w:p>
    <w:tbl>
      <w:tblPr>
        <w:tblLayout w:type="fixed"/>
        <w:tblInd w:w="2" w:type="dxa"/>
        <w:tblCellMar>
          <w:top w:w="0" w:type="dxa"/>
          <w:left w:w="0" w:type="dxa"/>
          <w:bottom w:w="0" w:type="dxa"/>
          <w:right w:w="0" w:type="dxa"/>
        </w:tblCellMar>
      </w:tblPr>
      <w:tr>
        <w:trPr>
          <w:trHeight w:val="186"/>
        </w:trPr>
        <w:tc>
          <w:tcPr>
            <w:tcW w:w="5720" w:type="dxa"/>
            <w:vAlign w:val="bottom"/>
            <w:tcBorders>
              <w:bottom w:val="single" w:sz="8" w:color="00AEEF"/>
            </w:tcBorders>
          </w:tcPr>
          <w:p>
            <w:pPr>
              <w:ind w:left="20"/>
              <w:spacing w:after="0"/>
              <w:rPr>
                <w:sz w:val="20"/>
                <w:szCs w:val="20"/>
                <w:color w:val="auto"/>
              </w:rPr>
            </w:pPr>
            <w:r>
              <w:rPr>
                <w:rFonts w:ascii="Arial" w:cs="Arial" w:eastAsia="Arial" w:hAnsi="Arial"/>
                <w:sz w:val="13"/>
                <w:szCs w:val="13"/>
                <w:b w:val="1"/>
                <w:bCs w:val="1"/>
                <w:color w:val="191769"/>
              </w:rPr>
              <w:t>Name and Address of Beneficial Owners</w:t>
            </w:r>
          </w:p>
        </w:tc>
        <w:tc>
          <w:tcPr>
            <w:tcW w:w="4060" w:type="dxa"/>
            <w:vAlign w:val="bottom"/>
            <w:tcBorders>
              <w:bottom w:val="single" w:sz="8" w:color="00AEEF"/>
            </w:tcBorders>
          </w:tcPr>
          <w:p>
            <w:pPr>
              <w:jc w:val="right"/>
              <w:ind w:right="362"/>
              <w:spacing w:after="0"/>
              <w:rPr>
                <w:sz w:val="20"/>
                <w:szCs w:val="20"/>
                <w:color w:val="auto"/>
              </w:rPr>
            </w:pPr>
            <w:r>
              <w:rPr>
                <w:rFonts w:ascii="Arial" w:cs="Arial" w:eastAsia="Arial" w:hAnsi="Arial"/>
                <w:sz w:val="13"/>
                <w:szCs w:val="13"/>
                <w:b w:val="1"/>
                <w:bCs w:val="1"/>
                <w:color w:val="191769"/>
              </w:rPr>
              <w:t>Number of Shares</w:t>
            </w:r>
          </w:p>
        </w:tc>
        <w:tc>
          <w:tcPr>
            <w:tcW w:w="1460" w:type="dxa"/>
            <w:vAlign w:val="bottom"/>
            <w:tcBorders>
              <w:bottom w:val="single" w:sz="8" w:color="00AEEF"/>
            </w:tcBorders>
          </w:tcPr>
          <w:p>
            <w:pPr>
              <w:jc w:val="right"/>
              <w:spacing w:after="0"/>
              <w:rPr>
                <w:sz w:val="20"/>
                <w:szCs w:val="20"/>
                <w:color w:val="auto"/>
              </w:rPr>
            </w:pPr>
            <w:r>
              <w:rPr>
                <w:rFonts w:ascii="Arial" w:cs="Arial" w:eastAsia="Arial" w:hAnsi="Arial"/>
                <w:sz w:val="13"/>
                <w:szCs w:val="13"/>
                <w:b w:val="1"/>
                <w:bCs w:val="1"/>
                <w:color w:val="191769"/>
              </w:rPr>
              <w:t>Percent of Class</w:t>
            </w:r>
          </w:p>
        </w:tc>
      </w:tr>
      <w:tr>
        <w:trPr>
          <w:trHeight w:val="204"/>
        </w:trPr>
        <w:tc>
          <w:tcPr>
            <w:tcW w:w="5720" w:type="dxa"/>
            <w:vAlign w:val="bottom"/>
          </w:tcPr>
          <w:p>
            <w:pPr>
              <w:ind w:left="20"/>
              <w:spacing w:after="0"/>
              <w:rPr>
                <w:sz w:val="20"/>
                <w:szCs w:val="20"/>
                <w:color w:val="auto"/>
              </w:rPr>
            </w:pPr>
            <w:r>
              <w:rPr>
                <w:rFonts w:ascii="Arial" w:cs="Arial" w:eastAsia="Arial" w:hAnsi="Arial"/>
                <w:sz w:val="16"/>
                <w:szCs w:val="16"/>
                <w:color w:val="auto"/>
              </w:rPr>
              <w:t>BlackRock Inc.</w:t>
            </w:r>
          </w:p>
        </w:tc>
        <w:tc>
          <w:tcPr>
            <w:tcW w:w="4060" w:type="dxa"/>
            <w:vAlign w:val="bottom"/>
          </w:tcPr>
          <w:p>
            <w:pPr>
              <w:jc w:val="right"/>
              <w:ind w:right="362"/>
              <w:spacing w:after="0" w:line="204" w:lineRule="exact"/>
              <w:rPr>
                <w:sz w:val="20"/>
                <w:szCs w:val="20"/>
                <w:color w:val="auto"/>
              </w:rPr>
            </w:pPr>
            <w:r>
              <w:rPr>
                <w:rFonts w:ascii="Arial" w:cs="Arial" w:eastAsia="Arial" w:hAnsi="Arial"/>
                <w:sz w:val="16"/>
                <w:szCs w:val="16"/>
                <w:color w:val="auto"/>
              </w:rPr>
              <w:t>3,222,193</w:t>
            </w:r>
            <w:r>
              <w:rPr>
                <w:rFonts w:ascii="Arial" w:cs="Arial" w:eastAsia="Arial" w:hAnsi="Arial"/>
                <w:sz w:val="21"/>
                <w:szCs w:val="21"/>
                <w:color w:val="auto"/>
                <w:vertAlign w:val="superscript"/>
              </w:rPr>
              <w:t>(2)</w:t>
            </w:r>
          </w:p>
        </w:tc>
        <w:tc>
          <w:tcPr>
            <w:tcW w:w="146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197"/>
        </w:trPr>
        <w:tc>
          <w:tcPr>
            <w:tcW w:w="5720" w:type="dxa"/>
            <w:vAlign w:val="bottom"/>
          </w:tcPr>
          <w:p>
            <w:pPr>
              <w:ind w:left="20"/>
              <w:spacing w:after="0"/>
              <w:rPr>
                <w:sz w:val="20"/>
                <w:szCs w:val="20"/>
                <w:color w:val="auto"/>
              </w:rPr>
            </w:pPr>
            <w:r>
              <w:rPr>
                <w:rFonts w:ascii="Arial" w:cs="Arial" w:eastAsia="Arial" w:hAnsi="Arial"/>
                <w:sz w:val="16"/>
                <w:szCs w:val="16"/>
                <w:color w:val="auto"/>
              </w:rPr>
              <w:t>50 Hudson Yards</w:t>
            </w:r>
          </w:p>
        </w:tc>
        <w:tc>
          <w:tcPr>
            <w:tcW w:w="40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5720" w:type="dxa"/>
            <w:vAlign w:val="bottom"/>
          </w:tcPr>
          <w:p>
            <w:pPr>
              <w:ind w:left="20"/>
              <w:spacing w:after="0"/>
              <w:rPr>
                <w:sz w:val="20"/>
                <w:szCs w:val="20"/>
                <w:color w:val="auto"/>
              </w:rPr>
            </w:pPr>
            <w:r>
              <w:rPr>
                <w:rFonts w:ascii="Arial" w:cs="Arial" w:eastAsia="Arial" w:hAnsi="Arial"/>
                <w:sz w:val="16"/>
                <w:szCs w:val="16"/>
                <w:color w:val="auto"/>
              </w:rPr>
              <w:t>New York, NY 10001</w:t>
            </w:r>
          </w:p>
        </w:tc>
        <w:tc>
          <w:tcPr>
            <w:tcW w:w="40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
        </w:trPr>
        <w:tc>
          <w:tcPr>
            <w:tcW w:w="5720" w:type="dxa"/>
            <w:vAlign w:val="bottom"/>
            <w:tcBorders>
              <w:bottom w:val="single" w:sz="8" w:color="D9D9D9"/>
            </w:tcBorders>
          </w:tcPr>
          <w:p>
            <w:pPr>
              <w:spacing w:after="0" w:line="20" w:lineRule="exact"/>
              <w:rPr>
                <w:sz w:val="1"/>
                <w:szCs w:val="1"/>
                <w:color w:val="auto"/>
              </w:rPr>
            </w:pPr>
          </w:p>
        </w:tc>
        <w:tc>
          <w:tcPr>
            <w:tcW w:w="4060" w:type="dxa"/>
            <w:vAlign w:val="bottom"/>
            <w:tcBorders>
              <w:bottom w:val="single" w:sz="8" w:color="D9D9D9"/>
            </w:tcBorders>
          </w:tcPr>
          <w:p>
            <w:pPr>
              <w:spacing w:after="0" w:line="20" w:lineRule="exact"/>
              <w:rPr>
                <w:sz w:val="1"/>
                <w:szCs w:val="1"/>
                <w:color w:val="auto"/>
              </w:rPr>
            </w:pPr>
          </w:p>
        </w:tc>
        <w:tc>
          <w:tcPr>
            <w:tcW w:w="1460" w:type="dxa"/>
            <w:vAlign w:val="bottom"/>
            <w:tcBorders>
              <w:bottom w:val="single" w:sz="8" w:color="D9D9D9"/>
            </w:tcBorders>
          </w:tcPr>
          <w:p>
            <w:pPr>
              <w:spacing w:after="0" w:line="20" w:lineRule="exact"/>
              <w:rPr>
                <w:sz w:val="1"/>
                <w:szCs w:val="1"/>
                <w:color w:val="auto"/>
              </w:rPr>
            </w:pPr>
          </w:p>
        </w:tc>
      </w:tr>
      <w:tr>
        <w:trPr>
          <w:trHeight w:val="197"/>
        </w:trPr>
        <w:tc>
          <w:tcPr>
            <w:tcW w:w="5720" w:type="dxa"/>
            <w:vAlign w:val="bottom"/>
          </w:tcPr>
          <w:p>
            <w:pPr>
              <w:ind w:left="20"/>
              <w:spacing w:after="0"/>
              <w:rPr>
                <w:sz w:val="20"/>
                <w:szCs w:val="20"/>
                <w:color w:val="auto"/>
              </w:rPr>
            </w:pPr>
            <w:r>
              <w:rPr>
                <w:rFonts w:ascii="Arial" w:cs="Arial" w:eastAsia="Arial" w:hAnsi="Arial"/>
                <w:sz w:val="16"/>
                <w:szCs w:val="16"/>
                <w:color w:val="auto"/>
              </w:rPr>
              <w:t>T. Rowe Price Investment Management, Inc.</w:t>
            </w:r>
          </w:p>
        </w:tc>
        <w:tc>
          <w:tcPr>
            <w:tcW w:w="4060" w:type="dxa"/>
            <w:vAlign w:val="bottom"/>
          </w:tcPr>
          <w:p>
            <w:pPr>
              <w:jc w:val="right"/>
              <w:ind w:right="362"/>
              <w:spacing w:after="0" w:line="197" w:lineRule="exact"/>
              <w:rPr>
                <w:sz w:val="20"/>
                <w:szCs w:val="20"/>
                <w:color w:val="auto"/>
              </w:rPr>
            </w:pPr>
            <w:r>
              <w:rPr>
                <w:rFonts w:ascii="Arial" w:cs="Arial" w:eastAsia="Arial" w:hAnsi="Arial"/>
                <w:sz w:val="16"/>
                <w:szCs w:val="16"/>
                <w:color w:val="auto"/>
              </w:rPr>
              <w:t>1,636,213</w:t>
            </w:r>
            <w:r>
              <w:rPr>
                <w:rFonts w:ascii="Arial" w:cs="Arial" w:eastAsia="Arial" w:hAnsi="Arial"/>
                <w:sz w:val="21"/>
                <w:szCs w:val="21"/>
                <w:color w:val="auto"/>
                <w:vertAlign w:val="superscript"/>
              </w:rPr>
              <w:t>(3)</w:t>
            </w:r>
          </w:p>
        </w:tc>
        <w:tc>
          <w:tcPr>
            <w:tcW w:w="1460" w:type="dxa"/>
            <w:vAlign w:val="bottom"/>
          </w:tcPr>
          <w:p>
            <w:pPr>
              <w:jc w:val="right"/>
              <w:spacing w:after="0"/>
              <w:rPr>
                <w:sz w:val="20"/>
                <w:szCs w:val="20"/>
                <w:color w:val="auto"/>
              </w:rPr>
            </w:pPr>
            <w:r>
              <w:rPr>
                <w:rFonts w:ascii="Arial" w:cs="Arial" w:eastAsia="Arial" w:hAnsi="Arial"/>
                <w:sz w:val="16"/>
                <w:szCs w:val="16"/>
                <w:color w:val="auto"/>
              </w:rPr>
              <w:t>9.10%</w:t>
            </w:r>
          </w:p>
        </w:tc>
      </w:tr>
      <w:tr>
        <w:trPr>
          <w:trHeight w:val="197"/>
        </w:trPr>
        <w:tc>
          <w:tcPr>
            <w:tcW w:w="5720" w:type="dxa"/>
            <w:vAlign w:val="bottom"/>
          </w:tcPr>
          <w:p>
            <w:pPr>
              <w:ind w:left="20"/>
              <w:spacing w:after="0"/>
              <w:rPr>
                <w:sz w:val="20"/>
                <w:szCs w:val="20"/>
                <w:color w:val="auto"/>
              </w:rPr>
            </w:pPr>
            <w:r>
              <w:rPr>
                <w:rFonts w:ascii="Arial" w:cs="Arial" w:eastAsia="Arial" w:hAnsi="Arial"/>
                <w:sz w:val="16"/>
                <w:szCs w:val="16"/>
                <w:color w:val="auto"/>
              </w:rPr>
              <w:t>101 E. Pratt Street</w:t>
            </w:r>
          </w:p>
        </w:tc>
        <w:tc>
          <w:tcPr>
            <w:tcW w:w="40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5720" w:type="dxa"/>
            <w:vAlign w:val="bottom"/>
          </w:tcPr>
          <w:p>
            <w:pPr>
              <w:ind w:left="20"/>
              <w:spacing w:after="0"/>
              <w:rPr>
                <w:sz w:val="20"/>
                <w:szCs w:val="20"/>
                <w:color w:val="auto"/>
              </w:rPr>
            </w:pPr>
            <w:r>
              <w:rPr>
                <w:rFonts w:ascii="Arial" w:cs="Arial" w:eastAsia="Arial" w:hAnsi="Arial"/>
                <w:sz w:val="16"/>
                <w:szCs w:val="16"/>
                <w:color w:val="auto"/>
              </w:rPr>
              <w:t>Baltimore, MD 21201</w:t>
            </w:r>
          </w:p>
        </w:tc>
        <w:tc>
          <w:tcPr>
            <w:tcW w:w="40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
        </w:trPr>
        <w:tc>
          <w:tcPr>
            <w:tcW w:w="5720" w:type="dxa"/>
            <w:vAlign w:val="bottom"/>
            <w:tcBorders>
              <w:bottom w:val="single" w:sz="8" w:color="D9D9D9"/>
            </w:tcBorders>
          </w:tcPr>
          <w:p>
            <w:pPr>
              <w:spacing w:after="0" w:line="20" w:lineRule="exact"/>
              <w:rPr>
                <w:sz w:val="1"/>
                <w:szCs w:val="1"/>
                <w:color w:val="auto"/>
              </w:rPr>
            </w:pPr>
          </w:p>
        </w:tc>
        <w:tc>
          <w:tcPr>
            <w:tcW w:w="4060" w:type="dxa"/>
            <w:vAlign w:val="bottom"/>
            <w:tcBorders>
              <w:bottom w:val="single" w:sz="8" w:color="D9D9D9"/>
            </w:tcBorders>
          </w:tcPr>
          <w:p>
            <w:pPr>
              <w:spacing w:after="0" w:line="20" w:lineRule="exact"/>
              <w:rPr>
                <w:sz w:val="1"/>
                <w:szCs w:val="1"/>
                <w:color w:val="auto"/>
              </w:rPr>
            </w:pPr>
          </w:p>
        </w:tc>
        <w:tc>
          <w:tcPr>
            <w:tcW w:w="1460" w:type="dxa"/>
            <w:vAlign w:val="bottom"/>
            <w:tcBorders>
              <w:bottom w:val="single" w:sz="8" w:color="D9D9D9"/>
            </w:tcBorders>
          </w:tcPr>
          <w:p>
            <w:pPr>
              <w:spacing w:after="0" w:line="20" w:lineRule="exact"/>
              <w:rPr>
                <w:sz w:val="1"/>
                <w:szCs w:val="1"/>
                <w:color w:val="auto"/>
              </w:rPr>
            </w:pPr>
          </w:p>
        </w:tc>
      </w:tr>
      <w:tr>
        <w:trPr>
          <w:trHeight w:val="197"/>
        </w:trPr>
        <w:tc>
          <w:tcPr>
            <w:tcW w:w="5720" w:type="dxa"/>
            <w:vAlign w:val="bottom"/>
          </w:tcPr>
          <w:p>
            <w:pPr>
              <w:ind w:left="20"/>
              <w:spacing w:after="0"/>
              <w:rPr>
                <w:sz w:val="20"/>
                <w:szCs w:val="20"/>
                <w:color w:val="auto"/>
              </w:rPr>
            </w:pPr>
            <w:r>
              <w:rPr>
                <w:rFonts w:ascii="Arial" w:cs="Arial" w:eastAsia="Arial" w:hAnsi="Arial"/>
                <w:sz w:val="16"/>
                <w:szCs w:val="16"/>
                <w:color w:val="auto"/>
              </w:rPr>
              <w:t>Neuberger Berman Group LLC</w:t>
            </w:r>
          </w:p>
        </w:tc>
        <w:tc>
          <w:tcPr>
            <w:tcW w:w="4060" w:type="dxa"/>
            <w:vAlign w:val="bottom"/>
          </w:tcPr>
          <w:p>
            <w:pPr>
              <w:jc w:val="right"/>
              <w:ind w:right="362"/>
              <w:spacing w:after="0" w:line="197" w:lineRule="exact"/>
              <w:rPr>
                <w:sz w:val="20"/>
                <w:szCs w:val="20"/>
                <w:color w:val="auto"/>
              </w:rPr>
            </w:pPr>
            <w:r>
              <w:rPr>
                <w:rFonts w:ascii="Arial" w:cs="Arial" w:eastAsia="Arial" w:hAnsi="Arial"/>
                <w:sz w:val="16"/>
                <w:szCs w:val="16"/>
                <w:color w:val="auto"/>
              </w:rPr>
              <w:t>1,011,454</w:t>
            </w:r>
            <w:r>
              <w:rPr>
                <w:rFonts w:ascii="Arial" w:cs="Arial" w:eastAsia="Arial" w:hAnsi="Arial"/>
                <w:sz w:val="21"/>
                <w:szCs w:val="21"/>
                <w:color w:val="auto"/>
                <w:vertAlign w:val="superscript"/>
              </w:rPr>
              <w:t>(4)</w:t>
            </w:r>
          </w:p>
        </w:tc>
        <w:tc>
          <w:tcPr>
            <w:tcW w:w="1460" w:type="dxa"/>
            <w:vAlign w:val="bottom"/>
          </w:tcPr>
          <w:p>
            <w:pPr>
              <w:jc w:val="right"/>
              <w:spacing w:after="0"/>
              <w:rPr>
                <w:sz w:val="20"/>
                <w:szCs w:val="20"/>
                <w:color w:val="auto"/>
              </w:rPr>
            </w:pPr>
            <w:r>
              <w:rPr>
                <w:rFonts w:ascii="Arial" w:cs="Arial" w:eastAsia="Arial" w:hAnsi="Arial"/>
                <w:sz w:val="16"/>
                <w:szCs w:val="16"/>
                <w:color w:val="auto"/>
              </w:rPr>
              <w:t>5.60%</w:t>
            </w:r>
          </w:p>
        </w:tc>
      </w:tr>
      <w:tr>
        <w:trPr>
          <w:trHeight w:val="197"/>
        </w:trPr>
        <w:tc>
          <w:tcPr>
            <w:tcW w:w="5720" w:type="dxa"/>
            <w:vAlign w:val="bottom"/>
          </w:tcPr>
          <w:p>
            <w:pPr>
              <w:ind w:left="20"/>
              <w:spacing w:after="0"/>
              <w:rPr>
                <w:sz w:val="20"/>
                <w:szCs w:val="20"/>
                <w:color w:val="auto"/>
              </w:rPr>
            </w:pPr>
            <w:r>
              <w:rPr>
                <w:rFonts w:ascii="Arial" w:cs="Arial" w:eastAsia="Arial" w:hAnsi="Arial"/>
                <w:sz w:val="16"/>
                <w:szCs w:val="16"/>
                <w:color w:val="auto"/>
              </w:rPr>
              <w:t>1290 Avenue of the Americas</w:t>
            </w:r>
          </w:p>
        </w:tc>
        <w:tc>
          <w:tcPr>
            <w:tcW w:w="40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5720" w:type="dxa"/>
            <w:vAlign w:val="bottom"/>
          </w:tcPr>
          <w:p>
            <w:pPr>
              <w:ind w:left="20"/>
              <w:spacing w:after="0"/>
              <w:rPr>
                <w:sz w:val="20"/>
                <w:szCs w:val="20"/>
                <w:color w:val="auto"/>
              </w:rPr>
            </w:pPr>
            <w:r>
              <w:rPr>
                <w:rFonts w:ascii="Arial" w:cs="Arial" w:eastAsia="Arial" w:hAnsi="Arial"/>
                <w:sz w:val="16"/>
                <w:szCs w:val="16"/>
                <w:color w:val="auto"/>
              </w:rPr>
              <w:t>New York, NY 10104</w:t>
            </w:r>
          </w:p>
        </w:tc>
        <w:tc>
          <w:tcPr>
            <w:tcW w:w="40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
        </w:trPr>
        <w:tc>
          <w:tcPr>
            <w:tcW w:w="5720" w:type="dxa"/>
            <w:vAlign w:val="bottom"/>
            <w:tcBorders>
              <w:bottom w:val="single" w:sz="8" w:color="00AEEF"/>
            </w:tcBorders>
          </w:tcPr>
          <w:p>
            <w:pPr>
              <w:spacing w:after="0" w:line="20" w:lineRule="exact"/>
              <w:rPr>
                <w:sz w:val="1"/>
                <w:szCs w:val="1"/>
                <w:color w:val="auto"/>
              </w:rPr>
            </w:pPr>
          </w:p>
        </w:tc>
        <w:tc>
          <w:tcPr>
            <w:tcW w:w="4060" w:type="dxa"/>
            <w:vAlign w:val="bottom"/>
            <w:tcBorders>
              <w:bottom w:val="single" w:sz="8" w:color="00AEEF"/>
            </w:tcBorders>
          </w:tcPr>
          <w:p>
            <w:pPr>
              <w:spacing w:after="0" w:line="20" w:lineRule="exact"/>
              <w:rPr>
                <w:sz w:val="1"/>
                <w:szCs w:val="1"/>
                <w:color w:val="auto"/>
              </w:rPr>
            </w:pPr>
          </w:p>
        </w:tc>
        <w:tc>
          <w:tcPr>
            <w:tcW w:w="1460" w:type="dxa"/>
            <w:vAlign w:val="bottom"/>
            <w:tcBorders>
              <w:bottom w:val="single" w:sz="8" w:color="00AEEF"/>
            </w:tcBorders>
          </w:tcPr>
          <w:p>
            <w:pPr>
              <w:spacing w:after="0" w:line="20" w:lineRule="exact"/>
              <w:rPr>
                <w:sz w:val="1"/>
                <w:szCs w:val="1"/>
                <w:color w:val="auto"/>
              </w:rPr>
            </w:pPr>
          </w:p>
        </w:tc>
      </w:tr>
    </w:tbl>
    <w:p>
      <w:pPr>
        <w:spacing w:after="0" w:line="128" w:lineRule="exact"/>
        <w:rPr>
          <w:sz w:val="20"/>
          <w:szCs w:val="20"/>
          <w:color w:val="auto"/>
        </w:rPr>
      </w:pPr>
    </w:p>
    <w:p>
      <w:pPr>
        <w:ind w:left="242" w:right="80" w:hanging="242"/>
        <w:spacing w:after="0" w:line="266" w:lineRule="auto"/>
        <w:tabs>
          <w:tab w:leader="none" w:pos="257" w:val="left"/>
        </w:tabs>
        <w:numPr>
          <w:ilvl w:val="0"/>
          <w:numId w:val="86"/>
        </w:numPr>
        <w:rPr>
          <w:rFonts w:ascii="Arial" w:cs="Arial" w:eastAsia="Arial" w:hAnsi="Arial"/>
          <w:sz w:val="9"/>
          <w:szCs w:val="9"/>
          <w:color w:val="auto"/>
        </w:rPr>
      </w:pPr>
      <w:r>
        <w:rPr>
          <w:rFonts w:ascii="Arial" w:cs="Arial" w:eastAsia="Arial" w:hAnsi="Arial"/>
          <w:sz w:val="13"/>
          <w:szCs w:val="13"/>
          <w:color w:val="auto"/>
        </w:rPr>
        <w:t>Based on a Schedule 13G/A filed with the SEC on February 13, 2024, The Vanguard Group previously reported beneficial ownership of approximately 1,427,157 shares of the Common Stock. On March 27, 2026, The Vanguard Group filed an amended Schedule 13G/A reporting it did not beneficially own any shares of Common Stock. According to the filing, on January 12, 2026, The Vanguard Group underwent an internal realignment pursuant to which, certain of its subsidiaries and business divisions will report beneficial ownership of Company securities separately on a disaggregated basis. As a result, The Vanguard Group is no longer deemed to beneficially own shares held by such subsidiaries and business divisions. As of the Record Date of this proxy statement, no Vanguard subsidiary or business division filed a Schedule 13G or 13D with the SEC reporting beneficial ownership of 5% or more of the Common Stock.</w:t>
      </w:r>
    </w:p>
    <w:p>
      <w:pPr>
        <w:spacing w:after="0" w:line="10" w:lineRule="exact"/>
        <w:rPr>
          <w:rFonts w:ascii="Arial" w:cs="Arial" w:eastAsia="Arial" w:hAnsi="Arial"/>
          <w:sz w:val="9"/>
          <w:szCs w:val="9"/>
          <w:color w:val="auto"/>
        </w:rPr>
      </w:pPr>
    </w:p>
    <w:p>
      <w:pPr>
        <w:ind w:left="262" w:hanging="262"/>
        <w:spacing w:after="0"/>
        <w:tabs>
          <w:tab w:leader="none" w:pos="262" w:val="left"/>
        </w:tabs>
        <w:numPr>
          <w:ilvl w:val="0"/>
          <w:numId w:val="86"/>
        </w:numPr>
        <w:rPr>
          <w:rFonts w:ascii="Arial" w:cs="Arial" w:eastAsia="Arial" w:hAnsi="Arial"/>
          <w:sz w:val="17"/>
          <w:szCs w:val="17"/>
          <w:color w:val="auto"/>
          <w:vertAlign w:val="superscript"/>
        </w:rPr>
      </w:pPr>
      <w:r>
        <w:rPr>
          <w:rFonts w:ascii="Arial" w:cs="Arial" w:eastAsia="Arial" w:hAnsi="Arial"/>
          <w:sz w:val="13"/>
          <w:szCs w:val="13"/>
          <w:color w:val="auto"/>
        </w:rPr>
        <w:t>This information is based on a Schedule 13G Combined filed with the SEC on April 17, 2025.</w:t>
      </w:r>
    </w:p>
    <w:p>
      <w:pPr>
        <w:spacing w:after="0" w:line="50" w:lineRule="exact"/>
        <w:rPr>
          <w:rFonts w:ascii="Arial" w:cs="Arial" w:eastAsia="Arial" w:hAnsi="Arial"/>
          <w:sz w:val="17"/>
          <w:szCs w:val="17"/>
          <w:color w:val="auto"/>
          <w:vertAlign w:val="superscript"/>
        </w:rPr>
      </w:pPr>
    </w:p>
    <w:p>
      <w:pPr>
        <w:ind w:left="262" w:hanging="262"/>
        <w:spacing w:after="0" w:line="209" w:lineRule="auto"/>
        <w:tabs>
          <w:tab w:leader="none" w:pos="262" w:val="left"/>
        </w:tabs>
        <w:numPr>
          <w:ilvl w:val="0"/>
          <w:numId w:val="86"/>
        </w:numPr>
        <w:rPr>
          <w:rFonts w:ascii="Arial" w:cs="Arial" w:eastAsia="Arial" w:hAnsi="Arial"/>
          <w:sz w:val="17"/>
          <w:szCs w:val="17"/>
          <w:color w:val="auto"/>
          <w:vertAlign w:val="superscript"/>
        </w:rPr>
      </w:pPr>
      <w:r>
        <w:rPr>
          <w:rFonts w:ascii="Arial" w:cs="Arial" w:eastAsia="Arial" w:hAnsi="Arial"/>
          <w:sz w:val="13"/>
          <w:szCs w:val="13"/>
          <w:color w:val="auto"/>
        </w:rPr>
        <w:t>This information is based on a Schedule 13G Combined filed with the SEC on November 14, 2025.</w:t>
      </w:r>
    </w:p>
    <w:p>
      <w:pPr>
        <w:spacing w:after="0" w:line="51" w:lineRule="exact"/>
        <w:rPr>
          <w:rFonts w:ascii="Arial" w:cs="Arial" w:eastAsia="Arial" w:hAnsi="Arial"/>
          <w:sz w:val="17"/>
          <w:szCs w:val="17"/>
          <w:color w:val="auto"/>
          <w:vertAlign w:val="superscript"/>
        </w:rPr>
      </w:pPr>
    </w:p>
    <w:p>
      <w:pPr>
        <w:ind w:left="262" w:hanging="262"/>
        <w:spacing w:after="0" w:line="209" w:lineRule="auto"/>
        <w:tabs>
          <w:tab w:leader="none" w:pos="262" w:val="left"/>
        </w:tabs>
        <w:numPr>
          <w:ilvl w:val="0"/>
          <w:numId w:val="86"/>
        </w:numPr>
        <w:rPr>
          <w:rFonts w:ascii="Arial" w:cs="Arial" w:eastAsia="Arial" w:hAnsi="Arial"/>
          <w:sz w:val="17"/>
          <w:szCs w:val="17"/>
          <w:color w:val="auto"/>
          <w:vertAlign w:val="superscript"/>
        </w:rPr>
      </w:pPr>
      <w:r>
        <w:rPr>
          <w:rFonts w:ascii="Arial" w:cs="Arial" w:eastAsia="Arial" w:hAnsi="Arial"/>
          <w:sz w:val="13"/>
          <w:szCs w:val="13"/>
          <w:color w:val="auto"/>
        </w:rPr>
        <w:t>This information is based on a Schedule 13G Combined file with the SEC on October 14, 2025.</w:t>
      </w:r>
    </w:p>
    <w:p>
      <w:pPr>
        <w:spacing w:after="0" w:line="236" w:lineRule="exact"/>
        <w:rPr>
          <w:sz w:val="20"/>
          <w:szCs w:val="20"/>
          <w:color w:val="auto"/>
        </w:rPr>
      </w:pPr>
    </w:p>
    <w:p>
      <w:pPr>
        <w:ind w:left="2"/>
        <w:spacing w:after="0"/>
        <w:rPr>
          <w:sz w:val="20"/>
          <w:szCs w:val="20"/>
          <w:color w:val="auto"/>
        </w:rPr>
      </w:pPr>
      <w:r>
        <w:rPr>
          <w:rFonts w:ascii="Arial" w:cs="Arial" w:eastAsia="Arial" w:hAnsi="Arial"/>
          <w:sz w:val="36"/>
          <w:szCs w:val="36"/>
          <w:b w:val="1"/>
          <w:bCs w:val="1"/>
          <w:color w:val="0076A8"/>
        </w:rPr>
        <w:t>Other Matters</w:t>
      </w:r>
    </w:p>
    <w:p>
      <w:pPr>
        <w:spacing w:after="0" w:line="191" w:lineRule="exact"/>
        <w:rPr>
          <w:sz w:val="20"/>
          <w:szCs w:val="20"/>
          <w:color w:val="auto"/>
        </w:rPr>
      </w:pPr>
    </w:p>
    <w:p>
      <w:pPr>
        <w:ind w:left="2" w:right="140"/>
        <w:spacing w:after="0" w:line="278" w:lineRule="auto"/>
        <w:rPr>
          <w:sz w:val="20"/>
          <w:szCs w:val="20"/>
          <w:color w:val="auto"/>
        </w:rPr>
      </w:pPr>
      <w:r>
        <w:rPr>
          <w:rFonts w:ascii="Arial" w:cs="Arial" w:eastAsia="Arial" w:hAnsi="Arial"/>
          <w:sz w:val="16"/>
          <w:szCs w:val="16"/>
          <w:color w:val="auto"/>
        </w:rPr>
        <w:t>The Board does not intend to bring any other matters before the Annual Meeting and has no reason to believe any will be presented for consideration at the Annual Meeting. If, however, other matters properly do come before the Annual Meeting, it is the intention of the persons named in the accompanying proxy to vote in their discretion on such matters.</w:t>
      </w:r>
    </w:p>
    <w:p>
      <w:pPr>
        <w:spacing w:after="0" w:line="205"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191769"/>
        </w:rPr>
        <w:t>Electronic Access to Proxy Materials and Annual Reports</w:t>
      </w:r>
    </w:p>
    <w:p>
      <w:pPr>
        <w:spacing w:after="0" w:line="102" w:lineRule="exact"/>
        <w:rPr>
          <w:sz w:val="20"/>
          <w:szCs w:val="20"/>
          <w:color w:val="auto"/>
        </w:rPr>
      </w:pPr>
    </w:p>
    <w:p>
      <w:pPr>
        <w:ind w:left="2" w:right="260"/>
        <w:spacing w:after="0" w:line="265" w:lineRule="auto"/>
        <w:rPr>
          <w:sz w:val="20"/>
          <w:szCs w:val="20"/>
          <w:color w:val="auto"/>
        </w:rPr>
      </w:pPr>
      <w:r>
        <w:rPr>
          <w:rFonts w:ascii="Arial" w:cs="Arial" w:eastAsia="Arial" w:hAnsi="Arial"/>
          <w:sz w:val="16"/>
          <w:szCs w:val="16"/>
          <w:color w:val="auto"/>
        </w:rPr>
        <w:t xml:space="preserve">Our Proxy Statement and Annual Report are available at </w:t>
      </w:r>
      <w:r>
        <w:rPr>
          <w:rFonts w:ascii="Arial" w:cs="Arial" w:eastAsia="Arial" w:hAnsi="Arial"/>
          <w:sz w:val="16"/>
          <w:szCs w:val="16"/>
          <w:u w:val="single" w:color="auto"/>
          <w:color w:val="0076A8"/>
        </w:rPr>
        <w:t>www.proxyvote.com</w:t>
      </w:r>
      <w:r>
        <w:rPr>
          <w:rFonts w:ascii="Arial" w:cs="Arial" w:eastAsia="Arial" w:hAnsi="Arial"/>
          <w:sz w:val="16"/>
          <w:szCs w:val="16"/>
          <w:color w:val="auto"/>
        </w:rPr>
        <w:t>. Paper copies of these documents may be requested by contacting our Corporate Secretary in writing at the Office of the Corporate Secretary, Middlesex Water Company, 485C Route 1 South, Suite 400, Iselin, New Jersey 08830. The Company is subject to the informational requirements of the Securities Exchange Act of 1934 and files an Annual Report on Form 10-K with the Securities and Exchange Commission. Additional copies of the 2025 Annual Report on Form 10-K filed by the Company, including the financial statement and schedules, but without exhibits, can be mailed without charge to any shareholders. The exhibits are obtainable from the company upon payment of the reasonable cost of copying such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268605</wp:posOffset>
            </wp:positionV>
            <wp:extent cx="7620" cy="132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20" cy="13271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62" w:hanging="445"/>
        <w:spacing w:after="0"/>
        <w:tabs>
          <w:tab w:leader="none" w:pos="462" w:val="left"/>
        </w:tabs>
        <w:numPr>
          <w:ilvl w:val="0"/>
          <w:numId w:val="87"/>
        </w:numPr>
        <w:rPr>
          <w:rFonts w:ascii="Arial" w:cs="Arial" w:eastAsia="Arial" w:hAnsi="Arial"/>
          <w:sz w:val="13"/>
          <w:szCs w:val="13"/>
          <w:b w:val="1"/>
          <w:bCs w:val="1"/>
          <w:color w:val="191769"/>
        </w:rPr>
      </w:pPr>
      <w:r>
        <w:rPr>
          <w:rFonts w:ascii="Arial" w:cs="Arial" w:eastAsia="Arial" w:hAnsi="Arial"/>
          <w:sz w:val="13"/>
          <w:szCs w:val="13"/>
          <w:color w:val="auto"/>
        </w:rPr>
        <w:t>Middlesex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217805</wp:posOffset>
            </wp:positionV>
            <wp:extent cx="7169785" cy="412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2"/>
          </w:cols>
          <w:pgMar w:left="318" w:top="124" w:right="339" w:bottom="1440"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315595</wp:posOffset>
            </wp:positionV>
            <wp:extent cx="7169785" cy="82283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69785" cy="8228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315595</wp:posOffset>
            </wp:positionV>
            <wp:extent cx="7169785" cy="8165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9785" cy="816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678815</wp:posOffset>
            </wp:positionH>
            <wp:positionV relativeFrom="page">
              <wp:posOffset>315595</wp:posOffset>
            </wp:positionV>
            <wp:extent cx="6190615" cy="80041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6190615" cy="80041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2"/>
      <w:numFmt w:val="bullet"/>
      <w:start w:val="1"/>
    </w:lvl>
  </w:abstractNum>
  <w:abstractNum w:abstractNumId="4">
    <w:nsid w:val="4B588F54"/>
    <w:multiLevelType w:val="hybridMultilevel"/>
    <w:lvl w:ilvl="0">
      <w:lvlJc w:val="left"/>
      <w:lvlText w:val="1"/>
      <w:numFmt w:val="bullet"/>
      <w:start w:val="1"/>
    </w:lvl>
  </w:abstractNum>
  <w:abstractNum w:abstractNumId="5">
    <w:nsid w:val="542289EC"/>
    <w:multiLevelType w:val="hybridMultilevel"/>
    <w:lvl w:ilvl="0">
      <w:lvlJc w:val="left"/>
      <w:lvlText w:val="2"/>
      <w:numFmt w:val="bullet"/>
      <w:start w:val="1"/>
    </w:lvl>
  </w:abstractNum>
  <w:abstractNum w:abstractNumId="6">
    <w:nsid w:val="6DE91B18"/>
    <w:multiLevelType w:val="hybridMultilevel"/>
    <w:lvl w:ilvl="0">
      <w:lvlJc w:val="left"/>
      <w:lvlText w:val="3"/>
      <w:numFmt w:val="bullet"/>
      <w:start w:val="1"/>
    </w:lvl>
  </w:abstractNum>
  <w:abstractNum w:abstractNumId="7">
    <w:nsid w:val="38437FDB"/>
    <w:multiLevelType w:val="hybridMultilevel"/>
    <w:lvl w:ilvl="0">
      <w:lvlJc w:val="left"/>
      <w:lvlText w:val="4"/>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6"/>
      <w:numFmt w:val="bullet"/>
      <w:start w:val="1"/>
    </w:lvl>
  </w:abstractNum>
  <w:abstractNum w:abstractNumId="10">
    <w:nsid w:val="684A481A"/>
    <w:multiLevelType w:val="hybridMultilevel"/>
    <w:lvl w:ilvl="0">
      <w:lvlJc w:val="left"/>
      <w:lvlText w:val="%1."/>
      <w:numFmt w:val="decimal"/>
      <w:start w:val="1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8"/>
      <w:numFmt w:val="bullet"/>
      <w:start w:val="1"/>
    </w:lvl>
  </w:abstractNum>
  <w:abstractNum w:abstractNumId="13">
    <w:nsid w:val="3DC240FB"/>
    <w:multiLevelType w:val="hybridMultilevel"/>
    <w:lvl w:ilvl="0">
      <w:lvlJc w:val="left"/>
      <w:lvlText w:val="%1"/>
      <w:numFmt w:val="decimal"/>
      <w:start w:val="10"/>
    </w:lvl>
  </w:abstractNum>
  <w:abstractNum w:abstractNumId="14">
    <w:nsid w:val="1BA026FA"/>
    <w:multiLevelType w:val="hybridMultilevel"/>
    <w:lvl w:ilvl="0">
      <w:lvlJc w:val="left"/>
      <w:lvlText w:val="%1"/>
      <w:numFmt w:val="decimal"/>
      <w:start w:val="12"/>
    </w:lvl>
  </w:abstractNum>
  <w:abstractNum w:abstractNumId="15">
    <w:nsid w:val="79A1DEAA"/>
    <w:multiLevelType w:val="hybridMultilevel"/>
    <w:lvl w:ilvl="0">
      <w:lvlJc w:val="left"/>
      <w:lvlText w:val="%1"/>
      <w:numFmt w:val="decimal"/>
      <w:start w:val="14"/>
    </w:lvl>
  </w:abstractNum>
  <w:abstractNum w:abstractNumId="16">
    <w:nsid w:val="75C6C33A"/>
    <w:multiLevelType w:val="hybridMultilevel"/>
    <w:lvl w:ilvl="0">
      <w:lvlJc w:val="left"/>
      <w:lvlText w:val="(%1)"/>
      <w:numFmt w:val="decimal"/>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1"/>
      <w:numFmt w:val="decimal"/>
      <w:start w:val="16"/>
    </w:lvl>
  </w:abstractNum>
  <w:abstractNum w:abstractNumId="19">
    <w:nsid w:val="520EEDD1"/>
    <w:multiLevelType w:val="hybridMultilevel"/>
    <w:lvl w:ilvl="0">
      <w:lvlJc w:val="left"/>
      <w:lvlText w:val="%1"/>
      <w:numFmt w:val="decimal"/>
      <w:start w:val="18"/>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1"/>
      <w:numFmt w:val="decimal"/>
      <w:start w:val="20"/>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1"/>
      <w:numFmt w:val="decimal"/>
      <w:start w:val="22"/>
    </w:lvl>
  </w:abstractNum>
  <w:abstractNum w:abstractNumId="29">
    <w:nsid w:val="47398C89"/>
    <w:multiLevelType w:val="hybridMultilevel"/>
    <w:lvl w:ilvl="0">
      <w:lvlJc w:val="left"/>
      <w:lvlText w:val="%1)"/>
      <w:numFmt w:val="lowerLetter"/>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1)"/>
      <w:numFmt w:val="decimal"/>
      <w:start w:val="1"/>
    </w:lvl>
  </w:abstractNum>
  <w:abstractNum w:abstractNumId="32">
    <w:nsid w:val="741226BB"/>
    <w:multiLevelType w:val="hybridMultilevel"/>
    <w:lvl w:ilvl="0">
      <w:lvlJc w:val="left"/>
      <w:lvlText w:val="%1"/>
      <w:numFmt w:val="decimal"/>
      <w:start w:val="24"/>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1"/>
      <w:numFmt w:val="decimal"/>
      <w:start w:val="26"/>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1"/>
      <w:numFmt w:val="decimal"/>
      <w:start w:val="28"/>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1"/>
      <w:numFmt w:val="decimal"/>
      <w:start w:val="30"/>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1"/>
      <w:numFmt w:val="decimal"/>
      <w:start w:val="32"/>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1"/>
      <w:numFmt w:val="decimal"/>
      <w:start w:val="34"/>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1"/>
      <w:numFmt w:val="decimal"/>
      <w:start w:val="36"/>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1"/>
      <w:numFmt w:val="decimal"/>
      <w:start w:val="38"/>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1"/>
      <w:numFmt w:val="decimal"/>
      <w:start w:val="40"/>
    </w:lvl>
  </w:abstractNum>
  <w:abstractNum w:abstractNumId="57">
    <w:nsid w:val="168E121F"/>
    <w:multiLevelType w:val="hybridMultilevel"/>
    <w:lvl w:ilvl="0">
      <w:lvlJc w:val="left"/>
      <w:lvlText w:val="%1"/>
      <w:numFmt w:val="decimal"/>
      <w:start w:val="42"/>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1"/>
      <w:numFmt w:val="decimal"/>
      <w:start w:val="44"/>
    </w:lvl>
  </w:abstractNum>
  <w:abstractNum w:abstractNumId="63">
    <w:nsid w:val="51D9C564"/>
    <w:multiLevelType w:val="hybridMultilevel"/>
    <w:lvl w:ilvl="0">
      <w:lvlJc w:val="left"/>
      <w:lvlText w:val="%1"/>
      <w:numFmt w:val="decimal"/>
      <w:start w:val="46"/>
    </w:lvl>
  </w:abstractNum>
  <w:abstractNum w:abstractNumId="64">
    <w:nsid w:val="613EFDC5"/>
    <w:multiLevelType w:val="hybridMultilevel"/>
    <w:lvl w:ilvl="0">
      <w:lvlJc w:val="left"/>
      <w:lvlText w:val="•"/>
      <w:numFmt w:val="bullet"/>
      <w:start w:val="1"/>
    </w:lvl>
  </w:abstractNum>
  <w:abstractNum w:abstractNumId="65">
    <w:nsid w:val="BF72B14"/>
    <w:multiLevelType w:val="hybridMultilevel"/>
    <w:lvl w:ilvl="0">
      <w:lvlJc w:val="left"/>
      <w:lvlText w:val="•"/>
      <w:numFmt w:val="bullet"/>
      <w:start w:val="1"/>
    </w:lvl>
  </w:abstractNum>
  <w:abstractNum w:abstractNumId="66">
    <w:nsid w:val="11447B73"/>
    <w:multiLevelType w:val="hybridMultilevel"/>
    <w:lvl w:ilvl="0">
      <w:lvlJc w:val="left"/>
      <w:lvlText w:val="%1"/>
      <w:numFmt w:val="decimal"/>
      <w:start w:val="48"/>
    </w:lvl>
  </w:abstractNum>
  <w:abstractNum w:abstractNumId="67">
    <w:nsid w:val="42963E5A"/>
    <w:multiLevelType w:val="hybridMultilevel"/>
    <w:lvl w:ilvl="0">
      <w:lvlJc w:val="left"/>
      <w:lvlText w:val="%1"/>
      <w:numFmt w:val="decimal"/>
      <w:start w:val="50"/>
    </w:lvl>
  </w:abstractNum>
  <w:abstractNum w:abstractNumId="68">
    <w:nsid w:val="A0382C5"/>
    <w:multiLevelType w:val="hybridMultilevel"/>
    <w:lvl w:ilvl="0">
      <w:lvlJc w:val="left"/>
      <w:lvlText w:val="(%1)"/>
      <w:numFmt w:val="decimal"/>
      <w:start w:val="1"/>
    </w:lvl>
  </w:abstractNum>
  <w:abstractNum w:abstractNumId="69">
    <w:nsid w:val="8F2B15E"/>
    <w:multiLevelType w:val="hybridMultilevel"/>
    <w:lvl w:ilvl="0">
      <w:lvlJc w:val="left"/>
      <w:lvlText w:val="(%1)"/>
      <w:numFmt w:val="decimal"/>
      <w:start w:val="8"/>
    </w:lvl>
  </w:abstractNum>
  <w:abstractNum w:abstractNumId="70">
    <w:nsid w:val="1A32234B"/>
    <w:multiLevelType w:val="hybridMultilevel"/>
    <w:lvl w:ilvl="0">
      <w:lvlJc w:val="left"/>
      <w:lvlText w:val="%1"/>
      <w:numFmt w:val="decimal"/>
      <w:start w:val="52"/>
    </w:lvl>
  </w:abstractNum>
  <w:abstractNum w:abstractNumId="71">
    <w:nsid w:val="3B0FD379"/>
    <w:multiLevelType w:val="hybridMultilevel"/>
    <w:lvl w:ilvl="0">
      <w:lvlJc w:val="left"/>
      <w:lvlText w:val="*"/>
      <w:numFmt w:val="bullet"/>
      <w:start w:val="1"/>
    </w:lvl>
  </w:abstractNum>
  <w:abstractNum w:abstractNumId="72">
    <w:nsid w:val="68EB2F63"/>
    <w:multiLevelType w:val="hybridMultilevel"/>
    <w:lvl w:ilvl="0">
      <w:lvlJc w:val="left"/>
      <w:lvlText w:val="•"/>
      <w:numFmt w:val="bullet"/>
      <w:start w:val="1"/>
    </w:lvl>
  </w:abstractNum>
  <w:abstractNum w:abstractNumId="73">
    <w:nsid w:val="4962813B"/>
    <w:multiLevelType w:val="hybridMultilevel"/>
    <w:lvl w:ilvl="0">
      <w:lvlJc w:val="left"/>
      <w:lvlText w:val="%1"/>
      <w:numFmt w:val="decimal"/>
      <w:start w:val="54"/>
    </w:lvl>
  </w:abstractNum>
  <w:abstractNum w:abstractNumId="74">
    <w:nsid w:val="60B6DF70"/>
    <w:multiLevelType w:val="hybridMultilevel"/>
    <w:lvl w:ilvl="0">
      <w:lvlJc w:val="left"/>
      <w:lvlText w:val="%1"/>
      <w:numFmt w:val="decimal"/>
      <w:start w:val="56"/>
    </w:lvl>
  </w:abstractNum>
  <w:abstractNum w:abstractNumId="75">
    <w:nsid w:val="6A5EE64"/>
    <w:multiLevelType w:val="hybridMultilevel"/>
    <w:lvl w:ilvl="0">
      <w:lvlJc w:val="left"/>
      <w:lvlText w:val="•"/>
      <w:numFmt w:val="bullet"/>
      <w:start w:val="1"/>
    </w:lvl>
  </w:abstractNum>
  <w:abstractNum w:abstractNumId="76">
    <w:nsid w:val="14330624"/>
    <w:multiLevelType w:val="hybridMultilevel"/>
    <w:lvl w:ilvl="0">
      <w:lvlJc w:val="left"/>
      <w:lvlText w:val="•"/>
      <w:numFmt w:val="bullet"/>
      <w:start w:val="1"/>
    </w:lvl>
  </w:abstractNum>
  <w:abstractNum w:abstractNumId="77">
    <w:nsid w:val="7FFFCA11"/>
    <w:multiLevelType w:val="hybridMultilevel"/>
    <w:lvl w:ilvl="0">
      <w:lvlJc w:val="left"/>
      <w:lvlText w:val="%1"/>
      <w:numFmt w:val="decimal"/>
      <w:start w:val="58"/>
    </w:lvl>
  </w:abstractNum>
  <w:abstractNum w:abstractNumId="78">
    <w:nsid w:val="1A27709E"/>
    <w:multiLevelType w:val="hybridMultilevel"/>
    <w:lvl w:ilvl="0">
      <w:lvlJc w:val="left"/>
      <w:lvlText w:val="%1"/>
      <w:numFmt w:val="decimal"/>
      <w:start w:val="60"/>
    </w:lvl>
  </w:abstractNum>
  <w:abstractNum w:abstractNumId="79">
    <w:nsid w:val="71EA1109"/>
    <w:multiLevelType w:val="hybridMultilevel"/>
    <w:lvl w:ilvl="0">
      <w:lvlJc w:val="left"/>
      <w:lvlText w:val="%1"/>
      <w:numFmt w:val="decimal"/>
      <w:start w:val="62"/>
    </w:lvl>
  </w:abstractNum>
  <w:abstractNum w:abstractNumId="80">
    <w:nsid w:val="100F59DC"/>
    <w:multiLevelType w:val="hybridMultilevel"/>
    <w:lvl w:ilvl="0">
      <w:lvlJc w:val="left"/>
      <w:lvlText w:val="%1)"/>
      <w:numFmt w:val="lowerLetter"/>
      <w:start w:val="1"/>
    </w:lvl>
  </w:abstractNum>
  <w:abstractNum w:abstractNumId="81">
    <w:nsid w:val="7FB7E0AA"/>
    <w:multiLevelType w:val="hybridMultilevel"/>
    <w:lvl w:ilvl="0">
      <w:lvlJc w:val="left"/>
      <w:lvlText w:val="%1)"/>
      <w:numFmt w:val="lowerLetter"/>
      <w:start w:val="1"/>
    </w:lvl>
  </w:abstractNum>
  <w:abstractNum w:abstractNumId="82">
    <w:nsid w:val="6EB5BD4"/>
    <w:multiLevelType w:val="hybridMultilevel"/>
    <w:lvl w:ilvl="0">
      <w:lvlJc w:val="left"/>
      <w:lvlText w:val="%1"/>
      <w:numFmt w:val="decimal"/>
      <w:start w:val="64"/>
    </w:lvl>
  </w:abstractNum>
  <w:abstractNum w:abstractNumId="83">
    <w:nsid w:val="6F6DD9AC"/>
    <w:multiLevelType w:val="hybridMultilevel"/>
    <w:lvl w:ilvl="0">
      <w:lvlJc w:val="left"/>
      <w:lvlText w:val="(%1)"/>
      <w:numFmt w:val="decimal"/>
      <w:start w:val="1"/>
    </w:lvl>
  </w:abstractNum>
  <w:abstractNum w:abstractNumId="84">
    <w:nsid w:val="94211F2"/>
    <w:multiLevelType w:val="hybridMultilevel"/>
    <w:lvl w:ilvl="0">
      <w:lvlJc w:val="left"/>
      <w:lvlText w:val="*"/>
      <w:numFmt w:val="bullet"/>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6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2026-04-06T15:11:56Z</dcterms:created>
  <dcterms:modified xsi:type="dcterms:W3CDTF">2026-04-06T15:11:56Z</dcterms:modified>
</cp:coreProperties>
</file>