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Date of Report: April 30, 2026</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MIDDLESEX WATER COMPANY</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069" w:type="dxa"/>
        <w:jc w:val="left"/>
        <w:tblInd w:w="0" w:type="dxa"/>
        <w:tblLayout w:type="fixed"/>
        <w:tblCellMar>
          <w:top w:w="28" w:type="dxa"/>
          <w:left w:w="28" w:type="dxa"/>
          <w:bottom w:w="28" w:type="dxa"/>
          <w:right w:w="28" w:type="dxa"/>
        </w:tblCellMar>
      </w:tblPr>
      <w:tblGrid>
        <w:gridCol w:w="933"/>
        <w:gridCol w:w="819"/>
        <w:gridCol w:w="828"/>
        <w:gridCol w:w="109"/>
        <w:gridCol w:w="109"/>
        <w:gridCol w:w="109"/>
        <w:gridCol w:w="394"/>
        <w:gridCol w:w="394"/>
        <w:gridCol w:w="398"/>
        <w:gridCol w:w="109"/>
        <w:gridCol w:w="109"/>
        <w:gridCol w:w="109"/>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0-422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22-1114430</w:t>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485C Route 1 South, Suite 400, Iselin, New Jersey 08830</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732-634-1500</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240"/>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240"/>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240"/>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60"/>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58" w:type="dxa"/>
        <w:jc w:val="left"/>
        <w:tblInd w:w="0" w:type="dxa"/>
        <w:tblLayout w:type="fixed"/>
        <w:tblCellMar>
          <w:top w:w="28" w:type="dxa"/>
          <w:left w:w="28" w:type="dxa"/>
          <w:bottom w:w="28" w:type="dxa"/>
          <w:right w:w="28" w:type="dxa"/>
        </w:tblCellMar>
      </w:tblPr>
      <w:tblGrid>
        <w:gridCol w:w="918"/>
        <w:gridCol w:w="803"/>
        <w:gridCol w:w="813"/>
        <w:gridCol w:w="539"/>
        <w:gridCol w:w="539"/>
        <w:gridCol w:w="541"/>
        <w:gridCol w:w="1085"/>
        <w:gridCol w:w="1085"/>
        <w:gridCol w:w="1535"/>
      </w:tblGrid>
      <w:tr>
        <w:trPr/>
        <w:tc>
          <w:tcPr>
            <w:tcW w:w="91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MSEX</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NASDAQ Stock Market, LLC </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6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0" w:after="16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April 30, 2026, Middlesex Water Company announced its financial results for the quarter ended March 31, 2026. A copy of the press release announcing these results is attached hereto as Exhibit 99.1 and incorporated into this Form 8-K by reference.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information in Item 2.02, including the exhibit, shall not be deemed “filed” for purposes of Section 18 of the Securities Exchange Act of 1934, as amended (the “Exchange Act”), or otherwise subject to the liabilities under that Section, nor shall it be deemed to be incorporated by reference into any filing under the Securities Act of 1933, as amended,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(c)Exhibits</w:t>
      </w:r>
    </w:p>
    <w:tbl>
      <w:tblPr>
        <w:tblW w:w="9885" w:type="dxa"/>
        <w:jc w:val="left"/>
        <w:tblInd w:w="0" w:type="dxa"/>
        <w:tblLayout w:type="fixed"/>
        <w:tblCellMar>
          <w:top w:w="28" w:type="dxa"/>
          <w:left w:w="28" w:type="dxa"/>
          <w:bottom w:w="28" w:type="dxa"/>
          <w:right w:w="28" w:type="dxa"/>
        </w:tblCellMar>
      </w:tblPr>
      <w:tblGrid>
        <w:gridCol w:w="277"/>
        <w:gridCol w:w="244"/>
        <w:gridCol w:w="245"/>
        <w:gridCol w:w="2670"/>
        <w:gridCol w:w="2670"/>
        <w:gridCol w:w="3779"/>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3779"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Document</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msex-20260430exx991.htm">
              <w:r>
                <w:rPr>
                  <w:rStyle w:val="InternetLink"/>
                  <w:rFonts w:ascii="Times New Roman;serif" w:hAnsi="Times New Roman;serif"/>
                  <w:b w:val="false"/>
                  <w:color w:val="0000FF"/>
                  <w:sz w:val="20"/>
                  <w:u w:val="single"/>
                </w:rPr>
                <w:t>Press Release issued by Middlesex Water Company dated April 30, 2026 reporting First Quarter 2026 Earnings</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40"/>
        <w:jc w:val="center"/>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lineRule="auto" w:line="288" w:before="0" w:after="4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of the undersigned hereunto duly authorized.</w:t>
      </w:r>
    </w:p>
    <w:tbl>
      <w:tblPr>
        <w:tblW w:w="3866" w:type="dxa"/>
        <w:jc w:val="left"/>
        <w:tblInd w:w="0" w:type="dxa"/>
        <w:tblLayout w:type="fixed"/>
        <w:tblCellMar>
          <w:top w:w="28" w:type="dxa"/>
          <w:left w:w="28" w:type="dxa"/>
          <w:bottom w:w="28" w:type="dxa"/>
          <w:right w:w="28" w:type="dxa"/>
        </w:tblCellMar>
      </w:tblPr>
      <w:tblGrid>
        <w:gridCol w:w="124"/>
        <w:gridCol w:w="109"/>
        <w:gridCol w:w="109"/>
        <w:gridCol w:w="1031"/>
        <w:gridCol w:w="1031"/>
        <w:gridCol w:w="14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MIDDLESEX WATER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Mohammed G. Zerhouni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Sr. Vice President,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and Treasurer</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Dated: April 30,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240"/>
        <w:jc w:val="both"/>
        <w:rPr/>
      </w:pPr>
      <w:r>
        <w:rPr/>
        <w:drawing>
          <wp:inline distT="0" distB="0" distL="0" distR="0">
            <wp:extent cx="1847850" cy="8382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847850" cy="838200"/>
                    </a:xfrm>
                    <a:prstGeom prst="rect">
                      <a:avLst/>
                    </a:prstGeom>
                  </pic:spPr>
                </pic:pic>
              </a:graphicData>
            </a:graphic>
          </wp:inline>
        </w:drawing>
      </w:r>
    </w:p>
    <w:p>
      <w:pPr>
        <w:pStyle w:val="TextBody"/>
        <w:bidi w:val="0"/>
        <w:spacing w:lineRule="auto" w:line="288" w:before="0" w:after="240"/>
        <w:jc w:val="center"/>
        <w:rPr>
          <w:rFonts w:ascii="Times New Roman;serif" w:hAnsi="Times New Roman;serif"/>
          <w:b/>
          <w:color w:val="000000"/>
          <w:sz w:val="26"/>
          <w:shd w:fill="FFFFFF" w:val="clear"/>
        </w:rPr>
      </w:pPr>
      <w:r>
        <w:rPr>
          <w:rFonts w:ascii="Times New Roman;serif" w:hAnsi="Times New Roman;serif"/>
          <w:b/>
          <w:color w:val="000000"/>
          <w:sz w:val="26"/>
          <w:shd w:fill="FFFFFF" w:val="clear"/>
        </w:rPr>
        <w:t>Middlesex Water Company Reports First Quarter 2026 Earnings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Diluted earnings per share (“EPS”) of $0.57</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 xml:space="preserve">Invested $21 million in water and wastewater utility infrastructure during the three months ended March 31, 2026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Declared $0.36 common stock cash dividend</w:t>
      </w:r>
    </w:p>
    <w:p>
      <w:pPr>
        <w:pStyle w:val="TextBody"/>
        <w:bidi w:val="0"/>
        <w:spacing w:before="0" w:after="240"/>
        <w:jc w:val="both"/>
        <w:rPr/>
      </w:pPr>
      <w:r>
        <w:rPr/>
      </w:r>
    </w:p>
    <w:p>
      <w:pPr>
        <w:pStyle w:val="TextBody"/>
        <w:bidi w:val="0"/>
        <w:spacing w:lineRule="auto" w:line="288" w:before="0" w:after="240"/>
        <w:jc w:val="both"/>
        <w:rPr/>
      </w:pPr>
      <w:r>
        <w:rPr>
          <w:rFonts w:ascii="Times New Roman;serif" w:hAnsi="Times New Roman;serif"/>
          <w:b w:val="false"/>
          <w:color w:val="000000"/>
          <w:sz w:val="22"/>
          <w:shd w:fill="FFFFFF" w:val="clear"/>
        </w:rPr>
        <w:t xml:space="preserve">ISELIN, N.J., </w:t>
      </w:r>
      <w:r>
        <w:rPr>
          <w:rFonts w:ascii="Times New Roman;serif" w:hAnsi="Times New Roman;serif"/>
          <w:b w:val="false"/>
          <w:color w:val="000000"/>
          <w:sz w:val="22"/>
        </w:rPr>
        <w:t>April 30, 2026</w:t>
      </w:r>
      <w:r>
        <w:rPr>
          <w:color w:val="000000"/>
          <w:shd w:fill="FFFFFF" w:val="clear"/>
        </w:rPr>
        <w:t xml:space="preserve"> </w:t>
      </w:r>
      <w:r>
        <w:rPr>
          <w:rFonts w:ascii="Times New Roman;serif" w:hAnsi="Times New Roman;serif"/>
          <w:b w:val="false"/>
          <w:color w:val="000000"/>
          <w:sz w:val="22"/>
          <w:shd w:fill="FFFFFF" w:val="clear"/>
        </w:rPr>
        <w:t xml:space="preserve">-- Middlesex Water Company (“Middlesex” or the “Company”) (NASDAQ: MSEX) today announced financial results for the </w:t>
      </w:r>
      <w:r>
        <w:rPr>
          <w:rFonts w:ascii="Times New Roman;serif" w:hAnsi="Times New Roman;serif"/>
          <w:b w:val="false"/>
          <w:color w:val="000000"/>
          <w:sz w:val="22"/>
        </w:rPr>
        <w:t xml:space="preserve">first </w:t>
      </w:r>
      <w:r>
        <w:rPr>
          <w:rFonts w:ascii="Times New Roman;serif" w:hAnsi="Times New Roman;serif"/>
          <w:b w:val="false"/>
          <w:color w:val="000000"/>
          <w:sz w:val="22"/>
          <w:shd w:fill="FFFFFF" w:val="clear"/>
        </w:rPr>
        <w:t xml:space="preserve">quarter ended </w:t>
      </w:r>
      <w:r>
        <w:rPr>
          <w:rFonts w:ascii="Times New Roman;serif" w:hAnsi="Times New Roman;serif"/>
          <w:b w:val="false"/>
          <w:color w:val="000000"/>
          <w:sz w:val="22"/>
        </w:rPr>
        <w:t>March 31, 2026</w:t>
      </w:r>
      <w:r>
        <w:rPr>
          <w:rFonts w:ascii="Times New Roman;serif" w:hAnsi="Times New Roman;serif"/>
          <w:b w:val="false"/>
          <w:color w:val="000000"/>
          <w:sz w:val="22"/>
          <w:shd w:fill="FFFFFF" w:val="clear"/>
        </w:rPr>
        <w:t>.</w:t>
      </w:r>
    </w:p>
    <w:p>
      <w:pPr>
        <w:pStyle w:val="TextBody"/>
        <w:bidi w:val="0"/>
        <w:spacing w:lineRule="auto" w:line="268" w:before="0" w:after="240"/>
        <w:jc w:val="both"/>
        <w:rPr>
          <w:color w:val="000000"/>
        </w:rPr>
      </w:pPr>
      <w:r>
        <w:rPr>
          <w:color w:val="000000"/>
        </w:rPr>
        <w:t>“</w:t>
      </w:r>
      <w:r>
        <w:rPr>
          <w:rFonts w:ascii="Times New Roman;serif" w:hAnsi="Times New Roman;serif"/>
          <w:b w:val="false"/>
          <w:color w:val="000000"/>
          <w:sz w:val="22"/>
        </w:rPr>
        <w:t>Our first-quarter results reflect disciplined execution across our operations, capital program, and regulatory strategy,” said Nadine Leslie, Chair, President and Chief Executive Officer of Middlesex Water Company. “We remain focused on delivering reliable service, investing strategically for long-term growth, and advancing our MWC 2030 Vision. This performance underscores the strength of our fundamentals and the dedication of our employees in driving consistent operational and financial outcomes.”</w:t>
      </w:r>
    </w:p>
    <w:p>
      <w:pPr>
        <w:pStyle w:val="TextBody"/>
        <w:bidi w:val="0"/>
        <w:spacing w:lineRule="auto" w:line="288" w:before="0" w:after="240"/>
        <w:jc w:val="left"/>
        <w:rPr/>
      </w:pPr>
      <w:r>
        <w:rPr>
          <w:rFonts w:ascii="Times New Roman;serif" w:hAnsi="Times New Roman;serif"/>
          <w:b/>
          <w:color w:val="000000"/>
          <w:sz w:val="22"/>
        </w:rPr>
        <w:t>First</w:t>
      </w:r>
      <w:r>
        <w:rPr>
          <w:color w:val="000000"/>
          <w:shd w:fill="FFFFFF" w:val="clear"/>
        </w:rPr>
        <w:t xml:space="preserve"> </w:t>
      </w:r>
      <w:r>
        <w:rPr>
          <w:rFonts w:ascii="Times New Roman;serif" w:hAnsi="Times New Roman;serif"/>
          <w:b/>
          <w:color w:val="000000"/>
          <w:sz w:val="22"/>
          <w:shd w:fill="FFFFFF" w:val="clear"/>
        </w:rPr>
        <w:t>Quarter 2026 Results</w:t>
      </w:r>
    </w:p>
    <w:p>
      <w:pPr>
        <w:pStyle w:val="TextBody"/>
        <w:bidi w:val="0"/>
        <w:spacing w:lineRule="auto" w:line="288" w:before="0" w:after="240"/>
        <w:jc w:val="both"/>
        <w:rPr/>
      </w:pPr>
      <w:r>
        <w:rPr>
          <w:rFonts w:ascii="Times New Roman;serif" w:hAnsi="Times New Roman;serif"/>
          <w:b w:val="false"/>
          <w:color w:val="000000"/>
          <w:sz w:val="22"/>
          <w:shd w:fill="FFFFFF" w:val="clear"/>
        </w:rPr>
        <w:t xml:space="preserve">Middlesex reported net income of </w:t>
      </w:r>
      <w:r>
        <w:rPr>
          <w:rFonts w:ascii="Times New Roman;serif" w:hAnsi="Times New Roman;serif"/>
          <w:b w:val="false"/>
          <w:color w:val="000000"/>
          <w:sz w:val="22"/>
        </w:rPr>
        <w:t>$10.6 million</w:t>
      </w:r>
      <w:r>
        <w:rPr>
          <w:color w:val="000000"/>
          <w:shd w:fill="FFFFFF" w:val="clear"/>
        </w:rPr>
        <w:t xml:space="preserve"> </w:t>
      </w:r>
      <w:r>
        <w:rPr>
          <w:rFonts w:ascii="Times New Roman;serif" w:hAnsi="Times New Roman;serif"/>
          <w:b w:val="false"/>
          <w:color w:val="000000"/>
          <w:sz w:val="22"/>
          <w:shd w:fill="FFFFFF" w:val="clear"/>
        </w:rPr>
        <w:t xml:space="preserve">and diluted EPS of </w:t>
      </w:r>
      <w:r>
        <w:rPr>
          <w:rFonts w:ascii="Times New Roman;serif" w:hAnsi="Times New Roman;serif"/>
          <w:b w:val="false"/>
          <w:color w:val="000000"/>
          <w:sz w:val="22"/>
        </w:rPr>
        <w:t>$0.57</w:t>
      </w:r>
      <w:r>
        <w:rPr>
          <w:rFonts w:ascii="Times New Roman;serif" w:hAnsi="Times New Roman;serif"/>
          <w:b w:val="false"/>
          <w:color w:val="000000"/>
          <w:sz w:val="22"/>
          <w:shd w:fill="FFFFFF" w:val="clear"/>
        </w:rPr>
        <w:t xml:space="preserve">, compared to net income of </w:t>
      </w:r>
      <w:r>
        <w:rPr>
          <w:rFonts w:ascii="Times New Roman;serif" w:hAnsi="Times New Roman;serif"/>
          <w:b w:val="false"/>
          <w:color w:val="000000"/>
          <w:sz w:val="22"/>
        </w:rPr>
        <w:t>$9.5 million</w:t>
      </w:r>
      <w:r>
        <w:rPr>
          <w:color w:val="000000"/>
          <w:shd w:fill="FFFFFF" w:val="clear"/>
        </w:rPr>
        <w:t xml:space="preserve"> </w:t>
      </w:r>
      <w:r>
        <w:rPr>
          <w:rFonts w:ascii="Times New Roman;serif" w:hAnsi="Times New Roman;serif"/>
          <w:b w:val="false"/>
          <w:color w:val="000000"/>
          <w:sz w:val="22"/>
          <w:shd w:fill="FFFFFF" w:val="clear"/>
        </w:rPr>
        <w:t xml:space="preserve">and diluted EPS of </w:t>
      </w:r>
      <w:r>
        <w:rPr>
          <w:rFonts w:ascii="Times New Roman;serif" w:hAnsi="Times New Roman;serif"/>
          <w:b w:val="false"/>
          <w:color w:val="000000"/>
          <w:sz w:val="22"/>
        </w:rPr>
        <w:t>$0.53</w:t>
      </w:r>
      <w:r>
        <w:rPr>
          <w:color w:val="000000"/>
          <w:shd w:fill="FFFFFF" w:val="clear"/>
        </w:rPr>
        <w:t xml:space="preserve"> </w:t>
      </w:r>
      <w:r>
        <w:rPr>
          <w:rFonts w:ascii="Times New Roman;serif" w:hAnsi="Times New Roman;serif"/>
          <w:b w:val="false"/>
          <w:color w:val="000000"/>
          <w:sz w:val="22"/>
          <w:shd w:fill="FFFFFF" w:val="clear"/>
        </w:rPr>
        <w:t xml:space="preserve">for the same quarter in </w:t>
      </w:r>
      <w:r>
        <w:rPr>
          <w:rFonts w:ascii="Times New Roman;serif" w:hAnsi="Times New Roman;serif"/>
          <w:b w:val="false"/>
          <w:color w:val="000000"/>
          <w:sz w:val="22"/>
        </w:rPr>
        <w:t>2025</w:t>
      </w:r>
      <w:r>
        <w:rPr>
          <w:rFonts w:ascii="Times New Roman;serif" w:hAnsi="Times New Roman;serif"/>
          <w:b w:val="false"/>
          <w:color w:val="000000"/>
          <w:sz w:val="22"/>
          <w:shd w:fill="FFFFFF" w:val="clear"/>
        </w:rPr>
        <w:t xml:space="preserve">. </w:t>
      </w:r>
    </w:p>
    <w:p>
      <w:pPr>
        <w:pStyle w:val="TextBody"/>
        <w:bidi w:val="0"/>
        <w:spacing w:lineRule="auto" w:line="288" w:before="0" w:after="240"/>
        <w:jc w:val="both"/>
        <w:rPr/>
      </w:pPr>
      <w:r>
        <w:rPr>
          <w:rFonts w:ascii="Times New Roman;serif" w:hAnsi="Times New Roman;serif"/>
          <w:b w:val="false"/>
          <w:color w:val="000000"/>
          <w:sz w:val="22"/>
          <w:shd w:fill="FFFFFF" w:val="clear"/>
        </w:rPr>
        <w:t xml:space="preserve">Operating revenues for the quarter ended </w:t>
      </w:r>
      <w:r>
        <w:rPr>
          <w:rFonts w:ascii="Times New Roman;serif" w:hAnsi="Times New Roman;serif"/>
          <w:b w:val="false"/>
          <w:color w:val="000000"/>
          <w:sz w:val="22"/>
        </w:rPr>
        <w:t>March 31, 2026</w:t>
      </w:r>
      <w:r>
        <w:rPr>
          <w:rFonts w:ascii="Times New Roman;serif" w:hAnsi="Times New Roman;serif"/>
          <w:b w:val="false"/>
          <w:color w:val="000000"/>
          <w:sz w:val="22"/>
          <w:shd w:fill="FFFFFF" w:val="clear"/>
        </w:rPr>
        <w:t xml:space="preserve">, were </w:t>
      </w:r>
      <w:r>
        <w:rPr>
          <w:rFonts w:ascii="Times New Roman;serif" w:hAnsi="Times New Roman;serif"/>
          <w:b w:val="false"/>
          <w:color w:val="000000"/>
          <w:sz w:val="22"/>
        </w:rPr>
        <w:t>$48.7 million</w:t>
      </w:r>
      <w:r>
        <w:rPr>
          <w:rFonts w:ascii="Times New Roman;serif" w:hAnsi="Times New Roman;serif"/>
          <w:b w:val="false"/>
          <w:color w:val="000000"/>
          <w:sz w:val="22"/>
          <w:shd w:fill="FFFFFF" w:val="clear"/>
        </w:rPr>
        <w:t xml:space="preserve">, an increase of </w:t>
      </w:r>
      <w:r>
        <w:rPr>
          <w:rFonts w:ascii="Times New Roman;serif" w:hAnsi="Times New Roman;serif"/>
          <w:b w:val="false"/>
          <w:color w:val="000000"/>
          <w:sz w:val="22"/>
        </w:rPr>
        <w:t>$4.4 million</w:t>
      </w:r>
      <w:r>
        <w:rPr>
          <w:rFonts w:ascii="Times New Roman;serif" w:hAnsi="Times New Roman;serif"/>
          <w:b w:val="false"/>
          <w:color w:val="000000"/>
          <w:sz w:val="22"/>
          <w:shd w:fill="FFFFFF" w:val="clear"/>
        </w:rPr>
        <w:t xml:space="preserve">, compared to </w:t>
      </w:r>
      <w:r>
        <w:rPr>
          <w:rFonts w:ascii="Times New Roman;serif" w:hAnsi="Times New Roman;serif"/>
          <w:b w:val="false"/>
          <w:color w:val="000000"/>
          <w:sz w:val="22"/>
        </w:rPr>
        <w:t>$44.3 million</w:t>
      </w:r>
      <w:r>
        <w:rPr>
          <w:color w:val="000000"/>
          <w:shd w:fill="FFFFFF" w:val="clear"/>
        </w:rPr>
        <w:t xml:space="preserve"> </w:t>
      </w:r>
      <w:r>
        <w:rPr>
          <w:rFonts w:ascii="Times New Roman;serif" w:hAnsi="Times New Roman;serif"/>
          <w:b w:val="false"/>
          <w:color w:val="000000"/>
          <w:sz w:val="22"/>
          <w:shd w:fill="FFFFFF" w:val="clear"/>
        </w:rPr>
        <w:t xml:space="preserve">for the same quarter last year. Operating revenues increased </w:t>
      </w:r>
      <w:r>
        <w:rPr>
          <w:rFonts w:ascii="Times New Roman;serif" w:hAnsi="Times New Roman;serif"/>
          <w:b w:val="false"/>
          <w:color w:val="000000"/>
          <w:sz w:val="22"/>
        </w:rPr>
        <w:t>$3.4 million in the Middlesex Syste</w:t>
      </w:r>
      <w:r>
        <w:rPr>
          <w:rFonts w:ascii="Times New Roman;serif" w:hAnsi="Times New Roman;serif"/>
          <w:b w:val="false"/>
          <w:color w:val="000000"/>
          <w:sz w:val="22"/>
          <w:shd w:fill="FFFFFF" w:val="clear"/>
        </w:rPr>
        <w:t>m due to increased wholesale demand, customer consumption and base rate increases and $0.8 million in the Tidewater System primarily attributable to increased customer consumption, customer growth and rate increases. Non-regulated and other operating revenues increased $0.2 million, primarily due to higher supplemental contract services.</w:t>
      </w:r>
    </w:p>
    <w:p>
      <w:pPr>
        <w:pStyle w:val="TextBody"/>
        <w:bidi w:val="0"/>
        <w:spacing w:lineRule="auto" w:line="288" w:before="0" w:after="240"/>
        <w:jc w:val="both"/>
        <w:rPr/>
      </w:pPr>
      <w:r>
        <w:rPr>
          <w:rFonts w:ascii="Times New Roman;serif" w:hAnsi="Times New Roman;serif"/>
          <w:b w:val="false"/>
          <w:color w:val="000000"/>
          <w:sz w:val="22"/>
          <w:shd w:fill="FFFFFF" w:val="clear"/>
        </w:rPr>
        <w:t>Operating expenses for the quarte</w:t>
      </w:r>
      <w:r>
        <w:rPr>
          <w:rFonts w:ascii="Times New Roman;serif" w:hAnsi="Times New Roman;serif"/>
          <w:b w:val="false"/>
          <w:color w:val="000000"/>
          <w:sz w:val="22"/>
        </w:rPr>
        <w:t>r ended March 31, 2026, were $35.6 million, an increase of approximat</w:t>
      </w:r>
      <w:r>
        <w:rPr>
          <w:rFonts w:ascii="Times New Roman;serif" w:hAnsi="Times New Roman;serif"/>
          <w:b w:val="false"/>
          <w:color w:val="000000"/>
          <w:sz w:val="22"/>
          <w:shd w:fill="FFFFFF" w:val="clear"/>
        </w:rPr>
        <w:t xml:space="preserve">ely </w:t>
      </w:r>
      <w:r>
        <w:rPr>
          <w:rFonts w:ascii="Times New Roman;serif" w:hAnsi="Times New Roman;serif"/>
          <w:b w:val="false"/>
          <w:color w:val="000000"/>
          <w:sz w:val="22"/>
        </w:rPr>
        <w:t>$2.9 million</w:t>
      </w:r>
      <w:r>
        <w:rPr>
          <w:rFonts w:ascii="Times New Roman;serif" w:hAnsi="Times New Roman;serif"/>
          <w:b w:val="false"/>
          <w:color w:val="000000"/>
          <w:sz w:val="22"/>
          <w:shd w:fill="FFFFFF" w:val="clear"/>
        </w:rPr>
        <w:t xml:space="preserve">, compared to </w:t>
      </w:r>
      <w:r>
        <w:rPr>
          <w:rFonts w:ascii="Times New Roman;serif" w:hAnsi="Times New Roman;serif"/>
          <w:b w:val="false"/>
          <w:color w:val="000000"/>
          <w:sz w:val="22"/>
        </w:rPr>
        <w:t>$32.7 million</w:t>
      </w:r>
      <w:r>
        <w:rPr>
          <w:color w:val="000000"/>
          <w:shd w:fill="FFFFFF" w:val="clear"/>
        </w:rPr>
        <w:t xml:space="preserve"> </w:t>
      </w:r>
      <w:r>
        <w:rPr>
          <w:rFonts w:ascii="Times New Roman;serif" w:hAnsi="Times New Roman;serif"/>
          <w:b w:val="false"/>
          <w:color w:val="000000"/>
          <w:sz w:val="22"/>
          <w:shd w:fill="FFFFFF" w:val="clear"/>
        </w:rPr>
        <w:t>for the same quarter last year. The increase is primar</w:t>
      </w:r>
      <w:r>
        <w:rPr>
          <w:rFonts w:ascii="Times New Roman;serif" w:hAnsi="Times New Roman;serif"/>
          <w:b w:val="false"/>
          <w:color w:val="000000"/>
          <w:sz w:val="22"/>
        </w:rPr>
        <w:t>ily driven by increased variable production costs from higher production resulting from increased customer demand, higher labor cost due to wage and employee headcount increases partially offset by higher capitalizable costs.</w:t>
      </w:r>
    </w:p>
    <w:p>
      <w:pPr>
        <w:pStyle w:val="TextBody"/>
        <w:bidi w:val="0"/>
        <w:spacing w:lineRule="auto" w:line="288" w:before="0" w:after="240"/>
        <w:jc w:val="left"/>
        <w:rPr>
          <w:rFonts w:ascii="Times New Roman;serif" w:hAnsi="Times New Roman;serif"/>
          <w:b/>
          <w:color w:val="000000"/>
          <w:sz w:val="22"/>
          <w:shd w:fill="FFFFFF" w:val="clear"/>
        </w:rPr>
      </w:pPr>
      <w:r>
        <w:rPr>
          <w:rFonts w:ascii="Times New Roman;serif" w:hAnsi="Times New Roman;serif"/>
          <w:b/>
          <w:color w:val="000000"/>
          <w:sz w:val="22"/>
          <w:shd w:fill="FFFFFF" w:val="clear"/>
        </w:rPr>
        <w:t xml:space="preserve">Selective and Sustainable Growth </w:t>
      </w:r>
    </w:p>
    <w:p>
      <w:pPr>
        <w:pStyle w:val="TextBody"/>
        <w:bidi w:val="0"/>
        <w:spacing w:lineRule="auto" w:line="288" w:before="0" w:after="240"/>
        <w:jc w:val="both"/>
        <w:rPr/>
      </w:pPr>
      <w:r>
        <w:rPr>
          <w:rFonts w:ascii="Times New Roman;serif" w:hAnsi="Times New Roman;serif"/>
          <w:b w:val="false"/>
          <w:color w:val="000000"/>
          <w:sz w:val="22"/>
          <w:shd w:fill="FFFFFF" w:val="clear"/>
        </w:rPr>
        <w:t xml:space="preserve">Middlesex invested approximately </w:t>
      </w:r>
      <w:r>
        <w:rPr>
          <w:rFonts w:ascii="Times New Roman;serif" w:hAnsi="Times New Roman;serif"/>
          <w:b w:val="false"/>
          <w:color w:val="000000"/>
          <w:sz w:val="22"/>
        </w:rPr>
        <w:t>$21 million</w:t>
      </w:r>
      <w:r>
        <w:rPr>
          <w:color w:val="000000"/>
          <w:shd w:fill="FFFFFF" w:val="clear"/>
        </w:rPr>
        <w:t xml:space="preserve"> </w:t>
      </w:r>
      <w:r>
        <w:rPr>
          <w:rFonts w:ascii="Times New Roman;serif" w:hAnsi="Times New Roman;serif"/>
          <w:b w:val="false"/>
          <w:color w:val="000000"/>
          <w:sz w:val="22"/>
          <w:shd w:fill="FFFFFF" w:val="clear"/>
        </w:rPr>
        <w:t xml:space="preserve">to upgrade, replace and enhance the resiliency of its water and wastewater utility infrastructure during the </w:t>
      </w:r>
      <w:r>
        <w:rPr>
          <w:rFonts w:ascii="Times New Roman;serif" w:hAnsi="Times New Roman;serif"/>
          <w:b w:val="false"/>
          <w:color w:val="000000"/>
          <w:sz w:val="22"/>
        </w:rPr>
        <w:t>three</w:t>
      </w:r>
      <w:r>
        <w:rPr>
          <w:color w:val="000000"/>
          <w:shd w:fill="FFFFFF" w:val="clear"/>
        </w:rPr>
        <w:t xml:space="preserve"> </w:t>
      </w:r>
      <w:r>
        <w:rPr>
          <w:rFonts w:ascii="Times New Roman;serif" w:hAnsi="Times New Roman;serif"/>
          <w:b w:val="false"/>
          <w:color w:val="000000"/>
          <w:sz w:val="22"/>
          <w:shd w:fill="FFFFFF" w:val="clear"/>
        </w:rPr>
        <w:t xml:space="preserve">months ended </w:t>
      </w:r>
      <w:r>
        <w:rPr>
          <w:rFonts w:ascii="Times New Roman;serif" w:hAnsi="Times New Roman;serif"/>
          <w:b w:val="false"/>
          <w:color w:val="000000"/>
          <w:sz w:val="22"/>
        </w:rPr>
        <w:t>March 31, 2026</w:t>
      </w:r>
      <w:r>
        <w:rPr>
          <w:rFonts w:ascii="Times New Roman;serif" w:hAnsi="Times New Roman;serif"/>
          <w:b w:val="false"/>
          <w:color w:val="000000"/>
          <w:sz w:val="22"/>
          <w:shd w:fill="FFFFFF" w:val="clear"/>
        </w:rPr>
        <w:t xml:space="preserve">, or approximately </w:t>
      </w:r>
      <w:r>
        <w:rPr>
          <w:rFonts w:ascii="Times New Roman;serif" w:hAnsi="Times New Roman;serif"/>
          <w:b w:val="false"/>
          <w:color w:val="000000"/>
          <w:sz w:val="22"/>
        </w:rPr>
        <w:t>17%</w:t>
      </w:r>
      <w:r>
        <w:rPr>
          <w:color w:val="000000"/>
          <w:shd w:fill="FFFFFF" w:val="clear"/>
        </w:rPr>
        <w:t xml:space="preserve"> </w:t>
      </w:r>
      <w:r>
        <w:rPr>
          <w:rFonts w:ascii="Times New Roman;serif" w:hAnsi="Times New Roman;serif"/>
          <w:b w:val="false"/>
          <w:color w:val="000000"/>
          <w:sz w:val="22"/>
          <w:shd w:fill="FFFFFF" w:val="clear"/>
        </w:rPr>
        <w:t>of its planned 2026 annual investment of $126 million.</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Annual Meeting and Dividend Declared</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Middlesex will hold its Annual Meeting on Tuesday, May 19, 2026, at 11:00 a.m. EDT. Shareholders may obtain instructions to access the meeting by visiting www.virtualshareholdermeeting.com/MSEX2026 and entering the 16-digit control number listed on their Notice of Internet Availability of Proxy Materials or proxy card.</w:t>
      </w:r>
    </w:p>
    <w:p>
      <w:pPr>
        <w:pStyle w:val="TextBody"/>
        <w:bidi w:val="0"/>
        <w:spacing w:before="0" w:after="24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2"/>
          <w:shd w:fill="FFFFFF" w:val="clear"/>
        </w:rPr>
        <w:t xml:space="preserve">As previously announced on April 24, 2026, the Company’s Board of Directors declared a second quarter cash dividend of </w:t>
      </w:r>
      <w:r>
        <w:rPr>
          <w:rFonts w:ascii="Times New Roman;serif" w:hAnsi="Times New Roman;serif"/>
          <w:b w:val="false"/>
          <w:color w:val="000000"/>
          <w:sz w:val="22"/>
        </w:rPr>
        <w:t>$0.36</w:t>
      </w:r>
      <w:r>
        <w:rPr>
          <w:color w:val="000000"/>
          <w:shd w:fill="FFFFFF" w:val="clear"/>
        </w:rPr>
        <w:t xml:space="preserve"> </w:t>
      </w:r>
      <w:r>
        <w:rPr>
          <w:rFonts w:ascii="Times New Roman;serif" w:hAnsi="Times New Roman;serif"/>
          <w:b w:val="false"/>
          <w:color w:val="000000"/>
          <w:sz w:val="22"/>
          <w:shd w:fill="FFFFFF" w:val="clear"/>
        </w:rPr>
        <w:t xml:space="preserve">per common share. </w:t>
      </w:r>
      <w:r>
        <w:rPr>
          <w:rFonts w:ascii="Times New Roman;serif" w:hAnsi="Times New Roman;serif"/>
          <w:b w:val="false"/>
          <w:color w:val="000000"/>
          <w:sz w:val="22"/>
        </w:rPr>
        <w:t>Dividends on common shares will be paid on June 1, 2026, to shareholders of record as of May 15, 2026.</w:t>
      </w:r>
      <w:r>
        <w:rPr>
          <w:color w:val="000000"/>
          <w:shd w:fill="FFFFFF" w:val="clear"/>
        </w:rPr>
        <w:t xml:space="preserve"> </w:t>
      </w:r>
      <w:r>
        <w:rPr>
          <w:rFonts w:ascii="Times New Roman;serif" w:hAnsi="Times New Roman;serif"/>
          <w:b w:val="false"/>
          <w:color w:val="000000"/>
          <w:sz w:val="22"/>
        </w:rPr>
        <w:t xml:space="preserve">Middlesex has paid cash dividends each year since 1912 and has increased the dividends received by shareholders each calendar year for 53 consecutive years.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About Middlesex Water Company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Middlesex Water Company (“Middlesex”) is one of the nation’s premier investor-owned water and wastewater utilities. Established in 1897, Middlesex is a trusted provider of life-sustaining services to more than half a million people in New Jersey and Delaware. The company focuses on employee engagement, operational excellence, superior customer experience, investment in infrastructure, and selective and sustainable growth to deliver value to our customers, investors, and the communities we serve. </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0" w:after="360"/>
        <w:jc w:val="both"/>
        <w:rPr>
          <w:rFonts w:ascii="Times New Roman;serif" w:hAnsi="Times New Roman;serif"/>
          <w:b w:val="false"/>
          <w:i/>
          <w:color w:val="000000"/>
          <w:sz w:val="22"/>
        </w:rPr>
      </w:pPr>
      <w:r>
        <w:rPr>
          <w:rFonts w:ascii="Times New Roman;serif" w:hAnsi="Times New Roman;serif"/>
          <w:b w:val="false"/>
          <w:i/>
          <w:color w:val="000000"/>
          <w:sz w:val="22"/>
        </w:rPr>
        <w:t>This press release contains “forward-looking statements” within the meaning of U.S. federal securities laws reflecting the current beliefs or expectations of Middlesex Water Company “Company” regarding its future performance, its financial condition, its strategic plans and cash flows, its results of operations as well as any other statements that do not directly relate to any historical or current facts. These statements reflect the Company’s current views and information currently available. This information is based on estimates, assumptions, and analysis that the Company believes, as of the date hereof, provide a reasonable basis for the information contained herein. Forward-looking statements can generally be identified by the use of forward-looking words such as “outlook,” “believes,” “expects,” “potential,” “continues,” “may,” “will,” “should,” “seeks,” “approximately,” “predicts,” “intends,” “plans,” “estimates,” “anticipates,” “foresees,” or the negative of those words or other comparable terminology. The Company intends that these statements be covered by the safe harbors created under those laws. Actual results, performance or achievements may differ materially from forward-looking statements, and the assumptions on which forward-looking statements are based. There can be no assurance that the information contained herein is reflective of future performance, and investors are cautioned not to place undue reliance on forward-looking statements as a predictor of future performance. Unless otherwise specified, all information contained in this press release speaks only as of the date hereof. The Company undertakes no duty to update or revise the information contained herein, whether as a result of new information, future events or otherwise.</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Media Contact: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Summer DeFEO, Director of Communications</w:t>
      </w: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sdefeo@middlesexwater.com</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(732) 638-7510</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Investor Relations Contact: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Jennifer Ketschke, Director, Investor Relations and Treasury</w:t>
      </w: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InvestorRelations@middlesexwater.com</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(732) 638-7523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MIDDLESEX WATER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6535" w:type="dxa"/>
        <w:jc w:val="left"/>
        <w:tblInd w:w="0" w:type="dxa"/>
        <w:tblLayout w:type="fixed"/>
        <w:tblCellMar>
          <w:top w:w="28" w:type="dxa"/>
          <w:left w:w="28" w:type="dxa"/>
          <w:bottom w:w="28" w:type="dxa"/>
          <w:right w:w="28" w:type="dxa"/>
        </w:tblCellMar>
      </w:tblPr>
      <w:tblGrid>
        <w:gridCol w:w="1440"/>
        <w:gridCol w:w="1264"/>
        <w:gridCol w:w="1270"/>
        <w:gridCol w:w="368"/>
        <w:gridCol w:w="368"/>
        <w:gridCol w:w="204"/>
        <w:gridCol w:w="204"/>
        <w:gridCol w:w="204"/>
        <w:gridCol w:w="204"/>
        <w:gridCol w:w="360"/>
        <w:gridCol w:w="361"/>
        <w:gridCol w:w="288"/>
      </w:tblGrid>
      <w:tr>
        <w:trPr/>
        <w:tc>
          <w:tcPr>
            <w:tcW w:w="144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$48,714</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$44,301</w:t>
            </w:r>
          </w:p>
        </w:tc>
      </w:tr>
      <w:tr>
        <w:trPr/>
        <w:tc>
          <w:tcPr>
            <w:tcW w:w="39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23,012</w:t>
            </w: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7,036</w:t>
            </w: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5,564</w:t>
            </w: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35,612</w:t>
            </w: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13,102</w:t>
            </w: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Funds Used During Construction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633</w:t>
            </w: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1,369</w:t>
            </w: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2,002</w:t>
            </w: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Charges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3,214</w:t>
            </w: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11,890</w:t>
            </w: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1,285</w:t>
            </w: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10,605</w:t>
            </w: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 Requirements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Applicable to Common Stock</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$10,587</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$9,457</w:t>
            </w:r>
          </w:p>
        </w:tc>
      </w:tr>
      <w:tr>
        <w:trPr/>
        <w:tc>
          <w:tcPr>
            <w:tcW w:w="3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of Common Stock:</w:t>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$0.57</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$0.57</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w:t>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w:t>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18,545</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17,890</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18,575</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17,951</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1446</Words>
  <Characters>8472</Characters>
  <CharactersWithSpaces>9812</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