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140" w:hanging="646"/>
        <w:spacing w:after="0"/>
        <w:tabs>
          <w:tab w:leader="none" w:pos="11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March 31, 2022</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140" w:hanging="646"/>
        <w:spacing w:after="0"/>
        <w:tabs>
          <w:tab w:leader="none" w:pos="11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34" w:right="339" w:bottom="1440" w:gutter="0" w:footer="0" w:header="0"/>
        </w:sectPr>
      </w:pPr>
    </w:p>
    <w:p>
      <w:pPr>
        <w:spacing w:after="0" w:line="9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634"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 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56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54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21"/>
        </w:trPr>
        <w:tc>
          <w:tcPr>
            <w:tcW w:w="2700" w:type="dxa"/>
            <w:vAlign w:val="bottom"/>
            <w:tcBorders>
              <w:bottom w:val="single" w:sz="8" w:color="auto"/>
            </w:tcBorders>
          </w:tcPr>
          <w:p>
            <w:pPr>
              <w:spacing w:after="0"/>
              <w:rPr>
                <w:sz w:val="10"/>
                <w:szCs w:val="10"/>
                <w:color w:val="auto"/>
              </w:rPr>
            </w:pPr>
          </w:p>
        </w:tc>
        <w:tc>
          <w:tcPr>
            <w:tcW w:w="560" w:type="dxa"/>
            <w:vAlign w:val="bottom"/>
            <w:vMerge w:val="restart"/>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540" w:type="dxa"/>
            <w:vAlign w:val="bottom"/>
            <w:vMerge w:val="restart"/>
          </w:tcPr>
          <w:p>
            <w:pPr>
              <w:spacing w:after="0"/>
              <w:rPr>
                <w:sz w:val="10"/>
                <w:szCs w:val="10"/>
                <w:color w:val="auto"/>
              </w:rPr>
            </w:pPr>
          </w:p>
        </w:tc>
        <w:tc>
          <w:tcPr>
            <w:tcW w:w="4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7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560" w:type="dxa"/>
            <w:vAlign w:val="bottom"/>
            <w:vMerge w:val="continue"/>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540" w:type="dxa"/>
            <w:vAlign w:val="bottom"/>
            <w:vMerge w:val="continue"/>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9"/>
              </w:rPr>
              <w:t>NASDAQ</w:t>
            </w:r>
          </w:p>
        </w:tc>
        <w:tc>
          <w:tcPr>
            <w:tcW w:w="0" w:type="dxa"/>
            <w:vAlign w:val="bottom"/>
          </w:tcPr>
          <w:p>
            <w:pPr>
              <w:spacing w:after="0"/>
              <w:rPr>
                <w:sz w:val="1"/>
                <w:szCs w:val="1"/>
                <w:color w:val="auto"/>
              </w:rPr>
            </w:pPr>
          </w:p>
        </w:tc>
      </w:tr>
    </w:tbl>
    <w:p>
      <w:pPr>
        <w:spacing w:after="0" w:line="3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34"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100" w:space="720"/>
            <w:col w:w="3500"/>
          </w:cols>
          <w:pgMar w:left="320" w:top="634"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April 29, 2022: Common Stock, No Par Value: 17,559,204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6"/>
          </w:tcPr>
          <w:p>
            <w:pPr>
              <w:ind w:left="120"/>
              <w:spacing w:after="0"/>
              <w:rPr>
                <w:sz w:val="20"/>
                <w:szCs w:val="20"/>
                <w:color w:val="auto"/>
              </w:rPr>
            </w:pPr>
            <w:r>
              <w:rPr>
                <w:rFonts w:ascii="Arial" w:cs="Arial" w:eastAsia="Arial" w:hAnsi="Arial"/>
                <w:sz w:val="18"/>
                <w:szCs w:val="18"/>
                <w:color w:val="auto"/>
              </w:rPr>
              <w:t>INDEX</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80" w:type="dxa"/>
            <w:vAlign w:val="bottom"/>
            <w:gridSpan w:val="11"/>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4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600" w:type="dxa"/>
            <w:vAlign w:val="bottom"/>
            <w:gridSpan w:val="10"/>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640" w:type="dxa"/>
            <w:vAlign w:val="bottom"/>
            <w:gridSpan w:val="8"/>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Capital Stock and Long-Term Debt</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top w:val="single" w:sz="8" w:color="0000EE"/>
            </w:tcBorders>
            <w:gridSpan w:val="19"/>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Common Stockholders’ Equity</w:t>
              </w:r>
            </w:hyperlink>
          </w:p>
        </w:tc>
        <w:tc>
          <w:tcPr>
            <w:tcW w:w="2640" w:type="dxa"/>
            <w:vAlign w:val="bottom"/>
            <w:gridSpan w:val="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top w:val="single" w:sz="8" w:color="0000EE"/>
            </w:tcBorders>
            <w:gridSpan w:val="18"/>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Unaudited Condensed Consolidated Financial Statements</w:t>
              </w:r>
            </w:hyperlink>
          </w:p>
        </w:tc>
        <w:tc>
          <w:tcPr>
            <w:tcW w:w="2940" w:type="dxa"/>
            <w:vAlign w:val="bottom"/>
            <w:gridSpan w:val="3"/>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6420" w:type="dxa"/>
            <w:vAlign w:val="bottom"/>
            <w:tcBorders>
              <w:top w:val="single" w:sz="8" w:color="0000EE"/>
            </w:tcBorders>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of Market Risk</w:t>
              </w:r>
            </w:hyperlink>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2260" w:type="dxa"/>
            <w:vAlign w:val="bottom"/>
            <w:tcBorders>
              <w:top w:val="single" w:sz="8" w:color="0000EE"/>
            </w:tcBorders>
            <w:gridSpan w:val="8"/>
          </w:tcPr>
          <w:p>
            <w:pPr>
              <w:spacing w:after="0"/>
              <w:rPr>
                <w:sz w:val="24"/>
                <w:szCs w:val="24"/>
                <w:color w:val="auto"/>
              </w:rPr>
            </w:pPr>
          </w:p>
        </w:tc>
        <w:tc>
          <w:tcPr>
            <w:tcW w:w="4020" w:type="dxa"/>
            <w:vAlign w:val="bottom"/>
            <w:gridSpan w:val="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20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6040" w:type="dxa"/>
            <w:vAlign w:val="bottom"/>
            <w:gridSpan w:val="13"/>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740" w:type="dxa"/>
            <w:vAlign w:val="bottom"/>
            <w:gridSpan w:val="1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43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3720" w:type="dxa"/>
            <w:vAlign w:val="bottom"/>
            <w:gridSpan w:val="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Defaults upon Senior Securities</w:t>
              </w:r>
            </w:hyperlink>
          </w:p>
        </w:tc>
        <w:tc>
          <w:tcPr>
            <w:tcW w:w="5780" w:type="dxa"/>
            <w:vAlign w:val="bottom"/>
            <w:gridSpan w:val="1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Mine Safety Disclosures</w:t>
              </w:r>
            </w:hyperlink>
          </w:p>
        </w:tc>
        <w:tc>
          <w:tcPr>
            <w:tcW w:w="6300" w:type="dxa"/>
            <w:vAlign w:val="bottom"/>
            <w:gridSpan w:val="1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6760" w:type="dxa"/>
            <w:vAlign w:val="bottom"/>
            <w:gridSpan w:val="17"/>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80" w:type="dxa"/>
            <w:vAlign w:val="bottom"/>
            <w:gridSpan w:val="19"/>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060" w:type="dxa"/>
            <w:vAlign w:val="bottom"/>
            <w:gridSpan w:val="24"/>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SIGNATURES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180" w:type="dxa"/>
            <w:vAlign w:val="bottom"/>
            <w:tcBorders>
              <w:bottom w:val="single" w:sz="8" w:color="EEEEEE"/>
            </w:tcBorders>
          </w:tcPr>
          <w:p>
            <w:pPr>
              <w:spacing w:after="0"/>
              <w:rPr>
                <w:sz w:val="22"/>
                <w:szCs w:val="22"/>
                <w:color w:val="auto"/>
              </w:rPr>
            </w:pPr>
          </w:p>
        </w:tc>
        <w:tc>
          <w:tcPr>
            <w:tcW w:w="98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140" w:type="dxa"/>
            <w:vAlign w:val="bottom"/>
            <w:tcBorders>
              <w:top w:val="single" w:sz="8" w:color="0000EE"/>
              <w:bottom w:val="single" w:sz="8" w:color="EEEEEE"/>
            </w:tcBorders>
          </w:tcPr>
          <w:p>
            <w:pPr>
              <w:spacing w:after="0"/>
              <w:rPr>
                <w:sz w:val="22"/>
                <w:szCs w:val="22"/>
                <w:color w:val="auto"/>
              </w:rPr>
            </w:pPr>
          </w:p>
        </w:tc>
        <w:tc>
          <w:tcPr>
            <w:tcW w:w="4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40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44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480" w:type="dxa"/>
            <w:vAlign w:val="bottom"/>
            <w:tcBorders>
              <w:bottom w:val="single" w:sz="8" w:color="EEEEEE"/>
            </w:tcBorders>
          </w:tcPr>
          <w:p>
            <w:pPr>
              <w:spacing w:after="0"/>
              <w:rPr>
                <w:sz w:val="22"/>
                <w:szCs w:val="22"/>
                <w:color w:val="auto"/>
              </w:rPr>
            </w:pPr>
          </w:p>
        </w:tc>
        <w:tc>
          <w:tcPr>
            <w:tcW w:w="48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4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1640" w:type="dxa"/>
            <w:vAlign w:val="bottom"/>
            <w:tcBorders>
              <w:bottom w:val="single" w:sz="8" w:color="EEEEEE"/>
            </w:tcBorders>
          </w:tcPr>
          <w:p>
            <w:pPr>
              <w:spacing w:after="0"/>
              <w:rPr>
                <w:sz w:val="22"/>
                <w:szCs w:val="22"/>
                <w:color w:val="auto"/>
              </w:rPr>
            </w:pPr>
          </w:p>
        </w:tc>
        <w:tc>
          <w:tcPr>
            <w:tcW w:w="1620" w:type="dxa"/>
            <w:vAlign w:val="bottom"/>
            <w:tcBorders>
              <w:bottom w:val="single" w:sz="8" w:color="EEEEEE"/>
            </w:tcBorders>
          </w:tcPr>
          <w:p>
            <w:pPr>
              <w:spacing w:after="0"/>
              <w:rPr>
                <w:sz w:val="22"/>
                <w:szCs w:val="22"/>
                <w:color w:val="auto"/>
              </w:rPr>
            </w:pPr>
          </w:p>
        </w:tc>
        <w:tc>
          <w:tcPr>
            <w:tcW w:w="380" w:type="dxa"/>
            <w:vAlign w:val="bottom"/>
            <w:tcBorders>
              <w:bottom w:val="single" w:sz="8" w:color="EEEEEE"/>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02"/>
        </w:trPr>
        <w:tc>
          <w:tcPr>
            <w:tcW w:w="32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5120" w:type="dxa"/>
            <w:vAlign w:val="bottom"/>
          </w:tcPr>
          <w:p>
            <w:pPr>
              <w:jc w:val="center"/>
              <w:ind w:right="1510"/>
              <w:spacing w:after="0"/>
              <w:rPr>
                <w:sz w:val="20"/>
                <w:szCs w:val="20"/>
                <w:color w:val="auto"/>
              </w:rPr>
            </w:pPr>
            <w:r>
              <w:rPr>
                <w:rFonts w:ascii="Arial" w:cs="Arial" w:eastAsia="Arial" w:hAnsi="Arial"/>
                <w:sz w:val="18"/>
                <w:szCs w:val="18"/>
                <w:b w:val="1"/>
                <w:bCs w:val="1"/>
                <w:color w:val="auto"/>
              </w:rPr>
              <w:t>MIDDLESEX WATER COMPANY</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660" w:type="dxa"/>
            <w:vAlign w:val="bottom"/>
            <w:gridSpan w:val="2"/>
          </w:tcPr>
          <w:p>
            <w:pPr>
              <w:jc w:val="center"/>
              <w:ind w:left="185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2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(Unaudited)</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120" w:type="dxa"/>
            <w:vAlign w:val="bottom"/>
          </w:tcPr>
          <w:p>
            <w:pPr>
              <w:jc w:val="center"/>
              <w:ind w:right="151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3"/>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r>
      <w:tr>
        <w:trPr>
          <w:trHeight w:val="234"/>
        </w:trPr>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09"/>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12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36,196</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32,541</w:t>
            </w: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Operations and Maintenance</w:t>
            </w:r>
          </w:p>
        </w:tc>
        <w:tc>
          <w:tcPr>
            <w:tcW w:w="51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19,139</w:t>
            </w:r>
          </w:p>
        </w:tc>
        <w:tc>
          <w:tcPr>
            <w:tcW w:w="4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18,356</w:t>
            </w: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5,622</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Taxes</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4,144</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3,719</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Expenses</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28,905</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26,907</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Sale of Subsidiary</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5,232</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12,523</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5,634</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Allowance for Funds Used During Construction</w:t>
            </w: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Income, net</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1,379</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775</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 net</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2,038</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Charges</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1,850</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1,738</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12,429</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5,934</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329</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1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12,100</w:t>
            </w:r>
          </w:p>
        </w:tc>
        <w:tc>
          <w:tcPr>
            <w:tcW w:w="4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6,907</w:t>
            </w:r>
          </w:p>
        </w:tc>
      </w:tr>
      <w:tr>
        <w:trPr>
          <w:trHeight w:val="216"/>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5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Earnings Applicable to Common Stock</w:t>
            </w:r>
          </w:p>
        </w:tc>
        <w:tc>
          <w:tcPr>
            <w:tcW w:w="51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12,070</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6,877</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12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5120" w:type="dxa"/>
            <w:vAlign w:val="bottom"/>
          </w:tcPr>
          <w:p>
            <w:pPr>
              <w:jc w:val="right"/>
              <w:ind w:right="79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0.68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0.39</w:t>
            </w:r>
          </w:p>
        </w:tc>
      </w:tr>
      <w:tr>
        <w:trPr>
          <w:trHeight w:val="216"/>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w w:val="95"/>
              </w:rPr>
              <w:t>Average Number of Common Shares Outstanding:</w:t>
            </w:r>
          </w:p>
        </w:tc>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17,538</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17,476</w:t>
            </w:r>
          </w:p>
        </w:tc>
      </w:tr>
      <w:tr>
        <w:trPr>
          <w:trHeight w:val="234"/>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51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17,653</w:t>
            </w:r>
          </w:p>
        </w:tc>
        <w:tc>
          <w:tcPr>
            <w:tcW w:w="4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17,591</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3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5280" w:type="dxa"/>
            <w:vAlign w:val="bottom"/>
          </w:tcPr>
          <w:p>
            <w:pPr>
              <w:jc w:val="center"/>
              <w:ind w:left="230"/>
              <w:spacing w:after="0"/>
              <w:rPr>
                <w:sz w:val="20"/>
                <w:szCs w:val="20"/>
                <w:color w:val="auto"/>
              </w:rPr>
            </w:pPr>
            <w:r>
              <w:rPr>
                <w:rFonts w:ascii="Arial" w:cs="Arial" w:eastAsia="Arial" w:hAnsi="Arial"/>
                <w:sz w:val="18"/>
                <w:szCs w:val="18"/>
                <w:b w:val="1"/>
                <w:bCs w:val="1"/>
                <w:color w:val="auto"/>
              </w:rPr>
              <w:t>MIDDLESEX WATER COMPANY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jc w:val="center"/>
              <w:ind w:left="2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8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5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Production</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235,675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247,286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Transmission and Distribution</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692,368</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697,200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95,319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95,658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Work in Progress</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37,455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1,060,817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1,065,091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202,776</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199,723</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PLANT - NET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858,041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865,368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3,294</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80" w:type="dxa"/>
            <w:vAlign w:val="bottom"/>
          </w:tcPr>
          <w:p>
            <w:pPr>
              <w:ind w:left="140"/>
              <w:spacing w:after="0" w:line="201" w:lineRule="exact"/>
              <w:rPr>
                <w:sz w:val="20"/>
                <w:szCs w:val="20"/>
                <w:color w:val="auto"/>
              </w:rPr>
            </w:pPr>
            <w:r>
              <w:rPr>
                <w:rFonts w:ascii="Arial" w:cs="Arial" w:eastAsia="Arial" w:hAnsi="Arial"/>
                <w:sz w:val="18"/>
                <w:szCs w:val="18"/>
                <w:color w:val="auto"/>
                <w:w w:val="95"/>
              </w:rPr>
              <w:t>Accounts Receivable, net of allowance for uncollectible accounts of</w:t>
            </w:r>
          </w:p>
        </w:tc>
        <w:tc>
          <w:tcPr>
            <w:tcW w:w="440" w:type="dxa"/>
            <w:vAlign w:val="bottom"/>
          </w:tcPr>
          <w:p>
            <w:pPr>
              <w:spacing w:after="0"/>
              <w:rPr>
                <w:sz w:val="17"/>
                <w:szCs w:val="17"/>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13,480</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$2,530 and $2,574, respectively</w:t>
            </w:r>
          </w:p>
        </w:tc>
        <w:tc>
          <w:tcPr>
            <w:tcW w:w="4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15,311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8,148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5,369</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Prepayments</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2,574</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32,865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5280" w:type="dxa"/>
            <w:vAlign w:val="bottom"/>
          </w:tcPr>
          <w:p>
            <w:pPr>
              <w:ind w:left="140"/>
              <w:spacing w:after="0"/>
              <w:rPr>
                <w:sz w:val="20"/>
                <w:szCs w:val="20"/>
                <w:color w:val="auto"/>
              </w:rPr>
            </w:pPr>
            <w:r>
              <w:rPr>
                <w:rFonts w:ascii="Arial" w:cs="Arial" w:eastAsia="Arial" w:hAnsi="Arial"/>
                <w:sz w:val="18"/>
                <w:szCs w:val="18"/>
                <w:color w:val="auto"/>
              </w:rPr>
              <w:t>Operating Lease Right of Use Asset</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4,331</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Preliminary Survey and Investigation Charges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100,191</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100,738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Non-utility Assets - Net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11,310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OTHER ASSETS</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118,678</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120,292</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1,009,584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1,020,015</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CAPITALIZATION AND LIABILITIES</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w:t>
            </w: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No Par Value</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225,092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221,919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Retained Earnings</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152,790</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145,807</w:t>
            </w:r>
          </w:p>
        </w:tc>
        <w:tc>
          <w:tcPr>
            <w:tcW w:w="0" w:type="dxa"/>
            <w:vAlign w:val="bottom"/>
          </w:tcPr>
          <w:p>
            <w:pPr>
              <w:spacing w:after="0"/>
              <w:rPr>
                <w:sz w:val="1"/>
                <w:szCs w:val="1"/>
                <w:color w:val="auto"/>
              </w:rPr>
            </w:pPr>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COMMON EQUITY</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377,882</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367,726</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306,518</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306,520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TOTAL CAPITALIZATION</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686,484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676,330</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528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6,710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18,059</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14,029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1,960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Revenues and Advanced Service Fees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59,669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56,619</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778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Advances for Construction</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23,006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23,529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Lease Obligations - Operating</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4,200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Deferred Income Taxes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72,002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Pr>
          <w:p>
            <w:pPr>
              <w:ind w:left="140"/>
              <w:spacing w:after="0"/>
              <w:rPr>
                <w:sz w:val="20"/>
                <w:szCs w:val="20"/>
                <w:color w:val="auto"/>
              </w:rPr>
            </w:pPr>
            <w:r>
              <w:rPr>
                <w:rFonts w:ascii="Arial" w:cs="Arial" w:eastAsia="Arial" w:hAnsi="Arial"/>
                <w:sz w:val="18"/>
                <w:szCs w:val="18"/>
                <w:color w:val="auto"/>
              </w:rPr>
              <w:t>Employee Benefit Plans</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10,217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46,190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49,431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LIABILITIES</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156,696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159,203</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778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106,735</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127,863</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CAPITALIZATION AND LIABILITIES</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1,009,584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1,020,015</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34"/>
        </w:trPr>
        <w:tc>
          <w:tcPr>
            <w:tcW w:w="7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12,100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6,907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6,825</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6,296</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Provision for Deferred Income Taxes and Investment Tax Credits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(2,137)</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(2,359)</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187</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267</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Gain on Sale of Subsidairy</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5,232)</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1,831</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1,860</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Revenues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Materials and Supplies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306</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(3,066)</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(6,029)</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Taxes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5,408</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Benefit Plans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Unearned Revenue and Advanced Service Fees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7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13,975</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9,442</w:t>
            </w: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Expenditures, Including AFUDC of $175 in 2022, $531 in 2021</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(16,631)</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w:t>
            </w:r>
          </w:p>
        </w:tc>
      </w:tr>
      <w:tr>
        <w:trPr>
          <w:trHeight w:val="216"/>
        </w:trPr>
        <w:tc>
          <w:tcPr>
            <w:tcW w:w="7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Proceeds from Sale of Subsidary</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3,122</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(13,509)</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(22,033)</w:t>
            </w: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of Long-term Debt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(1,228)</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1,250</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687</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Short-term Bank Borrowings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11,000</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Deferred Debt Issuance Expense</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2,906</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Payment of Common Dividends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(5,087)</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(4,762)</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Preferred Dividends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(507)</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505</w:t>
            </w:r>
          </w:p>
        </w:tc>
      </w:tr>
      <w:tr>
        <w:trPr>
          <w:trHeight w:val="216"/>
        </w:trPr>
        <w:tc>
          <w:tcPr>
            <w:tcW w:w="78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6,396</w:t>
            </w: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09"/>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3,533</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10,404</w:t>
            </w: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3,294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r>
      <w:tr>
        <w:trPr>
          <w:trHeight w:val="210"/>
        </w:trPr>
        <w:tc>
          <w:tcPr>
            <w:tcW w:w="7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2,401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1,169</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Consideration for Sale of Subsidiary</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FLOWS INFORMATION:</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175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16"/>
        </w:trPr>
        <w:tc>
          <w:tcPr>
            <w:tcW w:w="7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Shares Authorized - 40,000</w:t>
            </w:r>
          </w:p>
        </w:tc>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- 2022 - 17,551; 2021 - 17,522</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225,092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221,919</w:t>
            </w:r>
          </w:p>
        </w:tc>
      </w:tr>
      <w:tr>
        <w:trPr>
          <w:trHeight w:val="216"/>
        </w:trPr>
        <w:tc>
          <w:tcPr>
            <w:tcW w:w="6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152,790</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145,807</w:t>
            </w:r>
          </w:p>
        </w:tc>
      </w:tr>
      <w:tr>
        <w:trPr>
          <w:trHeight w:val="209"/>
        </w:trPr>
        <w:tc>
          <w:tcPr>
            <w:tcW w:w="65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377,882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367,726</w:t>
            </w:r>
          </w:p>
        </w:tc>
      </w:tr>
      <w:tr>
        <w:trPr>
          <w:trHeight w:val="209"/>
        </w:trPr>
        <w:tc>
          <w:tcPr>
            <w:tcW w:w="65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- 120</w:t>
            </w: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- 20</w:t>
            </w:r>
          </w:p>
        </w:tc>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$7.00 Series - 10</w:t>
            </w: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$7.00 Series - 1</w:t>
            </w:r>
          </w:p>
        </w:tc>
        <w:tc>
          <w:tcPr>
            <w:tcW w:w="20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Shares Outstanding, $4.75 Series - 10</w:t>
            </w:r>
          </w:p>
        </w:tc>
        <w:tc>
          <w:tcPr>
            <w:tcW w:w="20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5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210"/>
        </w:trPr>
        <w:tc>
          <w:tcPr>
            <w:tcW w:w="65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Long-term Debt:</w:t>
            </w:r>
          </w:p>
        </w:tc>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Mortgage Bonds, 0.00% - 5.50%, due 2023 - 2059</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203,440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203,892</w:t>
            </w: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Amortizing Secured Notes, 3.94% - 7.05%, due 2028 - 2046</w:t>
            </w:r>
          </w:p>
        </w:tc>
        <w:tc>
          <w:tcPr>
            <w:tcW w:w="20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46,939</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47,613</w:t>
            </w: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Revolving Trust Notes, 2.00% - 4.22%, due 2022 - 2041</w:t>
            </w: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8,658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7,510</w:t>
            </w:r>
          </w:p>
        </w:tc>
      </w:tr>
      <w:tr>
        <w:trPr>
          <w:trHeight w:val="216"/>
        </w:trPr>
        <w:tc>
          <w:tcPr>
            <w:tcW w:w="6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Construction Loans, 0.00%</w:t>
            </w:r>
          </w:p>
        </w:tc>
        <w:tc>
          <w:tcPr>
            <w:tcW w:w="20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52,131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52,131</w:t>
            </w:r>
          </w:p>
        </w:tc>
      </w:tr>
      <w:tr>
        <w:trPr>
          <w:trHeight w:val="210"/>
        </w:trPr>
        <w:tc>
          <w:tcPr>
            <w:tcW w:w="6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SUBTOTAL LONG-TERM DEBT</w:t>
            </w: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311,168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311,146</w:t>
            </w: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20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7,172</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7,271</w:t>
            </w:r>
          </w:p>
        </w:tc>
      </w:tr>
      <w:tr>
        <w:trPr>
          <w:trHeight w:val="216"/>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Unamortized Debt Expense</w:t>
            </w: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(5,166)</w:t>
            </w:r>
          </w:p>
        </w:tc>
      </w:tr>
      <w:tr>
        <w:trPr>
          <w:trHeight w:val="216"/>
        </w:trPr>
        <w:tc>
          <w:tcPr>
            <w:tcW w:w="65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Less: Current Portion of Long-term Debt</w:t>
            </w:r>
          </w:p>
        </w:tc>
        <w:tc>
          <w:tcPr>
            <w:tcW w:w="20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(6,710)</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(6,731)</w:t>
            </w:r>
          </w:p>
        </w:tc>
      </w:tr>
      <w:tr>
        <w:trPr>
          <w:trHeight w:val="209"/>
        </w:trPr>
        <w:tc>
          <w:tcPr>
            <w:tcW w:w="65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TOTAL LONG-TERM DEBT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306,518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306,520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Retained</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Earnings</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217,451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128,757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346,208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6,907</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6,907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($0.2725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17,478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217,976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130,872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348,848</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17,522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221,919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145,807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367,726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12,100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12,100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2,906</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($0.2900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17,551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225,092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152,790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377,882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notes within the 2021 Annual Report on Form 10-K (the 2021 Form 10-K) are applicable to these financial statements and, in the opinion of the Company, the accompanying unaudited condensed consolidated financial statements contain all adjustments necessary (including normal recurring accruals) to present fairly the financial position as of March 31, 2022 and the results of operations and cash flows for the three month periods ended March 31, 2022 and 2021. Information included in the Condensed Consolidated Balance Sheet as of December 31, 2021, has been derived from the Company’s December 31, 2021 audited financial statements included in the 2021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Regulatory Notice of Non-Compliance - </w:t>
      </w:r>
      <w:r>
        <w:rPr>
          <w:rFonts w:ascii="Arial" w:cs="Arial" w:eastAsia="Arial" w:hAnsi="Arial"/>
          <w:sz w:val="18"/>
          <w:szCs w:val="18"/>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recently promulgated NJDEP standard effective in 2021. Neither the NJDEP nor Middlesex has characterized this exceedance as an acute health threat. However, Middlesex was required to notify its affected customers and complied in November 2021 as required by the regulation. Further, the Notice required the Company to take any action necessary to comply with the new standard by September 7, 2022.</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NJDEP standard for PFOA was developed based on a Health-based Maximum Contaminant Level (MCL) of 14 parts per trillion (ppt). Although the United States Environmental Protection Agency (USEPA) has not yet implemented a regulation relative to PFOA, the water distributed from the Park Avenue Wellfield Treatment Plant does meet the USEPA’s current health advisory level of 70 ppt and would meet the NJDEP’s pre-2021 standard guidance level of 40 ppt, which was not a regulation. Construction of an enhanced treatment process at the Park Avenue Wellfield Treatment Plant to comply with an anticipated NJDEP standard, at a level which is unknown at this time, had already begun prior to the regulation being enacted. Since completion is not expected until mid-2023, in December 2021, the Company implemented an interim solution to meet the Notice requirements. The Park Avenue Wellfield Treatment Plant was taken off-line and alternate sources of supply have been obtained. The Company is in the process of implementing an acceleration of a portion of the Park Avenue Wellfield treatment upgrades in order to meet anticipated increases in the historical higher water demand periods during the summer months. This is also intended to result in compliance with the requirements of the Notice.</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Company believes monetary penalties are unlikely, the issuance of the Notice does not preclude the State of New Jersey or any of its agencies from initiating formal administrative and/or judicial enforcement action, including assessment of penalties of up to $25,000 per day per offense if the Company is not in compliance with the requirements of the Notice by September 7, 2022.</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Sale of Subsidiary – </w:t>
      </w:r>
      <w:r>
        <w:rPr>
          <w:rFonts w:ascii="Arial" w:cs="Arial" w:eastAsia="Arial" w:hAnsi="Arial"/>
          <w:sz w:val="18"/>
          <w:szCs w:val="18"/>
          <w:color w:val="auto"/>
        </w:rPr>
        <w:t>In January 2022, Middlesex closed on the Delaware Public Service Commission (DEPSC) approved sale of 100% of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its subsidiary Tidewater Environmental Services, Inc. to Artesian Wastewater Management, Inc. for $6.4 million in cash and other consideration, resulting in a $5.2 million pre-tax gain. The Company will continue to own and operate its non-regulated water and wastewater contract operations business in Delaware.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Coronavirus (COVID-19) Pandemic </w:t>
      </w:r>
      <w:r>
        <w:rPr>
          <w:rFonts w:ascii="Arial" w:cs="Arial" w:eastAsia="Arial" w:hAnsi="Arial"/>
          <w:sz w:val="17"/>
          <w:szCs w:val="17"/>
          <w:color w:val="auto"/>
        </w:rPr>
        <w:t>– On April 13, 2022, the United States Secretary of Health and Human Services renewed the determination that a</w:t>
      </w:r>
      <w:r>
        <w:rPr>
          <w:rFonts w:ascii="Arial" w:cs="Arial" w:eastAsia="Arial" w:hAnsi="Arial"/>
          <w:sz w:val="17"/>
          <w:szCs w:val="17"/>
          <w:b w:val="1"/>
          <w:bCs w:val="1"/>
          <w:color w:val="auto"/>
        </w:rPr>
        <w:t xml:space="preserve"> </w:t>
      </w:r>
      <w:r>
        <w:rPr>
          <w:rFonts w:ascii="Arial" w:cs="Arial" w:eastAsia="Arial" w:hAnsi="Arial"/>
          <w:sz w:val="17"/>
          <w:szCs w:val="17"/>
          <w:color w:val="auto"/>
        </w:rPr>
        <w:t>nationwide health emergency exists as a result of the COVID-19 Pandemic.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ended on March 7, 2022. In Delaware, the declared COVID-19 State of Emergency Order ended in July 2021.</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Since the ultimate rate treatment to be determined by the NJBPU regarding incremental costs related to COVID-19 is not definitively known at this time, the Company has not deferred any such costs. We will continue to monitor the effects of COVID-19 and evaluate its impact on the Company’s results of operations, financial condition and liquidity.</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Guidance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Rate and Regulatory Matters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 </w:t>
      </w:r>
      <w:r>
        <w:rPr>
          <w:rFonts w:ascii="Arial" w:cs="Arial" w:eastAsia="Arial" w:hAnsi="Arial"/>
          <w:sz w:val="17"/>
          <w:szCs w:val="17"/>
          <w:color w:val="auto"/>
        </w:rPr>
        <w:t>In December 2021, Middlesex’s petition to the NJBPU seeking permission to increase its base water rates was concluded, based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Middlesex filed a petition with the NJBPU seeking approval to set its PWAC tariff rate to recover additional costs of $3.7 million for the purchase of treated water from a non-affiliated water utility regulated by the NJBPU. We cannot predict whether the NJBPU will ultimately approve, deny or reduce the amount of our request.</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to submit $1.7 million into an escrow account within 30 days. Twin Lakes immediately filed a Petition For Review (PFR) with the Commonwealth Court of Pennsylvania (the Pennsylvania Court) seeking reversal and vacation of the escrow requirement on the grounds that it violates the Pennsylvania Public Utility Code as well as the United States Constitution. In addition, Twin Lakes filed an emergency petition for stay of the PAPUC Order pending the Pennsylvania Court’s review of the merits arguments contained in Twin Lakes’ PFR. In December 2021, the Pennsylvania Court granted Twin Lakes’ emergency petition, pending its review. A final decision by the Pennsylvania Court is not expected before June 2022. The final adjudication of this matter cannot be predicted at this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For the three months ended March 31, 2022 and 2021, the Company received proceeds of $2.9 million and $0.3 million, respectively,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of its common stock under the Middlesex Water Company Investment Plan (the Investment Plan). On September 1, 2021, the Company began offering shares of its common stock for purchase at a 3% discount to participants in the Investment Plan. The discount offering will continue until 200,000 shares are purchased at the discounted price or August 1, 2022, whichever event occurs first. Through March 31, 2022, 60,096 shares have been purchased through the discounted offering. The discount applies to all common stock purchases made under the Investment Plan, whether by optional cash payment or by dividend reinvestment.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Long-term Debt - </w:t>
      </w:r>
      <w:r>
        <w:rPr>
          <w:rFonts w:ascii="Arial" w:cs="Arial" w:eastAsia="Arial" w:hAnsi="Arial"/>
          <w:sz w:val="16"/>
          <w:szCs w:val="16"/>
          <w:color w:val="auto"/>
        </w:rPr>
        <w:t>Middlesex currently has two projects that are in the construction loan phase of the New Jersey State Revolving Fund (SRF) program:</w:t>
      </w:r>
    </w:p>
    <w:p>
      <w:pPr>
        <w:spacing w:after="0" w:line="198" w:lineRule="exact"/>
        <w:rPr>
          <w:sz w:val="20"/>
          <w:szCs w:val="20"/>
          <w:color w:val="auto"/>
        </w:rPr>
      </w:pPr>
    </w:p>
    <w:p>
      <w:pPr>
        <w:jc w:val="both"/>
        <w:ind w:left="840" w:hanging="508"/>
        <w:spacing w:after="0" w:line="259"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2018, the NJBPU approved Middlesex’s request to participate in the New Jersey Infrastructure Bank (NJIB) loan program to fund the construction of a 4.5 mile large-diameter transmission pipeline from the Carl J. Olsen water treatment plant in Edison, New Jersey and interconnect with our distribution system. Middlesex closed on a $43.5 million NJIB interest-free construction loan in August 2018 and completed withdrawal of the proceeds in June 2021; and</w:t>
      </w:r>
    </w:p>
    <w:p>
      <w:pPr>
        <w:spacing w:after="0" w:line="132" w:lineRule="exact"/>
        <w:rPr>
          <w:rFonts w:ascii="Arial" w:cs="Arial" w:eastAsia="Arial" w:hAnsi="Arial"/>
          <w:sz w:val="18"/>
          <w:szCs w:val="18"/>
          <w:color w:val="auto"/>
        </w:rPr>
      </w:pPr>
    </w:p>
    <w:p>
      <w:pPr>
        <w:jc w:val="both"/>
        <w:ind w:left="840" w:hanging="508"/>
        <w:spacing w:after="0" w:line="286"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March 2018, the NJBPU approved Middlesex’s request to participate in the NJIB loan program to fund the 2018 RENEW Program, which is an ongoing initiative to rehabilitate or replace water distribution mains in the Middlesex system. Middlesex closed on an $8.7 million interest-free NJIB construction loan in September 2018 and completed withdrawal of the proceeds in October 2019.</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anticipates that these two interest-free construction loans will be converted into long-term securitized loans by the NJIB during the second quarter of 2022.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2021, Tidewater received approval from the DEPSC to borrow up to $5.0 million under the Delaware SRF Program for construction of a one million gallon elevated storage tank. Tidewater closed on the $5.0 million loan in December 2021 and began receiving disbursements in January 2022. Through March 31, 2022, Tidewater has drawn a total of $1.3 million and expects borrowing under this loan to continue through mid-2023. The final maturity date on the loan is 2044.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Fair Value of Financial Instruments - </w:t>
      </w:r>
      <w:r>
        <w:rPr>
          <w:rFonts w:ascii="Arial" w:cs="Arial" w:eastAsia="Arial" w:hAnsi="Arial"/>
          <w:sz w:val="17"/>
          <w:szCs w:val="17"/>
          <w:color w:val="auto"/>
        </w:rPr>
        <w:t>The following methods and assumptions were used by the Company in estimating its fair value disclosure for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First Mortgage Bonds (FMBs) issued by Middlesex is based on quoted market prices for similar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80" w:type="dxa"/>
            <w:vAlign w:val="bottom"/>
            <w:gridSpan w:val="2"/>
          </w:tcPr>
          <w:p>
            <w:pPr>
              <w:ind w:left="500"/>
              <w:spacing w:after="0"/>
              <w:rPr>
                <w:sz w:val="20"/>
                <w:szCs w:val="20"/>
                <w:color w:val="auto"/>
              </w:rPr>
            </w:pPr>
            <w:r>
              <w:rPr>
                <w:rFonts w:ascii="Arial" w:cs="Arial" w:eastAsia="Arial" w:hAnsi="Arial"/>
                <w:sz w:val="18"/>
                <w:szCs w:val="18"/>
                <w:color w:val="auto"/>
              </w:rPr>
              <w:t>(Thousands of Dollars)</w:t>
            </w: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100" w:type="dxa"/>
            <w:vAlign w:val="bottom"/>
            <w:gridSpan w:val="2"/>
          </w:tcPr>
          <w:p>
            <w:pPr>
              <w:ind w:left="2180"/>
              <w:spacing w:after="0"/>
              <w:rPr>
                <w:sz w:val="20"/>
                <w:szCs w:val="20"/>
                <w:color w:val="auto"/>
              </w:rPr>
            </w:pPr>
            <w:r>
              <w:rPr>
                <w:rFonts w:ascii="Arial" w:cs="Arial" w:eastAsia="Arial" w:hAnsi="Arial"/>
                <w:sz w:val="18"/>
                <w:szCs w:val="18"/>
                <w:color w:val="auto"/>
              </w:rPr>
              <w:t>March 31, 2022</w:t>
            </w:r>
          </w:p>
        </w:tc>
        <w:tc>
          <w:tcPr>
            <w:tcW w:w="2660" w:type="dxa"/>
            <w:vAlign w:val="bottom"/>
            <w:gridSpan w:val="2"/>
          </w:tcPr>
          <w:p>
            <w:pPr>
              <w:ind w:left="620"/>
              <w:spacing w:after="0"/>
              <w:rPr>
                <w:sz w:val="20"/>
                <w:szCs w:val="20"/>
                <w:color w:val="auto"/>
              </w:rPr>
            </w:pPr>
            <w:r>
              <w:rPr>
                <w:rFonts w:ascii="Arial" w:cs="Arial" w:eastAsia="Arial" w:hAnsi="Arial"/>
                <w:sz w:val="18"/>
                <w:szCs w:val="18"/>
                <w:color w:val="auto"/>
              </w:rPr>
              <w:t>December 31, 2021</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4"/>
              </w:rPr>
              <w:t>Carrying</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Fair</w:t>
            </w:r>
          </w:p>
        </w:tc>
      </w:tr>
      <w:tr>
        <w:trPr>
          <w:trHeight w:val="230"/>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Amount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r>
      <w:tr>
        <w:trPr>
          <w:trHeight w:val="209"/>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FMBs</w:t>
            </w:r>
          </w:p>
        </w:tc>
        <w:tc>
          <w:tcPr>
            <w:tcW w:w="2740" w:type="dxa"/>
            <w:vAlign w:val="bottom"/>
            <w:shd w:val="clear" w:color="auto" w:fill="CCEEFF"/>
          </w:tcPr>
          <w:p>
            <w:pPr>
              <w:jc w:val="center"/>
              <w:ind w:left="1310"/>
              <w:spacing w:after="0"/>
              <w:rPr>
                <w:sz w:val="20"/>
                <w:szCs w:val="20"/>
                <w:color w:val="auto"/>
              </w:rPr>
            </w:pPr>
            <w:r>
              <w:rPr>
                <w:rFonts w:ascii="Arial" w:cs="Arial" w:eastAsia="Arial" w:hAnsi="Arial"/>
                <w:sz w:val="18"/>
                <w:szCs w:val="18"/>
                <w:color w:val="auto"/>
                <w:w w:val="89"/>
              </w:rPr>
              <w:t>$98,441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$102,282</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$98,828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$107,781</w:t>
            </w:r>
          </w:p>
        </w:tc>
      </w:tr>
    </w:tbl>
    <w:p>
      <w:pPr>
        <w:spacing w:after="0" w:line="2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was not practicable to estimate their fair value on our outstanding long-term debt for which there is no quoted market price and there is not an active trading market. For details, including carrying value, interest rate and due date on these series of long-term debt, please refer to those series of long-term debt titled “Amortizing Secured Notes”, “State Revolving Trust Notes”, and “Construction Loans” on the Consolidated Statements of Capital Stock and Long-Term Debt. The carrying amount of these instruments was $212.7 million and $212.3 million at March 31, 2022 and December 31, 2021, respectively. Customer advances for construction have carrying amounts of $23.0 million and $23.5 million at March 31, 2022 and December 31, 2021, respectively. Their relative fair values cannot be accurately estimated since future refund payments depend on several variables, including new customer connections, customer consumption levels and future rate increases.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Shares</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12,100</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17,538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6,907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17,476</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Dividend</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12,070</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17,538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6,877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17,476</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0.69</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0.39</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12,070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17,538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6,877</w:t>
            </w:r>
          </w:p>
        </w:tc>
        <w:tc>
          <w:tcPr>
            <w:tcW w:w="1040" w:type="dxa"/>
            <w:vAlign w:val="bottom"/>
          </w:tcPr>
          <w:p>
            <w:pPr>
              <w:jc w:val="right"/>
              <w:spacing w:after="0"/>
              <w:rPr>
                <w:sz w:val="20"/>
                <w:szCs w:val="20"/>
                <w:color w:val="auto"/>
              </w:rPr>
            </w:pPr>
            <w:r>
              <w:rPr>
                <w:rFonts w:ascii="Arial" w:cs="Arial" w:eastAsia="Arial" w:hAnsi="Arial"/>
                <w:sz w:val="18"/>
                <w:szCs w:val="18"/>
                <w:color w:val="auto"/>
              </w:rPr>
              <w:t>17,476</w:t>
            </w:r>
          </w:p>
        </w:tc>
        <w:tc>
          <w:tcPr>
            <w:tcW w:w="20" w:type="dxa"/>
            <w:vAlign w:val="bottom"/>
          </w:tcPr>
          <w:p>
            <w:pPr>
              <w:spacing w:after="0"/>
              <w:rPr>
                <w:sz w:val="18"/>
                <w:szCs w:val="18"/>
                <w:color w:val="auto"/>
              </w:rPr>
            </w:pP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Adjusted Earnings Applicable to Common Stock</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12,087</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6,894</w:t>
            </w:r>
          </w:p>
        </w:tc>
        <w:tc>
          <w:tcPr>
            <w:tcW w:w="1040" w:type="dxa"/>
            <w:vAlign w:val="bottom"/>
          </w:tcPr>
          <w:p>
            <w:pPr>
              <w:jc w:val="right"/>
              <w:spacing w:after="0"/>
              <w:rPr>
                <w:sz w:val="20"/>
                <w:szCs w:val="20"/>
                <w:color w:val="auto"/>
              </w:rPr>
            </w:pPr>
            <w:r>
              <w:rPr>
                <w:rFonts w:ascii="Arial" w:cs="Arial" w:eastAsia="Arial" w:hAnsi="Arial"/>
                <w:sz w:val="18"/>
                <w:szCs w:val="18"/>
                <w:color w:val="auto"/>
              </w:rPr>
              <w:t>17,591</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0.68</w:t>
            </w:r>
          </w:p>
        </w:tc>
        <w:tc>
          <w:tcPr>
            <w:tcW w:w="108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0.39</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54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54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48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48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Business Segment Data</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4"/>
          </w:tcPr>
          <w:p>
            <w:pPr>
              <w:jc w:val="center"/>
              <w:ind w:right="180"/>
              <w:spacing w:after="0"/>
              <w:rPr>
                <w:sz w:val="20"/>
                <w:szCs w:val="20"/>
                <w:color w:val="auto"/>
              </w:rPr>
            </w:pPr>
            <w:r>
              <w:rPr>
                <w:rFonts w:ascii="Arial" w:cs="Arial" w:eastAsia="Arial" w:hAnsi="Arial"/>
                <w:sz w:val="18"/>
                <w:szCs w:val="18"/>
                <w:color w:val="auto"/>
                <w:w w:val="90"/>
              </w:rPr>
              <w:t>(In Thousands)</w:t>
            </w:r>
          </w:p>
        </w:tc>
      </w:tr>
      <w:tr>
        <w:trPr>
          <w:trHeight w:val="216"/>
        </w:trPr>
        <w:tc>
          <w:tcPr>
            <w:tcW w:w="3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39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color w:val="auto"/>
                <w:w w:val="92"/>
              </w:rPr>
              <w:t>March 31,</w:t>
            </w:r>
          </w:p>
        </w:tc>
      </w:tr>
      <w:tr>
        <w:trPr>
          <w:trHeight w:val="209"/>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4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2021</w:t>
            </w:r>
          </w:p>
        </w:tc>
        <w:tc>
          <w:tcPr>
            <w:tcW w:w="20" w:type="dxa"/>
            <w:vAlign w:val="bottom"/>
            <w:tcBorders>
              <w:bottom w:val="single" w:sz="8" w:color="auto"/>
            </w:tcBorders>
          </w:tcPr>
          <w:p>
            <w:pPr>
              <w:spacing w:after="0"/>
              <w:rPr>
                <w:sz w:val="18"/>
                <w:szCs w:val="18"/>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Revenues:</w:t>
            </w: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29,421</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3,009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18"/>
                <w:szCs w:val="18"/>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Consolidated Revenues</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36,196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32,541</w:t>
            </w:r>
          </w:p>
        </w:tc>
        <w:tc>
          <w:tcPr>
            <w:tcW w:w="20" w:type="dxa"/>
            <w:vAlign w:val="bottom"/>
          </w:tcPr>
          <w:p>
            <w:pPr>
              <w:spacing w:after="0"/>
              <w:rPr>
                <w:sz w:val="18"/>
                <w:szCs w:val="18"/>
                <w:color w:val="auto"/>
              </w:rPr>
            </w:pPr>
          </w:p>
        </w:tc>
      </w:tr>
      <w:tr>
        <w:trPr>
          <w:trHeight w:val="210"/>
        </w:trPr>
        <w:tc>
          <w:tcPr>
            <w:tcW w:w="3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Income:</w:t>
            </w: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0" w:type="dxa"/>
            <w:vAlign w:val="bottom"/>
            <w:tcBorders>
              <w:bottom w:val="single" w:sz="8" w:color="auto"/>
            </w:tcBorders>
          </w:tcPr>
          <w:p>
            <w:pPr>
              <w:spacing w:after="0"/>
              <w:rPr>
                <w:sz w:val="18"/>
                <w:szCs w:val="18"/>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0" w:type="dxa"/>
            <w:vAlign w:val="bottom"/>
            <w:shd w:val="clear" w:color="auto" w:fill="CCEEFF"/>
          </w:tcPr>
          <w:p>
            <w:pPr>
              <w:spacing w:after="0"/>
              <w:rPr>
                <w:sz w:val="18"/>
                <w:szCs w:val="18"/>
                <w:color w:val="auto"/>
              </w:rPr>
            </w:pPr>
          </w:p>
        </w:tc>
      </w:tr>
      <w:tr>
        <w:trPr>
          <w:trHeight w:val="210"/>
        </w:trPr>
        <w:tc>
          <w:tcPr>
            <w:tcW w:w="392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11,513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6,240</w:t>
            </w:r>
          </w:p>
        </w:tc>
        <w:tc>
          <w:tcPr>
            <w:tcW w:w="20" w:type="dxa"/>
            <w:vAlign w:val="bottom"/>
          </w:tcPr>
          <w:p>
            <w:pPr>
              <w:spacing w:after="0"/>
              <w:rPr>
                <w:sz w:val="18"/>
                <w:szCs w:val="18"/>
                <w:color w:val="auto"/>
              </w:rPr>
            </w:pPr>
          </w:p>
        </w:tc>
      </w:tr>
      <w:tr>
        <w:trPr>
          <w:trHeight w:val="216"/>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6,907</w:t>
            </w:r>
          </w:p>
        </w:tc>
        <w:tc>
          <w:tcPr>
            <w:tcW w:w="20" w:type="dxa"/>
            <w:vAlign w:val="bottom"/>
          </w:tcPr>
          <w:p>
            <w:pPr>
              <w:spacing w:after="0"/>
              <w:rPr>
                <w:sz w:val="18"/>
                <w:szCs w:val="18"/>
                <w:color w:val="auto"/>
              </w:rPr>
            </w:pPr>
          </w:p>
        </w:tc>
      </w:tr>
      <w:tr>
        <w:trPr>
          <w:trHeight w:val="209"/>
        </w:trPr>
        <w:tc>
          <w:tcPr>
            <w:tcW w:w="3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Capital Expenditures:</w:t>
            </w: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w:t>
            </w:r>
          </w:p>
        </w:tc>
        <w:tc>
          <w:tcPr>
            <w:tcW w:w="20" w:type="dxa"/>
            <w:vAlign w:val="bottom"/>
            <w:shd w:val="clear" w:color="auto" w:fill="CCEEFF"/>
          </w:tcPr>
          <w:p>
            <w:pPr>
              <w:spacing w:after="0"/>
              <w:rPr>
                <w:sz w:val="18"/>
                <w:szCs w:val="18"/>
                <w:color w:val="auto"/>
              </w:rPr>
            </w:pPr>
          </w:p>
        </w:tc>
      </w:tr>
      <w:tr>
        <w:trPr>
          <w:trHeight w:val="371"/>
        </w:trPr>
        <w:tc>
          <w:tcPr>
            <w:tcW w:w="392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7"/>
              </w:rPr>
              <w:t>As of</w:t>
            </w: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2"/>
              </w:rPr>
              <w:t>As of</w:t>
            </w:r>
          </w:p>
        </w:tc>
      </w:tr>
      <w:tr>
        <w:trPr>
          <w:trHeight w:val="216"/>
        </w:trPr>
        <w:tc>
          <w:tcPr>
            <w:tcW w:w="3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2"/>
              </w:rPr>
              <w:t>March 31,</w:t>
            </w:r>
          </w:p>
        </w:tc>
        <w:tc>
          <w:tcPr>
            <w:tcW w:w="22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December 31,</w:t>
            </w:r>
          </w:p>
        </w:tc>
      </w:tr>
      <w:tr>
        <w:trPr>
          <w:trHeight w:val="230"/>
        </w:trPr>
        <w:tc>
          <w:tcPr>
            <w:tcW w:w="39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2021</w:t>
            </w:r>
          </w:p>
        </w:tc>
        <w:tc>
          <w:tcPr>
            <w:tcW w:w="20" w:type="dxa"/>
            <w:vAlign w:val="bottom"/>
            <w:tcBorders>
              <w:bottom w:val="single" w:sz="8" w:color="auto"/>
            </w:tcBorders>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1,015,059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1,022,116</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8,378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Inter-segment Elimination</w:t>
            </w:r>
          </w:p>
        </w:tc>
        <w:tc>
          <w:tcPr>
            <w:tcW w:w="4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20" w:type="dxa"/>
            <w:vAlign w:val="bottom"/>
            <w:tcBorders>
              <w:bottom w:val="single" w:sz="8" w:color="auto"/>
            </w:tcBorders>
          </w:tcPr>
          <w:p>
            <w:pPr>
              <w:spacing w:after="0"/>
              <w:rPr>
                <w:sz w:val="18"/>
                <w:szCs w:val="18"/>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4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1,009,584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1,020,015</w:t>
            </w:r>
          </w:p>
        </w:tc>
        <w:tc>
          <w:tcPr>
            <w:tcW w:w="20" w:type="dxa"/>
            <w:vAlign w:val="bottom"/>
            <w:shd w:val="clear" w:color="auto" w:fill="CCEEFF"/>
          </w:tcPr>
          <w:p>
            <w:pPr>
              <w:spacing w:after="0"/>
              <w:rPr>
                <w:sz w:val="18"/>
                <w:szCs w:val="18"/>
                <w:color w:val="auto"/>
              </w:rPr>
            </w:pPr>
          </w:p>
        </w:tc>
      </w:tr>
      <w:tr>
        <w:trPr>
          <w:trHeight w:val="426"/>
        </w:trPr>
        <w:tc>
          <w:tcPr>
            <w:tcW w:w="392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jc w:val="right"/>
              <w:ind w:right="2510"/>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16"/>
        </w:trPr>
        <w:tc>
          <w:tcPr>
            <w:tcW w:w="3920" w:type="dxa"/>
            <w:vAlign w:val="bottom"/>
            <w:tcBorders>
              <w:bottom w:val="single" w:sz="8" w:color="EEEEEE"/>
            </w:tcBorders>
          </w:tcPr>
          <w:p>
            <w:pPr>
              <w:spacing w:after="0"/>
              <w:rPr>
                <w:sz w:val="18"/>
                <w:szCs w:val="18"/>
                <w:color w:val="auto"/>
              </w:rPr>
            </w:pPr>
          </w:p>
        </w:tc>
        <w:tc>
          <w:tcPr>
            <w:tcW w:w="440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1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1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$140.0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(Millions)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3"/>
          </w:tcPr>
          <w:p>
            <w:pPr>
              <w:jc w:val="right"/>
              <w:ind w:right="530"/>
              <w:spacing w:after="0"/>
              <w:rPr>
                <w:sz w:val="20"/>
                <w:szCs w:val="20"/>
                <w:color w:val="auto"/>
              </w:rPr>
            </w:pPr>
            <w:r>
              <w:rPr>
                <w:rFonts w:ascii="Arial" w:cs="Arial" w:eastAsia="Arial" w:hAnsi="Arial"/>
                <w:sz w:val="18"/>
                <w:szCs w:val="18"/>
                <w:color w:val="auto"/>
              </w:rPr>
              <w:t>As of March 31, 2022</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Outstanding</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Available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Maximum</w:t>
            </w: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Credit Type</w:t>
            </w:r>
          </w:p>
        </w:tc>
        <w:tc>
          <w:tcPr>
            <w:tcW w:w="23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Renewal Date</w:t>
            </w: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Uncommitted</w:t>
            </w: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26, 2023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PNC Bank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480" w:type="dxa"/>
            <w:vAlign w:val="bottom"/>
          </w:tcPr>
          <w:p>
            <w:pPr>
              <w:ind w:left="120"/>
              <w:spacing w:after="0"/>
              <w:rPr>
                <w:sz w:val="20"/>
                <w:szCs w:val="20"/>
                <w:color w:val="auto"/>
              </w:rPr>
            </w:pPr>
            <w:r>
              <w:rPr>
                <w:rFonts w:ascii="Arial" w:cs="Arial" w:eastAsia="Arial" w:hAnsi="Arial"/>
                <w:sz w:val="18"/>
                <w:szCs w:val="18"/>
                <w:color w:val="auto"/>
              </w:rPr>
              <w:t>Committed</w:t>
            </w:r>
          </w:p>
        </w:tc>
        <w:tc>
          <w:tcPr>
            <w:tcW w:w="2320" w:type="dxa"/>
            <w:vAlign w:val="bottom"/>
          </w:tcPr>
          <w:p>
            <w:pPr>
              <w:ind w:left="200"/>
              <w:spacing w:after="0"/>
              <w:rPr>
                <w:sz w:val="20"/>
                <w:szCs w:val="20"/>
                <w:color w:val="auto"/>
              </w:rPr>
            </w:pPr>
            <w:r>
              <w:rPr>
                <w:rFonts w:ascii="Arial" w:cs="Arial" w:eastAsia="Arial" w:hAnsi="Arial"/>
                <w:sz w:val="18"/>
                <w:szCs w:val="18"/>
                <w:color w:val="auto"/>
              </w:rPr>
              <w:t>January 31, 2024</w:t>
            </w:r>
          </w:p>
        </w:tc>
      </w:tr>
      <w:tr>
        <w:trPr>
          <w:trHeight w:val="216"/>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CoBank</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Committed</w:t>
            </w:r>
          </w:p>
        </w:tc>
        <w:tc>
          <w:tcPr>
            <w:tcW w:w="2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November 30, 2023</w:t>
            </w:r>
          </w:p>
        </w:tc>
      </w:tr>
      <w:tr>
        <w:trPr>
          <w:trHeight w:val="210"/>
        </w:trPr>
        <w:tc>
          <w:tcPr>
            <w:tcW w:w="30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140.0</w:t>
            </w:r>
          </w:p>
        </w:tc>
        <w:tc>
          <w:tcPr>
            <w:tcW w:w="14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borrowings under the Bank of America and PNC Bank lines of credit is set using the Bloomberg Short-Term Bank Yield Index and adding a credit spread, which varies by financial institution. The interest rate for borrowings under the CoBank line of credit are set weekly using CoBank’s internal cost of funds index that is similar to the Standard Overnight Financing Rate and adding a credit spread. There is no requirement for a compensating balance under any of the established lines of credit.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March 31, 2022 under these credit lines is 1.20%.</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outstanding borrowings under the Company’s credit lines and the weighted average interest rates on those amounts were $13.4 million and $8.0 million at 1.12% and 1.12% for the three months ended March 31, 2022 and 2021, respectively.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maturity dates for the $15.0 million outstanding as of March 31, 2022 are in April 2022 and May 2022 and were or are expected to be extended at the discretion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Water Supply - </w:t>
      </w:r>
      <w:r>
        <w:rPr>
          <w:rFonts w:ascii="Arial" w:cs="Arial" w:eastAsia="Arial" w:hAnsi="Arial"/>
          <w:sz w:val="18"/>
          <w:szCs w:val="18"/>
          <w:color w:val="auto"/>
        </w:rPr>
        <w:t>Middlesex has an agreement with the New Jersey Water Supply Authority (NJWSA) for the purchase of untreated water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Middlesex has an agreement with a non-affiliated regulated water utility for the purchase of treated water. This agreement, which expires February 27, 2026, provides for the minimum purchase of 3.0 mgd of treated water with provisions for additional purchases.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15.0 million gallons of treated water annually.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Purchased water costs are shown below:</w:t>
      </w:r>
    </w:p>
    <w:p>
      <w:pPr>
        <w:spacing w:after="0" w:line="185"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Three Months Ended</w:t>
      </w:r>
    </w:p>
    <w:p>
      <w:pPr>
        <w:spacing w:after="0" w:line="9"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p>
      <w:pPr>
        <w:ind w:left="8200"/>
        <w:spacing w:after="0"/>
        <w:tabs>
          <w:tab w:leader="none" w:pos="932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40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Untreated</w:t>
            </w:r>
          </w:p>
        </w:tc>
        <w:tc>
          <w:tcPr>
            <w:tcW w:w="40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1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4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120" w:type="dxa"/>
            <w:vAlign w:val="bottom"/>
          </w:tcPr>
          <w:p>
            <w:pPr>
              <w:spacing w:after="0"/>
              <w:rPr>
                <w:sz w:val="18"/>
                <w:szCs w:val="18"/>
                <w:color w:val="auto"/>
              </w:rPr>
            </w:pPr>
          </w:p>
        </w:tc>
      </w:tr>
      <w:tr>
        <w:trPr>
          <w:trHeight w:val="426"/>
        </w:trPr>
        <w:tc>
          <w:tcPr>
            <w:tcW w:w="1160" w:type="dxa"/>
            <w:vAlign w:val="bottom"/>
          </w:tcPr>
          <w:p>
            <w:pPr>
              <w:spacing w:after="0"/>
              <w:rPr>
                <w:sz w:val="24"/>
                <w:szCs w:val="24"/>
                <w:color w:val="auto"/>
              </w:rPr>
            </w:pPr>
          </w:p>
        </w:tc>
        <w:tc>
          <w:tcPr>
            <w:tcW w:w="2580" w:type="dxa"/>
            <w:vAlign w:val="bottom"/>
            <w:tcBorders>
              <w:top w:val="single" w:sz="8" w:color="CCEEFF"/>
            </w:tcBorders>
          </w:tcPr>
          <w:p>
            <w:pPr>
              <w:spacing w:after="0"/>
              <w:rPr>
                <w:sz w:val="24"/>
                <w:szCs w:val="24"/>
                <w:color w:val="auto"/>
              </w:rPr>
            </w:pPr>
          </w:p>
        </w:tc>
        <w:tc>
          <w:tcPr>
            <w:tcW w:w="404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11</w:t>
            </w:r>
          </w:p>
        </w:tc>
        <w:tc>
          <w:tcPr>
            <w:tcW w:w="4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60" w:type="dxa"/>
            <w:vAlign w:val="bottom"/>
            <w:tcBorders>
              <w:bottom w:val="single" w:sz="8" w:color="EEEEEE"/>
            </w:tcBorders>
          </w:tcPr>
          <w:p>
            <w:pPr>
              <w:spacing w:after="0"/>
              <w:rPr>
                <w:sz w:val="18"/>
                <w:szCs w:val="18"/>
                <w:color w:val="auto"/>
              </w:rPr>
            </w:pPr>
          </w:p>
        </w:tc>
        <w:tc>
          <w:tcPr>
            <w:tcW w:w="2580" w:type="dxa"/>
            <w:vAlign w:val="bottom"/>
            <w:tcBorders>
              <w:bottom w:val="single" w:sz="8" w:color="EEEEEE"/>
            </w:tcBorders>
          </w:tcPr>
          <w:p>
            <w:pPr>
              <w:spacing w:after="0"/>
              <w:rPr>
                <w:sz w:val="18"/>
                <w:szCs w:val="18"/>
                <w:color w:val="auto"/>
              </w:rPr>
            </w:pPr>
          </w:p>
        </w:tc>
        <w:tc>
          <w:tcPr>
            <w:tcW w:w="4040" w:type="dxa"/>
            <w:vAlign w:val="bottom"/>
            <w:tcBorders>
              <w:bottom w:val="single" w:sz="8" w:color="EEEEEE"/>
            </w:tcBorders>
          </w:tcPr>
          <w:p>
            <w:pPr>
              <w:spacing w:after="0"/>
              <w:rPr>
                <w:sz w:val="18"/>
                <w:szCs w:val="18"/>
                <w:color w:val="auto"/>
              </w:rPr>
            </w:pPr>
          </w:p>
        </w:tc>
        <w:tc>
          <w:tcPr>
            <w:tcW w:w="440" w:type="dxa"/>
            <w:vAlign w:val="bottom"/>
            <w:tcBorders>
              <w:bottom w:val="single" w:sz="8" w:color="EEEEEE"/>
            </w:tcBorders>
          </w:tcPr>
          <w:p>
            <w:pPr>
              <w:spacing w:after="0"/>
              <w:rPr>
                <w:sz w:val="18"/>
                <w:szCs w:val="18"/>
                <w:color w:val="auto"/>
              </w:rPr>
            </w:pPr>
          </w:p>
        </w:tc>
        <w:tc>
          <w:tcPr>
            <w:tcW w:w="740" w:type="dxa"/>
            <w:vAlign w:val="bottom"/>
            <w:tcBorders>
              <w:bottom w:val="single" w:sz="8" w:color="EEEEEE"/>
            </w:tcBorders>
          </w:tcPr>
          <w:p>
            <w:pPr>
              <w:spacing w:after="0"/>
              <w:rPr>
                <w:sz w:val="18"/>
                <w:szCs w:val="18"/>
                <w:color w:val="auto"/>
              </w:rPr>
            </w:pPr>
          </w:p>
        </w:tc>
        <w:tc>
          <w:tcPr>
            <w:tcW w:w="420" w:type="dxa"/>
            <w:vAlign w:val="bottom"/>
            <w:tcBorders>
              <w:bottom w:val="single" w:sz="8" w:color="EEEEEE"/>
            </w:tcBorders>
          </w:tcPr>
          <w:p>
            <w:pPr>
              <w:spacing w:after="0"/>
              <w:rPr>
                <w:sz w:val="18"/>
                <w:szCs w:val="18"/>
                <w:color w:val="auto"/>
              </w:rPr>
            </w:pPr>
          </w:p>
        </w:tc>
        <w:tc>
          <w:tcPr>
            <w:tcW w:w="72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prior to 2020 Middlesex had served as guarantor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an unaffiliated wastewater treatment contractor and partner (Contractor), to operate a County-owned leachate pretreatment facility.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Middlesex was notified that the County terminated its Agreement with the Contractor. The Contractor had initiated legal action against the County that in part contests the County’s exercise of this termination. The County filed a counter-claim against the Contractor’s parent company and has brought Middlesex into the suit as a third-party defendant. Our ongoing monitoring of this litigation has led to the conclusion that we do not anticipate the ultimate outcome will have a material impact on the Company’s results of operations or financial condition.</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March 31, 2022 and 2021, respectively.</w:t>
      </w:r>
    </w:p>
    <w:p>
      <w:pPr>
        <w:sectPr>
          <w:pgSz w:w="11900" w:h="16838" w:orient="portrait"/>
          <w:cols w:equalWidth="0" w:num="1">
            <w:col w:w="11240"/>
          </w:cols>
          <w:pgMar w:left="320" w:top="122" w:right="3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Information related to operating lease ROU assets and lease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ROU Asset at Lease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-121920</wp:posOffset>
            </wp:positionV>
            <wp:extent cx="56832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32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14605</wp:posOffset>
            </wp:positionV>
            <wp:extent cx="56832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32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ROU Asset</w:t>
      </w: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280" w:type="dxa"/>
            <w:vAlign w:val="bottom"/>
            <w:gridSpan w:val="3"/>
          </w:tcPr>
          <w:p>
            <w:pPr>
              <w:jc w:val="right"/>
              <w:ind w:right="730"/>
              <w:spacing w:after="0"/>
              <w:rPr>
                <w:sz w:val="20"/>
                <w:szCs w:val="20"/>
                <w:color w:val="auto"/>
              </w:rPr>
            </w:pPr>
            <w:r>
              <w:rPr>
                <w:rFonts w:ascii="Arial" w:cs="Arial" w:eastAsia="Arial" w:hAnsi="Arial"/>
                <w:sz w:val="18"/>
                <w:szCs w:val="18"/>
                <w:color w:val="auto"/>
              </w:rPr>
              <w:t>(In Millions)</w:t>
            </w:r>
          </w:p>
        </w:tc>
      </w:tr>
      <w:tr>
        <w:trPr>
          <w:trHeight w:val="216"/>
        </w:trPr>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0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March</w:t>
            </w:r>
          </w:p>
        </w:tc>
        <w:tc>
          <w:tcPr>
            <w:tcW w:w="18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1"/>
              </w:rPr>
              <w:t>December</w:t>
            </w:r>
          </w:p>
        </w:tc>
      </w:tr>
      <w:tr>
        <w:trPr>
          <w:trHeight w:val="216"/>
        </w:trPr>
        <w:tc>
          <w:tcPr>
            <w:tcW w:w="3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31, 2022</w:t>
            </w:r>
          </w:p>
        </w:tc>
        <w:tc>
          <w:tcPr>
            <w:tcW w:w="1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9"/>
              </w:rPr>
              <w:t>31, 2021</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30"/>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10"/>
        </w:trPr>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2">
            <w:col w:w="6800" w:space="720"/>
            <w:col w:w="372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future minimum operating lease commitments as of March 31, 2022 are as follows: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tcPr>
          <w:p>
            <w:pPr>
              <w:jc w:val="right"/>
              <w:ind w:right="590"/>
              <w:spacing w:after="0"/>
              <w:rPr>
                <w:sz w:val="20"/>
                <w:szCs w:val="20"/>
                <w:color w:val="auto"/>
              </w:rPr>
            </w:pPr>
            <w:r>
              <w:rPr>
                <w:rFonts w:ascii="Arial" w:cs="Arial" w:eastAsia="Arial" w:hAnsi="Arial"/>
                <w:sz w:val="18"/>
                <w:szCs w:val="18"/>
                <w:color w:val="auto"/>
              </w:rPr>
              <w:t>(In Millions)</w:t>
            </w:r>
          </w:p>
        </w:tc>
      </w:tr>
      <w:tr>
        <w:trPr>
          <w:trHeight w:val="216"/>
        </w:trPr>
        <w:tc>
          <w:tcPr>
            <w:tcW w:w="4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420" w:type="dxa"/>
            <w:vAlign w:val="bottom"/>
          </w:tcPr>
          <w:p>
            <w:pPr>
              <w:jc w:val="right"/>
              <w:ind w:right="97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420" w:type="dxa"/>
            <w:vAlign w:val="bottom"/>
          </w:tcPr>
          <w:p>
            <w:pPr>
              <w:jc w:val="right"/>
              <w:ind w:right="97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420" w:type="dxa"/>
            <w:vAlign w:val="bottom"/>
          </w:tcPr>
          <w:p>
            <w:pPr>
              <w:jc w:val="right"/>
              <w:ind w:right="97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4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420" w:type="dxa"/>
            <w:vAlign w:val="bottom"/>
          </w:tcPr>
          <w:p>
            <w:pPr>
              <w:jc w:val="right"/>
              <w:ind w:right="970"/>
              <w:spacing w:after="0"/>
              <w:rPr>
                <w:sz w:val="20"/>
                <w:szCs w:val="20"/>
                <w:color w:val="auto"/>
              </w:rPr>
            </w:pPr>
            <w:r>
              <w:rPr>
                <w:rFonts w:ascii="Arial" w:cs="Arial" w:eastAsia="Arial" w:hAnsi="Arial"/>
                <w:sz w:val="18"/>
                <w:szCs w:val="18"/>
                <w:color w:val="auto"/>
              </w:rPr>
              <w:t>Imputed Interest</w:t>
            </w: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44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Present Value of Lease Payments</w:t>
            </w: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420" w:type="dxa"/>
            <w:vAlign w:val="bottom"/>
          </w:tcPr>
          <w:p>
            <w:pPr>
              <w:jc w:val="right"/>
              <w:ind w:right="970"/>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09"/>
        </w:trPr>
        <w:tc>
          <w:tcPr>
            <w:tcW w:w="442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rPr>
              <w:t>Non-Current Lease Liability</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691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9105" cy="137160"/>
                    </a:xfrm>
                    <a:prstGeom prst="rect">
                      <a:avLst/>
                    </a:prstGeom>
                    <a:noFill/>
                  </pic:spPr>
                </pic:pic>
              </a:graphicData>
            </a:graphic>
          </wp:anchor>
        </w:drawing>
      </w:r>
    </w:p>
    <w:p>
      <w:pPr>
        <w:spacing w:after="0" w:line="2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Construction - </w:t>
      </w:r>
      <w:r>
        <w:rPr>
          <w:rFonts w:ascii="Arial" w:cs="Arial" w:eastAsia="Arial" w:hAnsi="Arial"/>
          <w:sz w:val="16"/>
          <w:szCs w:val="16"/>
          <w:color w:val="auto"/>
        </w:rPr>
        <w:t>The Company has forecasted to spend approximately $90 million for its construction program in 2022. The Company has entered into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several construction contracts that, in the aggregate, obligate expenditure of an estimated $39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 and could be impacted if the effects of new variants of COVID-19 pandemic arise and continue for an extended period of time (for further discussion of the impact of COVID-19 on the Company, see </w:t>
      </w:r>
      <w:r>
        <w:rPr>
          <w:rFonts w:ascii="Arial" w:cs="Arial" w:eastAsia="Arial" w:hAnsi="Arial"/>
          <w:sz w:val="16"/>
          <w:szCs w:val="16"/>
          <w:i w:val="1"/>
          <w:iCs w:val="1"/>
          <w:color w:val="auto"/>
        </w:rPr>
        <w:t>Note 1 - Coronavirus</w:t>
      </w:r>
      <w:r>
        <w:rPr>
          <w:rFonts w:ascii="Arial" w:cs="Arial" w:eastAsia="Arial" w:hAnsi="Arial"/>
          <w:sz w:val="16"/>
          <w:szCs w:val="16"/>
          <w:color w:val="auto"/>
        </w:rPr>
        <w:t xml:space="preserve"> </w:t>
      </w:r>
      <w:r>
        <w:rPr>
          <w:rFonts w:ascii="Arial" w:cs="Arial" w:eastAsia="Arial" w:hAnsi="Arial"/>
          <w:sz w:val="16"/>
          <w:szCs w:val="16"/>
          <w:i w:val="1"/>
          <w:iCs w:val="1"/>
          <w:color w:val="auto"/>
        </w:rPr>
        <w:t>(COVID-19) Pandemic</w:t>
      </w:r>
      <w:r>
        <w:rPr>
          <w:rFonts w:ascii="Arial" w:cs="Arial" w:eastAsia="Arial" w:hAnsi="Arial"/>
          <w:sz w:val="16"/>
          <w:szCs w:val="16"/>
          <w:color w:val="auto"/>
        </w:rPr>
        <w:t>). There is no assurance that projected customer growth and residential new home construction and sales will occur.</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PFOA Matter - </w:t>
      </w:r>
      <w:r>
        <w:rPr>
          <w:rFonts w:ascii="Arial" w:cs="Arial" w:eastAsia="Arial" w:hAnsi="Arial"/>
          <w:sz w:val="18"/>
          <w:szCs w:val="18"/>
          <w:color w:val="auto"/>
        </w:rPr>
        <w:t>In November 2021, the Company was served with two PFOA-related class action lawsuits seeking restitution for medical, water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replacement and other related costs and economic damages.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Arial" w:cs="Arial" w:eastAsia="Arial" w:hAnsi="Arial"/>
          <w:sz w:val="18"/>
          <w:szCs w:val="18"/>
          <w:i w:val="1"/>
          <w:iCs w:val="1"/>
          <w:color w:val="auto"/>
        </w:rPr>
        <w:t>Note 1 - Regulatory Notice of Non-Compliance</w:t>
      </w:r>
      <w:r>
        <w:rPr>
          <w:rFonts w:ascii="Arial" w:cs="Arial" w:eastAsia="Arial" w:hAnsi="Arial"/>
          <w:sz w:val="18"/>
          <w:szCs w:val="18"/>
          <w:color w:val="auto"/>
        </w:rPr>
        <w:t>).</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related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Pension Benefits </w:t>
      </w:r>
      <w:r>
        <w:rPr>
          <w:rFonts w:ascii="Arial" w:cs="Arial" w:eastAsia="Arial" w:hAnsi="Arial"/>
          <w:sz w:val="16"/>
          <w:szCs w:val="16"/>
          <w:color w:val="auto"/>
        </w:rPr>
        <w:t>- The Company’s Pension Plan covers all active employees hired prior to April 1, 2007. Employees hired after March 31, 2007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to participate in this plan, but do participate in a defined contribution plan that provides for a potential annual contribution in an amount that is at the discretion of the Company, based upon a percentage of the participants’ annual paid compensation. In order to be eligible for a contribution, the participant must be employed by the Company on December 31st of the year to which the contribution relates. For each of the three month periods ended March 31, 2022 and 2021, the Company did not make Pension Plan cash contributions. The Company expects to make Pension Plan cash contributions of approximately $3.4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Other Postretirement Benefits </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retirement plan other than pensions (Other Benefits Plan) covers substantially all of its current retired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Employees hired after March 31, 2007 are not eligible to participate in this plan. Coverage includes healthcare and life insurance. For the three month periods ended March 31, 2022 and 2021, the Company did not make Other Benefits Plan cash contributions. The Company expects to make additional Other Benefits Plan cash contributions of $0.8 million over the remainder of the current year.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the Company’s periodic cost (benefit) for its employee retirement benefit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Pension Benefits</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3"/>
          </w:tcPr>
          <w:p>
            <w:pPr>
              <w:jc w:val="right"/>
              <w:ind w:right="190"/>
              <w:spacing w:after="0" w:line="195" w:lineRule="exact"/>
              <w:rPr>
                <w:sz w:val="20"/>
                <w:szCs w:val="20"/>
                <w:color w:val="auto"/>
              </w:rPr>
            </w:pPr>
            <w:r>
              <w:rPr>
                <w:rFonts w:ascii="Arial" w:cs="Arial" w:eastAsia="Arial" w:hAnsi="Arial"/>
                <w:sz w:val="18"/>
                <w:szCs w:val="18"/>
                <w:color w:val="auto"/>
                <w:w w:val="93"/>
              </w:rPr>
              <w:t>Three Months Ended March 31,</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2022</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2021</w:t>
            </w:r>
          </w:p>
        </w:tc>
      </w:tr>
      <w:tr>
        <w:trPr>
          <w:trHeight w:val="210"/>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674</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677</w:t>
            </w:r>
          </w:p>
        </w:tc>
        <w:tc>
          <w:tcPr>
            <w:tcW w:w="5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418</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512</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Condensed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others.Revenue from contracts with customers is recognized when control of a promised good or service is transferred to customers at an amount that reflects the consideration to which the Company expects to be entitled in exchange for those goods and services.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to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2030 and contain remaining performance obligations for which the Company expects to recognize revenue in the future. These contracts also contain customary termination provisions.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3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8320" w:type="dxa"/>
            <w:vAlign w:val="bottom"/>
            <w:gridSpan w:val="2"/>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7"/>
        </w:trPr>
        <w:tc>
          <w:tcPr>
            <w:tcW w:w="3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8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3"/>
          </w:tcPr>
          <w:p>
            <w:pPr>
              <w:jc w:val="right"/>
              <w:ind w:right="150"/>
              <w:spacing w:after="0"/>
              <w:rPr>
                <w:sz w:val="20"/>
                <w:szCs w:val="20"/>
                <w:color w:val="auto"/>
              </w:rPr>
            </w:pPr>
            <w:r>
              <w:rPr>
                <w:rFonts w:ascii="Arial" w:cs="Arial" w:eastAsia="Arial" w:hAnsi="Arial"/>
                <w:sz w:val="18"/>
                <w:szCs w:val="18"/>
                <w:color w:val="auto"/>
                <w:w w:val="93"/>
              </w:rPr>
              <w:t>Three Months Ended March 31,</w:t>
            </w:r>
          </w:p>
        </w:tc>
      </w:tr>
      <w:tr>
        <w:trPr>
          <w:trHeight w:val="230"/>
        </w:trPr>
        <w:tc>
          <w:tcPr>
            <w:tcW w:w="3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4"/>
              </w:rPr>
              <w:t>2021</w:t>
            </w:r>
          </w:p>
        </w:tc>
      </w:tr>
      <w:tr>
        <w:trPr>
          <w:trHeight w:val="209"/>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19,152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16,957</w:t>
            </w:r>
          </w:p>
        </w:tc>
      </w:tr>
      <w:tr>
        <w:trPr>
          <w:trHeight w:val="216"/>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4,427</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2,595</w:t>
            </w:r>
          </w:p>
        </w:tc>
        <w:tc>
          <w:tcPr>
            <w:tcW w:w="5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2,177</w:t>
            </w:r>
          </w:p>
        </w:tc>
      </w:tr>
      <w:tr>
        <w:trPr>
          <w:trHeight w:val="216"/>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3,120</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3,964</w:t>
            </w:r>
          </w:p>
        </w:tc>
        <w:tc>
          <w:tcPr>
            <w:tcW w:w="5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3,539</w:t>
            </w:r>
          </w:p>
        </w:tc>
      </w:tr>
      <w:tr>
        <w:trPr>
          <w:trHeight w:val="216"/>
        </w:trPr>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2,900</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3,151</w:t>
            </w:r>
          </w:p>
        </w:tc>
      </w:tr>
      <w:tr>
        <w:trPr>
          <w:trHeight w:val="21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36,158</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32,504</w:t>
            </w: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Other Non-Regulated Revenues</w:t>
            </w:r>
          </w:p>
        </w:tc>
        <w:tc>
          <w:tcPr>
            <w:tcW w:w="3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16"/>
        </w:trPr>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36,196</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32,541</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federal income tax returns for the tax years 2014 through 2017 were selected for examination by the Internal Revenue Service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As of March 31, 2022, the Company’s income tax reserve provision and interest expense liability are $0.5 million and $0.2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expected financial condition, performance, prospects and earnings of the Company;</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strategic plans for growth;</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45" w:lineRule="exact"/>
        <w:rPr>
          <w:rFonts w:ascii="Arial" w:cs="Arial" w:eastAsia="Arial" w:hAnsi="Arial"/>
          <w:sz w:val="17"/>
          <w:szCs w:val="17"/>
          <w:color w:val="auto"/>
        </w:rPr>
      </w:pPr>
    </w:p>
    <w:p>
      <w:pPr>
        <w:ind w:left="660" w:right="10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Company’s expected liquidity needs during the upcoming fiscal year and beyond and the sources and availability of funds to meet its liquidity needs;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33" w:lineRule="exact"/>
        <w:rPr>
          <w:rFonts w:ascii="Arial" w:cs="Arial" w:eastAsia="Arial" w:hAnsi="Arial"/>
          <w:sz w:val="18"/>
          <w:szCs w:val="18"/>
          <w:color w:val="auto"/>
        </w:rPr>
      </w:pPr>
    </w:p>
    <w:p>
      <w:pPr>
        <w:ind w:left="660" w:right="24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the expected amount of cash contributions to fund the Company’s retirement benefit plans, anticipated discount rates and rates of return on plan assets;</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ability of the Company to pay dividends;</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safety and reliability of the Company’s equipment, facilities and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Company’s plans to renew municipal franchises and consents in the territories it serves;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the availability and quality of our water supply.</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effects of general economic conditions;</w:t>
      </w:r>
    </w:p>
    <w:p>
      <w:pPr>
        <w:spacing w:after="0" w:line="42"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increases in competition for growth in non-franchised markets to be potentially served by the Company;</w:t>
      </w:r>
    </w:p>
    <w:p>
      <w:pPr>
        <w:spacing w:after="0" w:line="29" w:lineRule="exact"/>
        <w:rPr>
          <w:rFonts w:ascii="Arial" w:cs="Arial" w:eastAsia="Arial" w:hAnsi="Arial"/>
          <w:sz w:val="24"/>
          <w:szCs w:val="24"/>
          <w:color w:val="auto"/>
          <w:vertAlign w:val="superscript"/>
        </w:rPr>
      </w:pPr>
    </w:p>
    <w:p>
      <w:pPr>
        <w:ind w:left="660" w:right="36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availability of adequate supplies of water;</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actions taken by government regulators, including decisions on rate increase requests;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modified water quality standards and compliance with related regulatory requirements;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weather variations and other natural phenomena impacting utility operations;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financial and operating risks associated with acquisitions and, or privatizations;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cyber - attacks;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changes in the pace of housing development;</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capital resources;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timely availability of materials and supplies for operations and critical infrastructure projects;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impact of the Novel Coronavirus (COVID-19) pandemic; and</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elsewhere in this quarterly report.</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also provide regulated wastewater services in New Jersey. We are regulated by state public utility commissions as to rates charged to customers for water and wastewater services, as to the quality of water and wastewater services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system provides water services in Downe Township, New Jersey. Our other New Jersey subsidiaries, Pinelands Water Company and Pinelands Wastewater Company, provide water and wastewater services to approximately 2,500 customers in Southampton Township, New Jersey.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provide water services to approximately 55,000 retail customers in New Castle, Kent and Sussex Counties, Delaware. Tidewater’s subsidiary, White Marsh, services approximately 4,500 customers in Kent and Sussex Counties through various operations and maintenance contracts.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USA operates the Borough of Avalon, New Jersey’s (Avalon) water utility, sewer utility and storm water system under a 10-year operations and maintenance contract expiring in June 2022. USA participated in the public proposal process for the Borough’s procurement of a new contract and a decision on this proposal is expected in the second quarter of 2022. In addition to performing day-to-day service operations, USA is responsible for billing, collections, customer service, emergency response and management of capital projects funded by Avalon. USA operates the Borough of Highland Park, New Jersey’s water and wastewater systems under a 10-year operations and maintenance contract expiring in June 2030. 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functions associated with HomeServe’s service contracts.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maintain and improve service for the current and future generations of water and wastewater customers. The Company plans to invest approximately $90 million in 2022 in connection with projects that include, but are not limited to:</w:t>
      </w:r>
    </w:p>
    <w:p>
      <w:pPr>
        <w:spacing w:after="0" w:line="42" w:lineRule="exact"/>
        <w:rPr>
          <w:sz w:val="20"/>
          <w:szCs w:val="20"/>
          <w:color w:val="auto"/>
        </w:rPr>
      </w:pPr>
    </w:p>
    <w:p>
      <w:pPr>
        <w:ind w:left="660" w:right="200" w:hanging="328"/>
        <w:spacing w:after="0" w:line="230" w:lineRule="auto"/>
        <w:tabs>
          <w:tab w:leader="none" w:pos="660" w:val="left"/>
        </w:tabs>
        <w:numPr>
          <w:ilvl w:val="0"/>
          <w:numId w:val="6"/>
        </w:numPr>
        <w:rPr>
          <w:rFonts w:ascii="Arial" w:cs="Arial" w:eastAsia="Arial" w:hAnsi="Arial"/>
          <w:sz w:val="26"/>
          <w:szCs w:val="26"/>
          <w:color w:val="auto"/>
        </w:rPr>
      </w:pPr>
      <w:r>
        <w:rPr>
          <w:rFonts w:ascii="Arial" w:cs="Arial" w:eastAsia="Arial" w:hAnsi="Arial"/>
          <w:sz w:val="17"/>
          <w:szCs w:val="17"/>
          <w:color w:val="auto"/>
        </w:rPr>
        <w:t>Construction of a facility to provide an enhanced treatment process at the Company’s largest New Jersey wellfield in South Plainfield to comply with new state water quality regulations relative to poly- and perfluoroalkyl substances, collectively referred to as PFAS, and integrate surge protection to mitigate spikes in water pressures along with enhancements to corrosion control and disinfection processes;</w:t>
      </w:r>
    </w:p>
    <w:p>
      <w:pPr>
        <w:spacing w:after="0" w:line="40" w:lineRule="exact"/>
        <w:rPr>
          <w:rFonts w:ascii="Arial" w:cs="Arial" w:eastAsia="Arial" w:hAnsi="Arial"/>
          <w:sz w:val="26"/>
          <w:szCs w:val="26"/>
          <w:color w:val="auto"/>
        </w:rPr>
      </w:pPr>
    </w:p>
    <w:p>
      <w:pPr>
        <w:ind w:left="660" w:right="120" w:hanging="328"/>
        <w:spacing w:after="0" w:line="207"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Replacement of approximately six miles of water mains including full main and service line replacements, meter pit installations and fire hydrant replacements in the Township of Woodbridge, New Jersey;</w:t>
      </w:r>
    </w:p>
    <w:p>
      <w:pPr>
        <w:ind w:left="660" w:hanging="328"/>
        <w:spacing w:after="0" w:line="198"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Upgrade of our Work and Asset Management Information Technology System;</w:t>
      </w:r>
    </w:p>
    <w:p>
      <w:pPr>
        <w:spacing w:after="0" w:line="56"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6"/>
        </w:numPr>
        <w:rPr>
          <w:rFonts w:ascii="Arial" w:cs="Arial" w:eastAsia="Arial" w:hAnsi="Arial"/>
          <w:sz w:val="24"/>
          <w:szCs w:val="24"/>
          <w:color w:val="auto"/>
        </w:rPr>
      </w:pPr>
      <w:r>
        <w:rPr>
          <w:rFonts w:ascii="Arial" w:cs="Arial" w:eastAsia="Arial" w:hAnsi="Arial"/>
          <w:sz w:val="16"/>
          <w:szCs w:val="16"/>
          <w:color w:val="auto"/>
        </w:rPr>
        <w:t>Construction of two elevated water storage tanks in our Tidewater service territory; and</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6"/>
        </w:numPr>
        <w:rPr>
          <w:rFonts w:ascii="Arial" w:cs="Arial" w:eastAsia="Arial" w:hAnsi="Arial"/>
          <w:sz w:val="25"/>
          <w:szCs w:val="25"/>
          <w:color w:val="auto"/>
        </w:rPr>
      </w:pPr>
      <w:r>
        <w:rPr>
          <w:rFonts w:ascii="Arial" w:cs="Arial" w:eastAsia="Arial" w:hAnsi="Arial"/>
          <w:sz w:val="17"/>
          <w:szCs w:val="17"/>
          <w:color w:val="auto"/>
        </w:rPr>
        <w:t>Various other water main replacements and improvements.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Regulatory Notice of Non-Compliance– </w:t>
      </w:r>
      <w:r>
        <w:rPr>
          <w:rFonts w:ascii="Arial" w:cs="Arial" w:eastAsia="Arial" w:hAnsi="Arial"/>
          <w:sz w:val="18"/>
          <w:szCs w:val="18"/>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recently promulgated NJDEP standard effective in 2021. Neither the NJDEP nor Middlesex has characterized this exceedance as an acute health threat. However, Middlesex was required to notify its affected customers and complied in November 2021 as required by the regulation. Further, the Notice required the Company to take any action necessary to comply with the new standard by September 7, 2022.</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NJDEP standard for PFOA was developed based on a Health-based Maximum Contaminant Level (MCL) of 14 parts per trillion (ppt). Although the United States Environmental Protection Agency (USEPA) has not yet implemented a regulation relative to PFOA, the water distributed from the Park Avenue Wellfield Treatment Plant does meet the USEPA’s current health advisory level of 70 ppt and would meet the NJDEP’s pre-2021 standard guidance level of 40 ppt, which was not a regulation. Construction of an enhanced treatment process at the Park Avenue Wellfield Treatment Plant to comply with an anticipated NJDEP standard, at a level which was unknown at that time, had already begun prior to the regulation being enacted. Since completion is not expected until mid-2023, in December 2021, the Company implemented an interim solution to meet the Notice requirements. The Park Avenue Wellfield Treatment Plant was taken off-line and alternate sources of supply have been obtained. The Company is in the process of implementing an acceleration of a portion of the Park Avenue Wellfield treatment upgrades in order to meet anticipated increases in the historical higher water demand periods during the summer months. This is also intended to result in compliance with the requirements of the Notice.</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Company believes monetary penalties are unlikely, the issuance of the Notice does not preclude the State of New Jersey, or any of its agencies, from initiating formal administrative and/or judicial enforcement action, including assessment of penalties of up to $25,000 per day per offense if the Company is not in compliance with the requirements of the Notice by September 7, 2022.</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Rate and Regulatory Matters - </w:t>
      </w:r>
      <w:r>
        <w:rPr>
          <w:rFonts w:ascii="Arial" w:cs="Arial" w:eastAsia="Arial" w:hAnsi="Arial"/>
          <w:sz w:val="17"/>
          <w:szCs w:val="17"/>
          <w:color w:val="auto"/>
        </w:rPr>
        <w:t>In December 2021, Middlesex’s petition to the NJBPU seeking permission to increase its base water rates was concluded,</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a 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Middlesex filed a petition with the NJBPU seeking approval to set its PWAC tariff rate to recover additional costs of $3.7 million for the purchase of treated water from a non-affiliated regulated water utility regulated by the NJBPU. We cannot predict whether the NJBPU will ultimately approve, deny or reduce the amount of our request.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 In January 2022, Middlesex closed on the Delaware Public Service Commission (DEPSC) approved sale of 100% of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its subsidiary Tidewater Environmental Services, Inc. (TESI) to Artesian Wastewater Management, Inc. for $6.4 million in cash and other consideration, resulting in a $5.2 million pre-tax gain. The Company will continue to own and operate its non-regulated water and wastewater contract operations business in Delaware.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COVID-19 </w:t>
      </w:r>
      <w:r>
        <w:rPr>
          <w:rFonts w:ascii="Arial" w:cs="Arial" w:eastAsia="Arial" w:hAnsi="Arial"/>
          <w:sz w:val="18"/>
          <w:szCs w:val="18"/>
          <w:color w:val="auto"/>
        </w:rPr>
        <w:t>– On April 13, 2022, the United States Secretary of Health and Human Services renewed the determination that a nationwide health emergency</w:t>
      </w:r>
      <w:r>
        <w:rPr>
          <w:rFonts w:ascii="Arial" w:cs="Arial" w:eastAsia="Arial" w:hAnsi="Arial"/>
          <w:sz w:val="18"/>
          <w:szCs w:val="18"/>
          <w:b w:val="1"/>
          <w:bCs w:val="1"/>
          <w:color w:val="auto"/>
        </w:rPr>
        <w:t xml:space="preserve"> </w:t>
      </w:r>
      <w:r>
        <w:rPr>
          <w:rFonts w:ascii="Arial" w:cs="Arial" w:eastAsia="Arial" w:hAnsi="Arial"/>
          <w:sz w:val="18"/>
          <w:szCs w:val="18"/>
          <w:color w:val="auto"/>
        </w:rPr>
        <w:t>exists as a result of the COVID-19 Pandemic.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ended on March 7, 2022. In Delaware, the declared COVID-19 State of Emergency Order ended in July 2021.</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Since the ultimate rate treatment to be determined by the NJBPU regarding incremental costs related to Covid-19 is not definitively known at this time, the Company has not deferred any such costs. We will continue to monitor the effects of COVID-19 and evaluate its impact on the Company’s results of operations, financial condition and liquidity.</w:t>
      </w:r>
    </w:p>
    <w:p>
      <w:pPr>
        <w:sectPr>
          <w:pgSz w:w="11900" w:h="16838" w:orient="portrait"/>
          <w:cols w:equalWidth="0" w:num="1">
            <w:col w:w="11240"/>
          </w:cols>
          <w:pgMar w:left="320" w:top="121" w:right="339" w:bottom="21"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21"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operating income and net income is based significantly on four factors: weather, adequate and timely rate relief, effective cost management and customer growth. These factors are evident in comparison discussions in the Results of Operations section below. Unfavorable weather patterns may occur at any time, which can result in lower customer demand for water. Our investments in system infrastructure continue to grow significantly and our operating costs are anticipated to increase in 2022 in a variety of categories. These factors, among others, may require the need to file requests during 2022 for increases in customer rates.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An additional factor that we continue to actively monitor is the impact of new variants of COVID-19 on the general economy, our suppliers and our workforce (for further discussion of the impact of COVID-19 on the Company, see </w:t>
      </w:r>
      <w:r>
        <w:rPr>
          <w:rFonts w:ascii="Arial" w:cs="Arial" w:eastAsia="Arial" w:hAnsi="Arial"/>
          <w:sz w:val="18"/>
          <w:szCs w:val="18"/>
          <w:i w:val="1"/>
          <w:iCs w:val="1"/>
          <w:color w:val="auto"/>
        </w:rPr>
        <w:t>Recent Developments, COVID-19</w:t>
      </w:r>
      <w:r>
        <w:rPr>
          <w:rFonts w:ascii="Arial" w:cs="Arial" w:eastAsia="Arial" w:hAnsi="Arial"/>
          <w:sz w:val="18"/>
          <w:szCs w:val="18"/>
          <w:color w:val="auto"/>
        </w:rPr>
        <w:t xml:space="preserve"> above).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Overall, organic residential customer growth for our Tidewater system is expected to be above historical averages. However, builders and developers are experiencing longer home sales closing cycles due to supply chain issues.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projected to spend approximately $229 million for the 2022-2024 capital investment program, including approximately $39 million for PFAS-related treatment upgrades in the Middlesex System, $33 million on the RENEW Program, which is our ongoing initiative to replace water mains in the Middlesex System, $13 million for construction of elevated storage tanks in our Tidewater and Middlesex Systems and $10 million for the rehabilitation and other improvements associated with Middlesex’s main field operations and inventory facilities.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 non-controllable factor that may affect our outlook in 2021 is the pace at which remediation of the COVID-19 pandemic continues to occur, and the related impact on the regional and national economic recoveries. In addition, the New Jersey SEO moratorium on customer service terminations remains in effect, currently through June 30, 2021. For further discussion of the impact of COVID-19 on the Company, see </w:t>
      </w:r>
      <w:r>
        <w:rPr>
          <w:rFonts w:ascii="Arial" w:cs="Arial" w:eastAsia="Arial" w:hAnsi="Arial"/>
          <w:sz w:val="16"/>
          <w:szCs w:val="16"/>
          <w:i w:val="1"/>
          <w:iCs w:val="1"/>
          <w:color w:val="auto"/>
        </w:rPr>
        <w:t>Recent Developments, COVID-19</w:t>
      </w:r>
      <w:r>
        <w:rPr>
          <w:rFonts w:ascii="Arial" w:cs="Arial" w:eastAsia="Arial" w:hAnsi="Arial"/>
          <w:sz w:val="16"/>
          <w:szCs w:val="16"/>
          <w:color w:val="auto"/>
        </w:rPr>
        <w:t xml:space="preserve"> above.</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Organic residential customer growth for our Tidewater system is expected to continue at the 5% pace achieved in 2020, delaying any foreseeable need to seek an increase in customer base rates in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17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Invest in projects, products and services that complement our core water and wastewater competencies;</w:t>
      </w:r>
    </w:p>
    <w:p>
      <w:pPr>
        <w:spacing w:after="0" w:line="55"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Timely and adequate recovery of infrastructure investments and other costs to maintain service quality;</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17"/>
          <w:szCs w:val="17"/>
          <w:color w:val="auto"/>
        </w:rPr>
        <w:t>Prudent acquisitions of investor and municipally-owned water and wastewater utilities; and</w:t>
      </w:r>
    </w:p>
    <w:p>
      <w:pPr>
        <w:spacing w:after="0" w:line="42" w:lineRule="exact"/>
        <w:rPr>
          <w:rFonts w:ascii="Arial" w:cs="Arial" w:eastAsia="Arial" w:hAnsi="Arial"/>
          <w:sz w:val="25"/>
          <w:szCs w:val="25"/>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Operation of municipal and industrial water and wastewater systems on a contract basis which meet our risk profile.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Southern Shores and TESI; Non-Regulated-USA, USA-PA, and White Marsh.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20" w:type="dxa"/>
            <w:vAlign w:val="bottom"/>
            <w:gridSpan w:val="9"/>
          </w:tcPr>
          <w:p>
            <w:pPr>
              <w:spacing w:after="0"/>
              <w:rPr>
                <w:sz w:val="20"/>
                <w:szCs w:val="20"/>
                <w:color w:val="auto"/>
              </w:rPr>
            </w:pPr>
            <w:r>
              <w:rPr>
                <w:rFonts w:ascii="Arial" w:cs="Arial" w:eastAsia="Arial" w:hAnsi="Arial"/>
                <w:sz w:val="18"/>
                <w:szCs w:val="18"/>
                <w:b w:val="1"/>
                <w:bCs w:val="1"/>
                <w:color w:val="auto"/>
              </w:rPr>
              <w:t>Results of Operations – Three Months Ended March 31, 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7"/>
          </w:tcPr>
          <w:p>
            <w:pPr>
              <w:jc w:val="right"/>
              <w:ind w:right="440"/>
              <w:spacing w:after="0"/>
              <w:rPr>
                <w:sz w:val="20"/>
                <w:szCs w:val="20"/>
                <w:color w:val="auto"/>
              </w:rPr>
            </w:pPr>
            <w:r>
              <w:rPr>
                <w:rFonts w:ascii="Arial" w:cs="Arial" w:eastAsia="Arial" w:hAnsi="Arial"/>
                <w:sz w:val="18"/>
                <w:szCs w:val="18"/>
                <w:color w:val="auto"/>
                <w:w w:val="93"/>
              </w:rPr>
              <w:t>Three Months Ended March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36,196</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Operations and maintenance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17,179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Other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4,081</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Gain on Sale Of Subsidiary</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5,232</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11,705</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12,523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4,716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918</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1,702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(1,283)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310</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6,240</w:t>
            </w:r>
          </w:p>
        </w:tc>
        <w:tc>
          <w:tcPr>
            <w:tcW w:w="24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three months ended March 31, 2022 increased $3.7 million from the same period in 2021 due to the following factors:</w:t>
      </w:r>
    </w:p>
    <w:p>
      <w:pPr>
        <w:sectPr>
          <w:pgSz w:w="11900" w:h="16838" w:orient="portrait"/>
          <w:cols w:equalWidth="0" w:num="1">
            <w:col w:w="11240"/>
          </w:cols>
          <w:pgMar w:left="320" w:top="114" w:right="339" w:bottom="1440" w:gutter="0" w:footer="0" w:header="0"/>
        </w:sect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Middlesex System revenues increased $3.8 million due primarily to its approved base rate increase effective January 1, 2022;</w:t>
      </w:r>
    </w:p>
    <w:p>
      <w:pPr>
        <w:spacing w:after="0" w:line="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Tidewater System revenues increased $0.7 million due to additional customers and a one-time customer credit refund issued in the first quarter of 2021, which were partially offset by lower customer demand and lower new customer connection fees;</w:t>
      </w:r>
    </w:p>
    <w:p>
      <w:pPr>
        <w:spacing w:after="0" w:line="8" w:lineRule="exact"/>
        <w:rPr>
          <w:sz w:val="20"/>
          <w:szCs w:val="20"/>
          <w:color w:val="auto"/>
        </w:rPr>
      </w:pPr>
    </w:p>
    <w:p>
      <w:pPr>
        <w:ind w:right="1700"/>
        <w:spacing w:after="0" w:line="412" w:lineRule="auto"/>
        <w:rPr>
          <w:sz w:val="20"/>
          <w:szCs w:val="20"/>
          <w:color w:val="auto"/>
        </w:rPr>
      </w:pPr>
      <w:r>
        <w:rPr>
          <w:rFonts w:ascii="Arial" w:cs="Arial" w:eastAsia="Arial" w:hAnsi="Arial"/>
          <w:sz w:val="16"/>
          <w:szCs w:val="16"/>
          <w:color w:val="auto"/>
        </w:rPr>
        <w:t>The sale of our regulated Delaware wastewater subsidiary in January 2022 reduced revenues by $0.6 million; and Non-regulated revenues decreased $0.2 million due to decreased supplemental services provided under operating contracts.</w:t>
      </w:r>
    </w:p>
    <w:p>
      <w:pPr>
        <w:spacing w:after="0" w:line="43" w:lineRule="exact"/>
        <w:rPr>
          <w:sz w:val="20"/>
          <w:szCs w:val="20"/>
          <w:color w:val="auto"/>
        </w:rPr>
      </w:pPr>
    </w:p>
    <w:p>
      <w:pPr>
        <w:sectPr>
          <w:pgSz w:w="11900" w:h="16838" w:orient="portrait"/>
          <w:cols w:equalWidth="0" w:num="2">
            <w:col w:w="420" w:space="240"/>
            <w:col w:w="10580"/>
          </w:cols>
          <w:pgMar w:left="320" w:top="114"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three months ended March 31, 2022 increased $0.8 million from the same period in 2021 due to the following factors:</w:t>
      </w:r>
    </w:p>
    <w:p>
      <w:pPr>
        <w:spacing w:after="0" w:line="197" w:lineRule="exact"/>
        <w:rPr>
          <w:sz w:val="20"/>
          <w:szCs w:val="20"/>
          <w:color w:val="auto"/>
        </w:rPr>
      </w:pPr>
    </w:p>
    <w:p>
      <w:pPr>
        <w:ind w:left="660" w:right="380" w:hanging="328"/>
        <w:spacing w:after="0" w:line="207"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Higher weather-related main break activity in our Middlesex system during the winter months resulted in $0.3 million of additional non-labor costs;</w:t>
      </w:r>
    </w:p>
    <w:p>
      <w:pPr>
        <w:ind w:left="660" w:hanging="328"/>
        <w:spacing w:after="0" w:line="208"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Labor costs increased $0.3 million due to higher overtime for Middlesex system main breaks and wage increases;</w:t>
      </w:r>
    </w:p>
    <w:p>
      <w:pPr>
        <w:spacing w:after="0" w:line="53" w:lineRule="exact"/>
        <w:rPr>
          <w:rFonts w:ascii="Arial" w:cs="Arial" w:eastAsia="Arial" w:hAnsi="Arial"/>
          <w:sz w:val="27"/>
          <w:szCs w:val="27"/>
          <w:color w:val="auto"/>
        </w:rPr>
      </w:pPr>
    </w:p>
    <w:p>
      <w:pPr>
        <w:ind w:left="660" w:hanging="328"/>
        <w:spacing w:after="0" w:line="181" w:lineRule="auto"/>
        <w:tabs>
          <w:tab w:leader="none" w:pos="660" w:val="left"/>
        </w:tabs>
        <w:numPr>
          <w:ilvl w:val="0"/>
          <w:numId w:val="8"/>
        </w:numPr>
        <w:rPr>
          <w:rFonts w:ascii="Arial" w:cs="Arial" w:eastAsia="Arial" w:hAnsi="Arial"/>
          <w:sz w:val="25"/>
          <w:szCs w:val="25"/>
          <w:color w:val="auto"/>
        </w:rPr>
      </w:pPr>
      <w:r>
        <w:rPr>
          <w:rFonts w:ascii="Arial" w:cs="Arial" w:eastAsia="Arial" w:hAnsi="Arial"/>
          <w:sz w:val="17"/>
          <w:szCs w:val="17"/>
          <w:color w:val="auto"/>
        </w:rPr>
        <w:t>Water treatment costs increased $0.3 million due to weather-driven changes in water quality;</w:t>
      </w:r>
    </w:p>
    <w:p>
      <w:pPr>
        <w:spacing w:after="0" w:line="42" w:lineRule="exact"/>
        <w:rPr>
          <w:rFonts w:ascii="Arial" w:cs="Arial" w:eastAsia="Arial" w:hAnsi="Arial"/>
          <w:sz w:val="25"/>
          <w:szCs w:val="25"/>
          <w:color w:val="auto"/>
        </w:rPr>
      </w:pPr>
    </w:p>
    <w:p>
      <w:pPr>
        <w:ind w:left="660" w:hanging="328"/>
        <w:spacing w:after="0" w:line="186"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Employee benefit expenses decreased $0.4 million primarily due to lower actuarially-determined retirement benefit plans service expense; and</w:t>
      </w:r>
    </w:p>
    <w:p>
      <w:pPr>
        <w:spacing w:after="0" w:line="56"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All other operation and maintenance expense categories increased $0.3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three months ended March 31, 2022 increased $0.8 million from the same period in 2021 due to a higher level of utility plant in service.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taxes for the three months ended March 31, 2022 increased $0.4 million from the same period in 2021 primarily due to higher revenue related taxes on increased revenues in our Middlesex system.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Subsidiary</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Middlesex recognized a $5.2 million gain on the sale of its regulated Delaware wastewater subsidiary in January 2022 (for further discussion on the sales transaction, see </w:t>
      </w:r>
      <w:r>
        <w:rPr>
          <w:rFonts w:ascii="Arial" w:cs="Arial" w:eastAsia="Arial" w:hAnsi="Arial"/>
          <w:sz w:val="18"/>
          <w:szCs w:val="18"/>
          <w:i w:val="1"/>
          <w:iCs w:val="1"/>
          <w:color w:val="auto"/>
        </w:rPr>
        <w:t>Recent Developments, Sale of Subsidiary</w:t>
      </w:r>
      <w:r>
        <w:rPr>
          <w:rFonts w:ascii="Arial" w:cs="Arial" w:eastAsia="Arial" w:hAnsi="Arial"/>
          <w:sz w:val="18"/>
          <w:szCs w:val="18"/>
          <w:color w:val="auto"/>
        </w:rPr>
        <w:t xml:space="preserve">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March 31, 2022 decreased $0.3 million from the same period in 2021 primarily attributable to $0.9 million of lower Allowance for Funds Used During Construction due to a lower number of construction projects, partially offset by $0.6 million of higher actuarially-determined retirement benefit plans non-service benefit.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three months ended March 31, 2022 increased $0.1 million from the same period in 2021 due to higher average short-term and long-term debt outstanding in 2022 as compared to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for the three months ended March 31, 2022 increased by $1.3 million from the same period in 2021, primarily due to income taxes on the gain on the sale of the subsidiary and higher pre-tax operating income. Partially offsetting the taxes on the sales gain were higher income tax benefits associated with increased repair expenditures on tangible property owned by Middlesex.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March 31, 2022 increased $5.2 million as compared with the same period in 2021. Basic earnings per share were $0.69 and $0.39 for the three months ended March 31, 2022 and 2021, respectively. Diluted earnings per share were $0.68 and $0.39 for the three months ended March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cash flows from operating activities increased $4.5 million to $14.0 million. The increase in cash flows from operating activities primarily resulted from the timing of payments to vendors.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For the three months ended March 31, 2022, cash flows used in investing activities decreased $8.5 million to $13.5 million. The decrease in cash flows used in investing activities resulted from decreased utility plant expenditures and cash received from the sale of Middlesex's regulated wastewater subsidiary in January 2022 (for further discussion on the sales transaction, see </w:t>
      </w:r>
      <w:r>
        <w:rPr>
          <w:rFonts w:ascii="Arial" w:cs="Arial" w:eastAsia="Arial" w:hAnsi="Arial"/>
          <w:sz w:val="17"/>
          <w:szCs w:val="17"/>
          <w:i w:val="1"/>
          <w:iCs w:val="1"/>
          <w:color w:val="auto"/>
        </w:rPr>
        <w:t>Recent Developments, Sale of Subsidiary</w:t>
      </w:r>
      <w:r>
        <w:rPr>
          <w:rFonts w:ascii="Arial" w:cs="Arial" w:eastAsia="Arial" w:hAnsi="Arial"/>
          <w:sz w:val="17"/>
          <w:szCs w:val="17"/>
          <w:color w:val="auto"/>
        </w:rPr>
        <w:t xml:space="preserve"> above).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cash flows used in financing activities increased $7.1 million to $0.7 million. The increase in cash flows used in financing activities is due to a reduction in net short-term bank borrowings partially offset by increased proceeds from the issuance of common stock under the Middlesex Water Company Investment Plan (the Investment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investment program for 2022 is currently estimated to be approximately $90 million. Through March 31, 2022 we have expended $17 million and expect to incur approximately $73 million for capital projects for the remainder of 2022.</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project that we may expend approximately $139 million for capital projects in 2023 and 2024. The actual amount and timing of capital expenditures is dependent on the need for replacement of existing infrastructure, customer growth, residential new home construction and sales, project scheduling and continued refinement of project scope and costs and, could be impacted if new variants of the COVID-19 pandemic arise and continue for an extended period of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2022, we plan on utilizing some or all of the following:</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5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Short-term borrowings, as needed, through $140 million of lines of credit established with three financial institutions. As of March 31, 2022, there was $125.0 million of available credit under these lines (for further discussion on Company lines of credit, see </w:t>
      </w:r>
      <w:r>
        <w:rPr>
          <w:rFonts w:ascii="Arial" w:cs="Arial" w:eastAsia="Arial" w:hAnsi="Arial"/>
          <w:sz w:val="16"/>
          <w:szCs w:val="16"/>
          <w:i w:val="1"/>
          <w:iCs w:val="1"/>
          <w:color w:val="auto"/>
        </w:rPr>
        <w:t>Note 6</w:t>
      </w:r>
      <w:r>
        <w:rPr>
          <w:rFonts w:ascii="Arial" w:cs="Arial" w:eastAsia="Arial" w:hAnsi="Arial"/>
          <w:sz w:val="16"/>
          <w:szCs w:val="16"/>
          <w:color w:val="auto"/>
        </w:rPr>
        <w:t xml:space="preserve"> – </w:t>
      </w:r>
      <w:r>
        <w:rPr>
          <w:rFonts w:ascii="Arial" w:cs="Arial" w:eastAsia="Arial" w:hAnsi="Arial"/>
          <w:sz w:val="16"/>
          <w:szCs w:val="16"/>
          <w:i w:val="1"/>
          <w:iCs w:val="1"/>
          <w:color w:val="auto"/>
        </w:rPr>
        <w:t>Short Term Borrowings</w:t>
      </w:r>
      <w:r>
        <w:rPr>
          <w:rFonts w:ascii="Arial" w:cs="Arial" w:eastAsia="Arial" w:hAnsi="Arial"/>
          <w:sz w:val="16"/>
          <w:szCs w:val="16"/>
          <w:color w:val="auto"/>
        </w:rPr>
        <w:t>);</w:t>
      </w:r>
    </w:p>
    <w:p>
      <w:pPr>
        <w:spacing w:after="0" w:line="4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right="240" w:hanging="328"/>
        <w:spacing w:after="0" w:line="207"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Proceeds from the Delaware State Revolving Fund (SRF). SRF programs provide low cost financing for projects that meet certain water quality and system improvement;</w:t>
      </w:r>
    </w:p>
    <w:p>
      <w:pPr>
        <w:sectPr>
          <w:pgSz w:w="11900" w:h="16838" w:orient="portrait"/>
          <w:cols w:equalWidth="0" w:num="1">
            <w:col w:w="1124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3620"/>
        <w:spacing w:after="0" w:line="324" w:lineRule="auto"/>
        <w:rPr>
          <w:sz w:val="20"/>
          <w:szCs w:val="20"/>
          <w:color w:val="auto"/>
        </w:rPr>
      </w:pPr>
      <w:r>
        <w:rPr>
          <w:rFonts w:ascii="Arial" w:cs="Arial" w:eastAsia="Arial" w:hAnsi="Arial"/>
          <w:sz w:val="18"/>
          <w:szCs w:val="18"/>
          <w:color w:val="auto"/>
        </w:rPr>
        <w:t>Proceeds from the sale and issuance of First Mortgage Bonds in private placement offerings; and Proceeds from the Company Investment Plan.</w:t>
      </w:r>
    </w:p>
    <w:p>
      <w:pPr>
        <w:spacing w:after="0" w:line="116"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308" w:lineRule="auto"/>
        <w:rPr>
          <w:sz w:val="20"/>
          <w:szCs w:val="20"/>
          <w:color w:val="auto"/>
        </w:rPr>
      </w:pPr>
      <w:r>
        <w:rPr>
          <w:rFonts w:ascii="Arial" w:cs="Arial" w:eastAsia="Arial" w:hAnsi="Arial"/>
          <w:sz w:val="17"/>
          <w:szCs w:val="17"/>
          <w:color w:val="auto"/>
        </w:rPr>
        <w:t>On September 1, 2021, the Company began offering shares of its common stock for purchase at a 3% discount to participants in the Investment Plan. The discount offering will continue until 200,000 shares are purchased at the discounted price or August 1, 2022, whichever event occurs first.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previously approved by the NJBPU in 2019, the Company is authorized to issue and sell up to 0.7 million shares of its common stock in one or more transactions through December 31, 2022.</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of Market Risk</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2023 to 2059. Over the next twelve months, approximately $6.7 million of the current portion of existing long-term debt instruments will mature. Applying a hypothetical change in the rate of interest charged by 10% on those borrowings, would not have a material effect on our earnings.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updates and amends the information provided in the Company’s Annual Report on Form 10-K (the Form 10-K) for the year ended December 31, 2021 in Part I, Item 3—Legal Proceedings. Capitalized terms used but not otherwise defined herein have the meanings set forth in the Company’s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PFOA Regulatory Notice of Non-Compliance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Vera et al. v. Middlesex Water Company </w:t>
      </w:r>
      <w:r>
        <w:rPr>
          <w:rFonts w:ascii="Arial" w:cs="Arial" w:eastAsia="Arial" w:hAnsi="Arial"/>
          <w:sz w:val="18"/>
          <w:szCs w:val="18"/>
          <w:color w:val="auto"/>
        </w:rPr>
        <w:t>– On April 21, 2022, the Judge granted Vera’s Motion for Class Certification and granted in part and denied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Middlesex’s Motion to Dismiss.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Lonsk et al. v. Middlesex Water Company and 3M Company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4, 2022, Middlesex filed a Motion to Dismiss Plaintiffs’ complaint. On April 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Plaintiffs filed an Amended Complaint. Motions to Dismiss or Answers to Plaintiffs’ Amended Complaint are due on May 16, 2022.</w:t>
      </w:r>
    </w:p>
    <w:p>
      <w:pPr>
        <w:spacing w:after="0" w:line="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ind w:right="1860"/>
        <w:spacing w:after="0" w:line="461" w:lineRule="auto"/>
        <w:rPr>
          <w:sz w:val="20"/>
          <w:szCs w:val="20"/>
          <w:color w:val="auto"/>
        </w:rPr>
      </w:pPr>
      <w:r>
        <w:rPr>
          <w:rFonts w:ascii="Arial" w:cs="Arial" w:eastAsia="Arial" w:hAnsi="Arial"/>
          <w:sz w:val="18"/>
          <w:szCs w:val="18"/>
          <w:color w:val="auto"/>
        </w:rPr>
        <w:t xml:space="preserve">The information about risk factors does not differ materially from those set forth in Part I, Item 1A. of the Company’s Form 10-K. </w:t>
      </w:r>
      <w:r>
        <w:rPr>
          <w:rFonts w:ascii="Arial" w:cs="Arial" w:eastAsia="Arial" w:hAnsi="Arial"/>
          <w:sz w:val="18"/>
          <w:szCs w:val="18"/>
          <w:b w:val="1"/>
          <w:bCs w:val="1"/>
          <w:color w:val="auto"/>
        </w:rPr>
        <w:t>Item 2. Unregistered Sales of Equity Securities and Use of Proceeds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20" w:type="dxa"/>
            <w:vAlign w:val="bottom"/>
            <w:gridSpan w:val="7"/>
          </w:tcPr>
          <w:p>
            <w:pPr>
              <w:ind w:left="100"/>
              <w:spacing w:after="0"/>
              <w:rPr>
                <w:sz w:val="20"/>
                <w:szCs w:val="20"/>
                <w:color w:val="auto"/>
              </w:rPr>
            </w:pPr>
            <w:r>
              <w:rPr>
                <w:rFonts w:ascii="Arial" w:cs="Arial" w:eastAsia="Arial" w:hAnsi="Arial"/>
                <w:sz w:val="18"/>
                <w:szCs w:val="18"/>
                <w:b w:val="1"/>
                <w:bCs w:val="1"/>
                <w:color w:val="auto"/>
              </w:rPr>
              <w:t>Other Information</w:t>
            </w:r>
          </w:p>
        </w:tc>
      </w:tr>
      <w:tr>
        <w:trPr>
          <w:trHeight w:val="419"/>
        </w:trPr>
        <w:tc>
          <w:tcPr>
            <w:tcW w:w="780" w:type="dxa"/>
            <w:vAlign w:val="bottom"/>
          </w:tcPr>
          <w:p>
            <w:pPr>
              <w:spacing w:after="0"/>
              <w:rPr>
                <w:sz w:val="20"/>
                <w:szCs w:val="20"/>
                <w:color w:val="auto"/>
              </w:rPr>
            </w:pPr>
            <w:r>
              <w:rPr>
                <w:rFonts w:ascii="Arial" w:cs="Arial" w:eastAsia="Arial" w:hAnsi="Arial"/>
                <w:sz w:val="18"/>
                <w:szCs w:val="18"/>
                <w:color w:val="auto"/>
              </w:rPr>
              <w:t>None.</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6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060" w:type="dxa"/>
            <w:vAlign w:val="bottom"/>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Section 302 Certification by Dennis W. Doll pursuant to Rules 13a-14 and 15d-14 of the Securities Exchange Act of 1934.</w:t>
              </w:r>
            </w:hyperlink>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9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1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Section 302 Certification by A. Bruce O’Connor pursuant to Rules 13a-14 and 15d-14 of the Securities Exchange Act of 1934.</w:t>
              </w:r>
            </w:hyperlink>
          </w:p>
        </w:tc>
        <w:tc>
          <w:tcPr>
            <w:tcW w:w="920" w:type="dxa"/>
            <w:vAlign w:val="bottom"/>
            <w:gridSpan w:val="2"/>
          </w:tcPr>
          <w:p>
            <w:pPr>
              <w:spacing w:after="0"/>
              <w:rPr>
                <w:sz w:val="24"/>
                <w:szCs w:val="24"/>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0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Section 906 Certification by Dennis W. Doll pursuant to 18 U.S.C. §1350, as adopted pursuant to Section 302 of the Sarbanes-Oxley Act of</w:t>
              </w:r>
            </w:hyperlink>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2002.</w:t>
              </w:r>
            </w:hyperlink>
          </w:p>
        </w:tc>
        <w:tc>
          <w:tcPr>
            <w:tcW w:w="5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10060" w:type="dxa"/>
            <w:vAlign w:val="bottom"/>
            <w:gridSpan w:val="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Section 906 Certification by A. Bruce O’Connor pursuant to 18 U.S.C. §1350, as adopted pursuant to Section 302 of the Sarbanes-Oxley</w:t>
              </w:r>
            </w:hyperlink>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Act of 2002.</w:t>
              </w:r>
            </w:hyperlink>
          </w:p>
        </w:tc>
        <w:tc>
          <w:tcPr>
            <w:tcW w:w="20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60" w:type="dxa"/>
            <w:vAlign w:val="bottom"/>
            <w:gridSpan w:val="4"/>
          </w:tcPr>
          <w:p>
            <w:pPr>
              <w:spacing w:after="0" w:line="20" w:lineRule="exact"/>
              <w:rPr>
                <w:sz w:val="1"/>
                <w:szCs w:val="1"/>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ind w:left="1140" w:right="240" w:hanging="1132"/>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7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MIDDLESEX WATER COMPANY</w:t>
      </w:r>
    </w:p>
    <w:p>
      <w:pPr>
        <w:spacing w:after="0" w:line="208" w:lineRule="exact"/>
        <w:rPr>
          <w:sz w:val="20"/>
          <w:szCs w:val="20"/>
          <w:color w:val="auto"/>
        </w:rPr>
      </w:pPr>
    </w:p>
    <w:tbl>
      <w:tblPr>
        <w:tblLayout w:type="fixed"/>
        <w:tblInd w:w="73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A. Bruce O’Connor</w:t>
            </w:r>
          </w:p>
        </w:tc>
        <w:tc>
          <w:tcPr>
            <w:tcW w:w="1000" w:type="dxa"/>
            <w:vAlign w:val="bottom"/>
          </w:tcPr>
          <w:p>
            <w:pPr>
              <w:spacing w:after="0"/>
              <w:rPr>
                <w:sz w:val="17"/>
                <w:szCs w:val="17"/>
                <w:color w:val="auto"/>
              </w:rPr>
            </w:pPr>
          </w:p>
        </w:tc>
      </w:tr>
      <w:tr>
        <w:trPr>
          <w:trHeight w:val="222"/>
        </w:trPr>
        <w:tc>
          <w:tcPr>
            <w:tcW w:w="56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 Bruce O’Connor</w:t>
            </w: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Senior Vice President, Treasurer and</w:t>
            </w: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bl>
    <w:p>
      <w:pPr>
        <w:spacing w:after="0" w:line="1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April 29,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68" w:hanging="364"/>
        <w:spacing w:after="0" w:line="342" w:lineRule="auto"/>
        <w:tabs>
          <w:tab w:leader="none" w:pos="86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868" w:hanging="364"/>
        <w:spacing w:after="0" w:line="263" w:lineRule="auto"/>
        <w:tabs>
          <w:tab w:leader="none" w:pos="8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868" w:hanging="364"/>
        <w:spacing w:after="0" w:line="308" w:lineRule="auto"/>
        <w:tabs>
          <w:tab w:leader="none" w:pos="86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868" w:hanging="364"/>
        <w:spacing w:after="0" w:line="277" w:lineRule="auto"/>
        <w:tabs>
          <w:tab w:leader="none" w:pos="8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-10160</wp:posOffset>
            </wp:positionV>
            <wp:extent cx="1075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139065</wp:posOffset>
            </wp:positionV>
            <wp:extent cx="715772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28" w:name="page29"/>
    <w:bookmarkEnd w:id="28"/>
    <w:p>
      <w:pPr>
        <w:ind w:left="9988"/>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008" w:right="20" w:hanging="504"/>
        <w:spacing w:after="0" w:line="342" w:lineRule="auto"/>
        <w:tabs>
          <w:tab w:leader="none" w:pos="1008"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008" w:hanging="504"/>
        <w:spacing w:after="0" w:line="263"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1008" w:right="20" w:hanging="504"/>
        <w:spacing w:after="0" w:line="308" w:lineRule="auto"/>
        <w:tabs>
          <w:tab w:leader="none" w:pos="10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008" w:right="20" w:hanging="504"/>
        <w:spacing w:after="0" w:line="277" w:lineRule="auto"/>
        <w:tabs>
          <w:tab w:leader="none" w:pos="10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-10160</wp:posOffset>
            </wp:positionV>
            <wp:extent cx="12693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121920</wp:posOffset>
            </wp:positionV>
            <wp:extent cx="715772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-10160</wp:posOffset>
            </wp:positionV>
            <wp:extent cx="10750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2022</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-10160</wp:posOffset>
            </wp:positionV>
            <wp:extent cx="1269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2022</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2022-04-29T20:09:54Z</dcterms:created>
  <dcterms:modified xsi:type="dcterms:W3CDTF">2022-04-29T20:09:54Z</dcterms:modified>
</cp:coreProperties>
</file>