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80" w:hanging="416"/>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7" w:lineRule="exact"/>
        <w:rPr>
          <w:rFonts w:ascii="MS PGothic" w:cs="MS PGothic" w:eastAsia="MS PGothic" w:hAnsi="MS PGothic"/>
          <w:sz w:val="17"/>
          <w:szCs w:val="17"/>
          <w:color w:val="auto"/>
        </w:rPr>
      </w:pPr>
    </w:p>
    <w:p>
      <w:pPr>
        <w:ind w:left="382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31" w:lineRule="exact"/>
        <w:rPr>
          <w:sz w:val="24"/>
          <w:szCs w:val="24"/>
          <w:color w:val="auto"/>
        </w:rPr>
      </w:pPr>
    </w:p>
    <w:p>
      <w:pPr>
        <w:ind w:left="2680" w:right="1860" w:hanging="2416"/>
        <w:spacing w:after="0" w:line="391" w:lineRule="auto"/>
        <w:tabs>
          <w:tab w:leader="none" w:pos="67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_________________ to______________________</w:t>
      </w:r>
    </w:p>
    <w:p>
      <w:pPr>
        <w:spacing w:after="0" w:line="1" w:lineRule="exact"/>
        <w:rPr>
          <w:sz w:val="24"/>
          <w:szCs w:val="24"/>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0-422</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MIDDLESEX WATER COMPANY</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374" w:right="339" w:bottom="1440" w:gutter="0" w:footer="0" w:header="0"/>
        </w:sectPr>
      </w:pPr>
    </w:p>
    <w:p>
      <w:pPr>
        <w:spacing w:after="0" w:line="107"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New Jersey</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22-1114430</w:t>
      </w:r>
    </w:p>
    <w:p>
      <w:pPr>
        <w:spacing w:after="0" w:line="3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20" w:space="720"/>
            <w:col w:w="4000"/>
          </w:cols>
          <w:pgMar w:left="320" w:top="374"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485C Route One South, Iselin, New Jersey 08830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(732) 634-1500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337"/>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MSEX</w:t>
            </w:r>
          </w:p>
        </w:tc>
        <w:tc>
          <w:tcPr>
            <w:tcW w:w="4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85" w:lineRule="exact"/>
        <w:rPr>
          <w:sz w:val="24"/>
          <w:szCs w:val="24"/>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104" w:lineRule="exact"/>
        <w:rPr>
          <w:sz w:val="24"/>
          <w:szCs w:val="24"/>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spacing w:after="0" w:line="2" w:lineRule="exact"/>
        <w:rPr>
          <w:sz w:val="24"/>
          <w:szCs w:val="24"/>
          <w:color w:val="auto"/>
        </w:rPr>
      </w:pPr>
    </w:p>
    <w:p>
      <w:pPr>
        <w:jc w:val="center"/>
        <w:ind w:righ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ectPr>
          <w:pgSz w:w="11900" w:h="16838" w:orient="portrait"/>
          <w:cols w:equalWidth="0" w:num="1">
            <w:col w:w="11240"/>
          </w:cols>
          <w:pgMar w:left="320" w:top="374" w:right="339" w:bottom="1440" w:gutter="0" w:footer="0" w:header="0"/>
          <w:type w:val="continuous"/>
        </w:sectPr>
      </w:pPr>
    </w:p>
    <w:p>
      <w:pPr>
        <w:spacing w:after="0" w:line="27" w:lineRule="exact"/>
        <w:rPr>
          <w:sz w:val="24"/>
          <w:szCs w:val="24"/>
          <w:color w:val="auto"/>
        </w:rPr>
      </w:pPr>
    </w:p>
    <w:p>
      <w:pPr>
        <w:ind w:left="13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224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1360" w:firstLine="1384"/>
        <w:spacing w:after="0" w:line="259"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63" w:lineRule="exact"/>
        <w:rPr>
          <w:sz w:val="24"/>
          <w:szCs w:val="24"/>
          <w:color w:val="auto"/>
        </w:rPr>
      </w:pPr>
    </w:p>
    <w:p>
      <w:pPr>
        <w:sectPr>
          <w:pgSz w:w="11900" w:h="16838" w:orient="portrait"/>
          <w:cols w:equalWidth="0" w:num="3">
            <w:col w:w="4420" w:space="520"/>
            <w:col w:w="1400" w:space="420"/>
            <w:col w:w="4480"/>
          </w:cols>
          <w:pgMar w:left="320" w:top="374" w:right="339" w:bottom="1440" w:gutter="0" w:footer="0" w:header="0"/>
          <w:type w:val="continuous"/>
        </w:sect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2" w:lineRule="exact"/>
        <w:rPr>
          <w:sz w:val="24"/>
          <w:szCs w:val="24"/>
          <w:color w:val="auto"/>
        </w:rPr>
      </w:pPr>
    </w:p>
    <w:p>
      <w:pPr>
        <w:ind w:left="51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number of shares outstanding of each of the registrant's classes of common stock, as April 29, 2025: Common Stock, No Par Value: 17,920,178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480" w:type="dxa"/>
            <w:vAlign w:val="bottom"/>
          </w:tcPr>
          <w:p>
            <w:pPr>
              <w:spacing w:after="0"/>
              <w:rPr>
                <w:sz w:val="20"/>
                <w:szCs w:val="20"/>
                <w:color w:val="auto"/>
              </w:rPr>
            </w:pP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8"/>
              </w:rPr>
              <w:t>FINANCIAL INFORMATION</w:t>
            </w:r>
          </w:p>
        </w:tc>
        <w:tc>
          <w:tcPr>
            <w:tcW w:w="7380" w:type="dxa"/>
            <w:vAlign w:val="bottom"/>
            <w:gridSpan w:val="11"/>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48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4"/>
                <w:szCs w:val="24"/>
                <w:color w:val="auto"/>
              </w:rPr>
            </w:pPr>
          </w:p>
        </w:tc>
        <w:tc>
          <w:tcPr>
            <w:tcW w:w="97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980" w:type="dxa"/>
            <w:vAlign w:val="bottom"/>
          </w:tcPr>
          <w:p>
            <w:pPr>
              <w:spacing w:after="0"/>
              <w:rPr>
                <w:sz w:val="24"/>
                <w:szCs w:val="24"/>
                <w:color w:val="auto"/>
              </w:rPr>
            </w:pPr>
          </w:p>
        </w:tc>
        <w:tc>
          <w:tcPr>
            <w:tcW w:w="29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460" w:type="dxa"/>
            <w:vAlign w:val="bottom"/>
            <w:tcBorders>
              <w:top w:val="single" w:sz="8" w:color="0000EE"/>
            </w:tcBorders>
          </w:tcPr>
          <w:p>
            <w:pPr>
              <w:spacing w:after="0"/>
              <w:rPr>
                <w:sz w:val="24"/>
                <w:szCs w:val="24"/>
                <w:color w:val="auto"/>
              </w:rPr>
            </w:pPr>
          </w:p>
        </w:tc>
        <w:tc>
          <w:tcPr>
            <w:tcW w:w="638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980" w:type="dxa"/>
            <w:vAlign w:val="bottom"/>
          </w:tcPr>
          <w:p>
            <w:pPr>
              <w:spacing w:after="0"/>
              <w:rPr>
                <w:sz w:val="24"/>
                <w:szCs w:val="24"/>
                <w:color w:val="auto"/>
              </w:rPr>
            </w:pPr>
          </w:p>
        </w:tc>
        <w:tc>
          <w:tcPr>
            <w:tcW w:w="37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606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980" w:type="dxa"/>
            <w:vAlign w:val="bottom"/>
          </w:tcPr>
          <w:p>
            <w:pPr>
              <w:spacing w:after="0"/>
              <w:rPr>
                <w:sz w:val="24"/>
                <w:szCs w:val="24"/>
                <w:color w:val="auto"/>
              </w:rPr>
            </w:pPr>
          </w:p>
        </w:tc>
        <w:tc>
          <w:tcPr>
            <w:tcW w:w="97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Capital Stock and Long-Term Debt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980" w:type="dxa"/>
            <w:vAlign w:val="bottom"/>
          </w:tcPr>
          <w:p>
            <w:pPr>
              <w:spacing w:after="0"/>
              <w:rPr>
                <w:sz w:val="24"/>
                <w:szCs w:val="24"/>
                <w:color w:val="auto"/>
              </w:rPr>
            </w:pPr>
          </w:p>
        </w:tc>
        <w:tc>
          <w:tcPr>
            <w:tcW w:w="540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Common Stockholders’ Equity</w:t>
            </w:r>
          </w:p>
        </w:tc>
        <w:tc>
          <w:tcPr>
            <w:tcW w:w="438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980" w:type="dxa"/>
            <w:vAlign w:val="bottom"/>
          </w:tcPr>
          <w:p>
            <w:pPr>
              <w:spacing w:after="0"/>
              <w:rPr>
                <w:sz w:val="24"/>
                <w:szCs w:val="24"/>
                <w:color w:val="auto"/>
              </w:rPr>
            </w:pPr>
          </w:p>
        </w:tc>
        <w:tc>
          <w:tcPr>
            <w:tcW w:w="510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468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3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0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of Market Risk</w:t>
            </w:r>
          </w:p>
        </w:tc>
        <w:tc>
          <w:tcPr>
            <w:tcW w:w="572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8000" w:type="dxa"/>
            <w:vAlign w:val="bottom"/>
            <w:gridSpan w:val="14"/>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4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80" w:type="dxa"/>
            <w:vAlign w:val="bottom"/>
            <w:tcBorders>
              <w:top w:val="single" w:sz="8" w:color="0000EE"/>
            </w:tcBorders>
            <w:gridSpan w:val="3"/>
          </w:tcPr>
          <w:p>
            <w:pPr>
              <w:spacing w:after="0"/>
              <w:rPr>
                <w:sz w:val="24"/>
                <w:szCs w:val="24"/>
                <w:color w:val="auto"/>
              </w:rPr>
            </w:pPr>
          </w:p>
        </w:tc>
        <w:tc>
          <w:tcPr>
            <w:tcW w:w="776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7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44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2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50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24"/>
                <w:szCs w:val="24"/>
                <w:color w:val="auto"/>
              </w:rPr>
            </w:pPr>
          </w:p>
        </w:tc>
        <w:tc>
          <w:tcPr>
            <w:tcW w:w="8020" w:type="dxa"/>
            <w:vAlign w:val="bottom"/>
            <w:gridSpan w:val="15"/>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9180" w:type="dxa"/>
            <w:vAlign w:val="bottom"/>
            <w:gridSpan w:val="19"/>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107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581"/>
        </w:trPr>
        <w:tc>
          <w:tcPr>
            <w:tcW w:w="9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38"/>
        </w:trPr>
        <w:tc>
          <w:tcPr>
            <w:tcW w:w="60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0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44,301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40,524</w:t>
            </w:r>
          </w:p>
        </w:tc>
      </w:tr>
      <w:tr>
        <w:trPr>
          <w:trHeight w:val="210"/>
        </w:trPr>
        <w:tc>
          <w:tcPr>
            <w:tcW w:w="60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5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21,109</w:t>
            </w:r>
          </w:p>
        </w:tc>
        <w:tc>
          <w:tcPr>
            <w:tcW w:w="3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20,465</w:t>
            </w: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6,527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5,396</w:t>
            </w:r>
          </w:p>
        </w:tc>
      </w:tr>
      <w:tr>
        <w:trPr>
          <w:trHeight w:val="216"/>
        </w:trPr>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Taxes</w:t>
            </w:r>
          </w:p>
        </w:tc>
        <w:tc>
          <w:tcPr>
            <w:tcW w:w="2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5,108</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4,798</w:t>
            </w:r>
          </w:p>
        </w:tc>
      </w:tr>
      <w:tr>
        <w:trPr>
          <w:trHeight w:val="210"/>
        </w:trPr>
        <w:tc>
          <w:tcPr>
            <w:tcW w:w="60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32,744</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30,659</w:t>
            </w:r>
          </w:p>
        </w:tc>
      </w:tr>
      <w:tr>
        <w:trPr>
          <w:trHeight w:val="209"/>
        </w:trPr>
        <w:tc>
          <w:tcPr>
            <w:tcW w:w="60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11,557</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9,865</w:t>
            </w:r>
          </w:p>
        </w:tc>
      </w:tr>
      <w:tr>
        <w:trPr>
          <w:trHeight w:val="210"/>
        </w:trPr>
        <w:tc>
          <w:tcPr>
            <w:tcW w:w="60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1,425</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5,189</w:t>
            </w:r>
          </w:p>
        </w:tc>
      </w:tr>
      <w:tr>
        <w:trPr>
          <w:trHeight w:val="210"/>
        </w:trPr>
        <w:tc>
          <w:tcPr>
            <w:tcW w:w="60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1,797</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5,365</w:t>
            </w:r>
          </w:p>
        </w:tc>
      </w:tr>
      <w:tr>
        <w:trPr>
          <w:trHeight w:val="209"/>
        </w:trPr>
        <w:tc>
          <w:tcPr>
            <w:tcW w:w="60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Charges</w:t>
            </w:r>
          </w:p>
        </w:tc>
        <w:tc>
          <w:tcPr>
            <w:tcW w:w="2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2,713</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3,269</w:t>
            </w:r>
          </w:p>
        </w:tc>
      </w:tr>
      <w:tr>
        <w:trPr>
          <w:trHeight w:val="210"/>
        </w:trPr>
        <w:tc>
          <w:tcPr>
            <w:tcW w:w="60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10,641</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11,961</w:t>
            </w:r>
          </w:p>
        </w:tc>
      </w:tr>
      <w:tr>
        <w:trPr>
          <w:trHeight w:val="210"/>
        </w:trPr>
        <w:tc>
          <w:tcPr>
            <w:tcW w:w="60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1,162</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1,279</w:t>
            </w:r>
          </w:p>
        </w:tc>
      </w:tr>
      <w:tr>
        <w:trPr>
          <w:trHeight w:val="210"/>
        </w:trPr>
        <w:tc>
          <w:tcPr>
            <w:tcW w:w="60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5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9,479</w:t>
            </w:r>
          </w:p>
        </w:tc>
        <w:tc>
          <w:tcPr>
            <w:tcW w:w="3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10,682</w:t>
            </w:r>
          </w:p>
        </w:tc>
      </w:tr>
      <w:tr>
        <w:trPr>
          <w:trHeight w:val="216"/>
        </w:trPr>
        <w:tc>
          <w:tcPr>
            <w:tcW w:w="60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Preferred Stock Dividend Requirements</w:t>
            </w:r>
          </w:p>
        </w:tc>
        <w:tc>
          <w:tcPr>
            <w:tcW w:w="2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60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9,457</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10,652</w:t>
            </w:r>
          </w:p>
        </w:tc>
      </w:tr>
      <w:tr>
        <w:trPr>
          <w:trHeight w:val="210"/>
        </w:trPr>
        <w:tc>
          <w:tcPr>
            <w:tcW w:w="60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2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0.53</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0.53</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0.59</w:t>
            </w:r>
          </w:p>
        </w:tc>
      </w:tr>
      <w:tr>
        <w:trPr>
          <w:trHeight w:val="216"/>
        </w:trPr>
        <w:tc>
          <w:tcPr>
            <w:tcW w:w="60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Average Number of Common Shares Outstanding:</w:t>
            </w:r>
          </w:p>
        </w:tc>
        <w:tc>
          <w:tcPr>
            <w:tcW w:w="2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17,890</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17,819</w:t>
            </w:r>
          </w:p>
        </w:tc>
      </w:tr>
      <w:tr>
        <w:trPr>
          <w:trHeight w:val="238"/>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5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17,951</w:t>
            </w:r>
          </w:p>
        </w:tc>
        <w:tc>
          <w:tcPr>
            <w:tcW w:w="3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17,934</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UTILITY PLANT:</w:t>
            </w:r>
          </w:p>
        </w:tc>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Water Production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320,230</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314,924</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Transmission and Distribution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872,447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855,497</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106,395</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105,167</w:t>
            </w:r>
          </w:p>
        </w:tc>
        <w:tc>
          <w:tcPr>
            <w:tcW w:w="0" w:type="dxa"/>
            <w:vAlign w:val="bottom"/>
          </w:tcPr>
          <w:p>
            <w:pPr>
              <w:spacing w:after="0"/>
              <w:rPr>
                <w:sz w:val="1"/>
                <w:szCs w:val="1"/>
                <w:color w:val="auto"/>
              </w:rPr>
            </w:pPr>
          </w:p>
        </w:tc>
      </w:tr>
      <w:tr>
        <w:trPr>
          <w:trHeight w:val="216"/>
        </w:trPr>
        <w:tc>
          <w:tcPr>
            <w:tcW w:w="1960" w:type="dxa"/>
            <w:vAlign w:val="bottom"/>
            <w:tcBorders>
              <w:bottom w:val="single" w:sz="8" w:color="CCEEFF"/>
            </w:tcBorders>
          </w:tcPr>
          <w:p>
            <w:pPr>
              <w:spacing w:after="0"/>
              <w:rPr>
                <w:sz w:val="18"/>
                <w:szCs w:val="18"/>
                <w:color w:val="auto"/>
              </w:rPr>
            </w:pPr>
          </w:p>
        </w:tc>
        <w:tc>
          <w:tcPr>
            <w:tcW w:w="6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32,196</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34,209</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1,331,268</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1,309,797</w:t>
            </w:r>
          </w:p>
        </w:tc>
        <w:tc>
          <w:tcPr>
            <w:tcW w:w="0" w:type="dxa"/>
            <w:vAlign w:val="bottom"/>
          </w:tcPr>
          <w:p>
            <w:pPr>
              <w:spacing w:after="0"/>
              <w:rPr>
                <w:sz w:val="1"/>
                <w:szCs w:val="1"/>
                <w:color w:val="auto"/>
              </w:rPr>
            </w:pPr>
          </w:p>
        </w:tc>
      </w:tr>
      <w:tr>
        <w:trPr>
          <w:trHeight w:val="216"/>
        </w:trPr>
        <w:tc>
          <w:tcPr>
            <w:tcW w:w="1960" w:type="dxa"/>
            <w:vAlign w:val="bottom"/>
            <w:tcBorders>
              <w:bottom w:val="single" w:sz="8" w:color="CCEEFF"/>
            </w:tcBorders>
          </w:tcPr>
          <w:p>
            <w:pPr>
              <w:spacing w:after="0"/>
              <w:rPr>
                <w:sz w:val="18"/>
                <w:szCs w:val="18"/>
                <w:color w:val="auto"/>
              </w:rPr>
            </w:pPr>
          </w:p>
        </w:tc>
        <w:tc>
          <w:tcPr>
            <w:tcW w:w="6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259,278</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254,425</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UTILITY PLANT - NET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1,071,990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1,055,372</w:t>
            </w:r>
          </w:p>
        </w:tc>
        <w:tc>
          <w:tcPr>
            <w:tcW w:w="0" w:type="dxa"/>
            <w:vAlign w:val="bottom"/>
          </w:tcPr>
          <w:p>
            <w:pPr>
              <w:spacing w:after="0"/>
              <w:rPr>
                <w:sz w:val="1"/>
                <w:szCs w:val="1"/>
                <w:color w:val="auto"/>
              </w:rPr>
            </w:pPr>
          </w:p>
        </w:tc>
      </w:tr>
      <w:tr>
        <w:trPr>
          <w:trHeight w:val="216"/>
        </w:trPr>
        <w:tc>
          <w:tcPr>
            <w:tcW w:w="1960" w:type="dxa"/>
            <w:vAlign w:val="bottom"/>
            <w:tcBorders>
              <w:bottom w:val="single" w:sz="8" w:color="auto"/>
            </w:tcBorders>
          </w:tcPr>
          <w:p>
            <w:pPr>
              <w:spacing w:after="0"/>
              <w:rPr>
                <w:sz w:val="18"/>
                <w:szCs w:val="18"/>
                <w:color w:val="auto"/>
              </w:rPr>
            </w:pPr>
          </w:p>
        </w:tc>
        <w:tc>
          <w:tcPr>
            <w:tcW w:w="6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2,657</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198"/>
        </w:trPr>
        <w:tc>
          <w:tcPr>
            <w:tcW w:w="1960" w:type="dxa"/>
            <w:vAlign w:val="bottom"/>
          </w:tcPr>
          <w:p>
            <w:pPr>
              <w:spacing w:after="0"/>
              <w:rPr>
                <w:sz w:val="17"/>
                <w:szCs w:val="17"/>
                <w:color w:val="auto"/>
              </w:rPr>
            </w:pPr>
          </w:p>
        </w:tc>
        <w:tc>
          <w:tcPr>
            <w:tcW w:w="69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$2,163 and $2,695 in 2025 and</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20,121</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 respectively</w:t>
            </w:r>
          </w:p>
        </w:tc>
        <w:tc>
          <w:tcPr>
            <w:tcW w:w="1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18,842</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Unbilled Revenues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10,284</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Materials and Supplies (at average cost)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7,031</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9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Prepayments</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6,405</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46,498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42,973</w:t>
            </w:r>
          </w:p>
        </w:tc>
        <w:tc>
          <w:tcPr>
            <w:tcW w:w="0" w:type="dxa"/>
            <w:vAlign w:val="bottom"/>
          </w:tcPr>
          <w:p>
            <w:pPr>
              <w:spacing w:after="0"/>
              <w:rPr>
                <w:sz w:val="1"/>
                <w:szCs w:val="1"/>
                <w:color w:val="auto"/>
              </w:rPr>
            </w:pPr>
          </w:p>
        </w:tc>
      </w:tr>
      <w:tr>
        <w:trPr>
          <w:trHeight w:val="216"/>
        </w:trPr>
        <w:tc>
          <w:tcPr>
            <w:tcW w:w="1960" w:type="dxa"/>
            <w:vAlign w:val="bottom"/>
            <w:tcBorders>
              <w:bottom w:val="single" w:sz="8" w:color="auto"/>
            </w:tcBorders>
            <w:shd w:val="clear" w:color="auto" w:fill="CCEEFF"/>
          </w:tcPr>
          <w:p>
            <w:pPr>
              <w:spacing w:after="0"/>
              <w:rPr>
                <w:sz w:val="18"/>
                <w:szCs w:val="18"/>
                <w:color w:val="auto"/>
              </w:rPr>
            </w:pPr>
          </w:p>
        </w:tc>
        <w:tc>
          <w:tcPr>
            <w:tcW w:w="69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Regulatory 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102,688</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101,783</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Non-utility Assets - Net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11,872</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11,760</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Benefit Plans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38,039</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36,856</w:t>
            </w:r>
          </w:p>
        </w:tc>
        <w:tc>
          <w:tcPr>
            <w:tcW w:w="0" w:type="dxa"/>
            <w:vAlign w:val="bottom"/>
          </w:tcPr>
          <w:p>
            <w:pPr>
              <w:spacing w:after="0"/>
              <w:rPr>
                <w:sz w:val="1"/>
                <w:szCs w:val="1"/>
                <w:color w:val="auto"/>
              </w:rPr>
            </w:pPr>
          </w:p>
        </w:tc>
      </w:tr>
      <w:tr>
        <w:trPr>
          <w:trHeight w:val="216"/>
        </w:trPr>
        <w:tc>
          <w:tcPr>
            <w:tcW w:w="1960" w:type="dxa"/>
            <w:vAlign w:val="bottom"/>
            <w:tcBorders>
              <w:bottom w:val="single" w:sz="8" w:color="CCEEFF"/>
            </w:tcBorders>
          </w:tcPr>
          <w:p>
            <w:pPr>
              <w:spacing w:after="0"/>
              <w:rPr>
                <w:sz w:val="18"/>
                <w:szCs w:val="18"/>
                <w:color w:val="auto"/>
              </w:rPr>
            </w:pPr>
          </w:p>
        </w:tc>
        <w:tc>
          <w:tcPr>
            <w:tcW w:w="6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5,457</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18"/>
                <w:szCs w:val="18"/>
                <w:color w:val="auto"/>
              </w:rPr>
            </w:pPr>
          </w:p>
        </w:tc>
        <w:tc>
          <w:tcPr>
            <w:tcW w:w="69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160,473</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156,829</w:t>
            </w:r>
          </w:p>
        </w:tc>
        <w:tc>
          <w:tcPr>
            <w:tcW w:w="0" w:type="dxa"/>
            <w:vAlign w:val="bottom"/>
          </w:tcPr>
          <w:p>
            <w:pPr>
              <w:spacing w:after="0"/>
              <w:rPr>
                <w:sz w:val="1"/>
                <w:szCs w:val="1"/>
                <w:color w:val="auto"/>
              </w:rPr>
            </w:pPr>
          </w:p>
        </w:tc>
      </w:tr>
      <w:tr>
        <w:trPr>
          <w:trHeight w:val="210"/>
        </w:trPr>
        <w:tc>
          <w:tcPr>
            <w:tcW w:w="1960" w:type="dxa"/>
            <w:vAlign w:val="bottom"/>
            <w:tcBorders>
              <w:bottom w:val="single" w:sz="8" w:color="CCEEFF"/>
            </w:tcBorders>
          </w:tcPr>
          <w:p>
            <w:pPr>
              <w:spacing w:after="0"/>
              <w:rPr>
                <w:sz w:val="18"/>
                <w:szCs w:val="18"/>
                <w:color w:val="auto"/>
              </w:rPr>
            </w:pPr>
          </w:p>
        </w:tc>
        <w:tc>
          <w:tcPr>
            <w:tcW w:w="6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1,278,961</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1,255,174</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9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CAPITALIZATION:</w:t>
            </w:r>
          </w:p>
        </w:tc>
        <w:tc>
          <w:tcPr>
            <w:tcW w:w="6940" w:type="dxa"/>
            <w:vAlign w:val="bottom"/>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Common Stock, No Par Value, authorized 40,000, issued 17,894 and 17,887 in 2025 and 2024,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248,611</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60" w:type="dxa"/>
            <w:vAlign w:val="bottom"/>
            <w:shd w:val="clear" w:color="auto" w:fill="CCEEFF"/>
          </w:tcPr>
          <w:p>
            <w:pPr>
              <w:spacing w:after="0"/>
              <w:rPr>
                <w:sz w:val="20"/>
                <w:szCs w:val="20"/>
                <w:color w:val="auto"/>
              </w:rPr>
            </w:pPr>
          </w:p>
        </w:tc>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248,202</w:t>
            </w:r>
          </w:p>
        </w:tc>
        <w:tc>
          <w:tcPr>
            <w:tcW w:w="0" w:type="dxa"/>
            <w:vAlign w:val="bottom"/>
          </w:tcPr>
          <w:p>
            <w:pPr>
              <w:spacing w:after="0"/>
              <w:rPr>
                <w:sz w:val="1"/>
                <w:szCs w:val="1"/>
                <w:color w:val="auto"/>
              </w:rPr>
            </w:pPr>
          </w:p>
        </w:tc>
      </w:tr>
      <w:tr>
        <w:trPr>
          <w:trHeight w:val="216"/>
        </w:trPr>
        <w:tc>
          <w:tcPr>
            <w:tcW w:w="1960" w:type="dxa"/>
            <w:vAlign w:val="bottom"/>
            <w:tcBorders>
              <w:bottom w:val="single" w:sz="8" w:color="CCEEFF"/>
            </w:tcBorders>
          </w:tcPr>
          <w:p>
            <w:pPr>
              <w:spacing w:after="0"/>
              <w:rPr>
                <w:sz w:val="18"/>
                <w:szCs w:val="18"/>
                <w:color w:val="auto"/>
              </w:rPr>
            </w:pPr>
          </w:p>
        </w:tc>
        <w:tc>
          <w:tcPr>
            <w:tcW w:w="6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200,437</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197,061</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18"/>
                <w:szCs w:val="18"/>
                <w:color w:val="auto"/>
              </w:rPr>
            </w:pPr>
          </w:p>
        </w:tc>
        <w:tc>
          <w:tcPr>
            <w:tcW w:w="69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COMMON EQUITY</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449,048</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445,263</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 No Par Valaue; authorized 120; issued 16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1,614</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9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351,258</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352,822</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CAPITALIZATION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801,920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799,720</w:t>
            </w:r>
          </w:p>
        </w:tc>
        <w:tc>
          <w:tcPr>
            <w:tcW w:w="0" w:type="dxa"/>
            <w:vAlign w:val="bottom"/>
          </w:tcPr>
          <w:p>
            <w:pPr>
              <w:spacing w:after="0"/>
              <w:rPr>
                <w:sz w:val="1"/>
                <w:szCs w:val="1"/>
                <w:color w:val="auto"/>
              </w:rPr>
            </w:pPr>
          </w:p>
        </w:tc>
      </w:tr>
      <w:tr>
        <w:trPr>
          <w:trHeight w:val="216"/>
        </w:trPr>
        <w:tc>
          <w:tcPr>
            <w:tcW w:w="1960" w:type="dxa"/>
            <w:vAlign w:val="bottom"/>
            <w:tcBorders>
              <w:bottom w:val="single" w:sz="8" w:color="auto"/>
            </w:tcBorders>
            <w:shd w:val="clear" w:color="auto" w:fill="CCEEFF"/>
          </w:tcPr>
          <w:p>
            <w:pPr>
              <w:spacing w:after="0"/>
              <w:rPr>
                <w:sz w:val="18"/>
                <w:szCs w:val="18"/>
                <w:color w:val="auto"/>
              </w:rPr>
            </w:pPr>
          </w:p>
        </w:tc>
        <w:tc>
          <w:tcPr>
            <w:tcW w:w="69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7,720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Payable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34,000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31,500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28,050</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Taxes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17,444</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11,976</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2,455</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Unearned Revenues and Advanced Service Fees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1,535</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16"/>
        </w:trPr>
        <w:tc>
          <w:tcPr>
            <w:tcW w:w="1960" w:type="dxa"/>
            <w:vAlign w:val="bottom"/>
            <w:tcBorders>
              <w:bottom w:val="single" w:sz="8" w:color="CCEEFF"/>
            </w:tcBorders>
          </w:tcPr>
          <w:p>
            <w:pPr>
              <w:spacing w:after="0"/>
              <w:rPr>
                <w:sz w:val="18"/>
                <w:szCs w:val="18"/>
                <w:color w:val="auto"/>
              </w:rPr>
            </w:pPr>
          </w:p>
        </w:tc>
        <w:tc>
          <w:tcPr>
            <w:tcW w:w="6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6,566</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101,220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82,888</w:t>
            </w:r>
          </w:p>
        </w:tc>
        <w:tc>
          <w:tcPr>
            <w:tcW w:w="0" w:type="dxa"/>
            <w:vAlign w:val="bottom"/>
          </w:tcPr>
          <w:p>
            <w:pPr>
              <w:spacing w:after="0"/>
              <w:rPr>
                <w:sz w:val="1"/>
                <w:szCs w:val="1"/>
                <w:color w:val="auto"/>
              </w:rPr>
            </w:pPr>
          </w:p>
        </w:tc>
      </w:tr>
      <w:tr>
        <w:trPr>
          <w:trHeight w:val="216"/>
        </w:trPr>
        <w:tc>
          <w:tcPr>
            <w:tcW w:w="89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 (Note 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OTHER LIABILITIES:  </w:t>
            </w:r>
            <w:r>
              <w:rPr>
                <w:rFonts w:ascii="Times New Roman" w:cs="Times New Roman" w:eastAsia="Times New Roman" w:hAnsi="Times New Roman"/>
                <w:sz w:val="18"/>
                <w:szCs w:val="18"/>
                <w:color w:val="auto"/>
              </w:rPr>
              <w:t>Advances for Construction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22,679</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22,629</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Obligations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Deferred Income Taxes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103,632</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101,235</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Regulatory Liabilities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63,884</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64,557</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69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LIABILITIES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192,773</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191,197</w:t>
            </w:r>
          </w:p>
        </w:tc>
        <w:tc>
          <w:tcPr>
            <w:tcW w:w="0" w:type="dxa"/>
            <w:vAlign w:val="bottom"/>
          </w:tcPr>
          <w:p>
            <w:pPr>
              <w:spacing w:after="0"/>
              <w:rPr>
                <w:sz w:val="1"/>
                <w:szCs w:val="1"/>
                <w:color w:val="auto"/>
              </w:rPr>
            </w:pPr>
          </w:p>
        </w:tc>
      </w:tr>
      <w:tr>
        <w:trPr>
          <w:trHeight w:val="216"/>
        </w:trPr>
        <w:tc>
          <w:tcPr>
            <w:tcW w:w="8900" w:type="dxa"/>
            <w:vAlign w:val="bottom"/>
            <w:tcBorders>
              <w:bottom w:val="single" w:sz="8" w:color="auto"/>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CONTRIBUTIONS IN AID OF CONSTRUCTION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183,048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181,369</w:t>
            </w: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tcBorders>
            <w:shd w:val="clear" w:color="auto" w:fill="CCEEFF"/>
          </w:tcPr>
          <w:p>
            <w:pPr>
              <w:spacing w:after="0"/>
              <w:rPr>
                <w:sz w:val="18"/>
                <w:szCs w:val="18"/>
                <w:color w:val="auto"/>
              </w:rPr>
            </w:pPr>
          </w:p>
        </w:tc>
        <w:tc>
          <w:tcPr>
            <w:tcW w:w="69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CAPITALIZATION AND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1,278,961</w:t>
            </w:r>
          </w:p>
        </w:tc>
        <w:tc>
          <w:tcPr>
            <w:tcW w:w="2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1,255,174</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29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8"/>
        </w:trPr>
        <w:tc>
          <w:tcPr>
            <w:tcW w:w="83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9,479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10,682</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7,913</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5,979</w:t>
            </w: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Deferred Income Taxes and Investment Tax Credits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(1,142)</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1,382</w:t>
            </w: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Portion of Allowance for Funds Used During Construction (AFUDC)</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4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389</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2,440</w:t>
            </w: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Revenues</w:t>
            </w:r>
          </w:p>
        </w:tc>
        <w:tc>
          <w:tcPr>
            <w:tcW w:w="4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480</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Materials &amp; Supplies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(3,984)</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Taxes</w:t>
            </w:r>
          </w:p>
        </w:tc>
        <w:tc>
          <w:tcPr>
            <w:tcW w:w="4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5,468</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4,184</w:t>
            </w: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Benefit Plans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(1,324)</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Unearned Revenue &amp; Advanced Service Fees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Recovered Costs - Litigation Settlement</w:t>
            </w:r>
          </w:p>
        </w:tc>
        <w:tc>
          <w:tcPr>
            <w:tcW w:w="4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w:t>
            </w: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(1,180)</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122"/>
        </w:trPr>
        <w:tc>
          <w:tcPr>
            <w:tcW w:w="8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r>
        <w:trPr>
          <w:trHeight w:val="209"/>
        </w:trPr>
        <w:tc>
          <w:tcPr>
            <w:tcW w:w="8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13,782</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6,652</w:t>
            </w: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Utility Plant Expenditures, Including AFUDC of $154 in 2025, $74 in 2024</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(18,911)</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(14,389)</w:t>
            </w:r>
          </w:p>
        </w:tc>
      </w:tr>
      <w:tr>
        <w:trPr>
          <w:trHeight w:val="121"/>
        </w:trPr>
        <w:tc>
          <w:tcPr>
            <w:tcW w:w="8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r>
        <w:trPr>
          <w:trHeight w:val="210"/>
        </w:trPr>
        <w:tc>
          <w:tcPr>
            <w:tcW w:w="8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(18,911)</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(14,389)</w:t>
            </w: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of Long-term Debt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(1,587)</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4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Short-term Bank Borrowings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11,000</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15,250</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Grantee Withholding Taxes in Exchange for Restricted Stock</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221</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Common Dividends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(6,081)</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Preferred Dividends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 Advances and Contributions-Net</w:t>
            </w:r>
          </w:p>
        </w:tc>
        <w:tc>
          <w:tcPr>
            <w:tcW w:w="4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226</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r>
      <w:tr>
        <w:trPr>
          <w:trHeight w:val="122"/>
        </w:trPr>
        <w:tc>
          <w:tcPr>
            <w:tcW w:w="83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r>
      <w:tr>
        <w:trPr>
          <w:trHeight w:val="210"/>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3,560</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8,202</w:t>
            </w:r>
          </w:p>
        </w:tc>
      </w:tr>
      <w:tr>
        <w:trPr>
          <w:trHeight w:val="210"/>
        </w:trPr>
        <w:tc>
          <w:tcPr>
            <w:tcW w:w="8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CASH, CASH EQUIVALENTS AND RESTRICTED CASH</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(1,569)</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w:t>
            </w:r>
          </w:p>
        </w:tc>
      </w:tr>
      <w:tr>
        <w:trPr>
          <w:trHeight w:val="209"/>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4,226</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2,390</w:t>
            </w:r>
          </w:p>
        </w:tc>
      </w:tr>
      <w:tr>
        <w:trPr>
          <w:trHeight w:val="210"/>
        </w:trPr>
        <w:tc>
          <w:tcPr>
            <w:tcW w:w="8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2,657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2,855</w:t>
            </w:r>
          </w:p>
        </w:tc>
      </w:tr>
      <w:tr>
        <w:trPr>
          <w:trHeight w:val="115"/>
        </w:trPr>
        <w:tc>
          <w:tcPr>
            <w:tcW w:w="8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22"/>
        </w:trPr>
        <w:tc>
          <w:tcPr>
            <w:tcW w:w="83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ACTIVITY:</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Utility Plant received as Construction Advances and Contributions</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1,500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2,143</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Payables for Utility Plant</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11,499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8,657</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Preferred Stock into Common Stock</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21"/>
        </w:trPr>
        <w:tc>
          <w:tcPr>
            <w:tcW w:w="8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FLOWS INFORMATION:</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Paid During the 3 Months for:</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3,365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3,943</w:t>
            </w:r>
          </w:p>
        </w:tc>
      </w:tr>
      <w:tr>
        <w:trPr>
          <w:trHeight w:val="216"/>
        </w:trPr>
        <w:tc>
          <w:tcPr>
            <w:tcW w:w="8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Interest Capitalized</w:t>
            </w:r>
          </w:p>
        </w:tc>
        <w:tc>
          <w:tcPr>
            <w:tcW w:w="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64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248,611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248,202</w:t>
            </w:r>
          </w:p>
        </w:tc>
      </w:tr>
      <w:tr>
        <w:trPr>
          <w:trHeight w:val="216"/>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200,437</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197,061</w:t>
            </w:r>
          </w:p>
        </w:tc>
      </w:tr>
      <w:tr>
        <w:trPr>
          <w:trHeight w:val="210"/>
        </w:trPr>
        <w:tc>
          <w:tcPr>
            <w:tcW w:w="6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COMMON EQUITY</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449,048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445,263</w:t>
            </w:r>
          </w:p>
        </w:tc>
      </w:tr>
      <w:tr>
        <w:trPr>
          <w:trHeight w:val="209"/>
        </w:trPr>
        <w:tc>
          <w:tcPr>
            <w:tcW w:w="6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Preferred Stock, No Par Value:</w:t>
            </w:r>
          </w:p>
        </w:tc>
        <w:tc>
          <w:tcPr>
            <w:tcW w:w="2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Convertible:</w:t>
            </w:r>
          </w:p>
        </w:tc>
        <w:tc>
          <w:tcPr>
            <w:tcW w:w="2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$7.00 Series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w:t>
            </w:r>
          </w:p>
        </w:tc>
      </w:tr>
      <w:tr>
        <w:trPr>
          <w:trHeight w:val="216"/>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Nonredeemable:</w:t>
            </w:r>
          </w:p>
        </w:tc>
        <w:tc>
          <w:tcPr>
            <w:tcW w:w="2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$7.00 Series</w:t>
            </w:r>
          </w:p>
        </w:tc>
        <w:tc>
          <w:tcPr>
            <w:tcW w:w="2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79</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$4.75 Series</w:t>
            </w:r>
          </w:p>
        </w:tc>
        <w:tc>
          <w:tcPr>
            <w:tcW w:w="2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6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PREFERRED STOCK</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1,635</w:t>
            </w:r>
          </w:p>
        </w:tc>
      </w:tr>
      <w:tr>
        <w:trPr>
          <w:trHeight w:val="210"/>
        </w:trPr>
        <w:tc>
          <w:tcPr>
            <w:tcW w:w="6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Mortgage Bonds, 0.00%-5.50%, due 2026-2059</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273,856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274,602</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Amortizing Secured Notes, 3.94%-7.05%, due 2028-2046</w:t>
            </w:r>
          </w:p>
        </w:tc>
        <w:tc>
          <w:tcPr>
            <w:tcW w:w="2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66,160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66,889</w:t>
            </w:r>
          </w:p>
        </w:tc>
      </w:tr>
      <w:tr>
        <w:trPr>
          <w:trHeight w:val="216"/>
        </w:trPr>
        <w:tc>
          <w:tcPr>
            <w:tcW w:w="6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State Revolving Trust Notes, 2.00%-4.03%, due 2025-2044</w:t>
            </w:r>
          </w:p>
        </w:tc>
        <w:tc>
          <w:tcPr>
            <w:tcW w:w="2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17,811</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17,895</w:t>
            </w:r>
          </w:p>
        </w:tc>
      </w:tr>
      <w:tr>
        <w:trPr>
          <w:trHeight w:val="209"/>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 LONG-TERM DEBT</w:t>
            </w:r>
          </w:p>
        </w:tc>
        <w:tc>
          <w:tcPr>
            <w:tcW w:w="2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357,827</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359,386</w:t>
            </w:r>
          </w:p>
        </w:tc>
      </w:tr>
      <w:tr>
        <w:trPr>
          <w:trHeight w:val="216"/>
        </w:trPr>
        <w:tc>
          <w:tcPr>
            <w:tcW w:w="6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Add: Premium on Issuance of Long-term Debt</w:t>
            </w:r>
          </w:p>
        </w:tc>
        <w:tc>
          <w:tcPr>
            <w:tcW w:w="21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6,290</w:t>
            </w:r>
          </w:p>
        </w:tc>
        <w:tc>
          <w:tcPr>
            <w:tcW w:w="1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6,339</w:t>
            </w:r>
          </w:p>
        </w:tc>
      </w:tr>
      <w:tr>
        <w:trPr>
          <w:trHeight w:val="216"/>
        </w:trPr>
        <w:tc>
          <w:tcPr>
            <w:tcW w:w="6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Less: Unamortized Debt Expense</w:t>
            </w:r>
          </w:p>
        </w:tc>
        <w:tc>
          <w:tcPr>
            <w:tcW w:w="2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(5,139)</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r>
      <w:tr>
        <w:trPr>
          <w:trHeight w:val="216"/>
        </w:trPr>
        <w:tc>
          <w:tcPr>
            <w:tcW w:w="64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(7,720)</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(7,711)</w:t>
            </w:r>
          </w:p>
        </w:tc>
      </w:tr>
      <w:tr>
        <w:trPr>
          <w:trHeight w:val="210"/>
        </w:trPr>
        <w:tc>
          <w:tcPr>
            <w:tcW w:w="64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LONG-TERM DEBT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351,258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352,822</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280" w:type="dxa"/>
            <w:vAlign w:val="bottom"/>
          </w:tcPr>
          <w:p>
            <w:pPr>
              <w:spacing w:after="0"/>
              <w:rPr>
                <w:sz w:val="18"/>
                <w:szCs w:val="18"/>
                <w:color w:val="auto"/>
              </w:rPr>
            </w:pPr>
          </w:p>
        </w:tc>
        <w:tc>
          <w:tcPr>
            <w:tcW w:w="11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Common</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Stock</w:t>
            </w:r>
          </w:p>
        </w:tc>
        <w:tc>
          <w:tcPr>
            <w:tcW w:w="280" w:type="dxa"/>
            <w:vAlign w:val="bottom"/>
          </w:tcPr>
          <w:p>
            <w:pPr>
              <w:spacing w:after="0"/>
              <w:rPr>
                <w:sz w:val="18"/>
                <w:szCs w:val="18"/>
                <w:color w:val="auto"/>
              </w:rPr>
            </w:pPr>
          </w:p>
        </w:tc>
        <w:tc>
          <w:tcPr>
            <w:tcW w:w="11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Stock</w:t>
            </w:r>
          </w:p>
        </w:tc>
        <w:tc>
          <w:tcPr>
            <w:tcW w:w="28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Retained</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54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Amount</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Earnings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425"/>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17,821</w:t>
            </w:r>
          </w:p>
        </w:tc>
        <w:tc>
          <w:tcPr>
            <w:tcW w:w="28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$246,764</w:t>
            </w:r>
          </w:p>
        </w:tc>
        <w:tc>
          <w:tcPr>
            <w:tcW w:w="280" w:type="dxa"/>
            <w:vAlign w:val="bottom"/>
          </w:tcPr>
          <w:p>
            <w:pPr>
              <w:spacing w:after="0"/>
              <w:rPr>
                <w:sz w:val="24"/>
                <w:szCs w:val="24"/>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$176,227</w:t>
            </w:r>
          </w:p>
        </w:tc>
        <w:tc>
          <w:tcPr>
            <w:tcW w:w="34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$422,991</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10,682</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10,682</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Reinvestment &amp; Common Stock Purchase Plan</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252</w:t>
            </w:r>
          </w:p>
        </w:tc>
        <w:tc>
          <w:tcPr>
            <w:tcW w:w="2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 - Net - Employees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on Common Stock ($0.3250 per share)</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w:t>
            </w:r>
          </w:p>
        </w:tc>
      </w:tr>
      <w:tr>
        <w:trPr>
          <w:trHeight w:val="216"/>
        </w:trPr>
        <w:tc>
          <w:tcPr>
            <w:tcW w:w="5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17,814</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246,551</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181,141</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427,692</w:t>
            </w:r>
          </w:p>
        </w:tc>
      </w:tr>
      <w:tr>
        <w:trPr>
          <w:trHeight w:val="209"/>
        </w:trPr>
        <w:tc>
          <w:tcPr>
            <w:tcW w:w="5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17,887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248,202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197,061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445,263</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9,479</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9,479</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Reinvestment &amp; Common Stock Purchase Plan</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 - Net - Employees</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$7 Preferred Stock to Common Stock</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on Common Stock ($0.3400 per share)</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r>
      <w:tr>
        <w:trPr>
          <w:trHeight w:val="216"/>
        </w:trPr>
        <w:tc>
          <w:tcPr>
            <w:tcW w:w="5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17,894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248,611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200,437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449,048</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Recent Developments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Middlesex Water Company (Middlesex or the Company) is the parent company and sole shareholder of Tidewater Utilities, Inc. (Tidewater), Pinelands Water Company (Pinelands Water) and Pinelands Wastewater Company (Pinelands Wastewater) (collectively, Pinelands), Utility Service Affiliates, Inc. (USA), and Utility Service Affiliates (Perth Amboy) Inc. (USA-PA).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notes within the 2024 Annual Report on Form 10-K (the 2024 Form 10-K) are applicable to these financial statements and, in the opinion of the Company, the accompanying unaudited condensed consolidated financial statements contain all adjustments necessary (including normal recurring accruals) to fairly state the Company’s financial position as of March 31, 2025 and the results of operations and cash flows for the three month periods ended March 31, 2025 and 2024. Information included in the Condensed Consolidated Balance Sheet as of December 31, 2024, has been derived from the Company’s December 31, 2024 audited financial statements included in the 2024 Form 10-K.</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1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Tidewater Acquisition of the Water Utility Assets of the Town of Ocean View, Delaware </w:t>
      </w:r>
      <w:r>
        <w:rPr>
          <w:rFonts w:ascii="Times New Roman" w:cs="Times New Roman" w:eastAsia="Times New Roman" w:hAnsi="Times New Roman"/>
          <w:sz w:val="18"/>
          <w:szCs w:val="18"/>
          <w:color w:val="auto"/>
        </w:rPr>
        <w:t>- In April 2025, Tidewater completed the acquisition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water utility assets of the Town of Ocean View, Delaware (Ocean View) for approximately $4.6 million. Ocean View serves approximately 900 customers in Sussex County, Delaware, who have been receiving water supply from Tidewater since the system was constructed in 2008. The purchase price allocation consisted primarily of property and plant. The pro forma effect of this acquisition is not material to the Company’s results of operations.</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United States Environmental Protection Agency (USEPA) Issues Final Perfluoroalkyl Substances (PFAS) Regulations </w:t>
      </w:r>
      <w:r>
        <w:rPr>
          <w:rFonts w:ascii="Times New Roman" w:cs="Times New Roman" w:eastAsia="Times New Roman" w:hAnsi="Times New Roman"/>
          <w:sz w:val="18"/>
          <w:szCs w:val="18"/>
          <w:color w:val="auto"/>
        </w:rPr>
        <w:t>- In April 2024, the USEPA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finalized drinking water regulations for PFAS, establishing maximum contaminant levels (MCLs) for three PFAS compounds (Regulated PFAS) that are lower than the current New Jersey Department of Environmental Protection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solutions that reduce Regulated PFAS if monitoring shows that drinking water levels exceed these MCLs.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in April 2029, water systems that have Regulated PFAS in drinking water which exceeds one or more of these MCLs must take action to reduce levels of these PFAS compounds in their drinking water and must provide notification to the public of the violation.</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anticipation of these new USEPA standards, in 2023, the Company began implementing its strategy to meet these lower MCLs for Regulated PFAS and is currently performing preliminary engineering studies to ensure that effective PFAS treatment approaches are implemented.</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Recent Accounting Guidance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recently issued accounting standards that have not yet been adopted by the Company as of March 31, 2025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Effect on the</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Condensed</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Consolidated</w:t>
            </w:r>
          </w:p>
        </w:tc>
      </w:tr>
      <w:tr>
        <w:trPr>
          <w:trHeight w:val="234"/>
        </w:trPr>
        <w:tc>
          <w:tcPr>
            <w:tcW w:w="2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Standard</w:t>
            </w:r>
          </w:p>
        </w:tc>
        <w:tc>
          <w:tcPr>
            <w:tcW w:w="30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Description</w:t>
            </w: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Date of Adoption</w:t>
            </w: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Application</w:t>
            </w:r>
          </w:p>
        </w:tc>
        <w:tc>
          <w:tcPr>
            <w:tcW w:w="2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191"/>
        </w:trPr>
        <w:tc>
          <w:tcPr>
            <w:tcW w:w="192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Accounting Standards</w:t>
            </w:r>
          </w:p>
        </w:tc>
        <w:tc>
          <w:tcPr>
            <w:tcW w:w="120" w:type="dxa"/>
            <w:vAlign w:val="bottom"/>
            <w:tcBorders>
              <w:top w:val="single" w:sz="8" w:color="CCEEFF"/>
            </w:tcBorders>
            <w:shd w:val="clear" w:color="auto" w:fill="CCEEFF"/>
          </w:tcPr>
          <w:p>
            <w:pPr>
              <w:spacing w:after="0"/>
              <w:rPr>
                <w:sz w:val="16"/>
                <w:szCs w:val="16"/>
                <w:color w:val="auto"/>
              </w:rPr>
            </w:pPr>
          </w:p>
        </w:tc>
        <w:tc>
          <w:tcPr>
            <w:tcW w:w="294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The ASU enhances disclosures related</w:t>
            </w:r>
          </w:p>
        </w:tc>
        <w:tc>
          <w:tcPr>
            <w:tcW w:w="1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The ASU is effective</w:t>
            </w:r>
          </w:p>
        </w:tc>
        <w:tc>
          <w:tcPr>
            <w:tcW w:w="1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Prospective, with</w:t>
            </w:r>
          </w:p>
        </w:tc>
        <w:tc>
          <w:tcPr>
            <w:tcW w:w="100" w:type="dxa"/>
            <w:vAlign w:val="bottom"/>
            <w:tcBorders>
              <w:top w:val="single" w:sz="8" w:color="CCEEFF"/>
            </w:tcBorders>
            <w:shd w:val="clear" w:color="auto" w:fill="CCEEFF"/>
          </w:tcPr>
          <w:p>
            <w:pPr>
              <w:spacing w:after="0"/>
              <w:rPr>
                <w:sz w:val="16"/>
                <w:szCs w:val="16"/>
                <w:color w:val="auto"/>
              </w:rPr>
            </w:pPr>
          </w:p>
        </w:tc>
        <w:tc>
          <w:tcPr>
            <w:tcW w:w="24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The Company is currently</w:t>
            </w:r>
          </w:p>
        </w:tc>
      </w:tr>
      <w:tr>
        <w:trPr>
          <w:trHeight w:val="216"/>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Update (“ASU”) ASU</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income statement expenses to further</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Company</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retrospective</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evaluating the requirements of</w:t>
            </w:r>
          </w:p>
        </w:tc>
      </w:tr>
      <w:tr>
        <w:trPr>
          <w:trHeight w:val="216"/>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2024-03 “Disaggregation</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disaggregate expenses in the footnotes</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with its</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application also</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 2024-03.</w:t>
            </w:r>
          </w:p>
        </w:tc>
      </w:tr>
      <w:tr>
        <w:trPr>
          <w:trHeight w:val="216"/>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Income Statement</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the financial statements. The</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financial</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permitted.</w:t>
            </w:r>
          </w:p>
        </w:tc>
        <w:tc>
          <w:tcPr>
            <w:tcW w:w="2480" w:type="dxa"/>
            <w:vAlign w:val="bottom"/>
            <w:shd w:val="clear" w:color="auto" w:fill="CCEEFF"/>
          </w:tcPr>
          <w:p>
            <w:pPr>
              <w:spacing w:after="0"/>
              <w:rPr>
                <w:sz w:val="18"/>
                <w:szCs w:val="18"/>
                <w:color w:val="auto"/>
              </w:rPr>
            </w:pPr>
          </w:p>
        </w:tc>
      </w:tr>
      <w:tr>
        <w:trPr>
          <w:trHeight w:val="216"/>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requires disaggregation of any</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statements for the year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relevant expense caption presented on</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ended December 31,</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face of the income statement that</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contains the following expense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categories: purchases of inventory,</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depreciation,</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and</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depletion. Further, the standard requires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disclosure of the total amount and the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34"/>
        </w:trPr>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entity’s definition of selling expenses.</w:t>
            </w: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198"/>
        </w:trPr>
        <w:tc>
          <w:tcPr>
            <w:tcW w:w="20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ASU 2023-09</w:t>
            </w:r>
          </w:p>
        </w:tc>
        <w:tc>
          <w:tcPr>
            <w:tcW w:w="30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The ASU amends certain income tax</w:t>
            </w:r>
          </w:p>
        </w:tc>
        <w:tc>
          <w:tcPr>
            <w:tcW w:w="19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The ASU is effective</w:t>
            </w:r>
          </w:p>
        </w:tc>
        <w:tc>
          <w:tcPr>
            <w:tcW w:w="17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Prospective, with</w:t>
            </w:r>
          </w:p>
        </w:tc>
        <w:tc>
          <w:tcPr>
            <w:tcW w:w="24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The Company is currently</w:t>
            </w:r>
          </w:p>
        </w:tc>
      </w:tr>
      <w:tr>
        <w:trPr>
          <w:trHeight w:val="216"/>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“Improvements to</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disclosure requirements, including</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the Company</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retrospective</w:t>
            </w: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evaluating the requirements of</w:t>
            </w:r>
          </w:p>
        </w:tc>
      </w:tr>
      <w:tr>
        <w:trPr>
          <w:trHeight w:val="216"/>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Disclosures”</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adding requirements to present the</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beginning with its</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application also</w:t>
            </w: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 2023-09.</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reconciliation of income tax expense</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financial</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permitted.</w:t>
            </w:r>
          </w:p>
        </w:tc>
        <w:tc>
          <w:tcPr>
            <w:tcW w:w="24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computed at the statutory rate to actual</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statements for the year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using both</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December 31,</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percentages and amounts and providing</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 Early adoption is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disaggregation of income taxes paid.</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permitted.</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Further, certain disclosures are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eliminated, including the current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requirement to disclose information on</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 in</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4"/>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next 12 months.</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Rate and Regulatory Matters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Middlesex </w:t>
      </w:r>
      <w:r>
        <w:rPr>
          <w:rFonts w:ascii="Times New Roman" w:cs="Times New Roman" w:eastAsia="Times New Roman" w:hAnsi="Times New Roman"/>
          <w:sz w:val="18"/>
          <w:szCs w:val="18"/>
          <w:color w:val="auto"/>
        </w:rPr>
        <w:t>– In October 2023, the New Jersey Board of Public Utilities (NJBPU) approved Middlesex’s petition for a Distribution System Improvement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 (DSIC) Foundation Filing, which is a prerequisite to implementing a DSIC rate that allows water utilities to recover investments in, and generate a return on, qualifying capital improvements to their water distribution system made between rate proceedings. Middlesex is authorized to recover DSIC revenues up to five percent (5%) of total revenues established in Middlesex’s 2021 base rate proceeding, or approximately $5.5 million. Semi-annually, beginning in April 2024, the Company must file for a change in its DSIC rate seeking recovery for DSIC-eligible investments made during the period. DSIC rates remain in effect until Middlesex’s next base rate case increase. Under the terms of the Foundational Filing, the Company is required to file a base rate petition before November 2026.</w:t>
      </w: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2025, Middlesex filed a third DSIC rate application that is expected to result in $1.9 million of annual revenues starting June 2025, in addition to the existing $1.1 million of annual revenues from the first and second DSIC filings.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2025, the NJBPU approved Middlesex’s petition to reset its Purchased Water Adjustment Clause (PWAC) tariff rate to recover additional annual costs of $0.5 million, primarily for the purchase of treated water from a non-affiliated water utility regulated by the NJBPU. A PWAC is a rate mechanism that allows for the recovery of increased purchased water costs between base rate case filings. The PWAC is reset to zero once those increased costs are included in base rates. The new PWAC rate became effective March 1, 2025.</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NJBPU-approved Middlesex Lead Service Line Replacement (LSLR) Plan continues and Middlesex is currently recovering costs of $0.6 million for replacing customer-owned lead service lines incurred between July 2024 through December 2024, which will be recovered from March 2025 through August 2025. The LSLR surcharge is required to be reset every six months over the life of the LSLR Plan. Cost recovery for replacing Company-owned lead service lines are recoverable through traditional rate making in connection with general rate case filings.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Tidewater </w:t>
      </w:r>
      <w:r>
        <w:rPr>
          <w:rFonts w:ascii="Times New Roman" w:cs="Times New Roman" w:eastAsia="Times New Roman" w:hAnsi="Times New Roman"/>
          <w:sz w:val="18"/>
          <w:szCs w:val="18"/>
          <w:color w:val="auto"/>
        </w:rPr>
        <w:t>– In September 2024, the Delaware Public Service Commission (DEPSC) approved Tidewater’s petition to recover up to $2.1 million of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Tidewater’s obligation to identify and inventory lead service lines throughout Tidewater’s service area, as required by federal law and Delaware regulations. Recovery of these costs began February 1, 2025 and is expected to continue through January 2028. Through March 31, 2025, Tidewater has spent $1.8 million, which is included in Regulatory Assets.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2024, Tidewater filed an application with the DEPSC to increase its general rates for water service. In the application, Tidewater seeks an overall increase in annual operating revenue of $10.3 million or 25.66% over current revenue. The request for rate increases will allow Tidewater to recover prudently incurred investments made in the last ten years to support continued regulatory compliance, enhance water quality, service reliability, security and resiliency of the water utility infrastructure assets. Effective October 30, 2024, Tidewater received approval of the DEPSC to suspend its DSIC rate and implement an interim rate increase, which is expected to result in approximately $2.5 million of annual revenues, subject to refund pending the outcome of the rate case application.</w:t>
      </w:r>
    </w:p>
    <w:p>
      <w:pPr>
        <w:spacing w:after="0" w:line="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Southern Shores </w:t>
      </w:r>
      <w:r>
        <w:rPr>
          <w:rFonts w:ascii="Times New Roman" w:cs="Times New Roman" w:eastAsia="Times New Roman" w:hAnsi="Times New Roman"/>
          <w:sz w:val="18"/>
          <w:szCs w:val="18"/>
          <w:color w:val="auto"/>
        </w:rPr>
        <w:t>– Southern Shores provides water service to a 2,200 unit condominium community in Sussex County, Delaware under a DEPSC-approved agreement expiring December 31, 2029. Under the agreement, rates are increased when there are unanticipated capital expenditures or regulatory related changes in operating expenses exceed certain thresholds. In 2024, capital expenditures did exceed the established threshold. In addition, rates are increased annually by the lesser of the regional Consumer Price Index or 3%. Effective January 1, 2025, Southern Shores rates were increased $0.1 million or 6.51%.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Capitalization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 During the three months ended March 31, 2025 and 2024, there were 4,228 common shares (approximately $0.2 million) and 4,775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shares (approximately $0.3 million) respectively, issued under the Middlesex Water Company Investment Plan.</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Middlesex has received approval from the NJBPU to issue and sell up to 1.0 million shares of its common stock, without par value, through December 31, 2025. Sales of additional shares of common stock are part of the Company’s comprehensive financing plan to fund its multi-year utility plant infrastructure investment program.</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Long-term Debt – </w:t>
      </w:r>
      <w:r>
        <w:rPr>
          <w:rFonts w:ascii="Times New Roman" w:cs="Times New Roman" w:eastAsia="Times New Roman" w:hAnsi="Times New Roman"/>
          <w:sz w:val="18"/>
          <w:szCs w:val="18"/>
          <w:color w:val="auto"/>
        </w:rPr>
        <w:t>Subject to regulatory approval, the Company periodically issues long-term debt to fund its investments in utility plant.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possible and fiscally prudent, the Company finances qualifying capital projects under State Revolving Fund (SRF) loan programs in New Jersey and Delaware. These government programs provide financing at interest rates typically below rates available in the broader financial markets. A portion of the borrowings under the New Jersey SRF is interest-free.</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Middlesex has received approval from the NJBPU to borrow up to $300.0 million from the New Jersey SRF Program, the New Jersey Economic Development Authority, private placement and other financial institutions as needed through December 31, 2025. The Company expects to issue debt securities in a series of one or more transaction offerings over a multi-year period to help fund Middlesex’s multi-year capital construction program.</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2024, Tidewater closed on a $2.2 million Delaware SRF loan with a 0.0% interest rate with maturity dates in 2044. This loan is for costs associated with Tidewater’s obligation, as required by federal law and Delaware regulations, to identify and inventory lead service lines throughout Tidewater’s service area. Tidewater has drawn down $1.7 million as of March 31, 2025 and expects that the requisitions will continue through the fourth quarter of 2025.</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Tidewater closed on four Delaware SRF loans totaling $5.6 million, all at interest rates of 2.0% with maturity dates in 2044. These loans are for the construction, relocation, improvement, and/or interconnection of transmission mains and construction of a water treatment facility. Tidewater has drawn down less than $0.1 million on these loans as of March 31, 2025. Each project has its own construction timetable with the last spending set to occur in 2027.</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Separately, Tidewater has two active construction projects funded by prior year Delaware SRF loans totaling $8.3 million with remaining availability of funds for borrowing. These loans are for the construction of a one million gallon elevated storage tank and construction, relocation, improvement, and interconnection of transmission mains. Tidewater has drawn a total of $4.9 million through March 31, 2025 and expects that the requisitions will continue through the fourth quarter of 2025.</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 </w:t>
      </w:r>
      <w:r>
        <w:rPr>
          <w:rFonts w:ascii="Times New Roman" w:cs="Times New Roman" w:eastAsia="Times New Roman" w:hAnsi="Times New Roman"/>
          <w:sz w:val="18"/>
          <w:szCs w:val="18"/>
          <w:color w:val="auto"/>
        </w:rPr>
        <w:t>The following methods and assumptions were used by the Company in estimating its fair value disclosure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instruments for which it is practicable to estimate that value. The carrying amounts reflected in the condensed consolidated balance sheets for cash and cash equivalents, accounts receivable, accounts payable and notes payable approximate their respective fair values due to the short-term maturities of these instruments. The fair value of First Mortgage Bonds (FMBs) and SRF Bonds (collectively, the Bonds) issued by Middlesex is based on quoted market prices for similar issues. Under the fair value hierarchy, the fair value of cash and cash equivalents is classified as a Level 1 measurement and the fair value of notes payable and the FMBs in the table below are classified as Level 2 measurements. The carrying amount and fair value of the FMBs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(Thousands of Dollars)</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5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1"/>
        </w:trPr>
        <w:tc>
          <w:tcPr>
            <w:tcW w:w="5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520" w:type="dxa"/>
            <w:vAlign w:val="bottom"/>
          </w:tcPr>
          <w:p>
            <w:pPr>
              <w:spacing w:after="0"/>
              <w:rPr>
                <w:sz w:val="16"/>
                <w:szCs w:val="16"/>
                <w:color w:val="auto"/>
              </w:rPr>
            </w:pPr>
          </w:p>
        </w:tc>
        <w:tc>
          <w:tcPr>
            <w:tcW w:w="106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320" w:type="dxa"/>
            <w:vAlign w:val="bottom"/>
          </w:tcPr>
          <w:p>
            <w:pPr>
              <w:spacing w:after="0"/>
              <w:rPr>
                <w:sz w:val="16"/>
                <w:szCs w:val="16"/>
                <w:color w:val="auto"/>
              </w:rPr>
            </w:pPr>
          </w:p>
        </w:tc>
        <w:tc>
          <w:tcPr>
            <w:tcW w:w="112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380" w:type="dxa"/>
            <w:vAlign w:val="bottom"/>
          </w:tcPr>
          <w:p>
            <w:pPr>
              <w:spacing w:after="0"/>
              <w:rPr>
                <w:sz w:val="16"/>
                <w:szCs w:val="16"/>
                <w:color w:val="auto"/>
              </w:rPr>
            </w:pPr>
          </w:p>
        </w:tc>
        <w:tc>
          <w:tcPr>
            <w:tcW w:w="10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4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Amount</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Amount</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FMBs</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128,857</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124,031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129,602</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125,067</w:t>
            </w:r>
          </w:p>
        </w:tc>
      </w:tr>
    </w:tbl>
    <w:p>
      <w:pPr>
        <w:spacing w:after="0" w:line="1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was not practicable to estimate the fair value on our outstanding long-term debt for which there is no quoted market price and there is not an active trading market. For details, including carrying value, interest rates and due dates on these series of long-term debt, please refer to those series noted as “Amortizing Secured Notes” and “State Revolving Trust Notes” on the Condensed Consolidated Statements of Capital Stock and Long-Term Debt. The carrying amount of these instruments was $229.0 million and $229.8 million at March 31, 2025 and December 31, 2024, respectively. Advances for construction have carrying amounts of $22.7 million and $22.6 million at March 31, 2025 and December 31, 2024, respectively. Their relative fair values cannot be accurately estimated since future refund payments depend on several variables, including new customer connections, customer consumption levels and future rate increases.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(EPS) are computed on the basis of the weighted average number of shares outstanding during the period presented. Diluted EPS assumes the conversion of the Convertible Preferred Stock $7.00 Series.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12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12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Pr>
          <w:p>
            <w:pPr>
              <w:spacing w:after="0"/>
              <w:rPr>
                <w:sz w:val="18"/>
                <w:szCs w:val="18"/>
                <w:color w:val="auto"/>
              </w:rPr>
            </w:pPr>
          </w:p>
        </w:tc>
      </w:tr>
      <w:tr>
        <w:trPr>
          <w:trHeight w:val="234"/>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Income</w:t>
            </w: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Income</w:t>
            </w: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Shares</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9,479</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17,890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10,682</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17,819</w:t>
            </w:r>
          </w:p>
        </w:tc>
      </w:tr>
      <w:tr>
        <w:trPr>
          <w:trHeight w:val="216"/>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Preferred Dividend</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Borders>
              <w:bottom w:val="single" w:sz="8" w:color="auto"/>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9,457</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17,890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10,652</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17,819</w:t>
            </w:r>
          </w:p>
        </w:tc>
      </w:tr>
      <w:tr>
        <w:trPr>
          <w:trHeight w:val="216"/>
        </w:trPr>
        <w:tc>
          <w:tcPr>
            <w:tcW w:w="5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0.53</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0.60</w:t>
            </w:r>
          </w:p>
        </w:tc>
        <w:tc>
          <w:tcPr>
            <w:tcW w:w="11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9,457</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17,890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10,652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17,819</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 Series Preferred Dividend</w:t>
            </w: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Adjusted Earnings Applicable to Common Stock</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9,467</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17,951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10,669</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17,934</w:t>
            </w:r>
          </w:p>
        </w:tc>
      </w:tr>
      <w:tr>
        <w:trPr>
          <w:trHeight w:val="216"/>
        </w:trPr>
        <w:tc>
          <w:tcPr>
            <w:tcW w:w="5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0.53</w:t>
            </w:r>
          </w:p>
        </w:tc>
        <w:tc>
          <w:tcPr>
            <w:tcW w:w="124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0.59</w:t>
            </w:r>
          </w:p>
        </w:tc>
        <w:tc>
          <w:tcPr>
            <w:tcW w:w="1120" w:type="dxa"/>
            <w:vAlign w:val="bottom"/>
          </w:tcPr>
          <w:p>
            <w:pPr>
              <w:spacing w:after="0"/>
              <w:rPr>
                <w:sz w:val="20"/>
                <w:szCs w:val="20"/>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Business Segment Data</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consists of the Company’s Chief Executive Officer, Chief Financial Officer, and Chief Operating Officer. The CODM evaluates segment performance and profitability using net income. This metric provides a clear, consistent basis for analyzing the financial results of each segment and supports decision-making regarding the allocation of resources.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Resource allocation to the Company’s regulated and non-regulated segments begins with the annual budgeting process, which establishes initial funding and resource levels for each segment. The budget incorporates key financial and operational inputs, including anticipated revenues, expenses, capital and financing requirements, aligning with the Company’s strategic objectives and regulatory obligations. The CODM reviews budget-to-actual variances on a monthly, quarterly and year to-date basis and makes interim decisions to reallocate resources among segments as needed, ensuring a timely and effective response to changing conditions. For the regulated segment, the CODM uses this assessment to determine whether the segment is achieving its regulatory authorized rate of return.</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segments follow the same accounting policies as described in Note 1 – Organization, Summary of Significant Accounting Policies and Recent Developments of the 2024 Form 10-K. Segment profit or loss is based on Net Income. Expenses used to determine operating income before taxes are charged directly to each segment or are allocated based on the applicable cost allocation factors. Assets allocated to each segment are based upon specific identification of such assets provided by Company records. The effects of all intra-segment and/or intercompany transactions are eliminated in the consolidated financial statements.</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identified two reportable segments. One is the regulated business of collecting, treating and distributing water on a retail and wholesale basis to residential, commercial, industrial and fire protection customers in parts of New Jersey and Delaware and includes Middlesex, Tidewater, Pinelands Water and Southern Shores. This segment also includes a regulated wastewater system in New Jersey, Pinelands Wastewater. The Company is subject to regulations as to its rates, services and other matters by the states of New Jersey and Delaware with respect to utility service within these states. The other segment is primarily comprised of non-regulated contract services for the operation and maintenance of municipal and private water and wastewater systems in New Jersey and Delaware and includes USA, USA-PA, and White Marsh.</w:t>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(In Thousands)</w:t>
            </w:r>
          </w:p>
        </w:tc>
        <w:tc>
          <w:tcPr>
            <w:tcW w:w="106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92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50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March 31,</w:t>
            </w:r>
          </w:p>
        </w:tc>
        <w:tc>
          <w:tcPr>
            <w:tcW w:w="1060" w:type="dxa"/>
            <w:vAlign w:val="bottom"/>
            <w:tcBorders>
              <w:bottom w:val="single" w:sz="8" w:color="auto"/>
            </w:tcBorders>
          </w:tcPr>
          <w:p>
            <w:pPr>
              <w:spacing w:after="0"/>
              <w:rPr>
                <w:sz w:val="20"/>
                <w:szCs w:val="20"/>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Operation by Segments</w:t>
            </w:r>
          </w:p>
        </w:tc>
        <w:tc>
          <w:tcPr>
            <w:tcW w:w="3320" w:type="dxa"/>
            <w:vAlign w:val="bottom"/>
          </w:tcPr>
          <w:p>
            <w:pPr>
              <w:spacing w:after="0"/>
              <w:rPr>
                <w:sz w:val="18"/>
                <w:szCs w:val="18"/>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18"/>
                <w:szCs w:val="18"/>
                <w:color w:val="auto"/>
              </w:rPr>
            </w:pPr>
          </w:p>
        </w:tc>
        <w:tc>
          <w:tcPr>
            <w:tcW w:w="10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41,496</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37,465</w:t>
            </w: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2,952</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3,204</w:t>
            </w:r>
          </w:p>
        </w:tc>
      </w:tr>
      <w:tr>
        <w:trPr>
          <w:trHeight w:val="216"/>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3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0"/>
        </w:trPr>
        <w:tc>
          <w:tcPr>
            <w:tcW w:w="50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Revenues</w:t>
            </w:r>
          </w:p>
        </w:tc>
        <w:tc>
          <w:tcPr>
            <w:tcW w:w="3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44,301</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40,524</w:t>
            </w:r>
          </w:p>
        </w:tc>
      </w:tr>
      <w:tr>
        <w:trPr>
          <w:trHeight w:val="209"/>
        </w:trPr>
        <w:tc>
          <w:tcPr>
            <w:tcW w:w="50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Purchased Water:</w:t>
            </w: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1,907</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1,789</w:t>
            </w: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Non-Regulated</w:t>
            </w:r>
          </w:p>
        </w:tc>
        <w:tc>
          <w:tcPr>
            <w:tcW w:w="3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3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5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Consolidated Purchased Water</w:t>
            </w:r>
          </w:p>
        </w:tc>
        <w:tc>
          <w:tcPr>
            <w:tcW w:w="3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1,879</w:t>
            </w:r>
          </w:p>
        </w:tc>
        <w:tc>
          <w:tcPr>
            <w:tcW w:w="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1,759</w:t>
            </w:r>
          </w:p>
        </w:tc>
      </w:tr>
      <w:tr>
        <w:trPr>
          <w:trHeight w:val="210"/>
        </w:trPr>
        <w:tc>
          <w:tcPr>
            <w:tcW w:w="50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Operations and Maintenance Expenses:</w:t>
            </w: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17,493</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16,720</w:t>
            </w: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1,856</w:t>
            </w:r>
          </w:p>
        </w:tc>
        <w:tc>
          <w:tcPr>
            <w:tcW w:w="5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2,101</w:t>
            </w:r>
          </w:p>
        </w:tc>
      </w:tr>
      <w:tr>
        <w:trPr>
          <w:trHeight w:val="216"/>
        </w:trPr>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3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9"/>
        </w:trPr>
        <w:tc>
          <w:tcPr>
            <w:tcW w:w="5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Consolidated Other Operations and Maintenance Expenses</w:t>
            </w:r>
          </w:p>
        </w:tc>
        <w:tc>
          <w:tcPr>
            <w:tcW w:w="3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19,230</w:t>
            </w:r>
          </w:p>
        </w:tc>
        <w:tc>
          <w:tcPr>
            <w:tcW w:w="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18,706</w:t>
            </w:r>
          </w:p>
        </w:tc>
      </w:tr>
      <w:tr>
        <w:trPr>
          <w:trHeight w:val="209"/>
        </w:trPr>
        <w:tc>
          <w:tcPr>
            <w:tcW w:w="50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Taxes:</w:t>
            </w: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5,050</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4,744</w:t>
            </w:r>
          </w:p>
        </w:tc>
      </w:tr>
      <w:tr>
        <w:trPr>
          <w:trHeight w:val="216"/>
        </w:trPr>
        <w:tc>
          <w:tcPr>
            <w:tcW w:w="5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09"/>
        </w:trPr>
        <w:tc>
          <w:tcPr>
            <w:tcW w:w="50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Other Taxes</w:t>
            </w:r>
          </w:p>
        </w:tc>
        <w:tc>
          <w:tcPr>
            <w:tcW w:w="3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5,108</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4,798</w:t>
            </w:r>
          </w:p>
        </w:tc>
      </w:tr>
      <w:tr>
        <w:trPr>
          <w:trHeight w:val="210"/>
        </w:trPr>
        <w:tc>
          <w:tcPr>
            <w:tcW w:w="50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6,464</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5,329</w:t>
            </w:r>
          </w:p>
        </w:tc>
      </w:tr>
      <w:tr>
        <w:trPr>
          <w:trHeight w:val="216"/>
        </w:trPr>
        <w:tc>
          <w:tcPr>
            <w:tcW w:w="50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5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Consolidated Depreciation</w:t>
            </w:r>
          </w:p>
        </w:tc>
        <w:tc>
          <w:tcPr>
            <w:tcW w:w="3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6,527</w:t>
            </w:r>
          </w:p>
        </w:tc>
        <w:tc>
          <w:tcPr>
            <w:tcW w:w="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5,396</w:t>
            </w:r>
          </w:p>
        </w:tc>
      </w:tr>
      <w:tr>
        <w:trPr>
          <w:trHeight w:val="210"/>
        </w:trPr>
        <w:tc>
          <w:tcPr>
            <w:tcW w:w="50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10,701</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8,999</w:t>
            </w:r>
          </w:p>
        </w:tc>
      </w:tr>
      <w:tr>
        <w:trPr>
          <w:trHeight w:val="216"/>
        </w:trPr>
        <w:tc>
          <w:tcPr>
            <w:tcW w:w="5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856</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866</w:t>
            </w:r>
          </w:p>
        </w:tc>
      </w:tr>
      <w:tr>
        <w:trPr>
          <w:trHeight w:val="210"/>
        </w:trPr>
        <w:tc>
          <w:tcPr>
            <w:tcW w:w="50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11,557</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9,865</w:t>
            </w:r>
          </w:p>
        </w:tc>
      </w:tr>
      <w:tr>
        <w:trPr>
          <w:trHeight w:val="209"/>
        </w:trPr>
        <w:tc>
          <w:tcPr>
            <w:tcW w:w="50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1,901</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5,355</w:t>
            </w: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3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50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Other Income, Net</w:t>
            </w:r>
          </w:p>
        </w:tc>
        <w:tc>
          <w:tcPr>
            <w:tcW w:w="3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1,797</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5,365</w:t>
            </w:r>
          </w:p>
        </w:tc>
      </w:tr>
      <w:tr>
        <w:trPr>
          <w:trHeight w:val="459"/>
        </w:trPr>
        <w:tc>
          <w:tcPr>
            <w:tcW w:w="50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jc w:val="right"/>
              <w:ind w:right="2550"/>
              <w:spacing w:after="0"/>
              <w:rPr>
                <w:sz w:val="20"/>
                <w:szCs w:val="20"/>
                <w:color w:val="auto"/>
              </w:rPr>
            </w:pPr>
            <w:r>
              <w:rPr>
                <w:rFonts w:ascii="Times New Roman" w:cs="Times New Roman" w:eastAsia="Times New Roman" w:hAnsi="Times New Roman"/>
                <w:sz w:val="18"/>
                <w:szCs w:val="18"/>
                <w:color w:val="auto"/>
              </w:rPr>
              <w:t>11</w:t>
            </w:r>
          </w:p>
        </w:tc>
        <w:tc>
          <w:tcPr>
            <w:tcW w:w="1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2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center"/>
              <w:ind w:right="210"/>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Operation by Segments (continued)</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Charges: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2,872</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3,319</w:t>
            </w: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29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Interest Charges</w:t>
            </w: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2,713</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3,269</w:t>
            </w:r>
          </w:p>
        </w:tc>
      </w:tr>
      <w:tr>
        <w:trPr>
          <w:trHeight w:val="209"/>
        </w:trPr>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872</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r>
      <w:tr>
        <w:trPr>
          <w:trHeight w:val="216"/>
        </w:trPr>
        <w:tc>
          <w:tcPr>
            <w:tcW w:w="2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r>
      <w:tr>
        <w:trPr>
          <w:trHeight w:val="209"/>
        </w:trPr>
        <w:tc>
          <w:tcPr>
            <w:tcW w:w="29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Consolidated Income Taxes</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1,162</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1,279</w:t>
            </w:r>
          </w:p>
        </w:tc>
      </w:tr>
      <w:tr>
        <w:trPr>
          <w:trHeight w:val="210"/>
        </w:trPr>
        <w:tc>
          <w:tcPr>
            <w:tcW w:w="2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8,858</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10,049</w:t>
            </w:r>
          </w:p>
        </w:tc>
      </w:tr>
      <w:tr>
        <w:trPr>
          <w:trHeight w:val="216"/>
        </w:trPr>
        <w:tc>
          <w:tcPr>
            <w:tcW w:w="2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633</w:t>
            </w:r>
          </w:p>
        </w:tc>
      </w:tr>
      <w:tr>
        <w:trPr>
          <w:trHeight w:val="209"/>
        </w:trPr>
        <w:tc>
          <w:tcPr>
            <w:tcW w:w="29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Net Income</w:t>
            </w: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9,479</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10,682</w:t>
            </w:r>
          </w:p>
        </w:tc>
      </w:tr>
      <w:tr>
        <w:trPr>
          <w:trHeight w:val="210"/>
        </w:trPr>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18,853</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14,376</w:t>
            </w:r>
          </w:p>
        </w:tc>
      </w:tr>
      <w:tr>
        <w:trPr>
          <w:trHeight w:val="216"/>
        </w:trPr>
        <w:tc>
          <w:tcPr>
            <w:tcW w:w="2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29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18,911</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14,389</w:t>
            </w:r>
          </w:p>
        </w:tc>
      </w:tr>
      <w:tr>
        <w:trPr>
          <w:trHeight w:val="403"/>
        </w:trPr>
        <w:tc>
          <w:tcPr>
            <w:tcW w:w="2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(Thousands of Dollars)</w:t>
            </w:r>
          </w:p>
        </w:tc>
      </w:tr>
      <w:tr>
        <w:trPr>
          <w:trHeight w:val="216"/>
        </w:trPr>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38"/>
        </w:trPr>
        <w:tc>
          <w:tcPr>
            <w:tcW w:w="2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1,293,783</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1,264,472</w:t>
            </w:r>
          </w:p>
        </w:tc>
      </w:tr>
      <w:tr>
        <w:trPr>
          <w:trHeight w:val="216"/>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8,047</w:t>
            </w: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7,671</w:t>
            </w:r>
          </w:p>
        </w:tc>
      </w:tr>
      <w:tr>
        <w:trPr>
          <w:trHeight w:val="216"/>
        </w:trPr>
        <w:tc>
          <w:tcPr>
            <w:tcW w:w="2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w:t>
            </w:r>
          </w:p>
        </w:tc>
      </w:tr>
      <w:tr>
        <w:trPr>
          <w:trHeight w:val="210"/>
        </w:trPr>
        <w:tc>
          <w:tcPr>
            <w:tcW w:w="29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Consolidated Assets</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1,278,961</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1,255,174</w:t>
            </w:r>
          </w:p>
        </w:tc>
      </w:tr>
      <w:tr>
        <w:trPr>
          <w:trHeight w:val="331"/>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Short-term Borrowings</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8"/>
        </w:trPr>
        <w:tc>
          <w:tcPr>
            <w:tcW w:w="5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 maintains lines of credit aggregating $140.0 million.</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9"/>
        </w:trPr>
        <w:tc>
          <w:tcPr>
            <w:tcW w:w="2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(Millions)</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As of March 31, 2025</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29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Outstanding</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Available</w:t>
            </w: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Maximum</w:t>
            </w:r>
          </w:p>
        </w:tc>
        <w:tc>
          <w:tcPr>
            <w:tcW w:w="14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Credit Type</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Renewal Date</w:t>
            </w:r>
          </w:p>
        </w:tc>
      </w:tr>
      <w:tr>
        <w:trPr>
          <w:trHeight w:val="21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8"/>
              </w:rPr>
              <w:t>Uncommitted</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January 23, 2026</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PNC Bank</w:t>
            </w:r>
          </w:p>
        </w:tc>
        <w:tc>
          <w:tcPr>
            <w:tcW w:w="3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c>
          <w:tcPr>
            <w:tcW w:w="3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68.0</w:t>
            </w:r>
          </w:p>
        </w:tc>
        <w:tc>
          <w:tcPr>
            <w:tcW w:w="18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Committed</w:t>
            </w:r>
          </w:p>
        </w:tc>
        <w:tc>
          <w:tcPr>
            <w:tcW w:w="180" w:type="dxa"/>
            <w:vAlign w:val="bottom"/>
          </w:tcPr>
          <w:p>
            <w:pPr>
              <w:spacing w:after="0"/>
              <w:rPr>
                <w:sz w:val="18"/>
                <w:szCs w:val="18"/>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January 31, 2027</w:t>
            </w:r>
          </w:p>
        </w:tc>
      </w:tr>
      <w:tr>
        <w:trPr>
          <w:trHeight w:val="23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CoBank, ACB</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Committed</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23"/>
        </w:trPr>
        <w:tc>
          <w:tcPr>
            <w:tcW w:w="2940" w:type="dxa"/>
            <w:vAlign w:val="bottom"/>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106.0</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140.0</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dates for the Notes Payable as of March 31, 2025 are extendable at the discretion of the Company.</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rates are set for borrowings under the Bank of America and PNC Bank lines of credit using the Secured Overnight Financing Rate (SOFR) and then adding a specific financial institution credit spread. The interest rate for borrowings under the CoBank, ACB (CoBank) line of credit are set weekly using CoBank’s internal cost of funds index that is similar to the SOFR and adding a credit spread. There is no requirement for a compensating balance under any of the established lines of credit.</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weighted average interest rate on the outstanding borrowings at March 31, 2025 under these credit lines is 5.45%.</w:t>
      </w:r>
    </w:p>
    <w:p>
      <w:pPr>
        <w:spacing w:after="0" w:line="1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daily amounts of borrowings outstanding under these credit lines and the weighted average interest rates on those amounts were as follows:</w:t>
      </w:r>
    </w:p>
    <w:p>
      <w:pPr>
        <w:spacing w:after="0" w:line="67"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9"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5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Amounts Outstanding</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49,992</w:t>
            </w: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Rates</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Contingent Liabilities</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Water Supply – </w:t>
      </w:r>
      <w:r>
        <w:rPr>
          <w:rFonts w:ascii="Times New Roman" w:cs="Times New Roman" w:eastAsia="Times New Roman" w:hAnsi="Times New Roman"/>
          <w:sz w:val="18"/>
          <w:szCs w:val="18"/>
          <w:color w:val="auto"/>
        </w:rPr>
        <w:t>Middlesex has an agreement with the New Jersey Water Supply Authority (NJWSA) for the purchase of untreated water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30, 2048. This agreement with the NJWSA provides for an average purchase of 27 million gallons a day (mgd) with a peak up to 47.0 mgd. Pricing is set annually by the NJWSA through a public rate making process. The agreement has provisions for additional pricing in the event Middlesex overdrafts or exceeds certain monthly and annual thresholds.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Middlesex also has an agreement with a non-affiliated NJBPU-regulated water utility for the purchase of treated water. This agreement, which expires February 27, 2026, provides for the minimum purchase of 3.0 mgd of treated water with provisions for additional purchases if needed.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Tidewater contracts with the City of Dover in Delaware to purchase treated water of up to 75.0 million gallons annually.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Purchased water costs are shown below:</w:t>
      </w:r>
    </w:p>
    <w:p>
      <w:pPr>
        <w:spacing w:after="0" w:line="131"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9"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p>
      <w:pPr>
        <w:ind w:left="6960"/>
        <w:spacing w:after="0"/>
        <w:tabs>
          <w:tab w:leader="none" w:pos="7800" w:val="left"/>
        </w:tabs>
        <w:rPr>
          <w:sz w:val="20"/>
          <w:szCs w:val="20"/>
          <w:color w:val="auto"/>
        </w:rPr>
      </w:pPr>
      <w:r>
        <w:rPr>
          <w:rFonts w:ascii="Times New Roman" w:cs="Times New Roman" w:eastAsia="Times New Roman" w:hAnsi="Times New Roman"/>
          <w:sz w:val="18"/>
          <w:szCs w:val="18"/>
          <w:color w:val="auto"/>
        </w:rPr>
        <w:t>2025</w:t>
      </w:r>
      <w:r>
        <w:rPr>
          <w:sz w:val="20"/>
          <w:szCs w:val="20"/>
          <w:color w:val="auto"/>
        </w:rPr>
        <w:tab/>
      </w: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5715</wp:posOffset>
            </wp:positionV>
            <wp:extent cx="1097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19"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Treated</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30"/>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Untreated</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r>
    </w:tbl>
    <w:p>
      <w:pPr>
        <w:spacing w:after="0" w:line="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Leases – </w:t>
      </w:r>
      <w:r>
        <w:rPr>
          <w:rFonts w:ascii="Times New Roman" w:cs="Times New Roman" w:eastAsia="Times New Roman" w:hAnsi="Times New Roman"/>
          <w:sz w:val="18"/>
          <w:szCs w:val="18"/>
          <w:color w:val="auto"/>
        </w:rPr>
        <w:t>The Company determines if an arrangement is a lease at inception. Generally, a lease agreement exists if the Company determines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gives the Company control over the use of an identified asset and obtains substantially all of the benefits from the identified asset.</w:t>
      </w:r>
    </w:p>
    <w:p>
      <w:pPr>
        <w:spacing w:after="0" w:line="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entered into an operating lease of office space for administrative purposes, expiring in January 2030. The Company has not entered into any finance leases. The exercise of a lease renewal option for the Company’s administrative offices is solely at the discretion of the Company.</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the commencement date based on the present value of lease payments over the lease term. The Company’s operating lease does not provide an implicit discount rate and as such the Company used an estimated incremental borrowing rate (4.03%) based on the information available at the commencement date in determining the present value of lease payments.</w:t>
      </w:r>
    </w:p>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Given the impacts of accounting for regulated operations, and the resulting recognition of expense at the amounts recovered in customer rates, expenditures for operating leases are consistent with lease expense and were $0.2 million for each of the three months ended March 31, 2025 and 2024, respectively.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Information related to operating lease ROU assets and lease liabilities is as follows: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9"/>
        </w:trPr>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68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6"/>
              </w:rPr>
              <w:t>As of</w:t>
            </w:r>
          </w:p>
        </w:tc>
        <w:tc>
          <w:tcPr>
            <w:tcW w:w="68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88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March 31, 2025  December 31, 2024</w:t>
            </w:r>
          </w:p>
        </w:tc>
      </w:tr>
      <w:tr>
        <w:trPr>
          <w:trHeight w:val="216"/>
        </w:trPr>
        <w:tc>
          <w:tcPr>
            <w:tcW w:w="114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 at Lease Inception</w:t>
            </w:r>
          </w:p>
        </w:tc>
        <w:tc>
          <w:tcPr>
            <w:tcW w:w="3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1140" w:type="dxa"/>
            <w:vAlign w:val="bottom"/>
          </w:tcPr>
          <w:p>
            <w:pPr>
              <w:spacing w:after="0"/>
              <w:rPr>
                <w:sz w:val="19"/>
                <w:szCs w:val="19"/>
                <w:color w:val="auto"/>
              </w:rPr>
            </w:pPr>
          </w:p>
        </w:tc>
        <w:tc>
          <w:tcPr>
            <w:tcW w:w="3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9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9"/>
        </w:trPr>
        <w:tc>
          <w:tcPr>
            <w:tcW w:w="114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w:t>
            </w:r>
          </w:p>
        </w:tc>
        <w:tc>
          <w:tcPr>
            <w:tcW w:w="29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31"/>
        </w:trPr>
        <w:tc>
          <w:tcPr>
            <w:tcW w:w="7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future minimum operating lease commitments as of March 31, 2025 are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68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Imputed Interest</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 Current Portion*</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ind w:left="4920"/>
        <w:spacing w:after="0"/>
        <w:rPr>
          <w:sz w:val="20"/>
          <w:szCs w:val="20"/>
          <w:color w:val="auto"/>
        </w:rPr>
      </w:pPr>
      <w:r>
        <w:rPr>
          <w:rFonts w:ascii="Times New Roman" w:cs="Times New Roman" w:eastAsia="Times New Roman" w:hAnsi="Times New Roman"/>
          <w:sz w:val="18"/>
          <w:szCs w:val="18"/>
          <w:color w:val="auto"/>
        </w:rPr>
        <w:t>*Included in Other Current Liabilities</w:t>
      </w:r>
    </w:p>
    <w:p>
      <w:pPr>
        <w:spacing w:after="0" w:line="1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Construction </w:t>
      </w:r>
      <w:r>
        <w:rPr>
          <w:rFonts w:ascii="Times New Roman" w:cs="Times New Roman" w:eastAsia="Times New Roman" w:hAnsi="Times New Roman"/>
          <w:sz w:val="18"/>
          <w:szCs w:val="18"/>
          <w:color w:val="auto"/>
        </w:rPr>
        <w:t>– In connection with the Company’s planned capital expenditures, the Company has entered into several contractual construction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total obligate it to expend an estimated $20.0 million in the future. The actual amount and timing of capital expenditures is dependent on the need for replacement of existing infrastructure, customer growth, residential new home construction and sales, project scheduling, supply chain issues and continued refinement of project scope and costs.</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Contingencies – </w:t>
      </w:r>
      <w:r>
        <w:rPr>
          <w:rFonts w:ascii="Times New Roman" w:cs="Times New Roman" w:eastAsia="Times New Roman" w:hAnsi="Times New Roman"/>
          <w:sz w:val="18"/>
          <w:szCs w:val="18"/>
          <w:color w:val="auto"/>
        </w:rPr>
        <w:t>Based on our operations in the heavily-regulated water and wastewater industries, the Company is routinely involved in disputes,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 in Control Agreements – </w:t>
      </w:r>
      <w:r>
        <w:rPr>
          <w:rFonts w:ascii="Times New Roman" w:cs="Times New Roman" w:eastAsia="Times New Roman" w:hAnsi="Times New Roman"/>
          <w:sz w:val="18"/>
          <w:szCs w:val="18"/>
          <w:color w:val="auto"/>
        </w:rPr>
        <w:t>The Company has Change in Control Agreements with its executive officers that provide compensation and benefits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event of termination of employment under certain conditions in connection with a change in control of the Company.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Employee Benefit Plans</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Pension Benefits – </w:t>
      </w:r>
      <w:r>
        <w:rPr>
          <w:rFonts w:ascii="Times New Roman" w:cs="Times New Roman" w:eastAsia="Times New Roman" w:hAnsi="Times New Roman"/>
          <w:sz w:val="18"/>
          <w:szCs w:val="18"/>
          <w:color w:val="auto"/>
        </w:rPr>
        <w:t>The Company’s Pension Plan covers all active employees hired prior to April 1, 2007. Employees hired after March 31, 2007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to participate in this plan, but can participate in a defined contribution profit sharing plan that provides an annual contribution at the discretion of the Company, based upon a percentage of the participants’ annual paid compensation. For each of the three-month periods ended March 31, 2025 and 2024, the Company did not make cash contributions to the Pension Plan. The Company expects to make cash contributions of approximately $0.9 million over the remainder of the current year.</w:t>
      </w:r>
    </w:p>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Benefits – </w:t>
      </w:r>
      <w:r>
        <w:rPr>
          <w:rFonts w:ascii="Times New Roman" w:cs="Times New Roman" w:eastAsia="Times New Roman" w:hAnsi="Times New Roman"/>
          <w:sz w:val="18"/>
          <w:szCs w:val="18"/>
          <w:color w:val="auto"/>
        </w:rPr>
        <w:t>The Company’s Other Benefits Plan covers substantially all of its current retired employees. Employees hired after March 31, 2007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eligible to participate in this plan. Coverage includes healthcare and life insurance. For each of the three-month periods ended March 31, 2025 and 2024, the Company did not make cash contributions to its Other Benefits Plan. The Company expects to make additional Other Benefits Plan cash contributions of $1.0 million over the remainder of the current year.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information relating to the Company’s periodic costs (benefit) for its employee retirement benefit plans: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Pension Benefits</w:t>
            </w:r>
          </w:p>
        </w:tc>
        <w:tc>
          <w:tcPr>
            <w:tcW w:w="5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Other Benefits</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3"/>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rPr>
              <w:t>Three Months Ended March 31,</w:t>
            </w: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2025</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Borders>
              <w:bottom w:val="single" w:sz="8" w:color="auto"/>
            </w:tcBorders>
          </w:tcPr>
          <w:p>
            <w:pPr>
              <w:spacing w:after="0"/>
              <w:rPr>
                <w:sz w:val="20"/>
                <w:szCs w:val="20"/>
                <w:color w:val="auto"/>
              </w:rPr>
            </w:pPr>
          </w:p>
        </w:tc>
      </w:tr>
      <w:tr>
        <w:trPr>
          <w:trHeight w:val="42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$318</w:t>
            </w:r>
          </w:p>
        </w:tc>
        <w:tc>
          <w:tcPr>
            <w:tcW w:w="50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w:t>
            </w:r>
          </w:p>
        </w:tc>
        <w:tc>
          <w:tcPr>
            <w:tcW w:w="5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1,070</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430</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5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Unrecognized Losses</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w:t>
            </w:r>
          </w:p>
        </w:tc>
      </w:tr>
    </w:tbl>
    <w:p>
      <w:pPr>
        <w:spacing w:after="0" w:line="1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*Service cost is included Operations and Maintenance expense on the consolidated statements of income; all other amounts are included in Other Income (Expense), net.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Revenue Recognition from Contracts with Customers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revenues are primarily generated from regulated tariff-based water and wastewater utility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Company expects to be entitled in exchange for those goods and services.</w:t>
      </w:r>
    </w:p>
    <w:p>
      <w:pPr>
        <w:spacing w:after="0" w:line="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regulated revenue results from tariff-based water and wastewater services to residential, industrial, commercial, fire-protection and wholesale customers. Residential customers are billed quarterly while most industrial, commercial, fire-protection and wholesale customers are billed monthly. Payments by customers are due between 15 and 30 days after the invoice date. Revenue is recognized as the water and wastewater services are delivered to customers which includes an accrual of unbilled revenues estimated from the last meter reading date to the end of the accounting period utilizing factors such as historical customer data and regional weather indicators. Unearned Revenues and Advance Service Fees include fixed service charge billings in advance to Tidewater customers recognized as service is provided to the customer.</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2032 and contain remaining performance obligations for which the Company expects to recognize revenue in the future. These contracts also contain termination provisions.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amounts included in operating revenues and accounts receivable are from contracts with customers.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contracts do not contain any significant financing components.</w:t>
      </w: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operating revenues are comprised of the following:</w:t>
            </w:r>
          </w:p>
        </w:tc>
        <w:tc>
          <w:tcPr>
            <w:tcW w:w="3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9"/>
        </w:trPr>
        <w:tc>
          <w:tcPr>
            <w:tcW w:w="5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Pr>
          <w:p>
            <w:pPr>
              <w:spacing w:after="0"/>
              <w:rPr>
                <w:sz w:val="24"/>
                <w:szCs w:val="24"/>
                <w:color w:val="auto"/>
              </w:rPr>
            </w:pPr>
          </w:p>
        </w:tc>
      </w:tr>
      <w:tr>
        <w:trPr>
          <w:trHeight w:val="216"/>
        </w:trPr>
        <w:tc>
          <w:tcPr>
            <w:tcW w:w="52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5200" w:type="dxa"/>
            <w:vAlign w:val="bottom"/>
            <w:tcBorders>
              <w:bottom w:val="single" w:sz="8" w:color="CCEEFF"/>
            </w:tcBorders>
          </w:tcPr>
          <w:p>
            <w:pPr>
              <w:spacing w:after="0"/>
              <w:rPr>
                <w:sz w:val="20"/>
                <w:szCs w:val="20"/>
                <w:color w:val="auto"/>
              </w:rPr>
            </w:pPr>
          </w:p>
        </w:tc>
        <w:tc>
          <w:tcPr>
            <w:tcW w:w="3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Regulated Tariff Sales</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23,114</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20,331</w:t>
            </w: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6,585</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5,976</w:t>
            </w: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Industrial</w:t>
            </w: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2,999</w:t>
            </w:r>
          </w:p>
        </w:tc>
        <w:tc>
          <w:tcPr>
            <w:tcW w:w="5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3,133</w:t>
            </w: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Fire Protection</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3,722</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3,292</w:t>
            </w: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Wholesale</w:t>
            </w: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5,014</w:t>
            </w:r>
          </w:p>
        </w:tc>
        <w:tc>
          <w:tcPr>
            <w:tcW w:w="5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4,673</w:t>
            </w: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Non-Regulated Contract Operations</w:t>
            </w:r>
          </w:p>
        </w:tc>
        <w:tc>
          <w:tcPr>
            <w:tcW w:w="3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2,833</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3,088</w:t>
            </w: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3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44,267</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40,493</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Regulated Revenues</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Non-Regulated Revenues</w:t>
            </w: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w:t>
            </w:r>
          </w:p>
        </w:tc>
        <w:tc>
          <w:tcPr>
            <w:tcW w:w="5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3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12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44,301</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40,524</w:t>
            </w:r>
          </w:p>
        </w:tc>
      </w:tr>
      <w:tr>
        <w:trPr>
          <w:trHeight w:val="554"/>
        </w:trPr>
        <w:tc>
          <w:tcPr>
            <w:tcW w:w="5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253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18" w:name="page19"/>
    <w:bookmarkEnd w:id="18"/>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periodic report and in the documents incorporated by reference constitute “forward-looking statements” within the meaning of Section 21E of the Securities Exchange Act of 1934 and Section 27A of the Securities Act of 1933. Some of these forward-looking statements can be identified by the use of forward-looking words such as “believes,” “expects,” “may,” “will,” “should,” “seeks,” “approximately,” “intends,” “plans,” “estimates,” “projects,” “strategy,” or “anticipates,” or the negative of those words or other comparable terminology. The Company intends that these statements be covered by the safe harbors created under those laws. They include, but are not limited to statements as to:</w:t>
      </w:r>
    </w:p>
    <w:p>
      <w:pPr>
        <w:spacing w:after="0" w:line="9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financial condition, performance, prospects and earnings of the Company;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plans for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rate increases and other regulatory matters, including the recovery of certain costs recorded as regulatory assets;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expected liquidity needs during the upcoming fiscal year and beyond and the sources and availability of funds to meet its liquidity needs;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customer rates, consumption volumes, service fees, revenues, margins, expenses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amount of cash contributions to fund the Company’s retirement benefit plans, anticipated discount rates and rates of return on plan assets;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pay dividends;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environmental laws and regulations and estimations of the materiality of any related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reliability of the Company’s equipment, facilities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plans to renew municipal franchises and consents in the territories it serves;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quality of our water supply.</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8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general economic conditions, including recently announced tariffs;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competition for growth in non-franchised markets to be potentially served by the Company;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the Company to adequately control selected operating expenses which are necessary to maintain safe and proper utility services, and which may be beyond the Company’s control;</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adequate supplies of quality water;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government regulators, including decisions on rate increase requests;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modified water quality standards and compliance with related legal and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variations, including climate variability, and other natural phenomena impacting utility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risks associated with acquisitions and/or privatizations;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pace of new housing development;</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 w:name="page20"/>
    <w:bookmarkEnd w:id="19"/>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capital resources;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materials and supplies for operations and critical infrastructure projects;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internal control over financial reporting;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elsewhere in this report.</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spacing w:after="0" w:line="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an additional discussion of factors that may affect the Company’s business and results of operations, see Item 1A. - Risk Factors in the Company’s Annual Report on Form 10-K for the fiscal year ended December 31,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Middlesex Water Company (Middlesex or the Company)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operate water and wastewater systems under contract for governmental entities and private entities primarily in New Jersey and Delaware and provide regulated wastewater services in New Jersey. We are regulated by state public utility commissions as to rates charged to customers for water and wastewater services, as to the quality of water and wastewater service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New Jersey water utility system (the Middlesex System) provides water services to approximately 61,000 retail customers, primarily in central New Jersey. The Middlesex System also provides water sales under contract to municipalities in central New Jersey with a total population of over 0.2 million.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Delaware subsidiaries, Tidewater and Southern Shores Water Company, LLC, provide water services to approximately 62,000 retail customers in New Castle, Kent and Sussex Counties, Delaware. Tidewater’s subsidiary, White Marsh, services approximately 4,300 households in Kent and Sussex Counties through various operations and maintenance contracts.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 operates the Borough of Avalon, New Jersey’s (Avalon) water utility, sewer utility and storm water system under a ten-year operations and maintenance contract expiring in 2032. USA also operates the Borough of Highland Park, New Jersey’s (Highland Park) water and wastewater systems under a 10-year operations and maintenance contract expiring in 2030. In addition to performing day-to-day service operations, USA is responsible for emergency response and management of capital projects funded by Avalon and Highland Park.</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Tidewater Acquisition of the Water Utility Assets of the Town of Ocean View, Delaware </w:t>
      </w:r>
      <w:r>
        <w:rPr>
          <w:rFonts w:ascii="Times New Roman" w:cs="Times New Roman" w:eastAsia="Times New Roman" w:hAnsi="Times New Roman"/>
          <w:sz w:val="18"/>
          <w:szCs w:val="18"/>
          <w:color w:val="auto"/>
        </w:rPr>
        <w:t>- In April 2025, Tidewater completed the acquisition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water utility assets of the Town of Ocean View, Delaware (Ocean View) for approximately $4.6 million. Ocean View serves approximately 900 customers in Sussex County, Delaware, who have been receiving water supply from Tidewater since the system was constructed in 2008.</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Middlesex Distribution System Improvement Charge (DSIC) </w:t>
      </w:r>
      <w:r>
        <w:rPr>
          <w:rFonts w:ascii="Times New Roman" w:cs="Times New Roman" w:eastAsia="Times New Roman" w:hAnsi="Times New Roman"/>
          <w:sz w:val="18"/>
          <w:szCs w:val="18"/>
          <w:color w:val="auto"/>
        </w:rPr>
        <w:t>- In April 2025, Middlesex filed a third DSIC rate application with the New jersey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Public Utilities (NJBPU) that is expected to result in $1.9 million of annual revenues starting June 2025, in addition to the existing $1.1 million of annual revenues from the first and second DSIC filings.</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Middlesex Purchase Water Adjustment Clause (PWAC) - </w:t>
      </w:r>
      <w:r>
        <w:rPr>
          <w:rFonts w:ascii="Times New Roman" w:cs="Times New Roman" w:eastAsia="Times New Roman" w:hAnsi="Times New Roman"/>
          <w:sz w:val="18"/>
          <w:szCs w:val="18"/>
          <w:color w:val="auto"/>
        </w:rPr>
        <w:t>In February 2025, the NJBPU approved Middlesex’s petition to reset its PWAC tariff rate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 additional annual costs of $0.5 million, primarily for the purchase of treated water from a non-affiliated water utility regulated by the NJBPU. A PWAC is a rate mechanism that allows for the recovery of increased purchased water costs between base rate case filings. The PWAC is reset to zero once those increased costs are included in base rates. The new PWAC rate was effective March 1, 2025.</w:t>
      </w:r>
    </w:p>
    <w:p>
      <w:pPr>
        <w:spacing w:after="0" w:line="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Tidewater Base Water Rate Increase Application - </w:t>
      </w:r>
      <w:r>
        <w:rPr>
          <w:rFonts w:ascii="Times New Roman" w:cs="Times New Roman" w:eastAsia="Times New Roman" w:hAnsi="Times New Roman"/>
          <w:sz w:val="18"/>
          <w:szCs w:val="18"/>
          <w:color w:val="auto"/>
        </w:rPr>
        <w:t>In August 2024, Tidewater filed an application with the DEPSC to increase its general rates for water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In the application, Tidewater seeks an overall increase in annual operating revenue of $10.3 million or 25.66% over current revenue. The request for rate increases will allow Tidewater to recover prudently incurred investments made in the last ten years to support continued regulatory compliance, enhance water quality, service reliability, security and resiliency of the water utility infrastructure assets. Effective October 30, 2024, Tidewater received approval of the DEPSC to suspend its DSIC rate and implement an interim rate increase, which is expected to result in approximately $2.5 million of annual revenues, subject to refund pending the outcome of the rate case application.</w:t>
      </w:r>
    </w:p>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United States Environmental Protection Agency (USEPA) Issues Final Perfluoroalkyl Substances (PFAS) Regulations </w:t>
      </w:r>
      <w:r>
        <w:rPr>
          <w:rFonts w:ascii="Times New Roman" w:cs="Times New Roman" w:eastAsia="Times New Roman" w:hAnsi="Times New Roman"/>
          <w:sz w:val="18"/>
          <w:szCs w:val="18"/>
          <w:color w:val="auto"/>
        </w:rPr>
        <w:t>- In April 2024, the USEPA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finalized drinking water regulations for PFAS, establishing maximum contaminant levels (MCLs) for three PFAS compounds (Regulated PFAS) that are lower than the current New Jersey Department of Environmental Protection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solutions that reduce Regulated PFAS if monitoring shows that drinking water levels exceed these MCLs.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in April 2029, water systems that have Regulated PFAS in drinking water which exceeds one or more of these MCLs must take action to reduce levels of these PFAS compounds in their drinking water and must provide notification to the public of the violation.</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anticipation of these new USEPA standards, in 2023, the Company began, and continues, implementing its strategy to meet these lower MCLs for Regulated PFAS and is currently performing preliminary engineering studies to ensure that effective PFAS treatment approaches are implemented.</w:t>
      </w:r>
    </w:p>
    <w:p>
      <w:pPr>
        <w:spacing w:after="0" w:line="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Capital Construction Program - </w:t>
      </w:r>
      <w:r>
        <w:rPr>
          <w:rFonts w:ascii="Times New Roman" w:cs="Times New Roman" w:eastAsia="Times New Roman" w:hAnsi="Times New Roman"/>
          <w:sz w:val="18"/>
          <w:szCs w:val="18"/>
          <w:color w:val="auto"/>
        </w:rPr>
        <w:t>The Company’s multi-year capital construction program encompasses numerous projects designed to upgrade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 utility infrastructure as well as enhance the integrity and reliability of assets to maintain and improve service for the current and future generations of water and wastewater customers. The Company plans to invest approximately $93 million in 2025 in connection with this plan for projects that include, but are not limited to:</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ind w:left="660" w:hanging="35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19,550 linear feet of cast iron main in Woodbridge Township in our Middlesex System;</w:t>
      </w:r>
    </w:p>
    <w:p>
      <w:pPr>
        <w:spacing w:after="0" w:line="27" w:lineRule="exact"/>
        <w:rPr>
          <w:rFonts w:ascii="Times New Roman" w:cs="Times New Roman" w:eastAsia="Times New Roman" w:hAnsi="Times New Roman"/>
          <w:sz w:val="18"/>
          <w:szCs w:val="18"/>
          <w:color w:val="auto"/>
        </w:rPr>
      </w:pPr>
    </w:p>
    <w:p>
      <w:pPr>
        <w:ind w:left="660" w:hanging="35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new elevated water tanks in Delaware; and</w:t>
      </w:r>
    </w:p>
    <w:p>
      <w:pPr>
        <w:spacing w:after="0" w:line="9" w:lineRule="exact"/>
        <w:rPr>
          <w:rFonts w:ascii="Times New Roman" w:cs="Times New Roman" w:eastAsia="Times New Roman" w:hAnsi="Times New Roman"/>
          <w:sz w:val="18"/>
          <w:szCs w:val="18"/>
          <w:color w:val="auto"/>
        </w:rPr>
      </w:pPr>
    </w:p>
    <w:p>
      <w:pPr>
        <w:ind w:left="660" w:hanging="35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water main replacements and improvements.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amount and timing of capital expenditures is dependent on project scheduling and refinement of engineering estimates for certain capital projects.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increase operating income and net income is based significantly on four factors: weather, adequate and timely rate relief, effective cost management and customer growth. Weather patterns which can result in lower customer demand for water may occur at any time. As operating costs are anticipated to increase in 2025 in a variety of categories, we continue to implement plans to further streamline operations and further reduce and mitigate increases in operating costs. Changes in customer water usage habits, as well as increases in capital expenditures and operating costs, are significant factors in determining the timing and extent of rate increase requests.</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investments in system infrastructure continue to grow significantly and our operating costs are anticipated to increase in 2025 and 2026 in a variety of categories. These factors, among others, may require a base rate increase request by Middlesex in mid-2025.</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organic residential customer growth continues in our Tidewater system (approximately 3.5% in 2024). However, current and evolving economic market conditions may challenge that growth.</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for selective and sustainable growth is focused on the following key areas:</w:t>
      </w:r>
    </w:p>
    <w:p>
      <w:pPr>
        <w:spacing w:after="0" w:line="27"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utility infrastructure to build system resiliency and meet compliance requirements;</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adequate recovery of infrastructure investments and other costs to maintain and continually improve service quality;</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acquisitions of investor and municipally-owned water and wastewater utilities; and</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municipal and industrial water and wastewater systems on a contract basis which meet our risk profile.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segments in the tables included below are comprised of the following companies: Regulated-Middlesex, Tidewater, Pinelands and Southern Shores; Non-Regulated-USA, USA-PA, and White Marsh.</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55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2025</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60" w:type="dxa"/>
            <w:vAlign w:val="bottom"/>
          </w:tcPr>
          <w:p>
            <w:pPr>
              <w:spacing w:after="0"/>
              <w:rPr>
                <w:sz w:val="20"/>
                <w:szCs w:val="20"/>
                <w:color w:val="auto"/>
              </w:rPr>
            </w:pPr>
          </w:p>
        </w:tc>
        <w:tc>
          <w:tcPr>
            <w:tcW w:w="10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rPr>
              <w:t>Non-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rPr>
              <w:t>Non-</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Regulated</w:t>
            </w:r>
          </w:p>
        </w:tc>
        <w:tc>
          <w:tcPr>
            <w:tcW w:w="16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Regulated</w:t>
            </w:r>
          </w:p>
        </w:tc>
        <w:tc>
          <w:tcPr>
            <w:tcW w:w="140" w:type="dxa"/>
            <w:vAlign w:val="bottom"/>
          </w:tcPr>
          <w:p>
            <w:pPr>
              <w:spacing w:after="0"/>
              <w:rPr>
                <w:sz w:val="20"/>
                <w:szCs w:val="20"/>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Regulated</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Regulated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41,468</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Operations and Maintenance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19,253</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1,856</w:t>
            </w: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18,364</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20,465</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6,464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Taxes</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5,050</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5,108</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4,744</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4,798</w:t>
            </w: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11,557</w:t>
            </w: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866</w:t>
            </w:r>
          </w:p>
        </w:tc>
        <w:tc>
          <w:tcPr>
            <w:tcW w:w="3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9,865</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5,365</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Interest Charges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2,713</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3,269</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3,269</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872</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987</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10"/>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8,858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9,479</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633</w:t>
            </w:r>
          </w:p>
        </w:tc>
        <w:tc>
          <w:tcPr>
            <w:tcW w:w="3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10,682</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 for the three months ended March 31, 2025 increased $3.8 million from the same period in 2024 due to the following factors:</w:t>
      </w:r>
    </w:p>
    <w:p>
      <w:pPr>
        <w:spacing w:after="0" w:line="131" w:lineRule="exact"/>
        <w:rPr>
          <w:sz w:val="20"/>
          <w:szCs w:val="20"/>
          <w:color w:val="auto"/>
        </w:rPr>
      </w:pPr>
    </w:p>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Middlesex System revenues increased $3.4 million due to the base rate increase effective March 1, 2024, DSIC rate increases and increased general meter service and wholesale customer demand;</w:t>
      </w: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Tidewater System revenues increased $0.6 million due to customer growth, an interim rate increase effective November 1, 2024 and increased customer demand; and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Non-regulated revenues decreased $0.2 million, primarily due to lower supplemental contract services.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and Maintenance Expense</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and Maintenance Expense for the three months ended March 31, 2025 increased $0.6 million from the same period in 2024 due to increased variable production costs from higher customer demand, increased weather-driven main break activity and the one-time recovery in 2024 of previous water treatment operating costs at Middlesex’s Park Avenue Plant in connection with Middlesex’s 2023 rate case order, partially offset by higher capitalizable costs.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2025 increased $1.1 million from the same period in 2024 due to higher average utility plant in service during the quarter and the one-time recovery in 2024 of previous depreciation costs related to the PFAS treatment upgrades at Middlesex’s Park Avenue Plant in connection with Middlesex’s 2023 rate case order.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Taxes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Taxes for the three months ended March 31, 2025 increased $0.3 million from the same period in 2024 primarily due to higher gross receipts taxes on higher revenue in our Middlesex system.</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for the three months ended March 31, 2025 decreased $3.6 million from the same period in 2024 due to lower actuarially-determined retirement benefit plans non-service benefit and the one-time recovery in 2024 of carrying costs on PFAS treatment upgrades at Middlesex’s Park Avenue Plant in connection with the Middlesex’s 2023 rate case order.</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Interest Charges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Charges for the three months ended March 31, 2025 decreased $0.6 million from the same period in 2024 due to lower average debt outstanding and lower average interest rates.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for the three months ended March 31, 2025 decreased by $0.1 million from the same period in 2024, primarily due to lower pre-tax income and higher income tax benefits associated with increased repair expenditures on tangible property in the Middlesex System offset by the 2024 recovery of income taxes on the taxable portion of the proceeds from a litigation agreement. The conclusion of Middlesex’s 2023 base rate increase request allowed Middlesex to recover costs, including income taxes, from the proceeds from a litigation agreement related to the PFAS treatment upgrades at Middlesex’s Park Avenue Plant.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from operations are largely based on four factors: weather, adequate and timely rate increases, effective cost management and customer growth. The effect of those factors on net income is discussed in “Results of Operations.”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cash flows from operating activities increased $7.1 million to $13.8 million. The increase in cash flows from operating activities primarily resulted from the impact of Middlesex’s approved base rate increase effective March 1, 2024 and timing of vendor payments.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cash flows used in investing activities increased $4.5 million to $18.9 million due to increased utility plant expenditures in 2024.</w:t>
      </w:r>
    </w:p>
    <w:p>
      <w:pPr>
        <w:spacing w:after="0" w:line="65" w:lineRule="exact"/>
        <w:rPr>
          <w:sz w:val="20"/>
          <w:szCs w:val="20"/>
          <w:color w:val="auto"/>
        </w:rPr>
      </w:pPr>
    </w:p>
    <w:p>
      <w:pPr>
        <w:ind w:right="240"/>
        <w:spacing w:after="0" w:line="392" w:lineRule="auto"/>
        <w:rPr>
          <w:sz w:val="20"/>
          <w:szCs w:val="20"/>
          <w:color w:val="auto"/>
        </w:rPr>
      </w:pPr>
      <w:r>
        <w:rPr>
          <w:rFonts w:ascii="Times New Roman" w:cs="Times New Roman" w:eastAsia="Times New Roman" w:hAnsi="Times New Roman"/>
          <w:sz w:val="18"/>
          <w:szCs w:val="18"/>
          <w:color w:val="auto"/>
        </w:rPr>
        <w:t>For further discussion on the Company’s future capital expenditures and expected funding sources, see “</w:t>
      </w: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i w:val="1"/>
          <w:iCs w:val="1"/>
          <w:color w:val="auto"/>
        </w:rPr>
        <w:t>Financing Cash Flows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cash flows from financing activities decreased $4.6 million to $3.6 million. The decrease in cash flows provided by financing activities is due to lower borrowings under the Company’s lines of credit.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and Commitments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fund our capital program, we use internally generated funds, short-term and long-term debt borrowings, proceeds from sales of common stock under the Middlesex Water Company Investment Plan and, when market conditions are favorable, proceeds from sales to the public of our common stock. To the extent possible and fiscally prudent, the Company finances qualifying capital projects under State Revolving Fund (SRF) loan programs in New Jersey and Delaware. These government programs provide financing at interest rates typically below rates available in the broader financial markets.</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Middlesex has received approval from the NJBPU to borrow up to $300.0 million from the New Jersey SRF Program, the New Jersey Economic Development Authority, private placement and other financial institutions as needed through December 31, 2025. The Company expects to issue debt securities in a series of one or more transaction offerings over a multi-year period to help fund Middlesex’s multi-year capital construction program.</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2024, Tidewater closed on a $2.2 million Delaware SRF loan with a 0.0% interest rate with maturity dates in 2044. This loan is for costs associated with Tidewater’s obligation, as required by federal law and Delaware regulations, to identify and inventory lead service lines throughout Tidewater’s service area. Tidewater has drawn down $1.7 million as of March 31, 2025 and expects that the requisitions will continue through the fourth quarter of 2025.</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Tidewater closed on four Delaware SRF loans totaling $5.6 million, all at interest rates of 2.0% with maturity dates in 2044. These loans are for the construction, relocation, improvement, and/or interconnection of transmission mains and construction of a water treatment facility. Tidewater has drawn down less than $0.1 million on these loans as of March 31, 2025. Each project has its own construction timetable with the last spending set to occur in 2027.</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Tidewater also has two active construction projects funded by prior year Delaware SRF loans totaling $8.3 million with remaining availability of funds for borrowing. These loans are for the construction of a one million gallon elevated storage tank and construction, relocation, improvement, and interconnection of transmission mains. Tidewater has drawn a total of $4.9 million through March 31, 2025 and expects that the requisitions will continue through the fourth quarter of 2025.</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fully fund the ongoing investment program in our utility plant infrastructure and maintain a balanced capital structure consistent with regulators’ expectations for a regulated water utility, Middlesex may offer for sale additional shares of its common stock. The amount, timing and method of sale of common stock is dependent on the timing of construction expenditures, the level of additional debt financing and financial market conditions. As approved by the NJBPU, the Company is authorized to issue and sell up to 1.0 million shares of its common stock in one or more transactions through December 31, 2025.</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 See Note 1 of the Notes to Unaudited Condensed Consolidated Financial Statements for a discussion of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pronouncements and guidance.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of Market Risk</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2026 to 2059. Over the next twelve months, approximately $7.7 million of the current portion of existing long-term debt instruments will mature. Applying a hypothetical change in the rate of interest charged by 10% on those borrowings would not have a material effect on our earnings. Fixed rate long-term debt and variable rate short-term debt agreements were not entered into for trading purposes.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customers’ rates.</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retirement benefit plan assets are exposed to the market prices variations of debt and equity securities. Changes to the Company's retirement benefit plan asset values can impact the Company's retirement benefit plan expense, funded status and future minimum funding requirements. Our exposure to market price risk in our retirement benefit plan assets is managed through our ability to recover retirement benefit plan costs through customer rates. There were no material changes to our primary market risk exposures or how such exposures are managed in 2025 nor are there expected to be in the future.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information updates and amends the information provided in the Company’s Annual Report on Form 10-K for the year ended December 31, 2024 in Part I, Item 3—Legal Proceedings. Capitalized terms used but not otherwise defined herein have the meanings set forth in the Company’s Form 10-K.</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Vera et al. v. Middlesex Water Company and Lonsk et al. v. Middlesex Water Company and 3M Company </w:t>
      </w:r>
      <w:r>
        <w:rPr>
          <w:rFonts w:ascii="Times New Roman" w:cs="Times New Roman" w:eastAsia="Times New Roman" w:hAnsi="Times New Roman"/>
          <w:sz w:val="18"/>
          <w:szCs w:val="18"/>
          <w:color w:val="auto"/>
        </w:rPr>
        <w:t>– In 2021, the Company was served with 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PFOA-related class action lawsuits seeking restitution for medical, water filter replacement and other claimed related costs. On August 30, 2024, the parties to the </w:t>
      </w:r>
      <w:r>
        <w:rPr>
          <w:rFonts w:ascii="Times New Roman" w:cs="Times New Roman" w:eastAsia="Times New Roman" w:hAnsi="Times New Roman"/>
          <w:sz w:val="18"/>
          <w:szCs w:val="18"/>
          <w:i w:val="1"/>
          <w:iCs w:val="1"/>
          <w:color w:val="auto"/>
        </w:rPr>
        <w:t>Vera et al. v. Middlesex Water Company (Vera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Lonsk et al v. Middlesex Water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Lonsk</w:t>
      </w:r>
      <w:r>
        <w:rPr>
          <w:rFonts w:ascii="Times New Roman" w:cs="Times New Roman" w:eastAsia="Times New Roman" w:hAnsi="Times New Roman"/>
          <w:sz w:val="18"/>
          <w:szCs w:val="18"/>
          <w:color w:val="auto"/>
        </w:rPr>
        <w:t xml:space="preserve">) litigations entered into a signed Settlement Term Sheet in a step towards resolution of both matters. On March 24, 2025, the parties to </w:t>
      </w:r>
      <w:r>
        <w:rPr>
          <w:rFonts w:ascii="Times New Roman" w:cs="Times New Roman" w:eastAsia="Times New Roman" w:hAnsi="Times New Roman"/>
          <w:sz w:val="18"/>
          <w:szCs w:val="18"/>
          <w:i w:val="1"/>
          <w:iCs w:val="1"/>
          <w:color w:val="auto"/>
        </w:rPr>
        <w:t>Vera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Lonsk</w:t>
      </w:r>
      <w:r>
        <w:rPr>
          <w:rFonts w:ascii="Times New Roman" w:cs="Times New Roman" w:eastAsia="Times New Roman" w:hAnsi="Times New Roman"/>
          <w:sz w:val="18"/>
          <w:szCs w:val="18"/>
          <w:color w:val="auto"/>
        </w:rPr>
        <w:t xml:space="preserve"> entered into a signed Class Action Settlement Agreement that was subsequently filed with the Superior Court of New Jersey, Law Division (Middlesex County) on April 16, 2025 together with a Motion For Preliminary Approval of the Class Action Settlement Agreement. The Company does not believe that the now-executed and filed Class Settlement Agreement has any material financial or operational impact to Middlesex.</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about risk factors does not differ materially from those set forth in Part I, Item 1A. of the Company’s Annual Report on Form 10-K for the year ended December 31, 2024.</w:t>
      </w:r>
    </w:p>
    <w:p>
      <w:pPr>
        <w:spacing w:after="0" w:line="6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2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3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28" w:lineRule="exact"/>
        <w:rPr>
          <w:rFonts w:ascii="Times New Roman" w:cs="Times New Roman" w:eastAsia="Times New Roman" w:hAnsi="Times New Roman"/>
          <w:sz w:val="18"/>
          <w:szCs w:val="18"/>
          <w:color w:val="auto"/>
        </w:rPr>
      </w:pPr>
    </w:p>
    <w:p>
      <w:pPr>
        <w:ind w:left="660" w:right="120" w:hanging="328"/>
        <w:spacing w:after="0" w:line="26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Insider Trading Arrangements and Policies - </w:t>
      </w:r>
      <w:r>
        <w:rPr>
          <w:rFonts w:ascii="Times New Roman" w:cs="Times New Roman" w:eastAsia="Times New Roman" w:hAnsi="Times New Roman"/>
          <w:sz w:val="18"/>
          <w:szCs w:val="18"/>
          <w:color w:val="auto"/>
        </w:rPr>
        <w:t>During the three months ended March 31, 2025, no director or officer of the Company adopted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a “Rule 10b5-1 trading arrangement” or “non-Rule 10b5-1 trading arrangement,” as each term is defined in Item 408(a) of Regulation S-K.</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Section 302 Certification by Nadine Leslie pursuant to Rules 13a-14 and 15d-14 of the Securities Exchange Act of 1934.</w:t>
            </w:r>
          </w:p>
        </w:tc>
        <w:tc>
          <w:tcPr>
            <w:tcW w:w="1460" w:type="dxa"/>
            <w:vAlign w:val="bottom"/>
            <w:gridSpan w:val="2"/>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Section 302 Certification by Mohammed G. Zerhouni pursuant to Rules 13a-14 and 15d-14 of the Securities Exchange Act of 1934.</w:t>
            </w: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1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Section 906 Certification by Nadine Leslie pursuant to 18 U.S.C. §1350, as adopted pursuant to Section 302 of the Sarbanes-Oxley Act of</w:t>
            </w:r>
          </w:p>
        </w:tc>
      </w:tr>
      <w:tr>
        <w:trPr>
          <w:trHeight w:val="196"/>
        </w:trPr>
        <w:tc>
          <w:tcPr>
            <w:tcW w:w="10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2002.</w:t>
            </w:r>
          </w:p>
        </w:tc>
        <w:tc>
          <w:tcPr>
            <w:tcW w:w="98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Section 906 Certification by Mohammed G. Zerhouni pursuant to 18 U.S.C. §1350, as adopted pursuant to Section 302 of the Sarbanes-</w:t>
            </w:r>
          </w:p>
        </w:tc>
      </w:tr>
      <w:tr>
        <w:trPr>
          <w:trHeight w:val="196"/>
        </w:trPr>
        <w:tc>
          <w:tcPr>
            <w:tcW w:w="104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w:t>
            </w:r>
          </w:p>
        </w:tc>
        <w:tc>
          <w:tcPr>
            <w:tcW w:w="8780" w:type="dxa"/>
            <w:vAlign w:val="bottom"/>
            <w:gridSpan w:val="3"/>
          </w:tcPr>
          <w:p>
            <w:pPr>
              <w:spacing w:after="0"/>
              <w:rPr>
                <w:sz w:val="17"/>
                <w:szCs w:val="17"/>
                <w:color w:val="auto"/>
              </w:rPr>
            </w:pPr>
          </w:p>
        </w:tc>
      </w:tr>
      <w:tr>
        <w:trPr>
          <w:trHeight w:val="45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bl>
    <w:p>
      <w:pPr>
        <w:spacing w:after="0" w:line="198" w:lineRule="exact"/>
        <w:rPr>
          <w:sz w:val="20"/>
          <w:szCs w:val="20"/>
          <w:color w:val="auto"/>
        </w:rPr>
      </w:pPr>
    </w:p>
    <w:p>
      <w:pPr>
        <w:ind w:left="1040" w:right="60" w:hanging="1032"/>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8" w:name="page29"/>
    <w:bookmarkEnd w:id="28"/>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MIDDLESEX WATER COMPANY</w:t>
      </w:r>
    </w:p>
    <w:p>
      <w:pPr>
        <w:spacing w:after="0" w:line="212" w:lineRule="exact"/>
        <w:rPr>
          <w:sz w:val="20"/>
          <w:szCs w:val="20"/>
          <w:color w:val="auto"/>
        </w:rPr>
      </w:pPr>
    </w:p>
    <w:tbl>
      <w:tblPr>
        <w:tblLayout w:type="fixed"/>
        <w:tblInd w:w="540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Mohammed G. Zerhouni</w:t>
            </w:r>
          </w:p>
        </w:tc>
        <w:tc>
          <w:tcPr>
            <w:tcW w:w="2340" w:type="dxa"/>
            <w:vAlign w:val="bottom"/>
          </w:tcPr>
          <w:p>
            <w:pPr>
              <w:spacing w:after="0"/>
              <w:rPr>
                <w:sz w:val="17"/>
                <w:szCs w:val="17"/>
                <w:color w:val="auto"/>
              </w:rPr>
            </w:pPr>
          </w:p>
        </w:tc>
      </w:tr>
      <w:tr>
        <w:trPr>
          <w:trHeight w:val="218"/>
        </w:trPr>
        <w:tc>
          <w:tcPr>
            <w:tcW w:w="64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Mohammed G. Zerhouni</w:t>
            </w:r>
          </w:p>
        </w:tc>
      </w:tr>
      <w:tr>
        <w:trPr>
          <w:trHeight w:val="234"/>
        </w:trPr>
        <w:tc>
          <w:tcPr>
            <w:tcW w:w="64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Senior Vice President, Chief Financial Officer and Treasurer</w:t>
            </w:r>
          </w:p>
        </w:tc>
      </w:tr>
      <w:tr>
        <w:trPr>
          <w:trHeight w:val="432"/>
        </w:trPr>
        <w:tc>
          <w:tcPr>
            <w:tcW w:w="640" w:type="dxa"/>
            <w:vAlign w:val="bottom"/>
          </w:tcPr>
          <w:p>
            <w:pPr>
              <w:spacing w:after="0"/>
              <w:rPr>
                <w:sz w:val="24"/>
                <w:szCs w:val="24"/>
                <w:color w:val="auto"/>
              </w:rPr>
            </w:pPr>
          </w:p>
        </w:tc>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2025</w:t>
      </w:r>
    </w:p>
    <w:p>
      <w:pPr>
        <w:spacing w:after="0" w:line="33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980" w:top="549" w:right="51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ind w:left="2728"/>
        <w:spacing w:after="0"/>
        <w:rPr>
          <w:sz w:val="20"/>
          <w:szCs w:val="20"/>
          <w:color w:val="auto"/>
        </w:rPr>
      </w:pPr>
      <w:r>
        <w:rPr>
          <w:rFonts w:ascii="Times New Roman" w:cs="Times New Roman" w:eastAsia="Times New Roman" w:hAnsi="Times New Roman"/>
          <w:sz w:val="18"/>
          <w:szCs w:val="18"/>
          <w:b w:val="1"/>
          <w:bCs w:val="1"/>
          <w:color w:val="auto"/>
        </w:rPr>
        <w:t>SECTION 302 CERTIFICATION PURSUANT TO RULES 13a-14</w:t>
      </w:r>
    </w:p>
    <w:p>
      <w:pPr>
        <w:spacing w:after="0" w:line="31" w:lineRule="exact"/>
        <w:rPr>
          <w:sz w:val="20"/>
          <w:szCs w:val="20"/>
          <w:color w:val="auto"/>
        </w:rPr>
      </w:pPr>
    </w:p>
    <w:p>
      <w:pPr>
        <w:ind w:left="2788"/>
        <w:spacing w:after="0"/>
        <w:rPr>
          <w:sz w:val="20"/>
          <w:szCs w:val="20"/>
          <w:color w:val="auto"/>
        </w:rPr>
      </w:pPr>
      <w:r>
        <w:rPr>
          <w:rFonts w:ascii="Times New Roman" w:cs="Times New Roman" w:eastAsia="Times New Roman" w:hAnsi="Times New Roman"/>
          <w:sz w:val="18"/>
          <w:szCs w:val="18"/>
          <w:b w:val="1"/>
          <w:bCs w:val="1"/>
          <w:color w:val="auto"/>
        </w:rPr>
        <w:t>AND 15d-14 OF THE SECURITIES EXCHANGE ACT OF 1934</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Nadine Leslie, certify that:</w:t>
      </w:r>
    </w:p>
    <w:p>
      <w:pPr>
        <w:spacing w:after="0" w:line="225" w:lineRule="exact"/>
        <w:rPr>
          <w:sz w:val="20"/>
          <w:szCs w:val="20"/>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Middlesex Water Company (the “registrant”);</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568"/>
        <w:spacing w:after="0"/>
        <w:rPr>
          <w:sz w:val="20"/>
          <w:szCs w:val="20"/>
          <w:color w:val="auto"/>
        </w:rPr>
      </w:pPr>
      <w:r>
        <w:rPr>
          <w:rFonts w:ascii="Times New Roman" w:cs="Times New Roman" w:eastAsia="Times New Roman" w:hAnsi="Times New Roman"/>
          <w:sz w:val="18"/>
          <w:szCs w:val="18"/>
          <w:color w:val="auto"/>
        </w:rPr>
        <w:t>/s/ Nadine Leslie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-7620</wp:posOffset>
            </wp:positionV>
            <wp:extent cx="9169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7" w:lineRule="exact"/>
        <w:rPr>
          <w:sz w:val="20"/>
          <w:szCs w:val="20"/>
          <w:color w:val="auto"/>
        </w:rPr>
      </w:pPr>
    </w:p>
    <w:p>
      <w:pPr>
        <w:ind w:left="4788"/>
        <w:spacing w:after="0"/>
        <w:rPr>
          <w:sz w:val="20"/>
          <w:szCs w:val="20"/>
          <w:color w:val="auto"/>
        </w:rPr>
      </w:pPr>
      <w:r>
        <w:rPr>
          <w:rFonts w:ascii="Times New Roman" w:cs="Times New Roman" w:eastAsia="Times New Roman" w:hAnsi="Times New Roman"/>
          <w:sz w:val="18"/>
          <w:szCs w:val="18"/>
          <w:color w:val="auto"/>
        </w:rPr>
        <w:t>Nadine Leslie</w:t>
      </w:r>
    </w:p>
    <w:p>
      <w:pPr>
        <w:spacing w:after="0" w:line="9" w:lineRule="exact"/>
        <w:rPr>
          <w:sz w:val="20"/>
          <w:szCs w:val="20"/>
          <w:color w:val="auto"/>
        </w:rPr>
      </w:pPr>
    </w:p>
    <w:p>
      <w:pPr>
        <w:ind w:left="3928"/>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Date: May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374650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2728"/>
        <w:spacing w:after="0"/>
        <w:rPr>
          <w:sz w:val="20"/>
          <w:szCs w:val="20"/>
          <w:color w:val="auto"/>
        </w:rPr>
      </w:pPr>
      <w:r>
        <w:rPr>
          <w:rFonts w:ascii="Times New Roman" w:cs="Times New Roman" w:eastAsia="Times New Roman" w:hAnsi="Times New Roman"/>
          <w:sz w:val="18"/>
          <w:szCs w:val="18"/>
          <w:b w:val="1"/>
          <w:bCs w:val="1"/>
          <w:color w:val="auto"/>
        </w:rPr>
        <w:t>SECTION 302 CERTIFICATION PURSUANT TO RULES 13a-14</w:t>
      </w:r>
    </w:p>
    <w:p>
      <w:pPr>
        <w:spacing w:after="0" w:line="9" w:lineRule="exact"/>
        <w:rPr>
          <w:sz w:val="20"/>
          <w:szCs w:val="20"/>
          <w:color w:val="auto"/>
        </w:rPr>
      </w:pPr>
    </w:p>
    <w:p>
      <w:pPr>
        <w:ind w:left="2788"/>
        <w:spacing w:after="0"/>
        <w:rPr>
          <w:sz w:val="20"/>
          <w:szCs w:val="20"/>
          <w:color w:val="auto"/>
        </w:rPr>
      </w:pPr>
      <w:r>
        <w:rPr>
          <w:rFonts w:ascii="Times New Roman" w:cs="Times New Roman" w:eastAsia="Times New Roman" w:hAnsi="Times New Roman"/>
          <w:sz w:val="18"/>
          <w:szCs w:val="18"/>
          <w:b w:val="1"/>
          <w:bCs w:val="1"/>
          <w:color w:val="auto"/>
        </w:rPr>
        <w:t>AND 15d-14 OF THE SECURITIES EXCHANGE ACT OF 1934</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Mohammed G. Zerhouni, certify that:</w:t>
      </w:r>
    </w:p>
    <w:p>
      <w:pPr>
        <w:spacing w:after="0" w:line="225" w:lineRule="exact"/>
        <w:rPr>
          <w:sz w:val="20"/>
          <w:szCs w:val="20"/>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Middlesex Water Company (the “registrant”);</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75"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u w:val="single" w:color="auto"/>
          <w:color w:val="auto"/>
        </w:rPr>
        <w:t>/s/ Mohammed G. Zerhouni</w:t>
      </w:r>
    </w:p>
    <w:p>
      <w:pPr>
        <w:spacing w:after="0" w:line="2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Mohammed G. Zerhouni</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Date: May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374650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PURSUANT TO 18 U.S.C.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Nadine Leslie,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39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 Nadine Leslie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-7620</wp:posOffset>
            </wp:positionV>
            <wp:extent cx="9169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Nadine Leslie</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PURSUANT TO 18 U.S.C. §1350</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 Mohammed G. Zerhouni,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 Mohammed G. Zerhouni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Mohammed G. Zerhouni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2025-05-01T15:23:39Z</dcterms:created>
  <dcterms:modified xsi:type="dcterms:W3CDTF">2025-05-01T15:23:39Z</dcterms:modified>
</cp:coreProperties>
</file>