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980" w:hanging="657"/>
        <w:spacing w:after="0"/>
        <w:tabs>
          <w:tab w:leader="none" w:pos="9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0" w:lineRule="exact"/>
        <w:rPr>
          <w:rFonts w:ascii="Times New Roman" w:cs="Times New Roman" w:eastAsia="Times New Roman" w:hAnsi="Times New Roman"/>
          <w:sz w:val="17"/>
          <w:szCs w:val="17"/>
          <w:color w:val="auto"/>
        </w:rPr>
      </w:pPr>
    </w:p>
    <w:p>
      <w:pPr>
        <w:ind w:left="3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980" w:hanging="657"/>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37"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color w:val="auto"/>
        </w:rPr>
        <w:t>For the transition period from _________________ to______________________</w:t>
      </w:r>
    </w:p>
    <w:p>
      <w:pPr>
        <w:spacing w:after="0" w:line="225" w:lineRule="exact"/>
        <w:rPr>
          <w:sz w:val="24"/>
          <w:szCs w:val="24"/>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0-422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MIDDLESEX WATER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38" w:right="239" w:bottom="1440" w:gutter="0" w:footer="0" w:header="0"/>
        </w:sectPr>
      </w:pPr>
    </w:p>
    <w:p>
      <w:pPr>
        <w:spacing w:after="0" w:line="16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22-1114430</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738" w:right="239" w:bottom="1440" w:gutter="0" w:footer="0" w:header="0"/>
          <w:type w:val="continuous"/>
        </w:sect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485C Route One South, Iselin, New Jersey 08830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(732) 634-1500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þ  No </w:t>
      </w:r>
      <w:r>
        <w:rPr>
          <w:rFonts w:ascii="MS PGothic" w:cs="MS PGothic" w:eastAsia="MS PGothic" w:hAnsi="MS PGothic"/>
          <w:sz w:val="18"/>
          <w:szCs w:val="18"/>
          <w:color w:val="auto"/>
        </w:rPr>
        <w:t>☐</w:t>
      </w:r>
    </w:p>
    <w:p>
      <w:pPr>
        <w:spacing w:after="0" w:line="212" w:lineRule="exact"/>
        <w:rPr>
          <w:sz w:val="24"/>
          <w:szCs w:val="24"/>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2"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þ  No </w:t>
      </w:r>
      <w:r>
        <w:rPr>
          <w:rFonts w:ascii="MS PGothic" w:cs="MS PGothic" w:eastAsia="MS PGothic" w:hAnsi="MS PGothic"/>
          <w:sz w:val="18"/>
          <w:szCs w:val="18"/>
          <w:color w:val="auto"/>
        </w:rPr>
        <w:t>☐</w:t>
      </w:r>
    </w:p>
    <w:p>
      <w:pPr>
        <w:spacing w:after="0" w:line="212" w:lineRule="exact"/>
        <w:rPr>
          <w:sz w:val="24"/>
          <w:szCs w:val="24"/>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420"/>
          </w:cols>
          <w:pgMar w:left="240" w:top="738" w:right="239" w:bottom="1440" w:gutter="0" w:footer="0" w:header="0"/>
          <w:type w:val="continuous"/>
        </w:sectPr>
      </w:pPr>
    </w:p>
    <w:p>
      <w:pPr>
        <w:spacing w:after="0" w:line="147" w:lineRule="exact"/>
        <w:rPr>
          <w:sz w:val="24"/>
          <w:szCs w:val="24"/>
          <w:color w:val="auto"/>
        </w:rPr>
      </w:pPr>
    </w:p>
    <w:p>
      <w:pPr>
        <w:ind w:left="23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28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color w:val="auto"/>
        </w:rPr>
        <w:t>Accelerated filer þ</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58" w:lineRule="exact"/>
        <w:rPr>
          <w:sz w:val="24"/>
          <w:szCs w:val="24"/>
          <w:color w:val="auto"/>
        </w:rPr>
      </w:pPr>
    </w:p>
    <w:p>
      <w:pPr>
        <w:ind w:left="1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5020" w:space="60"/>
            <w:col w:w="6340"/>
          </w:cols>
          <w:pgMar w:left="240" w:top="738" w:right="239" w:bottom="1440" w:gutter="0" w:footer="0" w:header="0"/>
          <w:type w:val="continuous"/>
        </w:sectPr>
      </w:pPr>
    </w:p>
    <w:p>
      <w:pPr>
        <w:spacing w:after="0" w:line="5"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4"/>
          <w:szCs w:val="24"/>
          <w:color w:val="auto"/>
        </w:rPr>
      </w:pPr>
    </w:p>
    <w:p>
      <w:pPr>
        <w:ind w:left="52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þ</w:t>
      </w:r>
    </w:p>
    <w:p>
      <w:pPr>
        <w:spacing w:after="0" w:line="11" w:lineRule="exact"/>
        <w:rPr>
          <w:sz w:val="24"/>
          <w:szCs w:val="24"/>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April 30, 2019: Common Stock, No Par Value: 16,468,462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INDEX</w:t>
            </w:r>
          </w:p>
        </w:tc>
        <w:tc>
          <w:tcPr>
            <w:tcW w:w="480" w:type="dxa"/>
            <w:vAlign w:val="bottom"/>
          </w:tcPr>
          <w:p>
            <w:pPr>
              <w:spacing w:after="0"/>
              <w:rPr>
                <w:sz w:val="20"/>
                <w:szCs w:val="20"/>
                <w:color w:val="auto"/>
              </w:rPr>
            </w:pPr>
          </w:p>
        </w:tc>
      </w:tr>
      <w:tr>
        <w:trPr>
          <w:trHeight w:val="60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FINANCIAL INFORMATION</w:t>
              </w:r>
            </w:hyperlink>
          </w:p>
        </w:tc>
        <w:tc>
          <w:tcPr>
            <w:tcW w:w="7560" w:type="dxa"/>
            <w:vAlign w:val="bottom"/>
            <w:gridSpan w:val="11"/>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4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Income</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98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w:t>
              </w:r>
            </w:hyperlink>
          </w:p>
        </w:tc>
        <w:tc>
          <w:tcPr>
            <w:tcW w:w="460" w:type="dxa"/>
            <w:vAlign w:val="bottom"/>
            <w:tcBorders>
              <w:top w:val="single" w:sz="8" w:color="0000EE"/>
            </w:tcBorders>
          </w:tcPr>
          <w:p>
            <w:pPr>
              <w:spacing w:after="0"/>
              <w:rPr>
                <w:sz w:val="24"/>
                <w:szCs w:val="24"/>
                <w:color w:val="auto"/>
              </w:rPr>
            </w:pPr>
          </w:p>
        </w:tc>
        <w:tc>
          <w:tcPr>
            <w:tcW w:w="656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98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w:t>
              </w:r>
            </w:hyperlink>
          </w:p>
        </w:tc>
        <w:tc>
          <w:tcPr>
            <w:tcW w:w="624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980" w:type="dxa"/>
            <w:vAlign w:val="bottom"/>
          </w:tcPr>
          <w:p>
            <w:pPr>
              <w:spacing w:after="0"/>
              <w:rPr>
                <w:sz w:val="24"/>
                <w:szCs w:val="24"/>
                <w:color w:val="auto"/>
              </w:rPr>
            </w:pPr>
          </w:p>
        </w:tc>
        <w:tc>
          <w:tcPr>
            <w:tcW w:w="5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Capital Stock and Long-Term Debt</w:t>
              </w:r>
            </w:hyperlink>
          </w:p>
        </w:tc>
        <w:tc>
          <w:tcPr>
            <w:tcW w:w="45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98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Common Stockholders’ Equity</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980" w:type="dxa"/>
            <w:vAlign w:val="bottom"/>
          </w:tcPr>
          <w:p>
            <w:pPr>
              <w:spacing w:after="0"/>
              <w:rPr>
                <w:sz w:val="24"/>
                <w:szCs w:val="24"/>
                <w:color w:val="auto"/>
              </w:rPr>
            </w:pPr>
          </w:p>
        </w:tc>
        <w:tc>
          <w:tcPr>
            <w:tcW w:w="510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Unaudited Condensed Consolidated Financial Statements</w:t>
              </w:r>
            </w:hyperlink>
          </w:p>
        </w:tc>
        <w:tc>
          <w:tcPr>
            <w:tcW w:w="486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0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Quantitative and Qualitative Disclosures of Market Risk</w:t>
              </w:r>
            </w:hyperlink>
          </w:p>
        </w:tc>
        <w:tc>
          <w:tcPr>
            <w:tcW w:w="2380" w:type="dxa"/>
            <w:vAlign w:val="bottom"/>
            <w:tcBorders>
              <w:top w:val="single" w:sz="8" w:color="0000EE"/>
            </w:tcBorders>
            <w:gridSpan w:val="5"/>
          </w:tcPr>
          <w:p>
            <w:pPr>
              <w:spacing w:after="0"/>
              <w:rPr>
                <w:sz w:val="24"/>
                <w:szCs w:val="24"/>
                <w:color w:val="auto"/>
              </w:rPr>
            </w:pPr>
          </w:p>
        </w:tc>
        <w:tc>
          <w:tcPr>
            <w:tcW w:w="35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Controls and Procedures</w:t>
              </w:r>
            </w:hyperlink>
          </w:p>
        </w:tc>
        <w:tc>
          <w:tcPr>
            <w:tcW w:w="818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60" w:type="dxa"/>
            <w:vAlign w:val="bottom"/>
            <w:gridSpan w:val="20"/>
          </w:tcPr>
          <w:p>
            <w:pPr>
              <w:spacing w:after="0"/>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OTHER INFORMATION</w:t>
              </w:r>
            </w:hyperlink>
          </w:p>
        </w:tc>
        <w:tc>
          <w:tcPr>
            <w:tcW w:w="4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794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Defaults upon Senior Securities</w:t>
              </w:r>
            </w:hyperlink>
          </w:p>
        </w:tc>
        <w:tc>
          <w:tcPr>
            <w:tcW w:w="56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Mine Safety Disclosures</w:t>
              </w:r>
            </w:hyperlink>
          </w:p>
        </w:tc>
        <w:tc>
          <w:tcPr>
            <w:tcW w:w="500" w:type="dxa"/>
            <w:vAlign w:val="bottom"/>
            <w:tcBorders>
              <w:top w:val="single" w:sz="8" w:color="0000EE"/>
            </w:tcBorders>
            <w:gridSpan w:val="2"/>
          </w:tcPr>
          <w:p>
            <w:pPr>
              <w:spacing w:after="0"/>
              <w:rPr>
                <w:sz w:val="24"/>
                <w:szCs w:val="24"/>
                <w:color w:val="auto"/>
              </w:rPr>
            </w:pPr>
          </w:p>
        </w:tc>
        <w:tc>
          <w:tcPr>
            <w:tcW w:w="768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Other Information</w:t>
              </w:r>
            </w:hyperlink>
          </w:p>
        </w:tc>
        <w:tc>
          <w:tcPr>
            <w:tcW w:w="8640" w:type="dxa"/>
            <w:vAlign w:val="bottom"/>
            <w:gridSpan w:val="16"/>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360" w:type="dxa"/>
            <w:vAlign w:val="bottom"/>
            <w:gridSpan w:val="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0940" w:type="dxa"/>
            <w:vAlign w:val="bottom"/>
            <w:gridSpan w:val="21"/>
          </w:tcPr>
          <w:p>
            <w:pPr>
              <w:spacing w:after="0"/>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SIGNATURES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716"/>
        </w:trPr>
        <w:tc>
          <w:tcPr>
            <w:tcW w:w="9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MIDDLESEX WATER COMPANY</w:t>
      </w:r>
    </w:p>
    <w:p>
      <w:pPr>
        <w:spacing w:after="0" w:line="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6480" w:type="dxa"/>
            <w:vAlign w:val="bottom"/>
            <w:gridSpan w:val="5"/>
          </w:tcPr>
          <w:p>
            <w:pPr>
              <w:ind w:left="402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4260" w:type="dxa"/>
            <w:vAlign w:val="bottom"/>
            <w:tcBorders>
              <w:bottom w:val="single" w:sz="8" w:color="auto"/>
            </w:tcBorders>
            <w:shd w:val="clear" w:color="auto" w:fill="CCEEFF"/>
          </w:tcPr>
          <w:p>
            <w:pPr>
              <w:ind w:left="40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30,698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42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16,120</w:t>
            </w: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4,046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Taxes</w:t>
            </w:r>
          </w:p>
        </w:tc>
        <w:tc>
          <w:tcPr>
            <w:tcW w:w="4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3,504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23,670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7,028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4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4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1,200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6,286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6,552</w:t>
            </w: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Preferred Stock Dividend Requirements</w:t>
            </w:r>
          </w:p>
        </w:tc>
        <w:tc>
          <w:tcPr>
            <w:tcW w:w="4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4260" w:type="dxa"/>
            <w:vAlign w:val="bottom"/>
            <w:tcBorders>
              <w:bottom w:val="single" w:sz="8" w:color="auto"/>
            </w:tcBorders>
          </w:tcPr>
          <w:p>
            <w:pPr>
              <w:ind w:left="40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6,516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4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426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0.40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426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0.39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 Common Shares Outstanding:</w:t>
            </w:r>
          </w:p>
        </w:tc>
        <w:tc>
          <w:tcPr>
            <w:tcW w:w="4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16,428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42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16,584</w:t>
            </w: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426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0.2400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0.2238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4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216" w:right="179" w:bottom="1440" w:gutter="0" w:footer="0" w:header="0"/>
        </w:sectPr>
      </w:pPr>
    </w:p>
    <w:bookmarkStart w:id="3" w:name="page4"/>
    <w:bookmarkEnd w:id="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MIDDLESEX WATER COMPANY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56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 Production</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156,716</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Transmission and Distribution</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515,017</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77,304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40,346</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789,383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160,777</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UTILITY PLANT - NET</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628,606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5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4,986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9,982</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Unbilled Revenues</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6,940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Materials and Supplies (at average cost)</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5,479</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Prepayments</w:t>
            </w:r>
          </w:p>
        </w:tc>
        <w:tc>
          <w:tcPr>
            <w:tcW w:w="1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2,263</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29,650</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auto"/>
            </w:tcBorders>
            <w:shd w:val="clear" w:color="auto" w:fill="CCEEFF"/>
          </w:tcPr>
          <w:p>
            <w:pPr>
              <w:spacing w:after="0"/>
              <w:rPr>
                <w:sz w:val="18"/>
                <w:szCs w:val="18"/>
                <w:color w:val="auto"/>
              </w:rPr>
            </w:pPr>
          </w:p>
        </w:tc>
        <w:tc>
          <w:tcPr>
            <w:tcW w:w="5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 OTHER ASSETS:</w:t>
            </w: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6,517</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Preliminary Survey and Investigation Charges</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5,359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Assets</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98,826</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Non-utility Assets - Net</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10,203</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2,010</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DEFERRED CHARGES AND OTHER ASSETS</w:t>
            </w:r>
          </w:p>
        </w:tc>
        <w:tc>
          <w:tcPr>
            <w:tcW w:w="1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124,717</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782,973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767,830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1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160,142</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94,000</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COMMON EQUITY</w:t>
            </w:r>
          </w:p>
        </w:tc>
        <w:tc>
          <w:tcPr>
            <w:tcW w:w="1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254,142</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158,422</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CAPITALIZATION</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414,997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5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7,336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49,500</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13,976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Taxes</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17,466</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Revenues and Advanced Service Fees</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1,025</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3,356</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93,246</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gridSpan w:val="2"/>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 (Note 7)</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auto"/>
            </w:tcBorders>
            <w:shd w:val="clear" w:color="auto" w:fill="CCEEFF"/>
          </w:tcPr>
          <w:p>
            <w:pPr>
              <w:spacing w:after="0"/>
              <w:rPr>
                <w:sz w:val="18"/>
                <w:szCs w:val="18"/>
                <w:color w:val="auto"/>
              </w:rPr>
            </w:pPr>
          </w:p>
        </w:tc>
        <w:tc>
          <w:tcPr>
            <w:tcW w:w="5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CREDITS</w:t>
            </w: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Advances for Construction</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22,616</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AND OTHER LIABILITIES:  </w:t>
            </w:r>
            <w:r>
              <w:rPr>
                <w:rFonts w:ascii="Times New Roman" w:cs="Times New Roman" w:eastAsia="Times New Roman" w:hAnsi="Times New Roman"/>
                <w:sz w:val="18"/>
                <w:szCs w:val="18"/>
                <w:color w:val="auto"/>
              </w:rPr>
              <w:t>Operating Lease Obligation</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6,260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Deferred Income Taxes</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47,869</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Benefit Plans</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29,976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Liabilities</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76,217</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2,530</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 CREDITS AND OTHER LIABILITIES</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185,468</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gridSpan w:val="2"/>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1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89,262</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56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CAPITALIZATION AND LIABILITIES</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782,973</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767,830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216" w:right="23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 w:name="page5"/>
    <w:bookmarkEnd w:id="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MIDDLESEX WATER COMPANY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6,552</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4,190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Deferred Income Taxes and Investment Tax Credits</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(2,319)</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Portion of Allowance for Funds Used During Construction (AFUDC)</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Revenues</w:t>
            </w:r>
          </w:p>
        </w:tc>
        <w:tc>
          <w:tcPr>
            <w:tcW w:w="3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353</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Materials &amp; Supplies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w:t>
            </w:r>
          </w:p>
        </w:tc>
        <w:tc>
          <w:tcPr>
            <w:tcW w:w="3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381</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Taxes</w:t>
            </w:r>
          </w:p>
        </w:tc>
        <w:tc>
          <w:tcPr>
            <w:tcW w:w="3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3,236</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Plans</w:t>
            </w:r>
          </w:p>
        </w:tc>
        <w:tc>
          <w:tcPr>
            <w:tcW w:w="3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Revenue &amp; Advanced Service Fees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7,664</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Utility Plant Expenditures, Including AFUDC of $168 in 2019, $52 in 2018</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(12,324)</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(12,324)</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of Long-term Debt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6,899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Short-term Bank Borrowings</w:t>
            </w:r>
          </w:p>
        </w:tc>
        <w:tc>
          <w:tcPr>
            <w:tcW w:w="3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Debt Issuance Expense</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Issuance Expense</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2,559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Common Dividends</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(3,943)</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Preferred Dividends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Advances and Contributions-Net</w:t>
            </w:r>
          </w:p>
        </w:tc>
        <w:tc>
          <w:tcPr>
            <w:tcW w:w="3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651</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5,787</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CASH AND CASH EQUIVALENTS</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1,127</w:t>
            </w: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5,661</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6,788</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ACTIVITY:</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Utility Plant received as Construction Advances and Contributions</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1,605</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FLOWS INFORMATION:</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2,297</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Capitalized</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168</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5" w:name="page6"/>
    <w:bookmarkEnd w:id="5"/>
    <w:p>
      <w:pPr>
        <w:spacing w:after="0" w:line="62" w:lineRule="exact"/>
        <w:rPr>
          <w:sz w:val="20"/>
          <w:szCs w:val="20"/>
          <w:color w:val="auto"/>
        </w:rPr>
      </w:pPr>
    </w:p>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MIDDLESEX WATER COMPANY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CAPITAL STOCK AND LONG-TERM DEBT</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Authorized -</w:t>
            </w:r>
          </w:p>
        </w:tc>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40,000</w:t>
            </w:r>
          </w:p>
        </w:tc>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w:t>
            </w:r>
          </w:p>
        </w:tc>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2019 - 16,451; 2018 - 16,403</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160,142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24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94,000</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COMMON EQUITY</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254,142</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248,787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Preferred Stock, No Par Value:</w:t>
            </w:r>
          </w:p>
        </w:tc>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Authorized -</w:t>
            </w:r>
          </w:p>
        </w:tc>
        <w:tc>
          <w:tcPr>
            <w:tcW w:w="5240" w:type="dxa"/>
            <w:vAlign w:val="bottom"/>
            <w:shd w:val="clear" w:color="auto" w:fill="CCEEFF"/>
          </w:tcPr>
          <w:p>
            <w:pPr>
              <w:jc w:val="right"/>
              <w:ind w:right="4850"/>
              <w:spacing w:after="0"/>
              <w:rPr>
                <w:sz w:val="20"/>
                <w:szCs w:val="20"/>
                <w:color w:val="auto"/>
              </w:rPr>
            </w:pPr>
            <w:r>
              <w:rPr>
                <w:rFonts w:ascii="Times New Roman" w:cs="Times New Roman" w:eastAsia="Times New Roman" w:hAnsi="Times New Roman"/>
                <w:sz w:val="18"/>
                <w:szCs w:val="18"/>
                <w:color w:val="auto"/>
              </w:rPr>
              <w:t>126</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Outstanding - 23</w:t>
            </w:r>
          </w:p>
        </w:tc>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w:t>
            </w:r>
          </w:p>
        </w:tc>
        <w:tc>
          <w:tcPr>
            <w:tcW w:w="5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Outstanding, $7.00 Series - 10</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1,005</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$8.00 Series - 3</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Nonredeemable:</w:t>
            </w:r>
          </w:p>
        </w:tc>
        <w:tc>
          <w:tcPr>
            <w:tcW w:w="5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$7.00 Series -  1</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Shares Outstanding, $4.75 Series - 10</w:t>
            </w:r>
          </w:p>
        </w:tc>
        <w:tc>
          <w:tcPr>
            <w:tcW w:w="2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PREFERRED STOCK</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8.05%, Amortizing Secured Note, due December 20, 2021</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6.25%, Amortizing Secured Note, due May 19, 2028</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3,850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6.44%, Amortizing Secured Note, due August 25, 2030</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3,197</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6.46%, Amortizing Secured Note, due September 19, 2031</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3,477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4.22%, State Revolving Trust Note, due December 31, 2022</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228</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3.60%, State Revolving Trust Note, due May 1, 2025</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3.30% State Revolving Trust Note, due March 1, 2026</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330</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3.49%, State Revolving Trust Note, due January 25, 2027</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4.03%, State Revolving Trust Note, due December 1, 2026</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501</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 to 5.00%, State Revolving Trust Bond, due August 1, 2021</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0.00%, State Revolving Fund Bond, due August 1, 2021</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3.64%, State Revolving Trust Note, due July 1, 2028</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3.64%, State Revolving Trust Note, due January 1, 2028</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3.45%, State Revolving Trust Note, due August 1, 2031</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6.59%, Amortizing Secured Note, due April 20, 2029</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3,517</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7.05%, Amortizing Secured Note, due January 20, 2030</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2,708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5.69%, Amortizing Secured Note, due January 20, 2030</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5,555</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4.45%, Amortizing Secured Note, due April 20, 2040</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9,277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4.47%, Amortizing Secured Note, due April 20, 2040</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3,442</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3.75%, State Revolving Trust Note, due July 1, 2031</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2.00%, State Revolving Trust Note, due February 1, 2036</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1,039</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3.75%, State Revolving Trust Note, due November 30, 2030</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0.00% Construction Loans</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23,408</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First Mortgage Bonds:</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Z, due August 1, 2019</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5.25% to 5.75%, Series AA, due August 1, 2019</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BB, due August 1, 2021</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354</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 to 5.00%, Series CC, due August 1, 2021</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EE, due August 1, 2023</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1,819</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3.00% to 5.50%, Series FF, due August 1, 2024</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GG, due August 1, 2026</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710</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 to 5.00%, Series HH, due August 1, 2026</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II, due August 1, 2024</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506</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3.40% to 5.00%, Series JJ, due August 1, 2027</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KK, due August 1, 2028</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880</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5.00% to 5.50%, Series LL, due August 1, 2028</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MM, due August 1, 2030</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1,103</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3.00% to 4.375%, Series NN, due August 1, 2030</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OO, due August 1, 2031</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1,906</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2.00% to 5.00%, Series PP, due August 1, 2031</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5.00%, Series QQ, due October 1, 2023</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9,915</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3.80%, Series RR, due October 1, 2038</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22,500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4.25%, Series SS, due October 1, 2047</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23,000</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0.00%, Series TT, due August 1, 2032</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 to 3.25%, Series UU, due August 1, 2032</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0.00%, Series VV, due August 1, 2033</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 to 5.00%, Series WW, due August 1, 2033</w:t>
            </w:r>
          </w:p>
        </w:tc>
        <w:tc>
          <w:tcPr>
            <w:tcW w:w="2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795</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5240" w:type="dxa"/>
            <w:vAlign w:val="bottom"/>
            <w:shd w:val="clear" w:color="auto" w:fill="CCEEFF"/>
          </w:tcPr>
          <w:p>
            <w:pPr>
              <w:spacing w:after="0"/>
              <w:rPr>
                <w:sz w:val="6"/>
                <w:szCs w:val="6"/>
                <w:color w:val="auto"/>
              </w:rPr>
            </w:pPr>
          </w:p>
        </w:tc>
        <w:tc>
          <w:tcPr>
            <w:tcW w:w="22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16"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0.00%, Series XX, due August 1, 2047</w:t>
            </w:r>
          </w:p>
        </w:tc>
        <w:tc>
          <w:tcPr>
            <w:tcW w:w="2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10,880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11,006</w:t>
            </w: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3.00% to 5.00%, Series YY, due August 1, 2047</w:t>
            </w:r>
          </w:p>
        </w:tc>
        <w:tc>
          <w:tcPr>
            <w:tcW w:w="28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3,860</w:t>
            </w:r>
          </w:p>
        </w:tc>
        <w:tc>
          <w:tcPr>
            <w:tcW w:w="3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3,860</w:t>
            </w:r>
          </w:p>
        </w:tc>
      </w:tr>
      <w:tr>
        <w:trPr>
          <w:trHeight w:val="216"/>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0.00%, Series 2018A, due August 1, 2047</w:t>
            </w:r>
          </w:p>
        </w:tc>
        <w:tc>
          <w:tcPr>
            <w:tcW w:w="2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6,837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6,917</w:t>
            </w:r>
          </w:p>
        </w:tc>
      </w:tr>
      <w:tr>
        <w:trPr>
          <w:trHeight w:val="216"/>
        </w:trPr>
        <w:tc>
          <w:tcPr>
            <w:tcW w:w="6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3.00%-5.00%, Series 2018B, due August 1, 2047</w:t>
            </w:r>
          </w:p>
        </w:tc>
        <w:tc>
          <w:tcPr>
            <w:tcW w:w="2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2,365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2,365</w:t>
            </w:r>
          </w:p>
        </w:tc>
      </w:tr>
      <w:tr>
        <w:trPr>
          <w:trHeight w:val="21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 LONG-TERM DEBT</w:t>
            </w:r>
          </w:p>
        </w:tc>
        <w:tc>
          <w:tcPr>
            <w:tcW w:w="2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168,466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162,904</w:t>
            </w:r>
          </w:p>
        </w:tc>
      </w:tr>
      <w:tr>
        <w:trPr>
          <w:trHeight w:val="216"/>
        </w:trPr>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Add: Premium on Issuance of Long-term Debt</w:t>
            </w:r>
          </w:p>
        </w:tc>
        <w:tc>
          <w:tcPr>
            <w:tcW w:w="28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1,204</w:t>
            </w:r>
          </w:p>
        </w:tc>
        <w:tc>
          <w:tcPr>
            <w:tcW w:w="3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Less: Unamortized Debt Expense</w:t>
            </w:r>
          </w:p>
        </w:tc>
        <w:tc>
          <w:tcPr>
            <w:tcW w:w="2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16"/>
        </w:trPr>
        <w:tc>
          <w:tcPr>
            <w:tcW w:w="64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(7,336)</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10"/>
        </w:trPr>
        <w:tc>
          <w:tcPr>
            <w:tcW w:w="64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DEBT</w:t>
            </w:r>
          </w:p>
        </w:tc>
        <w:tc>
          <w:tcPr>
            <w:tcW w:w="2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158,422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152,851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MIDDLESEX WATER COMPANY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COMMON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2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Stock</w:t>
            </w:r>
          </w:p>
        </w:tc>
        <w:tc>
          <w:tcPr>
            <w:tcW w:w="3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Retained</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Earnings</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2018</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16,352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155,120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74,056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4,494</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Award, Net - Employees</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Forefeited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16,358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155,580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74,855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230,435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2019</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16,403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157,354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91,433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6,552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2,559</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Award, Net - Employees</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Common Stock Expenses</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16,451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160,142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94,000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254,142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8" w:name="page9"/>
    <w:bookmarkEnd w:id="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Recent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Middlesex Water Company (Middlesex or the Company) is the parent company and sole shareholder of Tidewater Utilities, Inc. (Tidewater), Tidewater Environmental Services, Inc. (TESI),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 The financial statements for Middlesex and its wholly-owned subsidiaries (the Company) are reported on a consolidated basis. All significant intercompany accounts and transactions have been eliminated.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notes within the 2018 Annual Report on Form 10-K (the 2018 Form 10-K) are applicable to these financial statements and, in the opinion of the Company, the accompanying unaudited condensed consolidated financial statements contain all adjustments necessary (including normal recurring accruals) to present fairly the financial position as of March 31, 2019 and the results of operations and cash flows for the three month periods ended March 31, 2019 and 2018. Information included in the Condensed Consolidated Balance Sheet as of December 31, 2018, has been derived from the Company’s audited financial statements for the year ended December 31, 2018 included in the 2018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On January 1, 2019, the Company adopted Financial Accounting Standards Board (FASB) issued guidance related to leases which required lessees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recognize a lease liability and a right-of-use asset. The Company elected the optional transition method of adoption option to apply the requirements of the standard in the period of adoption with no restatement of prior periods. The Company utilized the package of transition practical expedients provided by the new guidance, including carrying forward prior conclusions related to contracts that contain leases and lease classification. The Company also utilized the transition practical expedient permitting entities to forgo the evaluation of existing land easement arrangements to determine if they contain a lease. Land easement arrangements, or modifications to existing arrangements, entered into after adoption of this guidance will need to be evaluated to determine if they meet the definition of a lease. The adoption of this guidance resulted in the recording of a $6.7 million right-of-use asset, a $7.1 million lease liability and a $0.4 million regulatory asset on the Company’s consolidated balance sheet as of January 1, 2019. For further discussion, see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new adopted or proposed accounting guidance that the Company is aware of that could have a material impact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Rate and Regulatory Matters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Middlesex – </w:t>
      </w:r>
      <w:r>
        <w:rPr>
          <w:rFonts w:ascii="Times New Roman" w:cs="Times New Roman" w:eastAsia="Times New Roman" w:hAnsi="Times New Roman"/>
          <w:sz w:val="18"/>
          <w:szCs w:val="18"/>
          <w:color w:val="auto"/>
        </w:rPr>
        <w:t>In December 2018, the New Jersey Board of Public Utilities (the NJBPU) approved Middlesex’s petition to establish its Purchased 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Clause (PWAC) tariff rate to recover additional annual costs of less than $0.1 million, primarily for the purchase of treated water from a non-affiliated water utility regulated by the NJBPU. A PWAC is a rate mechanism that allows for recovery of increased purchased water costs between base rate case filings. The PWAC is reset to zero once those increased costs are included in base rates. The PWAC tariff rate became effective on January 1, 2019.</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Tidewater - </w:t>
      </w:r>
      <w:r>
        <w:rPr>
          <w:rFonts w:ascii="Times New Roman" w:cs="Times New Roman" w:eastAsia="Times New Roman" w:hAnsi="Times New Roman"/>
          <w:sz w:val="18"/>
          <w:szCs w:val="18"/>
          <w:color w:val="auto"/>
        </w:rPr>
        <w:t>Effective January 1, 2019, Tidewater reset its Delaware Public Service Commission (the DEPSC) approved Distribution System Improvement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 rate, which is expected to generate revenues of approximately $0.2 million annually.</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February 2019, Tidewater received approval from the DEPSC to reduce its rates, effective March 1, 2019, to reflect the lower corporate income tax rate enacted by the Tax Cuts and Jobs Act of 2017 (the Tax Act), resulting in an overall rate decrease of 3.35%, or $1.0 million of revenues, on an annual basis. The DEPSC also approved a one-time credit of $0.7 million to customers’ accounts related to the lower corporate income tax rate.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9" w:name="page10"/>
    <w:bookmarkEnd w:id="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Pinelands - </w:t>
      </w:r>
      <w:r>
        <w:rPr>
          <w:rFonts w:ascii="Times New Roman" w:cs="Times New Roman" w:eastAsia="Times New Roman" w:hAnsi="Times New Roman"/>
          <w:sz w:val="18"/>
          <w:szCs w:val="18"/>
          <w:color w:val="auto"/>
        </w:rPr>
        <w:t>In March 2019, Pinelands Water and Pinelands Wastewater filed separate petitions with the NJBPU seeking permission to increase base rates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$0.2 million and $0.5 million per year, respectively. These requests were necessitated by capital infrastructure investments both companies have made, or have committed to make, and increased operations and maintenance costs. We cannot predict whether the NJBPU will ultimately approve, deny, or reduce the amount of the requests. A decision by the NJBPU in either matter is not expected before the fourth quarter of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Capitalization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Common Stock - </w:t>
      </w:r>
      <w:r>
        <w:rPr>
          <w:rFonts w:ascii="Times New Roman" w:cs="Times New Roman" w:eastAsia="Times New Roman" w:hAnsi="Times New Roman"/>
          <w:sz w:val="18"/>
          <w:szCs w:val="18"/>
          <w:color w:val="auto"/>
        </w:rPr>
        <w:t>During the three months ended March 31, 2019 and 2018, there were 47,649 common shares ($2.6 million) and 7,665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$0.3 million), respectively, issued under the Middlesex Water Company Investment Plan (the Investment Plan). On January 2, 2019, the Company began offering shares of its common stock for purchase at a 5% discount to participants in the Investment Plan. The discount offering will continue until 200,000 shares are purchased at the discounted price or December 30, 2019, whichever event occurs first. The discount applies to all common stock purchases made under the Investment Plan, whether by optional cash payment or by dividend reinvestment.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2019, Middlesex filed a petition with the NJBPU seeking approval to issue and sell up to 1,500,000 shares of its common stock in one or more transactions through December 31, 2022. The sale of these additional shares of common stock is part of the Company’s comprehensive financing plan to fund its multi-year utility plant infrastructure investment program. As described below 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NJBPU approved the New Jersey Economic Development Authority (NJEDA) debt funding component of the financing plan. We believe the NJBPU will approve the common stock offering request, as filed, during the second quarter of 2019.</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Long-term Debt - </w:t>
      </w:r>
      <w:r>
        <w:rPr>
          <w:rFonts w:ascii="Times New Roman" w:cs="Times New Roman" w:eastAsia="Times New Roman" w:hAnsi="Times New Roman"/>
          <w:sz w:val="18"/>
          <w:szCs w:val="18"/>
          <w:color w:val="auto"/>
        </w:rPr>
        <w:t>Subject to regulatory approval, the Company periodically issues long-term debt to fund its investments in utility plant and other assets.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current interest rate on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current term of the long-term loans offered through the NJIB is up to thirty years. The current portion of the principal balance having a stated interest rate of zero percent (0%) is 75% with the remaining portion of 25% having a market based interest rate. NJIB generally schedules its long-term debt financings in May and November.</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2018, the NJIB announced changes to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new 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0" w:name="page11"/>
    <w:bookmarkEnd w:id="1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only active project affected by the SRF program changes is the upgrade to the Company’s Carl J. Olsen water treatment plant (CJO Plant). In April 2018, the NJBPU approved Middlesex’s request to participate in the NJIB loan program and borrow up to $55.0 million for the CJO Plant project. Although the CJO Plant project has met all the SRF Program requirements, the NJIB has been unable to commit to funding the construction loan.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help ensure adherence to its comprehensive financing plan, Middlesex received approval from the NJBPU in February 2019 to issue and sell up to $140 million of First Mortgage Bonds through the NJEDA in one or more transactions through December 31,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2018, Middlesex repaid its $9.5 million RENEW 2017 interest-free construction loan by issuing to the NJIB first mortgage bonds designated as Series 2018A ($7.1 million) and Series 2018B ($2.4 million). The interest rate on the Series 2018A bond is zero and the interest rate on the Series 2018B bond ranges between 3.0% and 5.0%. Through March 31, 2019, Middlesex has drawn a total of $8.2 million and expects to draw the remaining proceeds during the second quarter of 2019. The final maturity date for both bonds is August 1, 2047, with scheduled debt service payments over the life of the loans.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2018, the NJBPU approved Middlesex’s request to participate in the NJIB loan program to fund the construction of a large-diameter transmission pipeline from the CJO water treatment plant and interconnect with our distribution system. Middlesex closed on a $43.5 million NJIB interest-free construction loan in August 2018. Through March 31, 2019, Middlesex has drawn a total of $16.8 million and expects to draw down the remaining proceeds through the end of 2019.</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2018, the NJBPU approved Middlesex’s request to borrow up to $14.0 million under the NJIB program to fund the 2018 RENEW Program, which is an ongoing initiative to eliminate all unlined water distribution mains in the Middlesex system. Middlesex closed on an $8.7 million NJIB construction loan in September 2018. Through March 31, 2019, Middlesex has drawn a total of $6.6 million and expects to draw the remaining proceeds during the remainder of 2019. The NJIB has informed the Company that the RENEW 2018 interest-free construction loan is scheduled for the May 2019 long-term debt financing program.</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2018, the DEPSC approved Tidewater’s request to borrow up to $0.9 million under the Delaware SRF program to fund the replacement of an entire water distribution system of a small Delaware subdivision. Tidewater closed on the SRF loan in May 2018. In April 2019, Tidewater received approval from the DEPSC to increase the borrowing to $1.7 million based on revised project cost estimates. The closing on the additional $0.8 million is expected to occur in June 2019.</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 </w:t>
      </w:r>
      <w:r>
        <w:rPr>
          <w:rFonts w:ascii="Times New Roman" w:cs="Times New Roman" w:eastAsia="Times New Roman" w:hAnsi="Times New Roman"/>
          <w:sz w:val="18"/>
          <w:szCs w:val="18"/>
          <w:color w:val="auto"/>
        </w:rPr>
        <w:t>The following methods and assumptions were used by the Company in estimating its fair value disclosure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First Mortgage and State Revolving Fund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18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March 31, 2019</w:t>
            </w:r>
          </w:p>
        </w:tc>
        <w:tc>
          <w:tcPr>
            <w:tcW w:w="27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December 31, 2018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Carrying</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Fair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Carrying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Fair</w:t>
            </w:r>
          </w:p>
        </w:tc>
        <w:tc>
          <w:tcPr>
            <w:tcW w:w="11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color w:val="auto"/>
              </w:rPr>
              <w:t>Amount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Value</w:t>
            </w: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w:t>
            </w:r>
          </w:p>
        </w:tc>
        <w:tc>
          <w:tcPr>
            <w:tcW w:w="280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rPr>
              <w:t>$100,910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$103,247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$101,411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$102,789</w:t>
            </w:r>
          </w:p>
        </w:tc>
        <w:tc>
          <w:tcPr>
            <w:tcW w:w="1140" w:type="dxa"/>
            <w:vAlign w:val="bottom"/>
          </w:tcPr>
          <w:p>
            <w:pPr>
              <w:spacing w:after="0"/>
              <w:rPr>
                <w:sz w:val="18"/>
                <w:szCs w:val="18"/>
                <w:color w:val="auto"/>
              </w:rPr>
            </w:pPr>
          </w:p>
        </w:tc>
      </w:tr>
      <w:tr>
        <w:trPr>
          <w:trHeight w:val="669"/>
        </w:trPr>
        <w:tc>
          <w:tcPr>
            <w:tcW w:w="1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6" w:right="239" w:bottom="1440" w:gutter="0" w:footer="0" w:header="0"/>
        </w:sectPr>
      </w:pPr>
    </w:p>
    <w:bookmarkStart w:id="11" w:name="page12"/>
    <w:bookmarkEnd w:id="1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other long-term debt for which there was no quoted market price and there is not an active trading market, it was not practicable to estimate their fair value (for details, including carrying value, interest rate and due date on these series of long-term debt, please refer to those series noted as “Amortizing Secured Note”, “State Revolving Trust Note” and “Construction Loans” on the Condensed Consolidated Statements of Capital Stock and Long-Term Debt). The carrying amount of these instruments was $67.6 million and $61.5 million at March 31, 2019 and December 31, 2018, respectively. Customer advances for construction have carrying amounts of $22.6 million at both March 31, 2019 and December 31, 2018, respectively. Their relative fair values cannot be accurately estimated since future refund payments depend on several variables, including new customer connections, customer consumption levels and future rate increases.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Basic earnings per share (EPS) are computed on the basis of the weighted average number of shares outstanding during the period presented. Diluted EPS assumes the conversion of both the Convertible Preferred Stock $7.00 Series and the Convertible Preferred Stock $8.00 Series.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Income</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Income</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6,552</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16,428</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4,494</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Dividend</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6,516</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4,458</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0.40</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0.27</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6,516</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16,428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4,458</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Series Preferred Dividend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$8.00 Series Preferred Dividend</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Applicable to Common Stock</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6,539</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16,584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4,481</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0.39</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0.27</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Business Segment Data</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Delaware and Pennsylvania. This segment also includes regulated wastewater systems in New Jersey and Delaware. The Company is subject to regulations as to its rates, services and other matters by New Jersey, Delaware and Pennsylvania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2" w:name="page13"/>
    <w:bookmarkEnd w:id="1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March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Operations by Segments:</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Regulated</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27,898</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3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2,925</w:t>
            </w:r>
          </w:p>
        </w:tc>
        <w:tc>
          <w:tcPr>
            <w:tcW w:w="4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30,698</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Regulated</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994</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7,028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Regulated</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5,868</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684</w:t>
            </w: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6,552</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Regulated</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12,293</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12,324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Regulated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 – Regulated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Elimination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Assets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Short-term Borrowings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As of</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12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March 31,</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2019</w:t>
            </w:r>
          </w:p>
        </w:tc>
        <w:tc>
          <w:tcPr>
            <w:tcW w:w="12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-8255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8" w:lineRule="exact"/>
        <w:rPr>
          <w:sz w:val="20"/>
          <w:szCs w:val="20"/>
          <w:color w:val="auto"/>
        </w:rPr>
      </w:pPr>
    </w:p>
    <w:p>
      <w:pPr>
        <w:ind w:left="580" w:hanging="457"/>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780,317   $764,749</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9,0878,994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w:t>
            </w:r>
          </w:p>
        </w:tc>
      </w:tr>
      <w:tr>
        <w:trPr>
          <w:trHeight w:val="210"/>
        </w:trPr>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782,973</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767,830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-153670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8200" w:space="720"/>
            <w:col w:w="2500"/>
          </w:cols>
          <w:pgMar w:left="240" w:top="216" w:right="239" w:bottom="1440" w:gutter="0" w:footer="0" w:header="0"/>
          <w:type w:val="continuous"/>
        </w:sectPr>
      </w:pP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2019, the Company retains lines of credit aggregating $100.0 million. At March 31, 2019, the outstanding borrowings under these credit lines were $49.5 million at a weighted average interest rate of 3.61%.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daily amounts of borrowings outstanding under the Company’s credit lines and the weighted average interest rates on those amounts were $50.0 million and $27.9 million at 3.64% and 2.74% for the three months ended March 31, 2019 and 2018, respectively.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maturity dates for the $49.5 million outstanding as of March 31, 2019 are in April 2019 through June 2019 and are extendable at the discretion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for short-term borrowings under the lines of credit are below the prime rate with no requirement for compensating balances.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3" w:name="page14"/>
    <w:bookmarkEnd w:id="1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Contingent Liabilities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Water Supply </w:t>
      </w:r>
      <w:r>
        <w:rPr>
          <w:rFonts w:ascii="Times New Roman" w:cs="Times New Roman" w:eastAsia="Times New Roman" w:hAnsi="Times New Roman"/>
          <w:sz w:val="18"/>
          <w:szCs w:val="18"/>
          <w:color w:val="auto"/>
        </w:rPr>
        <w:t>- Middlesex has an agreement with the New Jersey Water Supply Authority (NJWSA) for the purchase of untreated water through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Middlesex also has an agreement with a non-affiliated regulated water utility for the purchase of treated water. This agreement, which expires February 27, 2021, provides for the minimum purchase of 3.0 mgd of treated water with provisions for additional purchases.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Tidewater contracts with the City of Dover, Delaware to purchase 15.0 million gallons of treated water annually.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water costs are shown below:</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31,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Treated</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Untreated</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part of an agreement with the County of Monmouth, New Jersey (County), Middlesex serves as guarantor of the performance of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 Management, Inc. (AWM), an unaffiliated wastewater contractor, to operate a County-owned leachate pretreatment facility at the Monmouth County Reclamation Center in Tinton Falls, New Jersey. The performance guaranty is effective through 2028 unless another guarantor, acceptable to the County, replaces Middlesex before such date. Under agreements with AWM and Natural Systems Utilities, LLC (NSU), the parent company of AWM, Middlesex earns a fee for providing the performance guaranty. In addition, Middlesex may provide operational support to the facility, as needed, and AWM and NSU, serving as guarantor to Middlesex with respect to the performance of AWM, have indemnified Middlesex against any claims that may arise under the Middlesex guaranty to the County.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requested to perform under the guaranty to the County and, if AWM and NSU, as guarantor to Middlesex, do not fulfill their obligations to indemnify Middlesex against any claims that may arise under the Middlesex guaranty to the County, Middlesex would be required to fulfill the remaining operational commitment of AWM. As of both March 31, 2019 and December 31, 2018, the liability recognized in Other Non-Current Liabilities on the balance sheet for the guaranty is approximately $1.5 million.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4" w:name="page15"/>
    <w:bookmarkEnd w:id="1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determines if an arrangement is a lease at inception. Generally, a lease agreement exists if the Company determines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gives the Company control over the use of an identified asset and obtains substantially all of the benefits from the identified asset.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impacts of accounting for regulated operations, and the resulting recognition of expense at the amounts recovered in customer rates, expenditures for operating leases are consistent with lease expense and were $0.1 million and less than $0.1 million for the three months ended March 31, 2019 and 2018,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Information related to operating lease ROU assets and lease liabilities is as follows: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 Millions)</w:t>
            </w:r>
          </w:p>
        </w:tc>
      </w:tr>
      <w:tr>
        <w:trPr>
          <w:trHeight w:val="234"/>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31, 2019</w:t>
            </w:r>
          </w:p>
        </w:tc>
      </w:tr>
      <w:tr>
        <w:trPr>
          <w:trHeight w:val="216"/>
        </w:trPr>
        <w:tc>
          <w:tcPr>
            <w:tcW w:w="11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 at Lease Inception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1160" w:type="dxa"/>
            <w:vAlign w:val="bottom"/>
          </w:tcPr>
          <w:p>
            <w:pPr>
              <w:spacing w:after="0"/>
              <w:rPr>
                <w:sz w:val="19"/>
                <w:szCs w:val="19"/>
                <w:color w:val="auto"/>
              </w:rPr>
            </w:pPr>
          </w:p>
        </w:tc>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0"/>
        </w:trPr>
        <w:tc>
          <w:tcPr>
            <w:tcW w:w="11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ROU Asset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53"/>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future minimum operating lease commitments as of March 31, 2019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w w:val="99"/>
              </w:rPr>
              <w:t>(In Millions)</w:t>
            </w:r>
          </w:p>
        </w:tc>
        <w:tc>
          <w:tcPr>
            <w:tcW w:w="11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March 31, 2019</w:t>
            </w:r>
          </w:p>
        </w:tc>
        <w:tc>
          <w:tcPr>
            <w:tcW w:w="1140" w:type="dxa"/>
            <w:vAlign w:val="bottom"/>
          </w:tcPr>
          <w:p>
            <w:pPr>
              <w:spacing w:after="0"/>
              <w:rPr>
                <w:sz w:val="20"/>
                <w:szCs w:val="20"/>
                <w:color w:val="auto"/>
              </w:rPr>
            </w:pPr>
          </w:p>
        </w:tc>
      </w:tr>
      <w:tr>
        <w:trPr>
          <w:trHeight w:val="216"/>
        </w:trPr>
        <w:tc>
          <w:tcPr>
            <w:tcW w:w="2880" w:type="dxa"/>
            <w:vAlign w:val="bottom"/>
            <w:gridSpan w:val="2"/>
          </w:tcPr>
          <w:p>
            <w:pPr>
              <w:spacing w:after="0"/>
              <w:rPr>
                <w:sz w:val="18"/>
                <w:szCs w:val="18"/>
                <w:color w:val="auto"/>
              </w:rPr>
            </w:pPr>
          </w:p>
        </w:tc>
        <w:tc>
          <w:tcPr>
            <w:tcW w:w="44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880" w:type="dxa"/>
            <w:vAlign w:val="bottom"/>
            <w:gridSpan w:val="2"/>
          </w:tcPr>
          <w:p>
            <w:pPr>
              <w:spacing w:after="0"/>
              <w:rPr>
                <w:sz w:val="18"/>
                <w:szCs w:val="18"/>
                <w:color w:val="auto"/>
              </w:rPr>
            </w:pPr>
          </w:p>
        </w:tc>
        <w:tc>
          <w:tcPr>
            <w:tcW w:w="44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880" w:type="dxa"/>
            <w:vAlign w:val="bottom"/>
            <w:gridSpan w:val="2"/>
          </w:tcPr>
          <w:p>
            <w:pPr>
              <w:spacing w:after="0"/>
              <w:rPr>
                <w:sz w:val="18"/>
                <w:szCs w:val="18"/>
                <w:color w:val="auto"/>
              </w:rPr>
            </w:pPr>
          </w:p>
        </w:tc>
        <w:tc>
          <w:tcPr>
            <w:tcW w:w="44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880" w:type="dxa"/>
            <w:vAlign w:val="bottom"/>
            <w:gridSpan w:val="2"/>
          </w:tcPr>
          <w:p>
            <w:pPr>
              <w:spacing w:after="0"/>
              <w:rPr>
                <w:sz w:val="18"/>
                <w:szCs w:val="18"/>
                <w:color w:val="auto"/>
              </w:rPr>
            </w:pPr>
          </w:p>
        </w:tc>
        <w:tc>
          <w:tcPr>
            <w:tcW w:w="44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880" w:type="dxa"/>
            <w:vAlign w:val="bottom"/>
            <w:gridSpan w:val="2"/>
          </w:tcPr>
          <w:p>
            <w:pPr>
              <w:spacing w:after="0"/>
              <w:rPr>
                <w:sz w:val="18"/>
                <w:szCs w:val="18"/>
                <w:color w:val="auto"/>
              </w:rPr>
            </w:pPr>
          </w:p>
        </w:tc>
        <w:tc>
          <w:tcPr>
            <w:tcW w:w="44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20" w:type="dxa"/>
            <w:vAlign w:val="bottom"/>
            <w:tcBorders>
              <w:bottom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20" w:type="dxa"/>
            <w:vAlign w:val="bottom"/>
            <w:tcBorders>
              <w:bottom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color w:val="auto"/>
              </w:rPr>
              <w:t>Imputed Interest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20" w:type="dxa"/>
            <w:vAlign w:val="bottom"/>
            <w:tcBorders>
              <w:bottom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19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-119380</wp:posOffset>
            </wp:positionV>
            <wp:extent cx="361886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2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 The Company has forecasted to spend approximately $112 million for its construction program in 2019. The Company has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contractual construction agreements that, in the aggregate, obligate it to expend an estimated $17 million in the future. The timing and amount of capital expenditures is dependent on project scheduling and refinement of engineering estimates for certain projects.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 The Company is a defendant in lawsuits in the normal course of business. We believe the resolution of pending claims and legal proceedings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have a material adverse effect on the Company’s consolidated financial statements.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 in Control Agreements </w:t>
      </w:r>
      <w:r>
        <w:rPr>
          <w:rFonts w:ascii="Times New Roman" w:cs="Times New Roman" w:eastAsia="Times New Roman" w:hAnsi="Times New Roman"/>
          <w:sz w:val="18"/>
          <w:szCs w:val="18"/>
          <w:color w:val="auto"/>
        </w:rPr>
        <w:t>- The Company has Change in Control Agreements with certain of its officers that provide compensation and benefits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termination of employment in connection with a change in control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Benefit Plans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Pension Benefits </w:t>
      </w:r>
      <w:r>
        <w:rPr>
          <w:rFonts w:ascii="Times New Roman" w:cs="Times New Roman" w:eastAsia="Times New Roman" w:hAnsi="Times New Roman"/>
          <w:sz w:val="18"/>
          <w:szCs w:val="18"/>
          <w:color w:val="auto"/>
        </w:rPr>
        <w:t>- The Company’s Pension Plan covers all active employees hired prior to April 1, 2007. Employees hired after March 31, 2007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to participate in this plan, but do participate in a defined contribution plan that provides for a potential annual contribution in an amount that is at the discretion of the Company. In order to be eligible for a contribution, the participant must be employed by the Company on December 31st of the year to which the contribution relates. For each of the three month periods ended March 31, 2019 and 2018, the Company made Pension Plan cash contributions of $0.5 million. The Company expects to make Pension Plan cash contributions of approximately $3.1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retirement plan other than pensions (Other Benefits Plan) covers substantially all of its current retired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Employees hired after March 31, 2007 are not eligible to participate in this plan. Coverage includes healthcare and life insurance. For each of the three month periods ended March 31, 2019 and 2018, the Company made Other Benefits Plan cash contributions of $0.2 million. The Company expects to make Other Benefits Plan cash contributions of approximately $1.2 million over the remainder of the current year.</w:t>
      </w:r>
    </w:p>
    <w:p>
      <w:pPr>
        <w:sectPr>
          <w:pgSz w:w="11900" w:h="16838" w:orient="portrait"/>
          <w:cols w:equalWidth="0" w:num="1">
            <w:col w:w="11420"/>
          </w:cols>
          <w:pgMar w:left="240" w:top="216" w:right="239" w:bottom="279" w:gutter="0" w:footer="0" w:header="0"/>
        </w:sectPr>
      </w:pP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279" w:gutter="0" w:footer="0" w:header="0"/>
          <w:type w:val="continuous"/>
        </w:sectPr>
      </w:pPr>
    </w:p>
    <w:bookmarkStart w:id="15" w:name="page16"/>
    <w:bookmarkEnd w:id="1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information relating to the Company’s periodic costs for its employee retirement benefit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Pension Benefits</w:t>
            </w: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Other Benefits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00" w:type="dxa"/>
            <w:vAlign w:val="bottom"/>
            <w:gridSpan w:val="4"/>
          </w:tcPr>
          <w:p>
            <w:pPr>
              <w:ind w:left="100"/>
              <w:spacing w:after="0" w:line="191" w:lineRule="exact"/>
              <w:rPr>
                <w:sz w:val="20"/>
                <w:szCs w:val="20"/>
                <w:color w:val="auto"/>
              </w:rPr>
            </w:pPr>
            <w:r>
              <w:rPr>
                <w:rFonts w:ascii="Times New Roman" w:cs="Times New Roman" w:eastAsia="Times New Roman" w:hAnsi="Times New Roman"/>
                <w:sz w:val="18"/>
                <w:szCs w:val="18"/>
                <w:color w:val="auto"/>
              </w:rPr>
              <w:t>Three Months Ended March 31,</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543</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857</w:t>
            </w:r>
          </w:p>
        </w:tc>
        <w:tc>
          <w:tcPr>
            <w:tcW w:w="3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Losses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404</w:t>
            </w:r>
          </w:p>
        </w:tc>
        <w:tc>
          <w:tcPr>
            <w:tcW w:w="3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Unrecognized Prior Service Credit</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*Service cost is included in Operations and Maintenance expense on Consolidated Statements of Income; all other amounts are included in Other Income/Expense,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Recognition from Contracts with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and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of service provided to Tidewater customers and are recognized as service is provided.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Non-regulated service contract revenues consist of base service fees, as well as fees for additional billable services provided to customers, are billed monthly and are due within 30 days after the invoice date. The Company considers the amounts billed to represent the value of these services provided to customers. Certain of these contracts continue through 2022 and thus contain remaining performance obligations for which the Company expects to recognize revenue in the future. These contracts also contain termination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operating revenues and accounts receivable are from contracts with customers. The Company records an allowance for doubtful accounts based on historical write-offs combined with an evaluation of current economic conditions within its service territories.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contracts do not contain any significant financing components.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6" w:name="page17"/>
    <w:bookmarkEnd w:id="1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operating revenues are comprised of the following:</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4"/>
        </w:trPr>
        <w:tc>
          <w:tcPr>
            <w:tcW w:w="8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8920" w:type="dxa"/>
            <w:vAlign w:val="bottom"/>
          </w:tcPr>
          <w:p>
            <w:pPr>
              <w:spacing w:after="0"/>
              <w:rPr>
                <w:sz w:val="18"/>
                <w:szCs w:val="18"/>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89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Regulated Tariff Sales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15,980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15,623</w:t>
            </w:r>
          </w:p>
        </w:tc>
      </w:tr>
      <w:tr>
        <w:trPr>
          <w:trHeight w:val="216"/>
        </w:trPr>
        <w:tc>
          <w:tcPr>
            <w:tcW w:w="8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3,109</w:t>
            </w:r>
          </w:p>
        </w:tc>
      </w:tr>
      <w:tr>
        <w:trPr>
          <w:trHeight w:val="216"/>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2,198</w:t>
            </w: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2,312</w:t>
            </w:r>
          </w:p>
        </w:tc>
      </w:tr>
      <w:tr>
        <w:trPr>
          <w:trHeight w:val="216"/>
        </w:trPr>
        <w:tc>
          <w:tcPr>
            <w:tcW w:w="8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Fire Protection</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3,013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2,888</w:t>
            </w:r>
          </w:p>
        </w:tc>
      </w:tr>
      <w:tr>
        <w:trPr>
          <w:trHeight w:val="216"/>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3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3,339</w:t>
            </w: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r>
      <w:tr>
        <w:trPr>
          <w:trHeight w:val="230"/>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Non-Regulated Contract Operations</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2,824</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3,999</w:t>
            </w:r>
          </w:p>
        </w:tc>
      </w:tr>
      <w:tr>
        <w:trPr>
          <w:trHeight w:val="210"/>
        </w:trPr>
        <w:tc>
          <w:tcPr>
            <w:tcW w:w="8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30,663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31,143</w:t>
            </w: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Regulated Revenues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Non-Regulated Revenues</w:t>
            </w:r>
          </w:p>
        </w:tc>
        <w:tc>
          <w:tcPr>
            <w:tcW w:w="3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0"/>
        </w:trPr>
        <w:tc>
          <w:tcPr>
            <w:tcW w:w="8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30,698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31,177</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its 2014 Federal income tax return, the Company adopted the final Internal Revenue Service (IRS) tangible property regulations and changed its accounting method for the tax treatment of expenditures that qualified as deductible repairs. The adoption resulted in a net reduction of $17.6 million in taxes previously remitted to the IRS, for which the Company has already sought and received the tax refunds. A reserve provision against refunded taxes of $2.3 million was recorded in 2015 at the time of filing its change in accounting method based on a possible challenge by the IRS during an audit examination. The Company’s 2014 federal income tax return was subsequently selected for examination by the IRS in 2016. In 2018, the Company received information from the IRS regarding certain aspects of the its adopted accounting method used to calculate qualifying tangible property repair cost deductions and increased its reserve provision to $4.1 million. During the first quarter of 2019, the Company agreed to certain modifications of its accounting method for expenditures that qualify as deductible repairs and the IRS concluded its audit of the Company’s 2014 federal income tax return. The modifications also impacted the Company’s filed 2015, 2016 and 2017 federal income tax returns. The Company paid $0.8 million in income taxes in connection with the conclusion of the 2014 and 2015 tax years. The IRS is currently examining the 2016 and 2017 tax years to determine the impact of the modifications on those tax years. The Company reduced its income tax reserve provision to $3.1 million as of March 31, 2019. Pending completion of the 2016 and 2017 examinations, the final tax liability could be different than the recorded reserve provision. For the three months ended March 31, 2019, the Company reduced its potential interest expense liability to $0.3 million as a result of the closing of the 2014 and 2015 tax years and the revised income tax reserve provision.</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7" w:name="page18"/>
    <w:bookmarkEnd w:id="1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2018.</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18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financial condition, performance, prospects and earnings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plans for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rate increases and other regulatory matters, including the recovery of certain costs recorded as regulatory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customer rates, consumption volumes, service fees, revenues, margins, expenses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amount of cash contributions to fund the Company’s retirement benefit plans, anticipated discount rates and rates of return on retirement benefit plan assets;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pay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environmental laws and regulations and estimations of the materiality of any 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reliability of the Company’s equipment, facilities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quality of our water supply.</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general economic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growth in non-franchised markets to be potentially served by the Company;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supplies of water;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compliance with all regulatory requirements with respect to water and wastewater treatment, distribution and collection;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government regulators, including decisions on rate increase requests;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new or modified water and wastewater quality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and other natural phenomena impacting utility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risks associated with acquisitions and/or privatizations;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pace of residential housing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capital resources;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quarterly report.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8" w:name="page19"/>
    <w:bookmarkEnd w:id="1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additional discussion of factors that may affect the Company’s business and results of operations, see Item 1A. - Risk Factors in the Company’s Annual Report on Form 10-K for the fiscal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Middlesex Water Company (Middlesex) has operated as a water utility in New Jersey since 1897, in Delaware through our wholly-owned subsidiary, Tidewater Utilities, Inc. (Tidewater), since 1992 and in Pennsylvania through our wholly-owned subsidiary, Twin Lakes Utilities, Inc. (Twin Lakes), since 2009. We are in the business of collecting, treating and distributing water for domestic, commercial, municipal, industrial and fire protection purposes. We also operate two New Jersey municipal water and wastewater systems under contract and provide regulated wastewater services in New Jersey and Delaware through four of our other subsidiaries. We are regulated as to rates charged to customers for water and wastewater services, as to the quality of water service we provide and as to certain other matters in New Jersey, Delaware and Pennsylvania. Only our Utility Service Affiliates, Inc. (USA), Utility Service Affiliates (Perth Amboy), Inc. (USA-PA) and White Marsh Environmental Services, Inc. (White Marsh) subsidiaries are not regulated utilities.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approximately 219,000.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Delaware subsidiaries, Tidewater and Southern Shores Water Company, LLC (Southern Shores), provide water services to approximately 47,000 retail customers in New Castle, Kent and Sussex Counties, Delaware. Tidewater’s subsidiary, White Marsh, services approximately 4,000 customers in Delaware and Maryland through various operations and maintenance contracts.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Tidewater Environmental Services, Inc. (TESI) subsidiary provides wastewater services to approximately 3,600 residential retail customers in Sussex Counties, Delaware.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responses and management of capital projects funded by Perth Amboy. USA-PA does not manage the billing, collections and customer service functions of Perth Amboy.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USA operates the Borough of Avalon, New Jersey’s (Avalon) water utility, sewer utility and storm water system under a ten-year operations and maintenance contract expiring in 2022. In addition to performing day to day operations, USA is responsible for billing, collections, customer service, emergency responses and management of capital projects funded by Avalon. Under a marketing agreement with HomeServe USA (HomeServe), USA offers residential customers in New Jersey and Delaware a menu of water and wastewater related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9" w:name="page20"/>
    <w:bookmarkEnd w:id="1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Pennsylvania subsidiary, Twin Lakes, provides water services to approximately 120 retail customers in the Township of Shohola, Pike County, 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333333"/>
        </w:rPr>
        <w:t xml:space="preserve">Capital Construction Program - </w:t>
      </w:r>
      <w:r>
        <w:rPr>
          <w:rFonts w:ascii="Times New Roman" w:cs="Times New Roman" w:eastAsia="Times New Roman" w:hAnsi="Times New Roman"/>
          <w:sz w:val="18"/>
          <w:szCs w:val="18"/>
          <w:color w:val="000000"/>
        </w:rPr>
        <w:t>The Company’s multi-year capital construction program encompasses numerous projects designed to upgrade and replace</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000000"/>
        </w:rPr>
        <w:t>utility infrastructure as well as enhance the integrity and reliability of assets to better serve the current and future generations of water and wastewater customers. The Company plans to invest approximately $112 million in 2019 in connection with this plan for projects that include, but are not limited to;</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4.6 mile water transmission pipeline to provide critical resiliency and redundancy to the Company’s water transmission system in New Jersey;</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four miles of water mains including service lines, valves, fire hydrants and meters in Carteret, New Jersey;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treatment process at the Company’s largest water plant in Edison, New Jersey, to mitigate the formation of disinfection by-products that can develop during treatment;</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new wastewater treatment plant to serve current and future customers in and around the Town of Milton, Delaware;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water meters from inside customers’ premises to exterior meter pits to allow quicker access by crews in emergencies, enhanced customer safety and convenience and reduced unmetered water; and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standby emergency power generation.</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Pinelands Files for Rate Increases - </w:t>
      </w:r>
      <w:r>
        <w:rPr>
          <w:rFonts w:ascii="Times New Roman" w:cs="Times New Roman" w:eastAsia="Times New Roman" w:hAnsi="Times New Roman"/>
          <w:sz w:val="18"/>
          <w:szCs w:val="18"/>
          <w:color w:val="auto"/>
        </w:rPr>
        <w:t>In March 2019, Pinelands Water and Pinelands Wastewater filed separate petitions with the New Jersey Board of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Utilities (the NJBPU) seeking permission to increase base rates by approximately $0.2 million and $0.5 million per year, respectively. These requests were necessitated by capital infrastructure investments both companies have made, or have committed to make, and increased operations and maintenance costs. We cannot predict whether the NJBPU will ultimately approve, deny, or reduce the amount of the requests. A decision by the NJBPU in either matter is not expected before the fourth quarter of 2019.</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Common Stock Offering - </w:t>
      </w:r>
      <w:r>
        <w:rPr>
          <w:rFonts w:ascii="Times New Roman" w:cs="Times New Roman" w:eastAsia="Times New Roman" w:hAnsi="Times New Roman"/>
          <w:sz w:val="18"/>
          <w:szCs w:val="18"/>
          <w:color w:val="auto"/>
        </w:rPr>
        <w:t>In March 2019, Middlesex filed a petition with the NJBPU seeking approval to issue and sell up to 1,500,000 shares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in one or more transactions through December 31, 2022. The sale of these additional shares of common stock is part of the Company’s comprehensive financing plan to fund its multi-year utility plant infrastructure investment plan. We believe the NJBPU will approve the common stock offering request, as filed, during the second quarter of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increase operating income and net income is based significantly on four factors: weather, adequate and timely rate relief, effective cost management and customer growth (which are evident in comparison discussions in the Results of Operations section below). Revenues in 2019 are expected to be favorably impacted by the full year effect of Middlesex’s April 2018 base water rate increase. Weather patterns experienced in 2017 and 2018, which resulted in lower customer demand, may reoccur in 2019. Actuarially-determined non-service retirement benefit plan costs are expected to increase in 2019. As operating costs are anticipated to increase in 2019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 residential customer growth for 2019 is expected to be consistent with that experienced in recent years.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0" w:name="page21"/>
    <w:bookmarkEnd w:id="2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for profitable growth is focused on the following key areas: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acquisitions of investor and municipally-owned water and wastewater utilities;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adequate recovery of infrastructure investments and other costs to maintain service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municipal and industrial water and wastewater systems on a contract basis;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projects, products and services that complement our core water and wastewater competencies.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segments in the tables included below consist of the following companies: Regulated-Middlesex, Tidewater, Pinelands, Southern Shores, TESI and Twin Lakes; Non-Regulated-USA, USA-PA, and White Marsh.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20"/>
                <w:szCs w:val="20"/>
                <w:color w:val="auto"/>
              </w:rPr>
            </w:pPr>
          </w:p>
        </w:tc>
        <w:tc>
          <w:tcPr>
            <w:tcW w:w="2540" w:type="dxa"/>
            <w:vAlign w:val="bottom"/>
            <w:gridSpan w:val="8"/>
          </w:tcPr>
          <w:p>
            <w:pPr>
              <w:jc w:val="center"/>
              <w:ind w:right="4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7"/>
              </w:rPr>
              <w:t>Non-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7"/>
              </w:rPr>
              <w:t>Non-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Regulated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Regulated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Regulated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Regulated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6,034</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7,028</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5,868</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684</w:t>
            </w:r>
          </w:p>
        </w:tc>
        <w:tc>
          <w:tcPr>
            <w:tcW w:w="3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6,552</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3,983</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30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revenues for the three months ended March 31, 2019 decreased $0.5 million from the same period in 2018. This decrease was related to the following factors:</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increased $0.8 million due to the following:</w:t>
      </w:r>
    </w:p>
    <w:p>
      <w:pPr>
        <w:spacing w:after="0" w:line="27" w:lineRule="exact"/>
        <w:rPr>
          <w:sz w:val="20"/>
          <w:szCs w:val="20"/>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2018, a NJBPU-approved base rate increase resulted in higher revenues of $1.0 million;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water usage from general meter service customers of $0.3 million;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revenue categories increased $0.1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decreased $0.1 million due to lower water demand offset by additional customers;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revenues decreased by $1.2 million primarily due to changes resulting from USA-PA’s new 10 year contract with Perth Amboy. Under the new contract, USA-PA is directly responsible for wastewater services, for which USA-PA is compensated. Under the original contract, for wastewater services, USA-PA utilized, and was compensated for, the costs of a sub-contractor (as such, there is corresponding decrease in operations and maintenance expense).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1" w:name="page22"/>
    <w:bookmarkEnd w:id="2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 and Maintenance Expense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expenses for the three months ended March 31, 2019 decreased $1.7 million from the same period in 2018, primarily related to the following factors:</w:t>
      </w:r>
    </w:p>
    <w:p>
      <w:pPr>
        <w:spacing w:after="0" w:line="162" w:lineRule="exact"/>
        <w:rPr>
          <w:sz w:val="20"/>
          <w:szCs w:val="20"/>
          <w:color w:val="auto"/>
        </w:rPr>
      </w:pPr>
    </w:p>
    <w:p>
      <w:pPr>
        <w:ind w:left="660" w:right="2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new Perth Amboy operating contract, effective January 1, 2019, USA-PA no longer incurs sub-contractor fees for wastewater services, which resulted in a $1.4 million decrease in costs (there is a corresponding decrease in operating revenues);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Milder winter weather resulted in lower water main break costs of $0.2 million in our Middlesex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production costs decreased $0.2 million due to lower customer demand;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operation and maintenance expense categories increased $0.1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2019 increased $0.4 million from the same period in 2018 due to a higher level of utility plant in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taxes for the three months ended March 31, 2019 increased $0.1 million from the same period in 2018 primarily due to higher revenue related taxes on increased revenues in our Middlesex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March 31, 2019 remained consistent with the same period in 2018 primarily due to higher Allowance for Funds Used During Construction resulting from a higher level of capital projects in progress offset by higher actuarially-determined postretirement benefit plan non-service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charges for the three months ended March 31, 2019 increased $0.1 million from the same period in 2018 due to higher average short-term debt outstanding at increased interest rates in 2019 as compared to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taxes for the three months ended March 31, 2019 decreased $1.4 million from the same period in 2018, primarily due to the regulatory accounting treatment of tax benefits associated with the adoption of the tangible property regulations, which was approved in Middlesex’s 2018 base rate case decision</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and 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three months ended March 31, 2019 increased $2.1 million as compared with the same period in 2018. Basic earnings per share were $0.40 and $0.27 for the three months ended March 31, 2019 and 2018, respectively. Diluted earnings per share were $0.39 and $0.27 for the three months ended March 31,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2" w:name="page23"/>
    <w:bookmarkEnd w:id="2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cash flows from operating activities decreased $1.3 million to $7.7 million. The decrease in cash flows from operating activities primarily resulted from the timing of payments to vendors. The $7.7 million of net cash flow from operations enabled us to fund approximately 41% of utility plant expenditures internally for the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cash flows used in investing activities increased $2.3 million to $12.3 million. The increase in cash flows used in investing activities resulted from increased utility plant expenditures.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on the Company’s future capital expenditures and expected funding sources, see “</w:t>
      </w: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cash flows from financing activities increased $8.4 million to $5.8 million. The majority of the increase in cash flows provided by financing activities is due to the net increase in short-term and long-term debt funding and increased proceeds from the issuance of common stock under the Middlesex Water Company Investment Plan (the Investment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Commitments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 investment program for 2019 is currently estimated to be approximately $112 million. Through March 31, 2019, we have expended $12 million and expect to incur approximately $100 million for capital projects for the remainder of 2019.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project that we may expend approximately $177 million for capital projects in 2020 and 2021. The actual amount and timing of capital expenditures is dependent on project scheduling and refinement of engineering estimates for certain capital projects.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 for our capital program for the remainder of 2019, we plan on utilizing:</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generated funds;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Investment Plan. which includes a 5% discount purchase program for 2019 (see discussion under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New Jersey and Delaware State Revolving Fund (SRF). SRF programs provide low cost financing for projects that meet certain water quality and system improvement benchmarks (see discussion under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3 - Capitalization</w:t>
      </w:r>
      <w:r>
        <w:rPr>
          <w:rFonts w:ascii="Times New Roman" w:cs="Times New Roman" w:eastAsia="Times New Roman" w:hAnsi="Times New Roman"/>
          <w:sz w:val="18"/>
          <w:szCs w:val="18"/>
          <w:color w:val="auto"/>
        </w:rPr>
        <w:t>);</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issuance and sale of First Mortgage Bonds through the New Jersey Economic Development Authority (see discussion under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3 - Capitalization</w:t>
      </w:r>
      <w:r>
        <w:rPr>
          <w:rFonts w:ascii="Times New Roman" w:cs="Times New Roman" w:eastAsia="Times New Roman" w:hAnsi="Times New Roman"/>
          <w:sz w:val="18"/>
          <w:szCs w:val="18"/>
          <w:color w:val="auto"/>
        </w:rPr>
        <w:t>);</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a common stock offering (see discussion under “</w:t>
      </w:r>
      <w:r>
        <w:rPr>
          <w:rFonts w:ascii="Times New Roman" w:cs="Times New Roman" w:eastAsia="Times New Roman" w:hAnsi="Times New Roman"/>
          <w:sz w:val="18"/>
          <w:szCs w:val="18"/>
          <w:i w:val="1"/>
          <w:iCs w:val="1"/>
          <w:color w:val="auto"/>
        </w:rPr>
        <w:t>Common Stock Offering</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above);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borrowings, if necessary, through $100.0 million of active lines of credit with several financial institutions. As of March 31, 2019, there remains $51.5 million of available credit under these lines.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See Note 1 of the Notes to Unaudited Condensed Consolidated Financial Statements for a discussion of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pronouncements and guidance.</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3" w:name="page24"/>
    <w:bookmarkEnd w:id="2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of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2019 to 2047. Over the next twelve months, approximately $7.3 million of the current portion of existing long-term debt instruments will mature. Applying a hypothetical change in the rate of interest charged by 10% on those borrowings, would not have a material effect on our earnings.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retirement benefit plan assets are exposed to fluctuating market prices of debt and equity securities. Changes to the Company's retirement benefit plan asset values can impact the Company's retirement benefit plan expense, funded status and future minimum funding requirements. Our risk is mitigated by our ability to recover retirement benefit plan costs through rates for regulated utility services charged to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4" w:name="page25"/>
    <w:bookmarkEnd w:id="2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about risk factors does not differ materially from those set forth in Part I, Item 1A. of the Company’s Annual Report on Form 10-K for the year ended December 31, 2018.</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40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600" w:type="dxa"/>
            <w:vAlign w:val="bottom"/>
            <w:gridSpan w:val="5"/>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Section 302 Certification by Dennis W. Doll pursuant to Rules 13a-14 and 15d-14 of the Securities Exchange Act of 1934.</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1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Section 302 Certification by A. Bruce O’Connor pursuant to Rules 13a-14 and 15d-14 of the Securities Exchange Act of 1934.</w:t>
              </w:r>
            </w:hyperlink>
          </w:p>
        </w:tc>
        <w:tc>
          <w:tcPr>
            <w:tcW w:w="1460" w:type="dxa"/>
            <w:vAlign w:val="bottom"/>
            <w:gridSpan w:val="2"/>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600" w:type="dxa"/>
            <w:vAlign w:val="bottom"/>
            <w:gridSpan w:val="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Section 906 Certification by Dennis W. Doll pursuant to 18 U.S.C. §1350, as adopted pursuant to Section 302 of the Sarbanes-Oxley Act of 2002.</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1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6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Section 906 Certification by A. Bruce O’Connor pursuant to 18 U.S.C. §1350, as adopted pursuant to Section 302 of the Sarbanes-Oxley Act of</w:t>
              </w:r>
            </w:hyperlink>
          </w:p>
        </w:tc>
      </w:tr>
      <w:tr>
        <w:trPr>
          <w:trHeight w:val="196"/>
        </w:trPr>
        <w:tc>
          <w:tcPr>
            <w:tcW w:w="8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30">
              <w:r>
                <w:rPr>
                  <w:rFonts w:ascii="Times New Roman" w:cs="Times New Roman" w:eastAsia="Times New Roman" w:hAnsi="Times New Roman"/>
                  <w:sz w:val="18"/>
                  <w:szCs w:val="18"/>
                  <w:color w:val="0000EE"/>
                  <w:w w:val="93"/>
                </w:rPr>
                <w:t>2002.</w:t>
              </w:r>
            </w:hyperlink>
          </w:p>
        </w:tc>
        <w:tc>
          <w:tcPr>
            <w:tcW w:w="8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885"/>
        </w:trPr>
        <w:tc>
          <w:tcPr>
            <w:tcW w:w="8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gridSpan w:val="2"/>
          </w:tcPr>
          <w:p>
            <w:pPr>
              <w:ind w:left="478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6" w:right="239" w:bottom="1440" w:gutter="0" w:footer="0" w:header="0"/>
        </w:sectPr>
      </w:pPr>
    </w:p>
    <w:bookmarkStart w:id="25" w:name="page26"/>
    <w:bookmarkEnd w:id="2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212"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 Bruce O’Connor</w:t>
            </w:r>
          </w:p>
        </w:tc>
        <w:tc>
          <w:tcPr>
            <w:tcW w:w="240" w:type="dxa"/>
            <w:vAlign w:val="bottom"/>
          </w:tcPr>
          <w:p>
            <w:pPr>
              <w:spacing w:after="0"/>
              <w:rPr>
                <w:sz w:val="17"/>
                <w:szCs w:val="17"/>
                <w:color w:val="auto"/>
              </w:rPr>
            </w:pPr>
          </w:p>
        </w:tc>
      </w:tr>
      <w:tr>
        <w:trPr>
          <w:trHeight w:val="218"/>
        </w:trPr>
        <w:tc>
          <w:tcPr>
            <w:tcW w:w="6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Bruce O’Connor</w:t>
            </w:r>
          </w:p>
        </w:tc>
      </w:tr>
      <w:tr>
        <w:trPr>
          <w:trHeight w:val="216"/>
        </w:trPr>
        <w:tc>
          <w:tcPr>
            <w:tcW w:w="6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Treasurer and</w:t>
            </w:r>
          </w:p>
        </w:tc>
      </w:tr>
      <w:tr>
        <w:trPr>
          <w:trHeight w:val="216"/>
        </w:trPr>
        <w:tc>
          <w:tcPr>
            <w:tcW w:w="6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6,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16" w:right="29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Dennis W. Doll, certify that:</w:t>
      </w:r>
    </w:p>
    <w:p>
      <w:pPr>
        <w:spacing w:after="0" w:line="225" w:lineRule="exact"/>
        <w:rPr>
          <w:sz w:val="20"/>
          <w:szCs w:val="20"/>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608"/>
        <w:spacing w:after="0"/>
        <w:rPr>
          <w:sz w:val="20"/>
          <w:szCs w:val="20"/>
          <w:color w:val="auto"/>
        </w:rPr>
      </w:pPr>
      <w:r>
        <w:rPr>
          <w:rFonts w:ascii="Times New Roman" w:cs="Times New Roman" w:eastAsia="Times New Roman" w:hAnsi="Times New Roman"/>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-7620</wp:posOffset>
            </wp:positionV>
            <wp:extent cx="989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89330" cy="8890"/>
                    </a:xfrm>
                    <a:prstGeom prst="rect">
                      <a:avLst/>
                    </a:prstGeom>
                    <a:noFill/>
                  </pic:spPr>
                </pic:pic>
              </a:graphicData>
            </a:graphic>
          </wp:anchor>
        </w:drawing>
      </w:r>
    </w:p>
    <w:p>
      <w:pPr>
        <w:spacing w:after="0" w:line="7" w:lineRule="exact"/>
        <w:rPr>
          <w:sz w:val="20"/>
          <w:szCs w:val="20"/>
          <w:color w:val="auto"/>
        </w:rPr>
      </w:pPr>
    </w:p>
    <w:p>
      <w:pPr>
        <w:ind w:left="4828"/>
        <w:spacing w:after="0"/>
        <w:rPr>
          <w:sz w:val="20"/>
          <w:szCs w:val="20"/>
          <w:color w:val="auto"/>
        </w:rPr>
      </w:pPr>
      <w:r>
        <w:rPr>
          <w:rFonts w:ascii="Times New Roman" w:cs="Times New Roman" w:eastAsia="Times New Roman" w:hAnsi="Times New Roman"/>
          <w:sz w:val="18"/>
          <w:szCs w:val="18"/>
          <w:color w:val="auto"/>
        </w:rPr>
        <w:t>Dennis W. Doll</w:t>
      </w:r>
    </w:p>
    <w:p>
      <w:pPr>
        <w:spacing w:after="0" w:line="9" w:lineRule="exact"/>
        <w:rPr>
          <w:sz w:val="20"/>
          <w:szCs w:val="20"/>
          <w:color w:val="auto"/>
        </w:rPr>
      </w:pPr>
    </w:p>
    <w:p>
      <w:pPr>
        <w:ind w:left="4528"/>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 May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297180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8"/>
          </w:cols>
          <w:pgMar w:left="572" w:top="117"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A. Bruce O’Connor, certify that:</w:t>
      </w:r>
    </w:p>
    <w:p>
      <w:pPr>
        <w:spacing w:after="0" w:line="225" w:lineRule="exact"/>
        <w:rPr>
          <w:sz w:val="20"/>
          <w:szCs w:val="20"/>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ind w:right="452"/>
        <w:spacing w:after="0"/>
        <w:rPr>
          <w:sz w:val="20"/>
          <w:szCs w:val="20"/>
          <w:color w:val="auto"/>
        </w:rPr>
      </w:pPr>
      <w:r>
        <w:rPr>
          <w:rFonts w:ascii="Times New Roman" w:cs="Times New Roman" w:eastAsia="Times New Roman" w:hAnsi="Times New Roman"/>
          <w:sz w:val="18"/>
          <w:szCs w:val="18"/>
          <w:u w:val="single" w:color="auto"/>
          <w:color w:val="auto"/>
        </w:rPr>
        <w:t>/s/ A. Bruce O’Connor</w:t>
      </w:r>
    </w:p>
    <w:p>
      <w:pPr>
        <w:spacing w:after="0" w:line="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Date: May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309245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8"/>
          </w:cols>
          <w:pgMar w:left="572" w:top="117"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-7620</wp:posOffset>
            </wp:positionV>
            <wp:extent cx="10179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Dennis W. Doll</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-7620</wp:posOffset>
            </wp:positionV>
            <wp:extent cx="12128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12850" cy="8890"/>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þ"/>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o"/>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2019-12-28T12:43:37Z</dcterms:created>
  <dcterms:modified xsi:type="dcterms:W3CDTF">2019-12-28T12:43:37Z</dcterms:modified>
</cp:coreProperties>
</file>