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980" w:hanging="531"/>
        <w:spacing w:after="0"/>
        <w:tabs>
          <w:tab w:leader="none" w:pos="9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214" w:lineRule="exact"/>
        <w:rPr>
          <w:rFonts w:ascii="Times New Roman" w:cs="Times New Roman" w:eastAsia="Times New Roman" w:hAnsi="Times New Roman"/>
          <w:sz w:val="17"/>
          <w:szCs w:val="17"/>
          <w:color w:val="auto"/>
        </w:rPr>
      </w:pPr>
    </w:p>
    <w:p>
      <w:pPr>
        <w:ind w:left="3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For the quarterly period ended June 30, 2019</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2780" w:right="1740" w:hanging="2367"/>
        <w:spacing w:after="0" w:line="501" w:lineRule="auto"/>
        <w:tabs>
          <w:tab w:leader="none" w:pos="98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_________________ to______________________</w:t>
      </w:r>
    </w:p>
    <w:p>
      <w:pPr>
        <w:jc w:val="center"/>
        <w:ind w:right="-19"/>
        <w:spacing w:after="0"/>
        <w:tabs>
          <w:tab w:leader="none" w:pos="220" w:val="left"/>
        </w:tabs>
        <w:rPr>
          <w:sz w:val="20"/>
          <w:szCs w:val="20"/>
          <w:color w:val="auto"/>
        </w:rPr>
      </w:pP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0-422</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MIDDLESEX WATER COMPANY</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536" w:right="239" w:bottom="1440" w:gutter="0" w:footer="0" w:header="0"/>
        </w:sectPr>
      </w:pPr>
    </w:p>
    <w:p>
      <w:pPr>
        <w:spacing w:after="0" w:line="16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New Jersey</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22-1114430</w:t>
      </w:r>
    </w:p>
    <w:p>
      <w:pPr>
        <w:spacing w:after="0" w:line="3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536" w:right="239" w:bottom="1440" w:gutter="0" w:footer="0" w:header="0"/>
          <w:type w:val="continuous"/>
        </w:sectPr>
      </w:pP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485C Route One South, Iselin, New Jersey 08830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(732) 634-1500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8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432"/>
        </w:trPr>
        <w:tc>
          <w:tcPr>
            <w:tcW w:w="46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8"/>
        </w:trPr>
        <w:tc>
          <w:tcPr>
            <w:tcW w:w="460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r>
      <w:tr>
        <w:trPr>
          <w:trHeight w:val="228"/>
        </w:trPr>
        <w:tc>
          <w:tcPr>
            <w:tcW w:w="46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Common Stock</w:t>
            </w:r>
          </w:p>
        </w:tc>
        <w:tc>
          <w:tcPr>
            <w:tcW w:w="25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MSEX</w:t>
            </w:r>
          </w:p>
        </w:tc>
        <w:tc>
          <w:tcPr>
            <w:tcW w:w="42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þ No </w:t>
      </w:r>
      <w:r>
        <w:rPr>
          <w:rFonts w:ascii="MS PGothic" w:cs="MS PGothic" w:eastAsia="MS PGothic" w:hAnsi="MS PGothic"/>
          <w:sz w:val="18"/>
          <w:szCs w:val="18"/>
          <w:color w:val="auto"/>
        </w:rPr>
        <w:t>☐</w:t>
      </w:r>
    </w:p>
    <w:p>
      <w:pPr>
        <w:spacing w:after="0" w:line="212" w:lineRule="exact"/>
        <w:rPr>
          <w:sz w:val="24"/>
          <w:szCs w:val="24"/>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spacing w:after="0" w:line="2"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þ No </w:t>
      </w:r>
      <w:r>
        <w:rPr>
          <w:rFonts w:ascii="MS PGothic" w:cs="MS PGothic" w:eastAsia="MS PGothic" w:hAnsi="MS PGothic"/>
          <w:sz w:val="18"/>
          <w:szCs w:val="18"/>
          <w:color w:val="auto"/>
        </w:rPr>
        <w:t>☐</w:t>
      </w:r>
    </w:p>
    <w:p>
      <w:pPr>
        <w:spacing w:after="0" w:line="212" w:lineRule="exact"/>
        <w:rPr>
          <w:sz w:val="24"/>
          <w:szCs w:val="24"/>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ectPr>
          <w:pgSz w:w="11900" w:h="16838" w:orient="portrait"/>
          <w:cols w:equalWidth="0" w:num="1">
            <w:col w:w="11420"/>
          </w:cols>
          <w:pgMar w:left="240" w:top="536" w:right="239" w:bottom="1440" w:gutter="0" w:footer="0" w:header="0"/>
          <w:type w:val="continuous"/>
        </w:sectPr>
      </w:pPr>
    </w:p>
    <w:p>
      <w:pPr>
        <w:spacing w:after="0" w:line="14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20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Accelerated filer þ</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ind w:firstLine="1638"/>
        <w:spacing w:after="0" w:line="250"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78" w:lineRule="exact"/>
        <w:rPr>
          <w:sz w:val="24"/>
          <w:szCs w:val="24"/>
          <w:color w:val="auto"/>
        </w:rPr>
      </w:pPr>
    </w:p>
    <w:p>
      <w:pPr>
        <w:sectPr>
          <w:pgSz w:w="11900" w:h="16838" w:orient="portrait"/>
          <w:cols w:equalWidth="0" w:num="3">
            <w:col w:w="4320" w:space="720"/>
            <w:col w:w="2300" w:space="720"/>
            <w:col w:w="3360"/>
          </w:cols>
          <w:pgMar w:left="240" w:top="536" w:right="239" w:bottom="1440" w:gutter="0" w:footer="0" w:header="0"/>
          <w:type w:val="continuous"/>
        </w:sect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7" w:lineRule="exact"/>
        <w:rPr>
          <w:sz w:val="24"/>
          <w:szCs w:val="24"/>
          <w:color w:val="auto"/>
        </w:rPr>
      </w:pPr>
    </w:p>
    <w:p>
      <w:pPr>
        <w:ind w:left="52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þ</w:t>
      </w:r>
    </w:p>
    <w:p>
      <w:pPr>
        <w:spacing w:after="0" w:line="11" w:lineRule="exact"/>
        <w:rPr>
          <w:sz w:val="24"/>
          <w:szCs w:val="24"/>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The number of shares outstanding of each of the registrant's classes of common stock, as of July 31, 2019: Common Stock, No Par Value: 16,568,090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INDEX</w:t>
            </w:r>
          </w:p>
        </w:tc>
        <w:tc>
          <w:tcPr>
            <w:tcW w:w="1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60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gridSpan w:val="9"/>
          </w:tcPr>
          <w:p>
            <w:pPr>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FINANCIAL INFORMATION</w:t>
              </w:r>
            </w:hyperlink>
          </w:p>
        </w:tc>
        <w:tc>
          <w:tcPr>
            <w:tcW w:w="5680" w:type="dxa"/>
            <w:vAlign w:val="bottom"/>
            <w:gridSpan w:val="11"/>
          </w:tcPr>
          <w:p>
            <w:pPr>
              <w:spacing w:after="0"/>
              <w:rPr>
                <w:sz w:val="24"/>
                <w:szCs w:val="24"/>
                <w:color w:val="auto"/>
              </w:rPr>
            </w:pPr>
          </w:p>
        </w:tc>
        <w:tc>
          <w:tcPr>
            <w:tcW w:w="2360" w:type="dxa"/>
            <w:vAlign w:val="bottom"/>
            <w:gridSpan w:val="3"/>
          </w:tcPr>
          <w:p>
            <w:pPr>
              <w:ind w:left="16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08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 (Unaudited):</w:t>
              </w:r>
            </w:hyperlink>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980" w:type="dxa"/>
            <w:vAlign w:val="bottom"/>
          </w:tcPr>
          <w:p>
            <w:pPr>
              <w:spacing w:after="0"/>
              <w:rPr>
                <w:sz w:val="24"/>
                <w:szCs w:val="24"/>
                <w:color w:val="auto"/>
              </w:rPr>
            </w:pPr>
          </w:p>
        </w:tc>
        <w:tc>
          <w:tcPr>
            <w:tcW w:w="808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Income</w:t>
              </w:r>
            </w:hyperlink>
          </w:p>
        </w:tc>
        <w:tc>
          <w:tcPr>
            <w:tcW w:w="212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4"/>
                <w:szCs w:val="24"/>
                <w:color w:val="auto"/>
              </w:rPr>
            </w:pPr>
          </w:p>
        </w:tc>
      </w:tr>
      <w:tr>
        <w:trPr>
          <w:trHeight w:val="412"/>
        </w:trPr>
        <w:tc>
          <w:tcPr>
            <w:tcW w:w="980" w:type="dxa"/>
            <w:vAlign w:val="bottom"/>
          </w:tcPr>
          <w:p>
            <w:pPr>
              <w:spacing w:after="0"/>
              <w:rPr>
                <w:sz w:val="24"/>
                <w:szCs w:val="24"/>
                <w:color w:val="auto"/>
              </w:rPr>
            </w:pPr>
          </w:p>
        </w:tc>
        <w:tc>
          <w:tcPr>
            <w:tcW w:w="294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Balance Sheets</w:t>
              </w:r>
            </w:hyperlink>
          </w:p>
        </w:tc>
        <w:tc>
          <w:tcPr>
            <w:tcW w:w="460" w:type="dxa"/>
            <w:vAlign w:val="bottom"/>
            <w:tcBorders>
              <w:top w:val="single" w:sz="8" w:color="0000EE"/>
            </w:tcBorders>
          </w:tcPr>
          <w:p>
            <w:pPr>
              <w:spacing w:after="0"/>
              <w:rPr>
                <w:sz w:val="24"/>
                <w:szCs w:val="24"/>
                <w:color w:val="auto"/>
              </w:rPr>
            </w:pPr>
          </w:p>
        </w:tc>
        <w:tc>
          <w:tcPr>
            <w:tcW w:w="4680" w:type="dxa"/>
            <w:vAlign w:val="bottom"/>
            <w:gridSpan w:val="8"/>
          </w:tcPr>
          <w:p>
            <w:pPr>
              <w:spacing w:after="0"/>
              <w:rPr>
                <w:sz w:val="24"/>
                <w:szCs w:val="24"/>
                <w:color w:val="auto"/>
              </w:rPr>
            </w:pPr>
          </w:p>
        </w:tc>
        <w:tc>
          <w:tcPr>
            <w:tcW w:w="212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4"/>
                <w:szCs w:val="24"/>
                <w:color w:val="auto"/>
              </w:rPr>
            </w:pPr>
          </w:p>
        </w:tc>
      </w:tr>
      <w:tr>
        <w:trPr>
          <w:trHeight w:val="412"/>
        </w:trPr>
        <w:tc>
          <w:tcPr>
            <w:tcW w:w="980" w:type="dxa"/>
            <w:vAlign w:val="bottom"/>
          </w:tcPr>
          <w:p>
            <w:pPr>
              <w:spacing w:after="0"/>
              <w:rPr>
                <w:sz w:val="24"/>
                <w:szCs w:val="24"/>
                <w:color w:val="auto"/>
              </w:rPr>
            </w:pPr>
          </w:p>
        </w:tc>
        <w:tc>
          <w:tcPr>
            <w:tcW w:w="37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Cash Flows</w:t>
              </w:r>
            </w:hyperlink>
          </w:p>
        </w:tc>
        <w:tc>
          <w:tcPr>
            <w:tcW w:w="4360" w:type="dxa"/>
            <w:vAlign w:val="bottom"/>
            <w:gridSpan w:val="7"/>
          </w:tcPr>
          <w:p>
            <w:pPr>
              <w:spacing w:after="0"/>
              <w:rPr>
                <w:sz w:val="24"/>
                <w:szCs w:val="24"/>
                <w:color w:val="auto"/>
              </w:rPr>
            </w:pPr>
          </w:p>
        </w:tc>
        <w:tc>
          <w:tcPr>
            <w:tcW w:w="212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4"/>
                <w:szCs w:val="24"/>
                <w:color w:val="auto"/>
              </w:rPr>
            </w:pPr>
          </w:p>
        </w:tc>
      </w:tr>
      <w:tr>
        <w:trPr>
          <w:trHeight w:val="412"/>
        </w:trPr>
        <w:tc>
          <w:tcPr>
            <w:tcW w:w="980" w:type="dxa"/>
            <w:vAlign w:val="bottom"/>
          </w:tcPr>
          <w:p>
            <w:pPr>
              <w:spacing w:after="0"/>
              <w:rPr>
                <w:sz w:val="24"/>
                <w:szCs w:val="24"/>
                <w:color w:val="auto"/>
              </w:rPr>
            </w:pPr>
          </w:p>
        </w:tc>
        <w:tc>
          <w:tcPr>
            <w:tcW w:w="8080" w:type="dxa"/>
            <w:vAlign w:val="bottom"/>
            <w:gridSpan w:val="20"/>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Capital Stock and Long-Term Debt</w:t>
              </w:r>
            </w:hyperlink>
          </w:p>
        </w:tc>
        <w:tc>
          <w:tcPr>
            <w:tcW w:w="212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980" w:type="dxa"/>
            <w:vAlign w:val="bottom"/>
          </w:tcPr>
          <w:p>
            <w:pPr>
              <w:spacing w:after="0"/>
              <w:rPr>
                <w:sz w:val="24"/>
                <w:szCs w:val="24"/>
                <w:color w:val="auto"/>
              </w:rPr>
            </w:pPr>
          </w:p>
        </w:tc>
        <w:tc>
          <w:tcPr>
            <w:tcW w:w="8080" w:type="dxa"/>
            <w:vAlign w:val="bottom"/>
            <w:gridSpan w:val="20"/>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Common Common Stockholders’ Equity</w:t>
              </w:r>
            </w:hyperlink>
          </w:p>
        </w:tc>
        <w:tc>
          <w:tcPr>
            <w:tcW w:w="212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4"/>
                <w:szCs w:val="24"/>
                <w:color w:val="auto"/>
              </w:rPr>
            </w:pPr>
          </w:p>
        </w:tc>
      </w:tr>
      <w:tr>
        <w:trPr>
          <w:trHeight w:val="412"/>
        </w:trPr>
        <w:tc>
          <w:tcPr>
            <w:tcW w:w="980" w:type="dxa"/>
            <w:vAlign w:val="bottom"/>
          </w:tcPr>
          <w:p>
            <w:pPr>
              <w:spacing w:after="0"/>
              <w:rPr>
                <w:sz w:val="24"/>
                <w:szCs w:val="24"/>
                <w:color w:val="auto"/>
              </w:rPr>
            </w:pPr>
          </w:p>
        </w:tc>
        <w:tc>
          <w:tcPr>
            <w:tcW w:w="582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Unaudited Condensed Consolidated Financial Statements</w:t>
              </w:r>
            </w:hyperlink>
          </w:p>
        </w:tc>
        <w:tc>
          <w:tcPr>
            <w:tcW w:w="2260" w:type="dxa"/>
            <w:vAlign w:val="bottom"/>
            <w:gridSpan w:val="2"/>
          </w:tcPr>
          <w:p>
            <w:pPr>
              <w:spacing w:after="0"/>
              <w:rPr>
                <w:sz w:val="24"/>
                <w:szCs w:val="24"/>
                <w:color w:val="auto"/>
              </w:rPr>
            </w:pPr>
          </w:p>
        </w:tc>
        <w:tc>
          <w:tcPr>
            <w:tcW w:w="212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080" w:type="dxa"/>
            <w:vAlign w:val="bottom"/>
            <w:gridSpan w:val="20"/>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12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w w:val="99"/>
              </w:rPr>
              <w:t>17</w:t>
            </w:r>
          </w:p>
        </w:tc>
        <w:tc>
          <w:tcPr>
            <w:tcW w:w="24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06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Quantitative and Qualitative Disclosures of Market Risk</w:t>
              </w:r>
            </w:hyperlink>
          </w:p>
        </w:tc>
        <w:tc>
          <w:tcPr>
            <w:tcW w:w="2380" w:type="dxa"/>
            <w:vAlign w:val="bottom"/>
            <w:tcBorders>
              <w:top w:val="single" w:sz="8" w:color="0000EE"/>
            </w:tcBorders>
            <w:gridSpan w:val="5"/>
          </w:tcPr>
          <w:p>
            <w:pPr>
              <w:spacing w:after="0"/>
              <w:rPr>
                <w:sz w:val="24"/>
                <w:szCs w:val="24"/>
                <w:color w:val="auto"/>
              </w:rPr>
            </w:pPr>
          </w:p>
        </w:tc>
        <w:tc>
          <w:tcPr>
            <w:tcW w:w="1640" w:type="dxa"/>
            <w:vAlign w:val="bottom"/>
          </w:tcPr>
          <w:p>
            <w:pPr>
              <w:spacing w:after="0"/>
              <w:rPr>
                <w:sz w:val="24"/>
                <w:szCs w:val="24"/>
                <w:color w:val="auto"/>
              </w:rPr>
            </w:pPr>
          </w:p>
        </w:tc>
        <w:tc>
          <w:tcPr>
            <w:tcW w:w="212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w w:val="99"/>
              </w:rPr>
              <w:t>25</w:t>
            </w:r>
          </w:p>
        </w:tc>
        <w:tc>
          <w:tcPr>
            <w:tcW w:w="24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Controls and Procedures</w:t>
              </w:r>
            </w:hyperlink>
          </w:p>
        </w:tc>
        <w:tc>
          <w:tcPr>
            <w:tcW w:w="6300" w:type="dxa"/>
            <w:vAlign w:val="bottom"/>
            <w:gridSpan w:val="14"/>
          </w:tcPr>
          <w:p>
            <w:pPr>
              <w:spacing w:after="0"/>
              <w:rPr>
                <w:sz w:val="24"/>
                <w:szCs w:val="24"/>
                <w:color w:val="auto"/>
              </w:rPr>
            </w:pPr>
          </w:p>
        </w:tc>
        <w:tc>
          <w:tcPr>
            <w:tcW w:w="212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w w:val="99"/>
              </w:rPr>
              <w:t>26</w:t>
            </w:r>
          </w:p>
        </w:tc>
        <w:tc>
          <w:tcPr>
            <w:tcW w:w="24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080" w:type="dxa"/>
            <w:vAlign w:val="bottom"/>
            <w:gridSpan w:val="20"/>
          </w:tcPr>
          <w:p>
            <w:pPr>
              <w:spacing w:after="0"/>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OTHER INFORMATION</w:t>
              </w:r>
            </w:hyperlink>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29">
              <w:r>
                <w:rPr>
                  <w:rFonts w:ascii="Times New Roman" w:cs="Times New Roman" w:eastAsia="Times New Roman" w:hAnsi="Times New Roman"/>
                  <w:sz w:val="18"/>
                  <w:szCs w:val="18"/>
                  <w:color w:val="0000EE"/>
                  <w:w w:val="98"/>
                </w:rPr>
                <w:t>Legal Proceedings</w:t>
              </w:r>
            </w:hyperlink>
          </w:p>
        </w:tc>
        <w:tc>
          <w:tcPr>
            <w:tcW w:w="680" w:type="dxa"/>
            <w:vAlign w:val="bottom"/>
            <w:tcBorders>
              <w:top w:val="single" w:sz="8" w:color="0000EE"/>
            </w:tcBorders>
            <w:gridSpan w:val="2"/>
          </w:tcPr>
          <w:p>
            <w:pPr>
              <w:spacing w:after="0"/>
              <w:rPr>
                <w:sz w:val="24"/>
                <w:szCs w:val="24"/>
                <w:color w:val="auto"/>
              </w:rPr>
            </w:pPr>
          </w:p>
        </w:tc>
        <w:tc>
          <w:tcPr>
            <w:tcW w:w="6060" w:type="dxa"/>
            <w:vAlign w:val="bottom"/>
            <w:gridSpan w:val="13"/>
          </w:tcPr>
          <w:p>
            <w:pPr>
              <w:spacing w:after="0"/>
              <w:rPr>
                <w:sz w:val="24"/>
                <w:szCs w:val="24"/>
                <w:color w:val="auto"/>
              </w:rPr>
            </w:pPr>
          </w:p>
        </w:tc>
        <w:tc>
          <w:tcPr>
            <w:tcW w:w="212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w w:val="99"/>
              </w:rPr>
              <w:t>26</w:t>
            </w:r>
          </w:p>
        </w:tc>
        <w:tc>
          <w:tcPr>
            <w:tcW w:w="24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080" w:type="dxa"/>
            <w:vAlign w:val="bottom"/>
            <w:gridSpan w:val="20"/>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Risk Factors</w:t>
              </w:r>
            </w:hyperlink>
          </w:p>
        </w:tc>
        <w:tc>
          <w:tcPr>
            <w:tcW w:w="212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w w:val="99"/>
              </w:rPr>
              <w:t>26</w:t>
            </w:r>
          </w:p>
        </w:tc>
        <w:tc>
          <w:tcPr>
            <w:tcW w:w="24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080" w:type="dxa"/>
            <w:vAlign w:val="bottom"/>
            <w:gridSpan w:val="20"/>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Unregistered Sales of Equity Securities and Use of Proceeds</w:t>
              </w:r>
            </w:hyperlink>
          </w:p>
        </w:tc>
        <w:tc>
          <w:tcPr>
            <w:tcW w:w="212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w w:val="99"/>
              </w:rPr>
              <w:t>26</w:t>
            </w:r>
          </w:p>
        </w:tc>
        <w:tc>
          <w:tcPr>
            <w:tcW w:w="24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Defaults upon Senior Securities</w:t>
              </w:r>
            </w:hyperlink>
          </w:p>
        </w:tc>
        <w:tc>
          <w:tcPr>
            <w:tcW w:w="3740" w:type="dxa"/>
            <w:vAlign w:val="bottom"/>
            <w:gridSpan w:val="5"/>
          </w:tcPr>
          <w:p>
            <w:pPr>
              <w:spacing w:after="0"/>
              <w:rPr>
                <w:sz w:val="24"/>
                <w:szCs w:val="24"/>
                <w:color w:val="auto"/>
              </w:rPr>
            </w:pPr>
          </w:p>
        </w:tc>
        <w:tc>
          <w:tcPr>
            <w:tcW w:w="212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w w:val="99"/>
              </w:rPr>
              <w:t>26</w:t>
            </w:r>
          </w:p>
        </w:tc>
        <w:tc>
          <w:tcPr>
            <w:tcW w:w="24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Mine Safety Disclosures</w:t>
              </w:r>
            </w:hyperlink>
          </w:p>
        </w:tc>
        <w:tc>
          <w:tcPr>
            <w:tcW w:w="500" w:type="dxa"/>
            <w:vAlign w:val="bottom"/>
            <w:tcBorders>
              <w:top w:val="single" w:sz="8" w:color="0000EE"/>
            </w:tcBorders>
            <w:gridSpan w:val="2"/>
          </w:tcPr>
          <w:p>
            <w:pPr>
              <w:spacing w:after="0"/>
              <w:rPr>
                <w:sz w:val="24"/>
                <w:szCs w:val="24"/>
                <w:color w:val="auto"/>
              </w:rPr>
            </w:pPr>
          </w:p>
        </w:tc>
        <w:tc>
          <w:tcPr>
            <w:tcW w:w="5800" w:type="dxa"/>
            <w:vAlign w:val="bottom"/>
            <w:gridSpan w:val="12"/>
          </w:tcPr>
          <w:p>
            <w:pPr>
              <w:spacing w:after="0"/>
              <w:rPr>
                <w:sz w:val="24"/>
                <w:szCs w:val="24"/>
                <w:color w:val="auto"/>
              </w:rPr>
            </w:pPr>
          </w:p>
        </w:tc>
        <w:tc>
          <w:tcPr>
            <w:tcW w:w="212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w w:val="99"/>
              </w:rPr>
              <w:t>26</w:t>
            </w:r>
          </w:p>
        </w:tc>
        <w:tc>
          <w:tcPr>
            <w:tcW w:w="24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29">
              <w:r>
                <w:rPr>
                  <w:rFonts w:ascii="Times New Roman" w:cs="Times New Roman" w:eastAsia="Times New Roman" w:hAnsi="Times New Roman"/>
                  <w:sz w:val="18"/>
                  <w:szCs w:val="18"/>
                  <w:color w:val="0000EE"/>
                  <w:w w:val="98"/>
                </w:rPr>
                <w:t>Other Information</w:t>
              </w:r>
            </w:hyperlink>
          </w:p>
        </w:tc>
        <w:tc>
          <w:tcPr>
            <w:tcW w:w="6760" w:type="dxa"/>
            <w:vAlign w:val="bottom"/>
            <w:gridSpan w:val="16"/>
          </w:tcPr>
          <w:p>
            <w:pPr>
              <w:spacing w:after="0"/>
              <w:rPr>
                <w:sz w:val="24"/>
                <w:szCs w:val="24"/>
                <w:color w:val="auto"/>
              </w:rPr>
            </w:pPr>
          </w:p>
        </w:tc>
        <w:tc>
          <w:tcPr>
            <w:tcW w:w="212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w w:val="99"/>
              </w:rPr>
              <w:t>26</w:t>
            </w:r>
          </w:p>
        </w:tc>
        <w:tc>
          <w:tcPr>
            <w:tcW w:w="24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80" w:type="dxa"/>
            <w:vAlign w:val="bottom"/>
            <w:gridSpan w:val="20"/>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Exhibits</w:t>
              </w:r>
            </w:hyperlink>
          </w:p>
        </w:tc>
        <w:tc>
          <w:tcPr>
            <w:tcW w:w="212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w w:val="99"/>
              </w:rPr>
              <w:t>27</w:t>
            </w:r>
          </w:p>
        </w:tc>
        <w:tc>
          <w:tcPr>
            <w:tcW w:w="24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80" w:type="dxa"/>
            <w:vAlign w:val="bottom"/>
            <w:gridSpan w:val="18"/>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9060" w:type="dxa"/>
            <w:vAlign w:val="bottom"/>
            <w:gridSpan w:val="21"/>
          </w:tcPr>
          <w:p>
            <w:pPr>
              <w:spacing w:after="0"/>
              <w:rPr>
                <w:rFonts w:ascii="Times New Roman" w:cs="Times New Roman" w:eastAsia="Times New Roman" w:hAnsi="Times New Roman"/>
                <w:sz w:val="18"/>
                <w:szCs w:val="18"/>
                <w:b w:val="1"/>
                <w:bCs w:val="1"/>
                <w:color w:val="0000EE"/>
              </w:rPr>
            </w:pPr>
            <w:hyperlink w:anchor="page31">
              <w:r>
                <w:rPr>
                  <w:rFonts w:ascii="Times New Roman" w:cs="Times New Roman" w:eastAsia="Times New Roman" w:hAnsi="Times New Roman"/>
                  <w:sz w:val="18"/>
                  <w:szCs w:val="18"/>
                  <w:b w:val="1"/>
                  <w:bCs w:val="1"/>
                  <w:color w:val="0000EE"/>
                </w:rPr>
                <w:t>SIGNATURES</w:t>
              </w:r>
            </w:hyperlink>
          </w:p>
        </w:tc>
        <w:tc>
          <w:tcPr>
            <w:tcW w:w="212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w w:val="99"/>
              </w:rPr>
              <w:t>28</w:t>
            </w:r>
          </w:p>
        </w:tc>
        <w:tc>
          <w:tcPr>
            <w:tcW w:w="240" w:type="dxa"/>
            <w:vAlign w:val="bottom"/>
          </w:tcPr>
          <w:p>
            <w:pPr>
              <w:spacing w:after="0"/>
              <w:rPr>
                <w:sz w:val="24"/>
                <w:szCs w:val="24"/>
                <w:color w:val="auto"/>
              </w:rPr>
            </w:pPr>
          </w:p>
        </w:tc>
      </w:tr>
      <w:tr>
        <w:trPr>
          <w:trHeight w:val="716"/>
        </w:trPr>
        <w:tc>
          <w:tcPr>
            <w:tcW w:w="9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5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18"/>
                <w:szCs w:val="18"/>
                <w:color w:val="auto"/>
              </w:rPr>
            </w:pPr>
          </w:p>
        </w:tc>
        <w:tc>
          <w:tcPr>
            <w:tcW w:w="24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33,393</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34,919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64,090</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16,781</w:t>
            </w: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16,825</w:t>
            </w:r>
          </w:p>
        </w:tc>
        <w:tc>
          <w:tcPr>
            <w:tcW w:w="2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32,901</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4,123</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3,736</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8,170</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Other Taxes</w:t>
            </w:r>
          </w:p>
        </w:tc>
        <w:tc>
          <w:tcPr>
            <w:tcW w:w="1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3,539</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3,637</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7,042</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24,443</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24,198</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48,113</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49,025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8,950</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10,721</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15,977</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643</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1,158</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571</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563</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785</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1,020</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Charges</w:t>
            </w:r>
          </w:p>
        </w:tc>
        <w:tc>
          <w:tcPr>
            <w:tcW w:w="1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1,788</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2,068</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2,988</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7,725</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9,438</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14,009</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763</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8,146</w:t>
            </w: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8,675</w:t>
            </w:r>
          </w:p>
        </w:tc>
        <w:tc>
          <w:tcPr>
            <w:tcW w:w="2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14,696</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Preferred Stock Dividend Requirements</w:t>
            </w:r>
          </w:p>
        </w:tc>
        <w:tc>
          <w:tcPr>
            <w:tcW w:w="1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72</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8,110</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8,639</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14,624</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of Common Stock:</w:t>
            </w: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0.49</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0.89</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0.49</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0.88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Average Number of</w:t>
            </w: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Shares Outstanding :</w:t>
            </w: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16,519</w:t>
            </w: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16,388</w:t>
            </w:r>
          </w:p>
        </w:tc>
        <w:tc>
          <w:tcPr>
            <w:tcW w:w="2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16,474</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16,675</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16,544</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16,630</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Paid per Common Share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0.2400</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0.2238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0.4800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0.4475</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3" w:name="page4"/>
    <w:bookmarkEnd w:id="3"/>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UTILITY PLANT:</w:t>
            </w:r>
          </w:p>
        </w:tc>
        <w:tc>
          <w:tcPr>
            <w:tcW w:w="56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Water Production</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157,634</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Transmission and Distribution</w:t>
            </w:r>
          </w:p>
        </w:tc>
        <w:tc>
          <w:tcPr>
            <w:tcW w:w="11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525,843</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w:t>
            </w: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78,442</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5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1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56,215</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818,134</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5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163,890</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UTILITY PLANT - NET</w:t>
            </w: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654,244</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618,487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2,990</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11,756</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Unbilled Revenues</w:t>
            </w: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8,245</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Materials and Supplies (at average cost)</w:t>
            </w:r>
          </w:p>
        </w:tc>
        <w:tc>
          <w:tcPr>
            <w:tcW w:w="11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5,375</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6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Prepayments</w:t>
            </w:r>
          </w:p>
        </w:tc>
        <w:tc>
          <w:tcPr>
            <w:tcW w:w="1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3,917</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11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32,283</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auto"/>
            </w:tcBorders>
            <w:shd w:val="clear" w:color="auto" w:fill="CCEEFF"/>
          </w:tcPr>
          <w:p>
            <w:pPr>
              <w:spacing w:after="0"/>
              <w:rPr>
                <w:sz w:val="18"/>
                <w:szCs w:val="18"/>
                <w:color w:val="auto"/>
              </w:rPr>
            </w:pPr>
          </w:p>
        </w:tc>
        <w:tc>
          <w:tcPr>
            <w:tcW w:w="56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CHARGES</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11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6,323</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AND OTHER ASSETS:</w:t>
            </w:r>
          </w:p>
        </w:tc>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Preliminary Survey and Investigation Charges</w:t>
            </w: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2,116</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Assets</w:t>
            </w:r>
          </w:p>
        </w:tc>
        <w:tc>
          <w:tcPr>
            <w:tcW w:w="11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99,130</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1,170</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Non-utility Assets - Net</w:t>
            </w:r>
          </w:p>
        </w:tc>
        <w:tc>
          <w:tcPr>
            <w:tcW w:w="11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10,322</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6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1,983</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5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DEFERRED CHARGES AND OTHER ASSETS</w:t>
            </w:r>
          </w:p>
        </w:tc>
        <w:tc>
          <w:tcPr>
            <w:tcW w:w="1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121,044</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118,528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6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807,571</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767,830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CAPITALIZATION AND LIABILITIES</w:t>
            </w:r>
          </w:p>
        </w:tc>
        <w:tc>
          <w:tcPr>
            <w:tcW w:w="1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165,138</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6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1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98,146</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5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COMMON EQUITY</w:t>
            </w:r>
          </w:p>
        </w:tc>
        <w:tc>
          <w:tcPr>
            <w:tcW w:w="1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263,284</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248,787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Preferred Stock</w:t>
            </w: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2,433</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5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1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163,574</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152,851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CAPITALIZATION</w:t>
            </w: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429,291</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7,353</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Notes Payable</w:t>
            </w:r>
          </w:p>
        </w:tc>
        <w:tc>
          <w:tcPr>
            <w:tcW w:w="11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59,400</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18,056</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Taxes</w:t>
            </w:r>
          </w:p>
        </w:tc>
        <w:tc>
          <w:tcPr>
            <w:tcW w:w="11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12,390</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Interest</w:t>
            </w: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1,279</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Unearned Revenues and Advanced Service Fees</w:t>
            </w:r>
          </w:p>
        </w:tc>
        <w:tc>
          <w:tcPr>
            <w:tcW w:w="11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1,047</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6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3,007</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102,532</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bottom w:val="single" w:sz="8" w:color="auto"/>
            </w:tcBorders>
            <w:gridSpan w:val="2"/>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 (Note 7)</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auto"/>
            </w:tcBorders>
            <w:shd w:val="clear" w:color="auto" w:fill="CCEEFF"/>
          </w:tcPr>
          <w:p>
            <w:pPr>
              <w:spacing w:after="0"/>
              <w:rPr>
                <w:sz w:val="18"/>
                <w:szCs w:val="18"/>
                <w:color w:val="auto"/>
              </w:rPr>
            </w:pPr>
          </w:p>
        </w:tc>
        <w:tc>
          <w:tcPr>
            <w:tcW w:w="56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CREDITS</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 Advances for Construction</w:t>
            </w:r>
          </w:p>
        </w:tc>
        <w:tc>
          <w:tcPr>
            <w:tcW w:w="11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23,389</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AND OTHER LIABILITIES: </w:t>
            </w:r>
            <w:r>
              <w:rPr>
                <w:rFonts w:ascii="Times New Roman" w:cs="Times New Roman" w:eastAsia="Times New Roman" w:hAnsi="Times New Roman"/>
                <w:sz w:val="18"/>
                <w:szCs w:val="18"/>
                <w:color w:val="auto"/>
              </w:rPr>
              <w:t>Operating Lease Obligation</w:t>
            </w: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6,084</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Deferred Income Taxes</w:t>
            </w:r>
          </w:p>
        </w:tc>
        <w:tc>
          <w:tcPr>
            <w:tcW w:w="11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48,617</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Employee Benefit Plans</w:t>
            </w: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29,310</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Liabilities</w:t>
            </w:r>
          </w:p>
        </w:tc>
        <w:tc>
          <w:tcPr>
            <w:tcW w:w="11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73,957</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6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2,612</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DEFERRED CREDITS AND OTHER LIABILITIES</w:t>
            </w:r>
          </w:p>
        </w:tc>
        <w:tc>
          <w:tcPr>
            <w:tcW w:w="11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183,969</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bottom w:val="single" w:sz="8" w:color="auto"/>
            </w:tcBorders>
            <w:gridSpan w:val="2"/>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CONTRIBUTIONS IN AID OF CONSTRUCTION</w:t>
            </w:r>
          </w:p>
        </w:tc>
        <w:tc>
          <w:tcPr>
            <w:tcW w:w="11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91,779</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87,051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Borders>
              <w:top w:val="single" w:sz="8" w:color="CCEEFF"/>
              <w:bottom w:val="single" w:sz="8" w:color="auto"/>
            </w:tcBorders>
            <w:shd w:val="clear" w:color="auto" w:fill="CCEEFF"/>
          </w:tcPr>
          <w:p>
            <w:pPr>
              <w:spacing w:after="0"/>
              <w:rPr>
                <w:sz w:val="18"/>
                <w:szCs w:val="18"/>
                <w:color w:val="auto"/>
              </w:rPr>
            </w:pPr>
          </w:p>
        </w:tc>
        <w:tc>
          <w:tcPr>
            <w:tcW w:w="56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CAPITALIZATION AND LIABILITIES</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807,571</w:t>
            </w:r>
          </w:p>
        </w:tc>
        <w:tc>
          <w:tcPr>
            <w:tcW w:w="3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767,830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420"/>
          </w:cols>
          <w:pgMar w:left="240" w:top="216" w:right="239" w:bottom="144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4" w:name="page5"/>
    <w:bookmarkEnd w:id="4"/>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7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14,696</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8,455</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Deferred Income Taxes and Investment Tax Credits</w:t>
            </w:r>
          </w:p>
        </w:tc>
        <w:tc>
          <w:tcPr>
            <w:tcW w:w="1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(5,075)</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Portion of Allowance for Funds Used During Construction (AFUDC)</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(775)</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1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703</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Unbilled Revenues</w:t>
            </w:r>
          </w:p>
        </w:tc>
        <w:tc>
          <w:tcPr>
            <w:tcW w:w="1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(952)</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Materials &amp; Supplies</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Prepayments</w:t>
            </w:r>
          </w:p>
        </w:tc>
        <w:tc>
          <w:tcPr>
            <w:tcW w:w="1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(1,273)</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(1,269)</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Taxes</w:t>
            </w:r>
          </w:p>
        </w:tc>
        <w:tc>
          <w:tcPr>
            <w:tcW w:w="1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(1,840)</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Benefit Plans</w:t>
            </w:r>
          </w:p>
        </w:tc>
        <w:tc>
          <w:tcPr>
            <w:tcW w:w="1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(2,804)</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Unearned Revenue &amp; Advanced Service Fees</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1,911</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11,620</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Utility Plant Expenditures, Including AFUDC of $383 in 2019, $125 in 2018</w:t>
            </w:r>
          </w:p>
        </w:tc>
        <w:tc>
          <w:tcPr>
            <w:tcW w:w="1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(35,698)</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(35,698)</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 of Long-term Debt</w:t>
            </w:r>
          </w:p>
        </w:tc>
        <w:tc>
          <w:tcPr>
            <w:tcW w:w="1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(2,356)</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13,217</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Short-term Bank Borrowings</w:t>
            </w:r>
          </w:p>
        </w:tc>
        <w:tc>
          <w:tcPr>
            <w:tcW w:w="1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10,900</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Debt Issuance Expense</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Issuance Expense</w:t>
            </w:r>
          </w:p>
        </w:tc>
        <w:tc>
          <w:tcPr>
            <w:tcW w:w="1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7,081</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Common Dividends</w:t>
            </w:r>
          </w:p>
        </w:tc>
        <w:tc>
          <w:tcPr>
            <w:tcW w:w="1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(7,906)</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of Preferred Dividends</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Construction Advances and Contributions-Net</w:t>
            </w:r>
          </w:p>
        </w:tc>
        <w:tc>
          <w:tcPr>
            <w:tcW w:w="1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1,719</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22,577</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CASH AND CASH EQUIVALENTS</w:t>
            </w:r>
          </w:p>
        </w:tc>
        <w:tc>
          <w:tcPr>
            <w:tcW w:w="1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5,661</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4,160</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ACTIVITY:</w:t>
            </w: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Utility Plant received as Construction Advances and Contributions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3,825</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 term Debt Deobligation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FLOWS INFORMATION:</w:t>
            </w: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3,401</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Capitalized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383</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5,842</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420"/>
          </w:cols>
          <w:pgMar w:left="240" w:top="216" w:right="239" w:bottom="144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5" w:name="page6"/>
    <w:bookmarkEnd w:id="5"/>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18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8"/>
              </w:rPr>
              <w:t>MIDDLESEX WATER COMPANY</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28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CAPITAL STOCK AND LONG-TERM DEBT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18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18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tcPr>
          <w:p>
            <w:pPr>
              <w:spacing w:after="0"/>
              <w:rPr>
                <w:sz w:val="20"/>
                <w:szCs w:val="20"/>
                <w:color w:val="auto"/>
              </w:rPr>
            </w:pPr>
          </w:p>
        </w:tc>
        <w:tc>
          <w:tcPr>
            <w:tcW w:w="10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20"/>
                <w:szCs w:val="20"/>
                <w:color w:val="auto"/>
              </w:rPr>
            </w:pPr>
          </w:p>
        </w:tc>
        <w:tc>
          <w:tcPr>
            <w:tcW w:w="1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6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Authorized -</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40,000</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Outstanding -</w:t>
            </w: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2019 - 16,554; 2018 - 16,403</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165,138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157,354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6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98,146</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COMMON EQUITY</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263,284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248,787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 Preferred Stock, No Par Value:</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Authorized - 126</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Outstanding - 23</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Convertible:</w:t>
            </w:r>
          </w:p>
        </w:tc>
        <w:tc>
          <w:tcPr>
            <w:tcW w:w="6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Outstanding, $7.00 Series - 10</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1,005</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Outstanding, $8.00 Series - 3</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Nonredeemable:</w:t>
            </w:r>
          </w:p>
        </w:tc>
        <w:tc>
          <w:tcPr>
            <w:tcW w:w="6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Outstanding, $7.00 Series -  1</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Shares Outstanding, $4.75 Series - 10</w:t>
            </w:r>
          </w:p>
        </w:tc>
        <w:tc>
          <w:tcPr>
            <w:tcW w:w="10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PREFERRED STOCK</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8.05%, Amortizing Secured Note, due December 20, 2021</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6.25%, Amortizing Secured Note, due May 19, 2028</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3,745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6.44%, Amortizing Secured Note, due August 25, 2030</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3,127</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6.46%, Amortizing Secured Note, due September 19, 2031</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3,407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4.22%, State Revolving Trust Note, due December 31, 2022</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3.60%, State Revolving Trust Note, due May 1, 2025</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1,519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3.30% State Revolving Trust Note, due March 1, 2026</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330</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3.49%, State Revolving Trust Note, due January 25, 2027</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4.03%, State Revolving Trust Note, due December 1, 2026</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474</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4.00% to 5.00%, State Revolving Trust Bond, due August 1, 2021</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0.00%, State Revolving Fund Bond, due August 1, 2021</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3.64%, State Revolving Trust Note, due July 1, 2028</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3.64%, State Revolving Trust Note, due January 1, 2028</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73</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3.45%, State Revolving Trust Note, due August 1, 2031</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6.59%, Amortizing Secured Note, due April 20, 2029</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3,430</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7.05%, Amortizing Secured Note, due January 20, 2030</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2,646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5.69%, Amortizing Secured Note, due January 20, 2030</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5,427</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4.45%, Amortizing Secured Note, due April 20, 2040</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9,167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4.47%, Amortizing Secured Note, due April 20, 2040</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3,401</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3.75%, State Revolving Trust Note, due July 1, 2031</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1,892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2.00%, State Revolving Trust Note, due February 1, 2036</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1,039</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3.75%, State Revolving Trust Note, due November 30, 2030</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990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0.00% Construction Loans</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29,726</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First Mortgage Bonds:</w:t>
            </w:r>
          </w:p>
        </w:tc>
        <w:tc>
          <w:tcPr>
            <w:tcW w:w="6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Z, due August 1, 2019</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113</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5.25% to 5.75%, Series AA, due August 1, 2019</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BB, due August 1, 2021</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354</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4.00% to 5.00%, Series CC, due August 1, 2021</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EE, due August 1, 2023</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1,818</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3.00% to 5.50%, Series FF, due August 1, 2024</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2,980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GG, due August 1, 2026</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710</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4.00% to 5.00%, Series HH, due August 1, 2026</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795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II, due August 1, 2024</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506</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3.40% to 5.00%, Series JJ, due August 1, 2027</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KK, due August 1, 2028</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880</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5.00% to 5.50%, Series LL, due August 1, 2028</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1,010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MM, due August 1, 2030</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1,103</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3.00% to 4.375%, Series NN, due August 1, 2030</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1,285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OO, due August 1, 2031</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1,906</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2.00% to 5.00%, Series PP, due August 1, 2031</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5.00%, Series QQ, due October 1, 2023</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9,915</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3.80%, Series RR, due October 1, 2038</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22,500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4.25%, Series SS, due October 1, 2047</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23,000</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0.00%, Series TT, due August 1, 2032</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2,057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3.00% to 3.25%, Series UU, due August 1, 2032</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800</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0.00%, Series VV, due August 1, 2033</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2,099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3.00% to 5.00%, Series WW, due August 1, 2033</w:t>
            </w:r>
          </w:p>
        </w:tc>
        <w:tc>
          <w:tcPr>
            <w:tcW w:w="10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795</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0.00%, Series XX, due August 1, 2047</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10,880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11,006</w:t>
            </w: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3.00% to 5.00%, Series YY, due August 1, 2047</w:t>
            </w:r>
          </w:p>
        </w:tc>
        <w:tc>
          <w:tcPr>
            <w:tcW w:w="28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3,860</w:t>
            </w:r>
          </w:p>
        </w:tc>
        <w:tc>
          <w:tcPr>
            <w:tcW w:w="4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3,860</w:t>
            </w:r>
          </w:p>
        </w:tc>
      </w:tr>
      <w:tr>
        <w:trPr>
          <w:trHeight w:val="216"/>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0.00%, Series 2018A, due August 1, 2047</w:t>
            </w: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6,837</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6,917</w:t>
            </w:r>
          </w:p>
        </w:tc>
      </w:tr>
      <w:tr>
        <w:trPr>
          <w:trHeight w:val="216"/>
        </w:trPr>
        <w:tc>
          <w:tcPr>
            <w:tcW w:w="63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3.00%-5.00%, Series 2018B, due August 1, 2047</w:t>
            </w:r>
          </w:p>
        </w:tc>
        <w:tc>
          <w:tcPr>
            <w:tcW w:w="2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2,365</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2,365</w:t>
            </w:r>
          </w:p>
        </w:tc>
      </w:tr>
      <w:tr>
        <w:trPr>
          <w:trHeight w:val="210"/>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 LONG-TERM DEBT</w:t>
            </w: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173,634</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162,904</w:t>
            </w:r>
          </w:p>
        </w:tc>
      </w:tr>
      <w:tr>
        <w:trPr>
          <w:trHeight w:val="216"/>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 Premium on Issuance of Long-term Debt</w:t>
            </w:r>
          </w:p>
        </w:tc>
        <w:tc>
          <w:tcPr>
            <w:tcW w:w="28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1,150</w:t>
            </w:r>
          </w:p>
        </w:tc>
        <w:tc>
          <w:tcPr>
            <w:tcW w:w="4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1,259</w:t>
            </w: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Debt Expense</w:t>
            </w: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(3,857)</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r>
      <w:tr>
        <w:trPr>
          <w:trHeight w:val="216"/>
        </w:trPr>
        <w:tc>
          <w:tcPr>
            <w:tcW w:w="6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(7,353)</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w:t>
            </w:r>
          </w:p>
        </w:tc>
      </w:tr>
      <w:tr>
        <w:trPr>
          <w:trHeight w:val="210"/>
        </w:trPr>
        <w:tc>
          <w:tcPr>
            <w:tcW w:w="63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28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163,574</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152,851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COMMON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2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2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Stock</w:t>
            </w:r>
          </w:p>
        </w:tc>
        <w:tc>
          <w:tcPr>
            <w:tcW w:w="30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Retained</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4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Shares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Amount</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Earnings</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2018</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April 1, 2018</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16,358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155,580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74,855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8,675</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 Reinvestment &amp; Common Stock Purchase Plan</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Award, Net - Employees</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Award - Board Of Directors</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Forefeited</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Dividends on Common Stock</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June 30, 2018</w:t>
            </w: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16,392</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156,251</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79,828</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236,079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2018</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2018</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16,352</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155,120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74,056</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13,169</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 Reinvestment &amp; Common Stock Purchase Plan</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Award, Net - Employees</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Award - Board Of Directors</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Forefeited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Dividends on Common Stock</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2018</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16,392</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156,251</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79,828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236,079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2019</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April 1, 2019</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16,451</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160,142</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94,000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8,146</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 Reinvestment &amp; Common Stock Purchase Plan</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4,522</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Award, Net - Employees</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Award - Board Of Directors</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Dividends on Common Stock</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16,554</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165,138</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98,146</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263,284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2019</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16,403</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157,354</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91,433</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14,696</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 Reinvestment &amp; Common Stock Purchase Plan</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7,081</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Award, Net - Employees</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Award - Board Of Directors</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Dividends on Common Stock</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Expenses</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16,554</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165,138</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98,146</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263,284</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8" w:name="page9"/>
    <w:bookmarkEnd w:id="8"/>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Recent Developments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Middlesex Water Company (Middlesex or the Company) is the parent company and sole shareholder of Tidewater Utilities, Inc. (Tidewater), Tidewater Environmental Services, Inc. (TESI), Pinelands Water Company (Pinelands Water) and Pinelands Wastewater Company (Pinelands Wastewater) (collectively, Pinelands), Utility Service Affiliates, Inc. (USA), Utility Service Affiliates (Perth Amboy) Inc. (USA-PA), and Twin Lakes Utilities, Inc. (Twin Lakes). Southern Shores Water Company, LLC (Southern Shores) and White Marsh Environmental Systems, Inc. (White Marsh) are wholly-owned subsidiaries of Tidewater. The financial statements for Middlesex and its wholly-owned subsidiaries (the Company) are reported on a consolidated basis. All significant intercompany accounts and transactions have been eliminated.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notes within the 2018 Annual Report on Form 10-K (2018 Form 10-K) are applicable to these financial statements and, in the opinion of the Company, the accompanying unaudited condensed consolidated financial statements contain all adjustments necessary (including normal recurring accruals) to present fairly the financial position as of June 30, 2019 and the results of operations and cash flows for the three month and six month periods ended June 30, 2019 and 2018. Information included in the Condensed Consolidated Balance Sheet as of December 31, 2018, has been derived from the Company’s audited financial statements for the year ended December 31, 2018 included in the 2018 Form 10-K.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Leases - </w:t>
      </w:r>
      <w:r>
        <w:rPr>
          <w:rFonts w:ascii="Times New Roman" w:cs="Times New Roman" w:eastAsia="Times New Roman" w:hAnsi="Times New Roman"/>
          <w:sz w:val="18"/>
          <w:szCs w:val="18"/>
          <w:color w:val="auto"/>
        </w:rPr>
        <w:t>On January 1, 2019, the Company adopted Financial Accounting Standards Board (FASB) issued guidance related to leases which required lessees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recognize a lease liability and a right-of-use asset. The Company elected the optional transition method of adoption option to apply the requirements of the standard in the period of adoption with no restatement of prior periods. The Company utilized the package of transition practical expedients provided by the new guidance, including carrying forward prior conclusions related to contracts that contain leases and lease classification. The Company also utilized the transition practical expedient permitting entities to forgo the evaluation of existing land easement arrangements to determine if they contain a lease. Land easement arrangements, or modifications to existing arrangements, entered into after adoption of this guidance will need to be evaluated to determine if they meet the definition of a lease. The adoption of this guidance resulted in the recording of a $6.7 million right-of-use asset, a $7.1 million lease liability and a $0.4 million regulatory asset on the Company’s consolidated balance sheet as of January 1, 2019. For further discussion, see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Note 7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other new adopted or proposed accounting guidance that the Company is aware of that could have a material impact on the Company’s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Rate and Regulatory Matters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Middlesex – </w:t>
      </w:r>
      <w:r>
        <w:rPr>
          <w:rFonts w:ascii="Times New Roman" w:cs="Times New Roman" w:eastAsia="Times New Roman" w:hAnsi="Times New Roman"/>
          <w:sz w:val="18"/>
          <w:szCs w:val="18"/>
          <w:color w:val="auto"/>
        </w:rPr>
        <w:t>In December 2018, the New Jersey Board of Public Utilities (NJBPU) approved Middlesex’s petition to establish its Purchased Water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 Clause (PWAC) tariff rate to recover additional annual costs of less than $0.1 million, primarily for the purchase of treated water from a non-affiliated water utility regulated by the NJBPU. A PWAC is a rate mechanism that allows for recovery of increased purchased water costs between base rate case filings. The PWAC is reset to zero once those increased costs are included in base rates. The PWAC tariff rate became effective on January 1, 2019.</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Tidewater - </w:t>
      </w:r>
      <w:r>
        <w:rPr>
          <w:rFonts w:ascii="Times New Roman" w:cs="Times New Roman" w:eastAsia="Times New Roman" w:hAnsi="Times New Roman"/>
          <w:sz w:val="18"/>
          <w:szCs w:val="18"/>
          <w:color w:val="auto"/>
        </w:rPr>
        <w:t>Effective July 1, 2019, Tidewater reset its Delaware Public Service Commission (DEPSC) approved Distribution System Improvement Charge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which is expected to generate revenues of approximately $0.5 million annually.</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9" w:name="page10"/>
    <w:bookmarkEnd w:id="9"/>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2019, Tidewater received approval from the DEPSC to reduce its rates, effective March 1, 2019, to reflect the lower corporate income tax rate enacted by the Tax Cuts and Jobs Act of 2017 (Tax Act), resulting in an overall rate decrease of 3.35%, or $1.0 million of revenues, on an annual basis. The DEPSC also approved a one-time credit of $0.7 million to customers’ accounts related to the lower corporate income tax rate.</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Pinelands - </w:t>
      </w:r>
      <w:r>
        <w:rPr>
          <w:rFonts w:ascii="Times New Roman" w:cs="Times New Roman" w:eastAsia="Times New Roman" w:hAnsi="Times New Roman"/>
          <w:sz w:val="18"/>
          <w:szCs w:val="18"/>
          <w:color w:val="auto"/>
        </w:rPr>
        <w:t>In March 2019, Pinelands Water and Pinelands Wastewater filed separate petitions with the NJBPU seeking permission to increase base rates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$0.2 million and $0.5 million per year, respectively. These requests were necessitated by capital infrastructure investments both companies have made, or have committed to make, and increased operations and maintenance costs. We cannot predict whether the NJBPU will ultimately approve, deny, or reduce the amount of the requests. A decision by the NJBPU in either matter is not expected before the fourth quarter of 2019.</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Twin Lakes - </w:t>
      </w:r>
      <w:r>
        <w:rPr>
          <w:rFonts w:ascii="Times New Roman" w:cs="Times New Roman" w:eastAsia="Times New Roman" w:hAnsi="Times New Roman"/>
          <w:sz w:val="18"/>
          <w:szCs w:val="18"/>
          <w:color w:val="auto"/>
        </w:rPr>
        <w:t>In July 2019, Twin Lakes filed a petition with the Pennsylvania Public Utilities Commission (PAPUC) seeking permission to increase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rates by approximately $0.2 million per year. This request was necessitated by capital infrastructure investments Twin Lakes has made, or has committed to make, and increased operations and maintenance costs. We cannot predict whether the PAPUC will ultimately approve, deny, or reduce the amount of the request. A decision by the PAPUC is not expected before the first quarter of 2020.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Capitalization</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Common Stock - </w:t>
      </w:r>
      <w:r>
        <w:rPr>
          <w:rFonts w:ascii="Times New Roman" w:cs="Times New Roman" w:eastAsia="Times New Roman" w:hAnsi="Times New Roman"/>
          <w:sz w:val="18"/>
          <w:szCs w:val="18"/>
          <w:color w:val="auto"/>
        </w:rPr>
        <w:t>During the six months ended June 30, 2019 and 2018, there were 129,675 common shares ($7.1 million) and 15,026 common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$0.6 million), respectively, issued under the Middlesex Water Company Investment Plan (Investment Plan). On January 2, 2019, the Company began offering shares of its common stock for purchase at a 5% discount to participants in the Investment Plan. The discount offering will continue until 200,000 shares are purchased at the discounted price or December 30, 2019, whichever event occurs first. The discount applies to all common stock purchases made under the Investment Plan, whether by optional cash payment or by dividend reinvestment.</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2019, Middlesex received approval from the NJBPU to issue and sell up to 1,500,000 shares of its common stock in one or more transactions through December 31, 2022. Sales of additional shares of common stock are part of the Company’s comprehensive financing plan to fund its multi-year utility plant infrastructure investment program. As described below in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 NJBPU approved the New Jersey Economic Development Authority (NJEDA) debt funding component of the financing plan.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Long-term Debt - </w:t>
      </w:r>
      <w:r>
        <w:rPr>
          <w:rFonts w:ascii="Times New Roman" w:cs="Times New Roman" w:eastAsia="Times New Roman" w:hAnsi="Times New Roman"/>
          <w:sz w:val="18"/>
          <w:szCs w:val="18"/>
          <w:color w:val="auto"/>
        </w:rPr>
        <w:t>Subject to regulatory approval, the Company periodically issues long-term debt to fund its investments in utility plant and other assets.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possible, the Company finances qualifying capital projects under State Revolving Fund (SRF) loan programs in New Jersey and Delaware. These government programs provide financing at interest rates that are typically below rates available in the broader financial markets. A portion of the borrowings under the New Jersey SRF is interest-free. Under the New Jersey SRF program, borrowers first enter into a construction loan agreement with the New Jersey Infrastructure Bank (NJIB) at a below market interest rate. The current interest rate on construction loan borrowings is zero percent (0%).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 The current term of the long-term loans offered through the NJIB is up to thirty years. The current portion of the principal balance having a stated interest rate of zero percent (0%) is 75% with the remaining portion of 25% having a market based interest rate.</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0" w:name="page11"/>
    <w:bookmarkEnd w:id="10"/>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00" w:lineRule="exact"/>
        <w:rPr>
          <w:sz w:val="20"/>
          <w:szCs w:val="20"/>
          <w:color w:val="auto"/>
        </w:rPr>
      </w:pPr>
    </w:p>
    <w:p>
      <w:pPr>
        <w:spacing w:after="0" w:line="2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NJIB generally schedules its long-term debt financings in May and November. Middlesex currently has two projects that are in the construction loan phase of New Jersey SRF program:</w:t>
      </w:r>
    </w:p>
    <w:p>
      <w:pPr>
        <w:spacing w:after="0" w:line="162" w:lineRule="exact"/>
        <w:rPr>
          <w:sz w:val="20"/>
          <w:szCs w:val="20"/>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2018, the NJBPU approved Middlesex’s request to participate in the NJIB loan program to fund the construction of a large-diameter transmission pipeline from the CJO water treatment plant and interconnect with our distribution system. Middlesex closed on a $43.5 million NJIB interest-free construction loan in August 2018. Through June 30, 2019, Middlesex has drawn a total of $22.5 million and expects to draw down the remaining proceeds through the first quarter of 2020.</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2018, the NJBPU approved Middlesex’s request to borrow up to $14.0 million under the NJIB program to fund the 2018 RENEW Program, which is an ongoing initiative to eliminate all unlined water distribution mains in the Middlesex system. Middlesex closed on an $8.7 million NJIB construction loan in September 2018. Through June 30, 2019, Middlesex has drawn a total of $7.2 million and expects to draw the remaining proceeds during the remainder of 2019. The NJIB has informed the Company that the RENEW 2018 interest-free construction loan is scheduled for the May 2020 long-term debt financing program.</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2018, Middlesex repaid its $9.5 million RENEW 2017 interest-free construction loan by issuing to the NJIB first mortgage bonds designated as Series 2018A ($7.1 million) and Series 2018B ($2.4 million). The interest rate on the Series 2018A bond is zero and the interest rate on the Series 2018B bond ranges between 3.0% and 5.0%. Through June 30, 2019, Middlesex has drawn a total of $8.9 million and expects to finish drawing on this loan during the third quarter of 2019. The final maturity date for both bonds is August 1, 2047, with scheduled debt service payments over the life of the loans.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help ensure adherence to its comprehensive financing plan, Middlesex received approval from the NJBPU in February 2019 to issue and sell up to $140 million of First Mortgage Bonds (FMB) through the NJEDA in one or more transactions through December 31, 2022. Because the interest paid to the bondholders is exempt from federal and New Jersey income taxes, the interest rate on FMB issued through the NJEDA is generally lower than otherwise achievable in the traditional taxable corporate bond market. However, the interest is subject to the Alternative Minimum Tax. Middlesex has selected an underwriter to market and sell up to $60 million of FMB in August 2019.</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2018, the DEPSC approved Tidewater’s request to borrow up to $0.9 million under the Delaware SRF program to fund the replacement of an entire water distribution system of a small Delaware subdivision. Tidewater closed on this SRF loan in May 2018. In April 2019, Tidewater received approval from the DEPSC to increase the borrowing to $1.7 million based on revised project cost estimates. Tidewater expects to close on this additional SRF loan in August 2019 and expects to draw down on the loan beginning in the fourth quarter of 2019 through the second quarter of 2020.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2019, the NJIB de-obligated principal payments of $0.1 million on Series NN of the Company’s First Mortgage Bonds.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 </w:t>
      </w:r>
      <w:r>
        <w:rPr>
          <w:rFonts w:ascii="Times New Roman" w:cs="Times New Roman" w:eastAsia="Times New Roman" w:hAnsi="Times New Roman"/>
          <w:sz w:val="18"/>
          <w:szCs w:val="18"/>
          <w:color w:val="auto"/>
        </w:rPr>
        <w:t>The following methods and assumptions were used by the Company in estimating its fair value disclosure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instruments for which it is practicable to estimate that value. The carrying amounts reflected in the condensed consolidated balance sheets for cash and cash equivalents, trade receivables, accounts payable and notes payable approximate their respective fair values due to the short-term maturities of these instruments. The fair value of FMB and State Revolving Fund Bonds (collectively, the Bonds) issued by Middlesex is based on quoted market prices for similar issues. Under the fair value hierarchy, the fair value of cash and cash equivalents is classified as a Level 1 measurement and the fair value of notes</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1" w:name="page12"/>
    <w:bookmarkEnd w:id="11"/>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and the Bonds in the table below are classified as Level 2 measurements. The carrying amount and fair value of the Bonds were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37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June 30, 2019</w:t>
            </w:r>
          </w:p>
        </w:tc>
        <w:tc>
          <w:tcPr>
            <w:tcW w:w="1500" w:type="dxa"/>
            <w:vAlign w:val="bottom"/>
          </w:tcPr>
          <w:p>
            <w:pPr>
              <w:spacing w:after="0"/>
              <w:rPr>
                <w:sz w:val="18"/>
                <w:szCs w:val="18"/>
                <w:color w:val="auto"/>
              </w:rPr>
            </w:pPr>
          </w:p>
        </w:tc>
        <w:tc>
          <w:tcPr>
            <w:tcW w:w="25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December 31, 2018</w:t>
            </w:r>
          </w:p>
        </w:tc>
        <w:tc>
          <w:tcPr>
            <w:tcW w:w="118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37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Carrying</w:t>
            </w:r>
          </w:p>
        </w:tc>
        <w:tc>
          <w:tcPr>
            <w:tcW w:w="15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Fair</w:t>
            </w:r>
          </w:p>
        </w:tc>
        <w:tc>
          <w:tcPr>
            <w:tcW w:w="252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Carrying</w:t>
            </w:r>
          </w:p>
        </w:tc>
        <w:tc>
          <w:tcPr>
            <w:tcW w:w="11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6"/>
              </w:rPr>
              <w:t>Fair</w:t>
            </w:r>
          </w:p>
        </w:tc>
      </w:tr>
      <w:tr>
        <w:trPr>
          <w:trHeight w:val="234"/>
        </w:trPr>
        <w:tc>
          <w:tcPr>
            <w:tcW w:w="248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8"/>
              </w:rPr>
              <w:t>Amount</w:t>
            </w:r>
          </w:p>
        </w:tc>
        <w:tc>
          <w:tcPr>
            <w:tcW w:w="150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7"/>
              </w:rPr>
              <w:t>Value</w:t>
            </w:r>
          </w:p>
        </w:tc>
        <w:tc>
          <w:tcPr>
            <w:tcW w:w="252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w w:val="98"/>
              </w:rPr>
              <w:t>Amount</w:t>
            </w:r>
          </w:p>
        </w:tc>
        <w:tc>
          <w:tcPr>
            <w:tcW w:w="118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0"/>
        </w:trPr>
        <w:tc>
          <w:tcPr>
            <w:tcW w:w="2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Bonds</w:t>
            </w:r>
          </w:p>
        </w:tc>
        <w:tc>
          <w:tcPr>
            <w:tcW w:w="374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7"/>
              </w:rPr>
              <w:t>$100,780</w:t>
            </w:r>
          </w:p>
        </w:tc>
        <w:tc>
          <w:tcPr>
            <w:tcW w:w="1500" w:type="dxa"/>
            <w:vAlign w:val="bottom"/>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rPr>
              <w:t>$103,550</w:t>
            </w:r>
          </w:p>
        </w:tc>
        <w:tc>
          <w:tcPr>
            <w:tcW w:w="2520" w:type="dxa"/>
            <w:vAlign w:val="bottom"/>
            <w:shd w:val="clear" w:color="auto" w:fill="CCEEFF"/>
          </w:tcPr>
          <w:p>
            <w:pPr>
              <w:jc w:val="center"/>
              <w:ind w:right="490"/>
              <w:spacing w:after="0"/>
              <w:rPr>
                <w:sz w:val="20"/>
                <w:szCs w:val="20"/>
                <w:color w:val="auto"/>
              </w:rPr>
            </w:pPr>
            <w:r>
              <w:rPr>
                <w:rFonts w:ascii="Times New Roman" w:cs="Times New Roman" w:eastAsia="Times New Roman" w:hAnsi="Times New Roman"/>
                <w:sz w:val="18"/>
                <w:szCs w:val="18"/>
                <w:color w:val="auto"/>
                <w:w w:val="97"/>
              </w:rPr>
              <w:t>$101,411</w:t>
            </w:r>
          </w:p>
        </w:tc>
        <w:tc>
          <w:tcPr>
            <w:tcW w:w="11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$102,789</w:t>
            </w: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other long-term debt for which there was no quoted market price and there is not an active trading market, it was not practicable to estimate their fair value (for details, including carrying value, interest rate and due date on these series of long-term debt, please refer to those series noted as “Amortizing Secured Note”, “State Revolving Trust Note” and “Construction Loans” on the Condensed Consolidated Statements of Capital Stock and Long-Term Debt). The carrying amount of these instruments was $72.9 million and $61.5 million at June 30, 2019 and December 31, 2018, respectively. Customer advances for construction have carrying amounts of $23.4 million and $22.6 million at June 30, 2019 and December 31, 2018, respectively. Their relative fair values cannot be accurately estimated since future refund payments depend on several variables, including new customer connections, customer consumption levels and future rate increases.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Basic earnings per share (EPS) are computed on the basis of the weighted average number of shares outstanding during the period presented. Diluted EPS assumes the conversion of both the Convertible Preferred Stock $7.00 Series and the Convertible Preferred Stock $8.00 Series.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2019</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Income</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Income</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8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8,146</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16,519</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8,675</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Preferred Dividend</w:t>
            </w:r>
          </w:p>
        </w:tc>
        <w:tc>
          <w:tcPr>
            <w:tcW w:w="1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(36)</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(36)</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8,110</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16,519</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8,639</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6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0.49</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0.53</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3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1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8,110</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16,519</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8,639</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$7.00 Series Preferred Dividend</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17</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$8.00 Series Preferred Dividend</w:t>
            </w:r>
          </w:p>
        </w:tc>
        <w:tc>
          <w:tcPr>
            <w:tcW w:w="1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Earnings Applicable to Common Stock</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8,133</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16,675</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8,662</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6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0.49</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0.52</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12" w:name="page13"/>
    <w:bookmarkEnd w:id="12"/>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78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Six Months Ended June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2019</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Income</w:t>
            </w: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Income</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14,696</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16,474</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13,169</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Preferred Dividend</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(72)</w:t>
            </w: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(72)</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14,624</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16,474</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13,097</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0.89</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0.80</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14,624</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16,474</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13,097</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$7.00 Series Preferred Dividend</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34</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34</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$8.00 Series Preferred Dividend</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12</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Earnings Applicable to Common Stock</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14,670</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16,630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13,143</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0.88</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0.80</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Business Segment Data</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identified two reportable segments. One is the regulated business of collecting, treating and distributing water on a retail and wholesale basis to residential, commercial, industrial and fire protection customers in parts of New Jersey, Delaware and Pennsylvania. This segment also includes regulated wastewater systems in New Jersey and Delaware. The Company is subject to regulations as to its rates, services and other matters by New Jersey, Delaware and Pennsylvania with respect to utility services within these states. The other segment is primarily comprised of non-regulated contract services for the operation and maintenance of municipal and private water and wastewater systems in New Jersey and Delaware. Inter-segment transactions relating to operational costs are treated as pass-through expenses. Finance charges on inter-segment loan activities are based on interest rates that are below what would normally be charged by a third party lender.</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3" w:name="page14"/>
    <w:bookmarkEnd w:id="13"/>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0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(In Thousands)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Three Months Ended</w:t>
            </w:r>
          </w:p>
        </w:tc>
        <w:tc>
          <w:tcPr>
            <w:tcW w:w="360" w:type="dxa"/>
            <w:vAlign w:val="bottom"/>
          </w:tcPr>
          <w:p>
            <w:pPr>
              <w:spacing w:after="0"/>
              <w:rPr>
                <w:sz w:val="18"/>
                <w:szCs w:val="18"/>
                <w:color w:val="auto"/>
              </w:rPr>
            </w:pPr>
          </w:p>
        </w:tc>
        <w:tc>
          <w:tcPr>
            <w:tcW w:w="23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June 30,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Operations by Segments:</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10"/>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Regulated</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30,444</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31,168</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58,342</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 – Regulated</w:t>
            </w:r>
          </w:p>
        </w:tc>
        <w:tc>
          <w:tcPr>
            <w:tcW w:w="3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3,087</w:t>
            </w:r>
          </w:p>
        </w:tc>
        <w:tc>
          <w:tcPr>
            <w:tcW w:w="4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3,882</w:t>
            </w:r>
          </w:p>
        </w:tc>
        <w:tc>
          <w:tcPr>
            <w:tcW w:w="3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6,012</w:t>
            </w: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33,393</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34,919</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64,090</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66,096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Regulated</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7,903</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9,988</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13,936</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 – Regulated</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1,047</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733</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2,041</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8,950</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10,721</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15,977</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Regulated</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7,423</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8,151</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13,290</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 – Regulated</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723</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524</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1,406</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8,146</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8,675</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14,696</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Regulated</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23,268</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18,350</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35,561</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 – Regulated</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137</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23,374</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18,366</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35,698</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28,377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Regulated</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 – Regulated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Inter-segment Elimination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Assets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Short-term Borrowings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As of</w:t>
            </w:r>
          </w:p>
        </w:tc>
        <w:tc>
          <w:tcPr>
            <w:tcW w:w="18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June 30,</w:t>
            </w:r>
          </w:p>
        </w:tc>
        <w:tc>
          <w:tcPr>
            <w:tcW w:w="18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2019</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2018</w:t>
            </w:r>
          </w:p>
        </w:tc>
      </w:tr>
      <w:tr>
        <w:trPr>
          <w:trHeight w:val="407"/>
        </w:trPr>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807,021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764,749</w:t>
            </w:r>
          </w:p>
        </w:tc>
      </w:tr>
      <w:tr>
        <w:trPr>
          <w:trHeight w:val="230"/>
        </w:trPr>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9,093</w:t>
            </w:r>
          </w:p>
        </w:tc>
        <w:tc>
          <w:tcPr>
            <w:tcW w:w="18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8,994</w:t>
            </w:r>
          </w:p>
        </w:tc>
      </w:tr>
      <w:tr>
        <w:trPr>
          <w:trHeight w:val="234"/>
        </w:trPr>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(5,913)</w:t>
            </w:r>
          </w:p>
        </w:tc>
      </w:tr>
      <w:tr>
        <w:trPr>
          <w:trHeight w:val="210"/>
        </w:trPr>
        <w:tc>
          <w:tcPr>
            <w:tcW w:w="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807,571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767,830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-5518785</wp:posOffset>
            </wp:positionH>
            <wp:positionV relativeFrom="paragraph">
              <wp:posOffset>-719455</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-436880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-153670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7980" w:space="720"/>
            <w:col w:w="2720"/>
          </w:cols>
          <w:pgMar w:left="240" w:top="216" w:right="239" w:bottom="1440" w:gutter="0" w:footer="0" w:header="0"/>
          <w:type w:val="continuous"/>
        </w:sectPr>
      </w:pPr>
    </w:p>
    <w:p>
      <w:pPr>
        <w:spacing w:after="0" w:line="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June 30, 2019, the Company retains lines of credit aggregating $100.0 million. At June 30, 2019, the outstanding borrowings under these credit lines were $59.4 million at a weighted average interest rate of 3.41%.</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 average daily amounts of borrowings outstanding under the Company’s credit lines and the weighted average interest rates on those amounts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6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(In Thousands)</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80" w:type="dxa"/>
            <w:vAlign w:val="bottom"/>
          </w:tcPr>
          <w:p>
            <w:pPr>
              <w:spacing w:after="0"/>
              <w:rPr>
                <w:sz w:val="18"/>
                <w:szCs w:val="18"/>
                <w:color w:val="auto"/>
              </w:rPr>
            </w:pPr>
          </w:p>
        </w:tc>
        <w:tc>
          <w:tcPr>
            <w:tcW w:w="232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16"/>
        </w:trPr>
        <w:tc>
          <w:tcPr>
            <w:tcW w:w="5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June 30,</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June 30,</w:t>
            </w:r>
          </w:p>
        </w:tc>
        <w:tc>
          <w:tcPr>
            <w:tcW w:w="900" w:type="dxa"/>
            <w:vAlign w:val="bottom"/>
          </w:tcPr>
          <w:p>
            <w:pPr>
              <w:spacing w:after="0"/>
              <w:rPr>
                <w:sz w:val="18"/>
                <w:szCs w:val="18"/>
                <w:color w:val="auto"/>
              </w:rPr>
            </w:pPr>
          </w:p>
        </w:tc>
      </w:tr>
      <w:tr>
        <w:trPr>
          <w:trHeight w:val="234"/>
        </w:trPr>
        <w:tc>
          <w:tcPr>
            <w:tcW w:w="59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2019</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Daily Amounts Outstanding</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50,992</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31,555</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50,485</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29,721</w:t>
            </w: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Rates</w:t>
            </w:r>
          </w:p>
        </w:tc>
        <w:tc>
          <w:tcPr>
            <w:tcW w:w="3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c>
          <w:tcPr>
            <w:tcW w:w="3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maturity dates for the $59.4 million outstanding as of June 30, 2019 are in July 2019 through September 2019 and are extendable at the discretion of the Company.</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14" w:name="page15"/>
    <w:bookmarkEnd w:id="14"/>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rates for short-term borrowings under the lines of credit are below the prime rate with no requirement for compensating balances.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Contingent Liabilities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Water Supply </w:t>
      </w:r>
      <w:r>
        <w:rPr>
          <w:rFonts w:ascii="Times New Roman" w:cs="Times New Roman" w:eastAsia="Times New Roman" w:hAnsi="Times New Roman"/>
          <w:sz w:val="18"/>
          <w:szCs w:val="18"/>
          <w:color w:val="auto"/>
        </w:rPr>
        <w:t>- Middlesex has an agreement with the New Jersey Water Supply Authority (NJWSA) for the purchase of untreated water through November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2023, which provides for an average purchase of 27.0 million gallons a day (mgd). Pricing is set annually by the NJWSA through a public rate making process. The agreement has provisions for additional pricing in the event Middlesex overdrafts or exceeds certain monthly and annual thresholds.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Middlesex also has an agreement with a non-affiliated regulated water utility for the purchase of treated water. This agreement, which expires February 27, 2021, provides for the minimum purchase of 3.0 mgd of treated water with provisions for additional purchases.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Tidewater contracts with the City of Dover, Delaware to purchase 15.0 million gallons of treated water annually.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 water costs are shown below:</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(In Thousands)</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Pr>
          <w:p>
            <w:pPr>
              <w:spacing w:after="0"/>
              <w:rPr>
                <w:sz w:val="18"/>
                <w:szCs w:val="18"/>
                <w:color w:val="auto"/>
              </w:rPr>
            </w:pPr>
          </w:p>
        </w:tc>
        <w:tc>
          <w:tcPr>
            <w:tcW w:w="23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June 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2019</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Treated</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827</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1,597</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Untreated</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782</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850</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1,643</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1,609</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1,553</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3,240</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3,371</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part of an agreement with the County of Monmouth, New Jersey (County), Middlesex serves as guarantor of the performance of Applied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Water Management, Inc. (AWM), an unaffiliated wastewater contractor, to operate a County-owned leachate pretreatment facility at the Monmouth County Reclamation Center in Tinton Falls, New Jersey. The performance guaranty is effective through 2028 unless another guarantor, acceptable to the County, replaces Middlesex before such date. Under agreements with AWM and Natural Systems Utilities, LLC (NSU), the parent company of AWM, Middlesex earns a fee for providing the performance guaranty. In addition, Middlesex may provide operational support to the facility, as needed, and AWM and NSU, serving as guarantor to Middlesex with respect to the performance of AWM, have indemnified Middlesex against any claims that may arise under the Middlesex guaranty to the County.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requested to perform under the guaranty to the County and, if AWM and NSU, as guarantor to Middlesex, do not fulfill their obligations to indemnify Middlesex against any claims that may arise under the Middlesex guaranty to the County, Middlesex would be required to fulfill the remaining operational commitment of AWM. As of both June 30, 2019 and December 31, 2018, the liability recognized in Other Non-Current Liabilities on the balance sheet for the guaranty is approximately $1.5 million.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determines if an arrangement is a lease at inception. Generally, a lease agreement exists if the Company determines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gives the Company control over the use of an identified asset and obtains substantially all of the benefits from the identified asset.</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entered into an operating lease of office space for administrative purposes, expiring in 2030. The Company has not entered into any finance leases. The exercise of a lease renewal option for the Company’s administrative offices is solely at the discretion of the Company.</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5" w:name="page16"/>
    <w:bookmarkEnd w:id="15"/>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right-of-use (ROU) asset recorded represents the Company’s right to use an underlying asset for the lease term and lease liability represents the Company’s obligation to make lease payments arising from the lease. Lease ROU assets and liabilities are recognized at commencement date based on the present value of lease payments over the lease term. The Company’s operating lease does not provide an implicit discount rate and as such the Company used an estimated incremental borrowing rate (4.03%) based on the information available at commencement date in determining the present value of lease payments.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impacts of accounting for regulated operations, and the resulting recognition of expense at the amounts recovered in customer rates, expenditures for operating leases are consistent with lease expense and were $0.1 million and less than $0.1 million for the three months ended June 30, 2019 and 2018, respectively and $0.3 million and $0.1 million for the six months ended June 30, 2019 and 2018, respectively.</w:t>
      </w:r>
    </w:p>
    <w:p>
      <w:pPr>
        <w:sectPr>
          <w:pgSz w:w="11900" w:h="16838" w:orient="portrait"/>
          <w:cols w:equalWidth="0" w:num="1">
            <w:col w:w="11420"/>
          </w:cols>
          <w:pgMar w:left="240" w:top="216" w:right="239" w:bottom="1440" w:gutter="0" w:footer="0" w:header="0"/>
        </w:sectPr>
      </w:pP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Information related to operating lease ROU assets and lease liabilities is as follows: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846"/>
        </w:trPr>
        <w:tc>
          <w:tcPr>
            <w:tcW w:w="76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ROU Asset at Lease Inception</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0"/>
        </w:trPr>
        <w:tc>
          <w:tcPr>
            <w:tcW w:w="76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4"/>
        </w:trPr>
        <w:tc>
          <w:tcPr>
            <w:tcW w:w="76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Current ROU Asset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59"/>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future minimum operating lease commitments as of June30, 2019 are as follows: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4"/>
        </w:trPr>
        <w:tc>
          <w:tcPr>
            <w:tcW w:w="28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w:t>
            </w:r>
          </w:p>
        </w:tc>
      </w:tr>
      <w:tr>
        <w:trPr>
          <w:trHeight w:val="216"/>
        </w:trPr>
        <w:tc>
          <w:tcPr>
            <w:tcW w:w="2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Millions)</w:t>
            </w:r>
          </w:p>
        </w:tc>
      </w:tr>
      <w:tr>
        <w:trPr>
          <w:trHeight w:val="216"/>
        </w:trPr>
        <w:tc>
          <w:tcPr>
            <w:tcW w:w="2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w w:val="99"/>
              </w:rPr>
              <w:t>June 30,</w:t>
            </w:r>
          </w:p>
        </w:tc>
      </w:tr>
      <w:tr>
        <w:trPr>
          <w:trHeight w:val="234"/>
        </w:trPr>
        <w:tc>
          <w:tcPr>
            <w:tcW w:w="28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16"/>
        </w:trPr>
        <w:tc>
          <w:tcPr>
            <w:tcW w:w="2880" w:type="dxa"/>
            <w:vAlign w:val="bottom"/>
          </w:tcPr>
          <w:p>
            <w:pPr>
              <w:spacing w:after="0"/>
              <w:rPr>
                <w:sz w:val="18"/>
                <w:szCs w:val="18"/>
                <w:color w:val="auto"/>
              </w:rPr>
            </w:pPr>
          </w:p>
        </w:tc>
        <w:tc>
          <w:tcPr>
            <w:tcW w:w="4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0.3</w:t>
            </w:r>
          </w:p>
        </w:tc>
      </w:tr>
      <w:tr>
        <w:trPr>
          <w:trHeight w:val="216"/>
        </w:trPr>
        <w:tc>
          <w:tcPr>
            <w:tcW w:w="2880" w:type="dxa"/>
            <w:vAlign w:val="bottom"/>
          </w:tcPr>
          <w:p>
            <w:pPr>
              <w:spacing w:after="0"/>
              <w:rPr>
                <w:sz w:val="18"/>
                <w:szCs w:val="18"/>
                <w:color w:val="auto"/>
              </w:rPr>
            </w:pPr>
          </w:p>
        </w:tc>
        <w:tc>
          <w:tcPr>
            <w:tcW w:w="4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0.8</w:t>
            </w:r>
          </w:p>
        </w:tc>
      </w:tr>
      <w:tr>
        <w:trPr>
          <w:trHeight w:val="216"/>
        </w:trPr>
        <w:tc>
          <w:tcPr>
            <w:tcW w:w="2880" w:type="dxa"/>
            <w:vAlign w:val="bottom"/>
          </w:tcPr>
          <w:p>
            <w:pPr>
              <w:spacing w:after="0"/>
              <w:rPr>
                <w:sz w:val="18"/>
                <w:szCs w:val="18"/>
                <w:color w:val="auto"/>
              </w:rPr>
            </w:pPr>
          </w:p>
        </w:tc>
        <w:tc>
          <w:tcPr>
            <w:tcW w:w="4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0.8</w:t>
            </w:r>
          </w:p>
        </w:tc>
      </w:tr>
      <w:tr>
        <w:trPr>
          <w:trHeight w:val="216"/>
        </w:trPr>
        <w:tc>
          <w:tcPr>
            <w:tcW w:w="2880" w:type="dxa"/>
            <w:vAlign w:val="bottom"/>
          </w:tcPr>
          <w:p>
            <w:pPr>
              <w:spacing w:after="0"/>
              <w:rPr>
                <w:sz w:val="18"/>
                <w:szCs w:val="18"/>
                <w:color w:val="auto"/>
              </w:rPr>
            </w:pPr>
          </w:p>
        </w:tc>
        <w:tc>
          <w:tcPr>
            <w:tcW w:w="4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0.8</w:t>
            </w:r>
          </w:p>
        </w:tc>
      </w:tr>
      <w:tr>
        <w:trPr>
          <w:trHeight w:val="216"/>
        </w:trPr>
        <w:tc>
          <w:tcPr>
            <w:tcW w:w="2880" w:type="dxa"/>
            <w:vAlign w:val="bottom"/>
          </w:tcPr>
          <w:p>
            <w:pPr>
              <w:spacing w:after="0"/>
              <w:rPr>
                <w:sz w:val="18"/>
                <w:szCs w:val="18"/>
                <w:color w:val="auto"/>
              </w:rPr>
            </w:pPr>
          </w:p>
        </w:tc>
        <w:tc>
          <w:tcPr>
            <w:tcW w:w="4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0.8</w:t>
            </w:r>
          </w:p>
        </w:tc>
      </w:tr>
      <w:tr>
        <w:trPr>
          <w:trHeight w:val="230"/>
        </w:trPr>
        <w:tc>
          <w:tcPr>
            <w:tcW w:w="2880" w:type="dxa"/>
            <w:vAlign w:val="bottom"/>
          </w:tcPr>
          <w:p>
            <w:pPr>
              <w:spacing w:after="0"/>
              <w:rPr>
                <w:sz w:val="19"/>
                <w:szCs w:val="19"/>
                <w:color w:val="auto"/>
              </w:rPr>
            </w:pPr>
          </w:p>
        </w:tc>
        <w:tc>
          <w:tcPr>
            <w:tcW w:w="476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7"/>
              </w:rPr>
              <w:t>5.3</w:t>
            </w:r>
          </w:p>
        </w:tc>
      </w:tr>
      <w:tr>
        <w:trPr>
          <w:trHeight w:val="210"/>
        </w:trPr>
        <w:tc>
          <w:tcPr>
            <w:tcW w:w="2880" w:type="dxa"/>
            <w:vAlign w:val="bottom"/>
          </w:tcPr>
          <w:p>
            <w:pPr>
              <w:spacing w:after="0"/>
              <w:rPr>
                <w:sz w:val="18"/>
                <w:szCs w:val="18"/>
                <w:color w:val="auto"/>
              </w:rPr>
            </w:pPr>
          </w:p>
        </w:tc>
        <w:tc>
          <w:tcPr>
            <w:tcW w:w="4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8.8</w:t>
            </w:r>
          </w:p>
        </w:tc>
      </w:tr>
      <w:tr>
        <w:trPr>
          <w:trHeight w:val="230"/>
        </w:trPr>
        <w:tc>
          <w:tcPr>
            <w:tcW w:w="2880" w:type="dxa"/>
            <w:vAlign w:val="bottom"/>
          </w:tcPr>
          <w:p>
            <w:pPr>
              <w:spacing w:after="0"/>
              <w:rPr>
                <w:sz w:val="19"/>
                <w:szCs w:val="19"/>
                <w:color w:val="auto"/>
              </w:rPr>
            </w:pPr>
          </w:p>
        </w:tc>
        <w:tc>
          <w:tcPr>
            <w:tcW w:w="476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Imputed Interest</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8"/>
              </w:rPr>
              <w:t>(2.0)</w:t>
            </w:r>
          </w:p>
        </w:tc>
      </w:tr>
      <w:tr>
        <w:trPr>
          <w:trHeight w:val="210"/>
        </w:trPr>
        <w:tc>
          <w:tcPr>
            <w:tcW w:w="2880" w:type="dxa"/>
            <w:vAlign w:val="bottom"/>
          </w:tcPr>
          <w:p>
            <w:pPr>
              <w:spacing w:after="0"/>
              <w:rPr>
                <w:sz w:val="18"/>
                <w:szCs w:val="18"/>
                <w:color w:val="auto"/>
              </w:rPr>
            </w:pPr>
          </w:p>
        </w:tc>
        <w:tc>
          <w:tcPr>
            <w:tcW w:w="4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6.8</w:t>
            </w:r>
          </w:p>
        </w:tc>
      </w:tr>
      <w:tr>
        <w:trPr>
          <w:trHeight w:val="230"/>
        </w:trPr>
        <w:tc>
          <w:tcPr>
            <w:tcW w:w="2880" w:type="dxa"/>
            <w:vAlign w:val="bottom"/>
          </w:tcPr>
          <w:p>
            <w:pPr>
              <w:spacing w:after="0"/>
              <w:rPr>
                <w:sz w:val="19"/>
                <w:szCs w:val="19"/>
                <w:color w:val="auto"/>
              </w:rPr>
            </w:pPr>
          </w:p>
        </w:tc>
        <w:tc>
          <w:tcPr>
            <w:tcW w:w="476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8"/>
              </w:rPr>
              <w:t>(0.7)</w:t>
            </w:r>
          </w:p>
        </w:tc>
      </w:tr>
      <w:tr>
        <w:trPr>
          <w:trHeight w:val="210"/>
        </w:trPr>
        <w:tc>
          <w:tcPr>
            <w:tcW w:w="2880" w:type="dxa"/>
            <w:vAlign w:val="bottom"/>
          </w:tcPr>
          <w:p>
            <w:pPr>
              <w:spacing w:after="0"/>
              <w:rPr>
                <w:sz w:val="18"/>
                <w:szCs w:val="18"/>
                <w:color w:val="auto"/>
              </w:rPr>
            </w:pPr>
          </w:p>
        </w:tc>
        <w:tc>
          <w:tcPr>
            <w:tcW w:w="4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-2966720</wp:posOffset>
            </wp:positionV>
            <wp:extent cx="651764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-2683510</wp:posOffset>
            </wp:positionV>
            <wp:extent cx="651764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16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*Included in Other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95"/>
        <w:spacing w:after="0"/>
        <w:rPr>
          <w:sz w:val="20"/>
          <w:szCs w:val="20"/>
          <w:color w:val="auto"/>
        </w:rPr>
      </w:pPr>
      <w:r>
        <w:rPr>
          <w:rFonts w:ascii="Times New Roman" w:cs="Times New Roman" w:eastAsia="Times New Roman" w:hAnsi="Times New Roman"/>
          <w:sz w:val="18"/>
          <w:szCs w:val="18"/>
          <w:color w:val="auto"/>
        </w:rPr>
        <w:t>(In Millions)</w:t>
      </w:r>
    </w:p>
    <w:p>
      <w:pPr>
        <w:spacing w:after="0" w:line="27" w:lineRule="exact"/>
        <w:rPr>
          <w:sz w:val="20"/>
          <w:szCs w:val="20"/>
          <w:color w:val="auto"/>
        </w:rPr>
      </w:pPr>
    </w:p>
    <w:p>
      <w:pPr>
        <w:ind w:left="115"/>
        <w:spacing w:after="0"/>
        <w:rPr>
          <w:sz w:val="20"/>
          <w:szCs w:val="20"/>
          <w:color w:val="auto"/>
        </w:rPr>
      </w:pPr>
      <w:r>
        <w:rPr>
          <w:rFonts w:ascii="Times New Roman" w:cs="Times New Roman" w:eastAsia="Times New Roman" w:hAnsi="Times New Roman"/>
          <w:sz w:val="17"/>
          <w:szCs w:val="17"/>
          <w:color w:val="auto"/>
        </w:rPr>
        <w:t>June 30, 2019</w:t>
      </w:r>
    </w:p>
    <w:p>
      <w:pPr>
        <w:spacing w:after="0" w:line="21" w:lineRule="exact"/>
        <w:rPr>
          <w:sz w:val="20"/>
          <w:szCs w:val="20"/>
          <w:color w:val="auto"/>
        </w:rPr>
      </w:pPr>
    </w:p>
    <w:p>
      <w:pPr>
        <w:ind w:left="795" w:hanging="795"/>
        <w:spacing w:after="0"/>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w:t>
      </w:r>
    </w:p>
    <w:p>
      <w:pPr>
        <w:spacing w:after="0" w:line="9" w:lineRule="exact"/>
        <w:rPr>
          <w:sz w:val="20"/>
          <w:szCs w:val="20"/>
          <w:color w:val="auto"/>
        </w:rPr>
      </w:pPr>
    </w:p>
    <w:p>
      <w:pPr>
        <w:ind w:left="735"/>
        <w:spacing w:after="0"/>
        <w:rPr>
          <w:sz w:val="20"/>
          <w:szCs w:val="20"/>
          <w:color w:val="auto"/>
        </w:rPr>
      </w:pPr>
      <w:r>
        <w:rPr>
          <w:rFonts w:ascii="Times New Roman" w:cs="Times New Roman" w:eastAsia="Times New Roman" w:hAnsi="Times New Roman"/>
          <w:sz w:val="18"/>
          <w:szCs w:val="18"/>
          <w:color w:val="auto"/>
        </w:rPr>
        <w:t>(1.0)</w:t>
      </w:r>
    </w:p>
    <w:p>
      <w:pPr>
        <w:spacing w:after="0" w:line="23" w:lineRule="exact"/>
        <w:rPr>
          <w:sz w:val="20"/>
          <w:szCs w:val="20"/>
          <w:color w:val="auto"/>
        </w:rPr>
      </w:pPr>
    </w:p>
    <w:p>
      <w:pPr>
        <w:ind w:left="795" w:hanging="795"/>
        <w:spacing w:after="0"/>
        <w:tabs>
          <w:tab w:leader="none" w:pos="7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14605</wp:posOffset>
            </wp:positionV>
            <wp:extent cx="7804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4611" w:lineRule="exact"/>
        <w:rPr>
          <w:sz w:val="20"/>
          <w:szCs w:val="20"/>
          <w:color w:val="auto"/>
        </w:rPr>
      </w:pPr>
    </w:p>
    <w:p>
      <w:pPr>
        <w:sectPr>
          <w:pgSz w:w="11900" w:h="16838" w:orient="portrait"/>
          <w:cols w:equalWidth="0" w:num="2">
            <w:col w:w="9005" w:space="720"/>
            <w:col w:w="1695"/>
          </w:cols>
          <w:pgMar w:left="240" w:top="216" w:right="239" w:bottom="1440" w:gutter="0" w:footer="0" w:header="0"/>
          <w:type w:val="continuous"/>
        </w:sectPr>
      </w:pPr>
    </w:p>
    <w:p>
      <w:pPr>
        <w:spacing w:after="0" w:line="2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Construction </w:t>
      </w:r>
      <w:r>
        <w:rPr>
          <w:rFonts w:ascii="Times New Roman" w:cs="Times New Roman" w:eastAsia="Times New Roman" w:hAnsi="Times New Roman"/>
          <w:sz w:val="18"/>
          <w:szCs w:val="18"/>
          <w:color w:val="auto"/>
        </w:rPr>
        <w:t>- The Company has forecasted to spend approximately $116 million for its construction program in 2019. The Company has entered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several contractual construction agreements that, in the aggregate, obligate it to expend an estimated $77 million in the future. The timing and amount of capital expenditures is dependent on project scheduling and refinement of engineering estimates for certain projects.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Litigation </w:t>
      </w:r>
      <w:r>
        <w:rPr>
          <w:rFonts w:ascii="Times New Roman" w:cs="Times New Roman" w:eastAsia="Times New Roman" w:hAnsi="Times New Roman"/>
          <w:sz w:val="18"/>
          <w:szCs w:val="18"/>
          <w:color w:val="auto"/>
        </w:rPr>
        <w:t>- The Company is a defendant in lawsuits in the normal course of business. We believe the resolution of pending claims and legal proceedings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have a material adverse effect on the Company’s consolidated financial statements.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 in Control Agreements </w:t>
      </w:r>
      <w:r>
        <w:rPr>
          <w:rFonts w:ascii="Times New Roman" w:cs="Times New Roman" w:eastAsia="Times New Roman" w:hAnsi="Times New Roman"/>
          <w:sz w:val="18"/>
          <w:szCs w:val="18"/>
          <w:color w:val="auto"/>
        </w:rPr>
        <w:t>- The Company has Change in Control Agreements with certain of its officers that provide compensation and benefits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termination of employment in connection with a change in control of the Company.</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16" w:name="page17"/>
    <w:bookmarkEnd w:id="16"/>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Employee Benefit Plans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Pension Benefits </w:t>
      </w:r>
      <w:r>
        <w:rPr>
          <w:rFonts w:ascii="Times New Roman" w:cs="Times New Roman" w:eastAsia="Times New Roman" w:hAnsi="Times New Roman"/>
          <w:sz w:val="18"/>
          <w:szCs w:val="18"/>
          <w:color w:val="auto"/>
        </w:rPr>
        <w:t>- The Company’s Pension Plan covers all active employees hired prior to April 1, 2007. Employees hired after March 31, 2007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to participate in this plan, but do participate in a defined contribution plan that provides for a potential annual contribution in an amount that is at the discretion of the Company. In order to be eligible for a contribution, the participant must be employed by the Company on December 31st of the year to which the contribution relates. For the three months ended June 30, 2019 and 2018, the Company made Pension Plan cash contributions of $0.5 million and $0.8 million, respectively. For the six months ended June 30, 2019 and 2018, the Company made Pension Plan cash contributions of $1.0 million and $1.3 million, respectively. The Company expects to make Pension Plan cash contributions of approximately $2.6 million over the remainder of the current year. The Company also maintains an unfunded supplemental retirement benefit plan for certain active and retired Company officers and currently pays $0.4 million in annual benefits to the retired participants.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Postretirement Benefits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retirement plan other than pensions (Other Benefits Plan) covers substantially all of its current retired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Employees hired after March 31, 2007 are not eligible to participate in this plan. Coverage includes healthcare and life insurance. For each of the three months ended June 30, 2019 and 2018, the Company made Other Benefits Plan cash contributions of $0.2 million, respectively. For each of the six months ended June 30, 2019 and 2018, the Company made Other Benefits Plan cash contributions of $0.4 million, respectively. The Company expects to make Other Benefits Plan cash contributions of approximately $1.0 million over the remainder of the current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information relating to the Company’s periodic costs for its employee retirement benefit plans: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Pension Benefits</w:t>
            </w:r>
          </w:p>
        </w:tc>
        <w:tc>
          <w:tcPr>
            <w:tcW w:w="3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Other Benefits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3"/>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Three Months Ended June 30,</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857</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765</w:t>
            </w:r>
          </w:p>
        </w:tc>
        <w:tc>
          <w:tcPr>
            <w:tcW w:w="3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496</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Unrecognized Losses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w:t>
            </w:r>
          </w:p>
        </w:tc>
        <w:tc>
          <w:tcPr>
            <w:tcW w:w="3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330</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Unrecognized Prior Service Cost (Credit)</w:t>
            </w:r>
          </w:p>
        </w:tc>
        <w:tc>
          <w:tcPr>
            <w:tcW w:w="10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060" w:type="dxa"/>
            <w:vAlign w:val="bottom"/>
          </w:tcPr>
          <w:p>
            <w:pPr>
              <w:spacing w:after="0"/>
              <w:rPr>
                <w:sz w:val="18"/>
                <w:szCs w:val="18"/>
                <w:color w:val="auto"/>
              </w:rPr>
            </w:pPr>
          </w:p>
        </w:tc>
        <w:tc>
          <w:tcPr>
            <w:tcW w:w="3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631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423</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17" w:name="page18"/>
    <w:bookmarkEnd w:id="17"/>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Pension Benefits</w:t>
            </w:r>
          </w:p>
        </w:tc>
        <w:tc>
          <w:tcPr>
            <w:tcW w:w="3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Other Benefits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3"/>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Six Months Ended June 30,</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1,713</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1,530</w:t>
            </w:r>
          </w:p>
        </w:tc>
        <w:tc>
          <w:tcPr>
            <w:tcW w:w="3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992</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Unrecognized Losses</w:t>
            </w:r>
          </w:p>
        </w:tc>
        <w:tc>
          <w:tcPr>
            <w:tcW w:w="3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809</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829</w:t>
            </w:r>
          </w:p>
        </w:tc>
        <w:tc>
          <w:tcPr>
            <w:tcW w:w="3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660</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Unrecognized Prior Service Cost (Credit)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1,260</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1,137</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846</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*Service cost is included in Operations and Maintenance expense on Consolidated Statements of Income; all other amounts are included in Other Income/Expense,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Revenue Recognition from Contracts with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revenues are primarily generated from regulated tariff-based sales of water and wastewater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entity expects to be entitled in exchange for those goods and services.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regulated revenue from contracts with customers is derived from tariff-based sales that result from the obligation to provide water and wastewater services to residential, industrial, commercial, fire-protection and wholesale customers. The Company’s residential customers are billed quarterly while most of the Company’s industrial, commercial, fire-protection and wholesale customers are billed monthly. Payments by customers are due between 15 and 30 days after the invoice date. The Company recognizes revenue as the water and wastewater services are delivered to customers and records unbilled revenues estimated from the last meter reading date to the end of the accounting period utilizing factors such as historical customer data, regional weather indicators and general economic conditions in its service territories. Unearned Revenues and Advance Service Fees include fixed service charge billings in advance of service provided to Tidewater customers and are recognized as service is provided.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Non-regulated service contract revenues consist of base service fees, as well as fees for additional billable services provided to customers, are billed monthly and are due within 30 days after the invoice date. The Company considers the amounts billed to represent the value of these services provided to customers. Certain of these contracts continue through 2022 and thus contain remaining performance obligations for which the Company expects to recognize revenue in the future. These contracts also contain termination provisions.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operating revenues and accounts receivable are from contracts with customers. The Company records an allowance for doubtful accounts based on historical write-offs combined with an evaluation of current economic conditions within its service territories.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contracts do not contain any significant financing components.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8" w:name="page19"/>
    <w:bookmarkEnd w:id="18"/>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operating revenues are comprised of the following:</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5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6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5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80" w:type="dxa"/>
            <w:vAlign w:val="bottom"/>
          </w:tcPr>
          <w:p>
            <w:pPr>
              <w:spacing w:after="0"/>
              <w:rPr>
                <w:sz w:val="18"/>
                <w:szCs w:val="18"/>
                <w:color w:val="auto"/>
              </w:rPr>
            </w:pPr>
          </w:p>
        </w:tc>
        <w:tc>
          <w:tcPr>
            <w:tcW w:w="24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4"/>
        </w:trPr>
        <w:tc>
          <w:tcPr>
            <w:tcW w:w="59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Regulated Tariff Sales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17,780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17,892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33,760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33,515</w:t>
            </w:r>
          </w:p>
        </w:tc>
      </w:tr>
      <w:tr>
        <w:trPr>
          <w:trHeight w:val="216"/>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3,744</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7,053</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6,880</w:t>
            </w:r>
          </w:p>
        </w:tc>
      </w:tr>
      <w:tr>
        <w:trPr>
          <w:trHeight w:val="216"/>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2,321</w:t>
            </w:r>
          </w:p>
        </w:tc>
        <w:tc>
          <w:tcPr>
            <w:tcW w:w="3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2,689</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4,519</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5,001</w:t>
            </w:r>
          </w:p>
        </w:tc>
      </w:tr>
      <w:tr>
        <w:trPr>
          <w:trHeight w:val="216"/>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Fire Protection</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3,098</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6,111</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5,961</w:t>
            </w:r>
          </w:p>
        </w:tc>
      </w:tr>
      <w:tr>
        <w:trPr>
          <w:trHeight w:val="216"/>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Wholesale</w:t>
            </w:r>
          </w:p>
        </w:tc>
        <w:tc>
          <w:tcPr>
            <w:tcW w:w="28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3,429</w:t>
            </w:r>
          </w:p>
        </w:tc>
        <w:tc>
          <w:tcPr>
            <w:tcW w:w="3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3,680</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6,768</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6,892</w:t>
            </w:r>
          </w:p>
        </w:tc>
      </w:tr>
      <w:tr>
        <w:trPr>
          <w:trHeight w:val="23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Non-Regulated Contract Operations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2,986</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3,781</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5,810</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7,780</w:t>
            </w: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33,358</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34,886</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64,021</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66,029</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Regulated Revenues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Non-Regulated Revenues</w:t>
            </w:r>
          </w:p>
        </w:tc>
        <w:tc>
          <w:tcPr>
            <w:tcW w:w="28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33,393</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34,919</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64,090</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66,096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its 2014 Federal income tax return, the Company adopted the final Internal Revenue Service (IRS) tangible property regulations and changed its accounting method for the tax treatment of expenditures that qualified as deductible repairs. The adoption resulted in a net reduction of $17.6 million in taxes previously remitted to the IRS, for which the Company has already sought and received the tax refunds. A reserve provision against refunded taxes of $2.3 million was recorded in 2015 at the time of filing its change in accounting method based on a possible challenge by the IRS during an audit examination. The Company’s 2014 federal income tax return was subsequently selected for examination by the IRS. In 2018, the Company increased its income tax reserve provision to $4.1 million. During the first quarter of 2019, the Company agreed to certain modifications of its accounting method for expenditures that qualify as deductible repairs and the IRS concluded its audit of the Company’s 2014 federal income tax return. The modifications also impacted the Company’s filed 2015, 2016 and 2017 federal income tax returns. In 2019, the Company paid $0.8 million in income taxes and $0.1 million in interest in connection with the conclusion and closing of the 2014 and 2015 tax return audits and reduced its income tax reserve provision and interest expense liability to $3.1 million and $0.2 million, respectively. The IRS is currently examining the 2016 and 2017 tax returns to determine the impact of the modifications on those filings and pending completion of those examinations, the final tax liability could be different than the recorded reserve provision.</w:t>
      </w: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9" w:name="page20"/>
    <w:bookmarkEnd w:id="19"/>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2018.</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statements contained in this periodic report and in the documents incorporated by reference constitute “forward-looking statements” within the meaning of Section 21E of the Securities Exchange Act of 1934 and Section 27A of the Securities Act of 1933. The Company intends that these statements be covered by the safe harbors created under those laws. They include, but are not limited to statements as to:</w:t>
      </w:r>
    </w:p>
    <w:p>
      <w:pPr>
        <w:spacing w:after="0" w:line="18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financial condition, performance, prospects and earnings of the Company;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plans for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rate increases and other regulatory matters, including the recovery of certain costs recorded as regulatory assets;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expected liquidity needs during the upcoming fiscal year and beyond and the sources and availability of funds to meet its liquidity needs;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customer rates, consumption volumes, service fees, revenues, margins, expenses and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amount of cash contributions to fund the Company’s retirement benefit plans, anticipated discount rates and rates of return on retirement benefit plan assets;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pay dividends;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compliance with environmental laws and regulations and estimations of the materiality of any related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reliability of the Company’s equipment, facilities and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quality of our water supply.</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general economic conditions;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growth in non-franchised markets to be potentially served by the Company;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the Company to adequately control selected operating expenses which are necessary to maintain safe and proper utility services, and which may be beyond the Company’s control;</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adequate supplies of water;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compliance with all regulatory requirements with respect to water and wastewater treatment, distribution and collection;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government regulators, including decisions on rate increase requests;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meet new or modified water and wastewater quality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variations and other natural phenomena impacting utility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risks associated with acquisitions and/or privatizations;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pace of residential housing development;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against the company that could be brought by third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capital resources;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elsewhere in this quarterly report.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report or, to reflect the occurrence of unanticipated events, except as may be required under applicable securities laws.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0" w:name="page21"/>
    <w:bookmarkEnd w:id="20"/>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an additional discussion of factors that may affect the Company’s business and results of operations, see Item 1A. - Risk Factors in the Company’s Annual Report on Form 10-K for the fiscal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Middlesex Water Company (Middlesex) has operated as a water utility in New Jersey since 1897, in Delaware through our wholly-owned subsidiary, Tidewater Utilities, Inc. (Tidewater), since 1992 and in Pennsylvania through our wholly-owned subsidiary, Twin Lakes Utilities, Inc. (Twin Lakes), since 2009. We are in the business of collecting, treating and distributing water for domestic, commercial, municipal, industrial and fire protection purposes. We also operate two New Jersey municipal water and wastewater systems under contract and provide regulated wastewater services in New Jersey and Delaware through four of our other subsidiaries. We are regulated as to rates charged to customers for water and wastewater services, as to the quality of water service we provide and as to certain other matters in New Jersey, Delaware and Pennsylvania. Only our Utility Service Affiliates, Inc. (USA), Utility Service Affiliates (Perth Amboy), Inc. (USA-PA) and White Marsh Environmental Services, Inc. (White Marsh) subsidiaries are not regulated utilities.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New Jersey water utility system (the Middlesex System) provides water services to approximately 61,000 retail customers, primarily in central New Jersey. The Middlesex System also provides water service under contract to municipalities in central New Jersey with a total population of approximately 219,000. Our Bayview subsidiary provides water services in Downe Township, New Jersey. Our other New Jersey subsidiaries, Pinelands Water Company (Pinelands Water) and Pinelands Wastewater Company (Pinelands Wastewater) (collectively, Pinelands), provide water and wastewater services to approximately 2,500 customers in Southampton Township, New Jersey.</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Delaware subsidiaries, Tidewater and Southern Shores Water Company, LLC (Southern Shores), provide water services to approximately 47,000 retail customers in New Castle, Kent and Sussex Counties, Delaware. Tidewater’s subsidiary, White Marsh, services approximately 4,000 customers in Delaware and Maryland through various operations and maintenance contracts.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Tidewater Environmental Services, Inc. (TESI) subsidiary provides wastewater services to approximately 3,600 residential retail customers in Sussex Counties, Delaware.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USA-PA operates the water and wastewater systems for the City of Perth Amboy, New Jersey (Perth Amboy) under a 10-year operations and maintenance contract expiring in 2028. In addition to performing day-to day operations, USA-PA is also responsible for emergency responses and management of capital projects funded by Perth Amboy. USA-PA does not manage the billing, collections and customer service functions of Perth Amboy.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USA operates the Borough of Avalon, New Jersey’s (Avalon) water utility, sewer utility and storm water system under a ten-year operations and maintenance contract expiring in 2022. In addition to performing day to day operations, USA is responsible for billing, collections, customer service, emergency responses and management of capital projects funded by Avalon.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 marketing agreement with HomeServe USA (HomeServe), USA offers residential customers in New Jersey and Delaware a menu of water and wastewater related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1" w:name="page22"/>
    <w:bookmarkEnd w:id="21"/>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Pennsylvania subsidiary, Twin Lakes, provides water services to approximately 120 retail customers in the Township of Shohola, Pike County, Pennsylvania.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333333"/>
        </w:rPr>
        <w:t xml:space="preserve">Capital Construction Program - </w:t>
      </w:r>
      <w:r>
        <w:rPr>
          <w:rFonts w:ascii="Times New Roman" w:cs="Times New Roman" w:eastAsia="Times New Roman" w:hAnsi="Times New Roman"/>
          <w:sz w:val="18"/>
          <w:szCs w:val="18"/>
          <w:color w:val="000000"/>
        </w:rPr>
        <w:t>The Company’s multi-year capital construction program encompasses numerous projects designed to upgrade and replace</w:t>
      </w:r>
      <w:r>
        <w:rPr>
          <w:rFonts w:ascii="Times New Roman" w:cs="Times New Roman" w:eastAsia="Times New Roman" w:hAnsi="Times New Roman"/>
          <w:sz w:val="18"/>
          <w:szCs w:val="18"/>
          <w:b w:val="1"/>
          <w:bCs w:val="1"/>
          <w:color w:val="333333"/>
        </w:rPr>
        <w:t xml:space="preserve"> </w:t>
      </w:r>
      <w:r>
        <w:rPr>
          <w:rFonts w:ascii="Times New Roman" w:cs="Times New Roman" w:eastAsia="Times New Roman" w:hAnsi="Times New Roman"/>
          <w:sz w:val="18"/>
          <w:szCs w:val="18"/>
          <w:color w:val="000000"/>
        </w:rPr>
        <w:t>utility infrastructure as well as enhance the integrity and reliability of assets to better serve the current and future generations of water and wastewater customers. The Company plans to invest approximately $116 million in 2019 in connection with this plan for projects that include, but are not limited to;</w:t>
      </w:r>
    </w:p>
    <w:p>
      <w:pPr>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a 4.6 mile water transmission pipeline to provide critical resiliency and redundancy to the Company’s water transmission system in New Jersey;</w:t>
      </w:r>
    </w:p>
    <w:p>
      <w:pPr>
        <w:spacing w:after="0" w:line="1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of four miles of water mains including service lines, valves, fire hydrants and meters in Carteret, New Jersey;</w:t>
      </w:r>
    </w:p>
    <w:p>
      <w:pPr>
        <w:spacing w:after="0" w:line="21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treatment process at the Company’s largest water plant in Edison Township, New Jersey, to mitigate the formation of disinfection by-products that can develop during treatment;</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Relocation of water meters from inside customers’ premises to exterior meter pits to allow quicker access by crews in emergencies, enhanced customer safety and convenience and reduced unmetered water; and</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standby emergency power generation.</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Pinelands Files for Rate Increases - </w:t>
      </w:r>
      <w:r>
        <w:rPr>
          <w:rFonts w:ascii="Times New Roman" w:cs="Times New Roman" w:eastAsia="Times New Roman" w:hAnsi="Times New Roman"/>
          <w:sz w:val="18"/>
          <w:szCs w:val="18"/>
          <w:color w:val="auto"/>
        </w:rPr>
        <w:t>In March 2019, Pinelands Water and Pinelands Wastewater filed separate petitions with the New Jersey Board of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Utilities (NJBPU) seeking permission to increase base rates by approximately $0.2 million and $0.5 million per year, respectively. These requests were necessitated by capital infrastructure investments both companies have made, or have committed to make, and increased operations and maintenance costs. We cannot predict whether the NJBPU will ultimately approve, deny, or reduce the amount of the requests. A decision by the NJBPU in either matter is not expected before the fourth quarter of 2019.</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Middlesex Receives Financing Approval - </w:t>
      </w:r>
      <w:r>
        <w:rPr>
          <w:rFonts w:ascii="Times New Roman" w:cs="Times New Roman" w:eastAsia="Times New Roman" w:hAnsi="Times New Roman"/>
          <w:sz w:val="18"/>
          <w:szCs w:val="18"/>
          <w:color w:val="auto"/>
        </w:rPr>
        <w:t>In May 2019, the NJBPU approved Middlesex’s petition with the NJBPU seeking approval to issue and sell up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1,500,000 shares of its common stock in one or more transactions through December 31, 2022. Sales of additional shares of common stock are part of the Company’s comprehensive financing plan to fund its multi-year utility plant infrastructure investment plan.</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Twin Lakes Files for Rate Increase - </w:t>
      </w:r>
      <w:r>
        <w:rPr>
          <w:rFonts w:ascii="Times New Roman" w:cs="Times New Roman" w:eastAsia="Times New Roman" w:hAnsi="Times New Roman"/>
          <w:sz w:val="18"/>
          <w:szCs w:val="18"/>
          <w:color w:val="auto"/>
        </w:rPr>
        <w:t>In July 2019, Twin Lakes filed a petition with the Pennsylvania Public Utilities Commission (PAPUC) seeking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permission to increase base rates by approximately $0.2 million per year. This request was necessitated by capital infrastructure investments Twin Lakes has made, or has committed to make, and increased operations and maintenance costs. We cannot predict whether the PAPUC will ultimately approve, deny, or reduce the amount of the request. A decision by the PAPUC is not expected before the first quarter of 2020.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increase operating income and net income is based significantly on four factors: weather, adequate and timely rate relief, effective cost management and customer growth (which are evident in comparison discussions in the Results of Operations section below). Revenues in the first quarter of 2019 were favorably impacted by Middlesex’s April 2018 base water rate increase. Weather patterns experienced in 2017 and 2018, which resulted in lower customer demand for water, continue to occur in 2019 and have impacted revenues and net income. Actuarially-determined non-service retirement benefit plan costs are expected to increase in 2019. We continue to implement plans to further streamline operations and further reduce, and mitigate increases in, operating costs. Changes in customer water usage habits, as well as increases in capital expenditures and operating costs, are significant factors in determining the timing and extent of rate increase requests.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2" w:name="page23"/>
    <w:bookmarkEnd w:id="22"/>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Organic residential customer growth through June 2019 has been consistent with that experienced in recent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strategy for profitable growth is focused on the following key areas:</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acquisitions of investor and municipally-owned water and wastewater utilities;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adequate recovery of infrastructure investments and other costs to maintain service quality;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municipal and industrial water and wastewater systems on a contract basis;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projects, products and services that complement our core water and wastewater competencies.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service in the Non-Regulated segment are subject to the terms of individually-negotiated and executed contracts with municipal, industrial and other clients. Both segments are subject to federal and state environmental, water and wastewater quality and other associated legal and regulatory requirements.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segments in the tables included below consist of the following companies: Regulated-Middlesex, Tidewater, Pinelands, Southern Shores, TESI and Twin Lakes; Non-Regulated-USA, USA-PA, and White Marsh.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June 30,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6"/>
          </w:tcPr>
          <w:p>
            <w:pPr>
              <w:ind w:left="56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60" w:type="dxa"/>
            <w:vAlign w:val="bottom"/>
          </w:tcPr>
          <w:p>
            <w:pPr>
              <w:spacing w:after="0"/>
              <w:rPr>
                <w:sz w:val="20"/>
                <w:szCs w:val="20"/>
                <w:color w:val="auto"/>
              </w:rPr>
            </w:pPr>
          </w:p>
        </w:tc>
        <w:tc>
          <w:tcPr>
            <w:tcW w:w="9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w w:val="97"/>
              </w:rPr>
              <w:t>Non-</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rPr>
              <w:t>Non-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Regulated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Regulated</w:t>
            </w:r>
          </w:p>
        </w:tc>
        <w:tc>
          <w:tcPr>
            <w:tcW w:w="10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Regulated</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Regulated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33,393</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maintenance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13,918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taxes</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3,542</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7,903</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8,950</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9,988</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533</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7,423</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8,146</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8,151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c>
          <w:tcPr>
            <w:tcW w:w="360" w:type="dxa"/>
            <w:vAlign w:val="bottom"/>
            <w:tcBorders>
              <w:bottom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8,675</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23" w:name="page24"/>
    <w:bookmarkEnd w:id="23"/>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revenues for the three months ended June 30, 2019 decreased $1.5 million from the same period in 2018. This decrease was related to the following factors:</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Middlesex System revenues decreased $0.9 million due to the following:</w:t>
      </w:r>
    </w:p>
    <w:p>
      <w:pPr>
        <w:spacing w:after="0" w:line="27" w:lineRule="exact"/>
        <w:rPr>
          <w:sz w:val="20"/>
          <w:szCs w:val="20"/>
          <w:color w:val="auto"/>
        </w:rPr>
      </w:pPr>
    </w:p>
    <w:p>
      <w:pPr>
        <w:ind w:left="1300" w:hanging="320"/>
        <w:spacing w:after="0" w:line="250"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weather reduced water demand from our general meter service and wholesale contract customers, resulting in lower revenues of $0.8 million and $0.2 million, respectively; and</w:t>
      </w:r>
    </w:p>
    <w:p>
      <w:pPr>
        <w:ind w:left="1300" w:hanging="320"/>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revenue categories increased $0.1 million;</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Tidewater System revenues increased $0.1 million due to additional customers, which was tempered by lower weather related water demand and reduced base tariff rates. The reduction in base rates was approved by the Delaware Public Service Commission (DEPSC) and became effective March 1, 2019, and was prompted by the lower corporate income tax rate enacted under the Tax Cuts and Jobs Act of 2017 (Tax Act). There is a corresponding decrease in income tax expense;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Non-regulated revenues decreased by $0.8 million primarily due to changes resulting from USA-PA’s new 10 year contract with Perth Amboy. Under the new contract effective January 1, 2019, USA-PA has direct management control for wastewater services, for which USA-PA is compensated. Under the prior contract, USA-PA utilized, and was compensated for, a sub-contractor. This results in a corresponding decrease in operations and maintenance expense;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revenue categories increased $0.1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 and Maintenance Expense</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Operation and maintenance expenses for the three months ended June 30, 2019 remained consistent with the same period in 2018, primarily related to the following factors:</w:t>
      </w:r>
    </w:p>
    <w:p>
      <w:pPr>
        <w:spacing w:after="0" w:line="162" w:lineRule="exact"/>
        <w:rPr>
          <w:sz w:val="20"/>
          <w:szCs w:val="20"/>
          <w:color w:val="auto"/>
        </w:rPr>
      </w:pPr>
    </w:p>
    <w:p>
      <w:pPr>
        <w:jc w:val="both"/>
        <w:ind w:left="660" w:hanging="328"/>
        <w:spacing w:after="0" w:line="257"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Non-regulated operation and maintenance expenses decreased $1.1 million, primarily due to our new Perth Amboy operating contract, effective January 1, 2019, under which USA-PA no longer incurs sub-contractor fees for wastewater services. This results in a corresponding decrease in operating revenues;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in our regulated subsidiaries increased $0.4 million due to increased headcount and increased average labor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costs increased $0.1 million due to the January 2019 commencement of our lease of new corporate administrative office space;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costs increased $0.1 million due to increased premiums and headcount;</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$0.1 million for water main break activity in our Middlesex System in the second quarter of 2019 as compared to the second quarter of 2018; and</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operation and maintenance expense categories increased $0.4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June 30, 2019 increased $0.4 million from the same period in 2018 due to a higher level of utility plant in service.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taxes for the three months ended June 30, 2019 decreased $0.1 million from the same period in 2018 primarily due to lower revenue related taxes on lower revenues in our Middlesex system.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net for the three months ended June 30, 2019 decreased $0.2 million from the same period in 2018, primarily due to higher actuarially-determined postretirement benefit plan non-service expense and the sale of wastewater franchise rights by our TESI subsidiary in the second quarter of 2018. This decrease was partially offset by higher Allowance for Funds Used During Construction resulting from a higher level of capital construction projects in progress.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4" w:name="page25"/>
    <w:bookmarkEnd w:id="24"/>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Charges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charges for the three months ended June 30, 2019 decreased $0.3 million from the same period in 2018 due to lower interest related to Internal Revenue Service (IRS) examinations of the Company’s federal income tax returns. This decrease was partially offset by higher average short-term debt outstanding at increased interest rates in 2019 as compared to 2018.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for the three months ended June 30, 2019 decreased $1.2 million from the same period in 2018, primarily due to the regulatory accounting treatment of tax benefits associated with the adoption of tangible property regulations prescribed by the IRS, which was approved in Middlesex’s 2018 base rate case decision, and lower-pre-tax income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addition, Tidewater’s effective income tax rate was decreased in March 2019, reflecting the rate reduction approved by the DEPSC to reflect the lower corporate income tax rate resulting from implementation of the Tax Act. This has resulted in a corresponding decrease in operating revenues</w:t>
      </w:r>
      <w:r>
        <w:rPr>
          <w:rFonts w:ascii="Times New Roman" w:cs="Times New Roman" w:eastAsia="Times New Roman" w:hAnsi="Times New Roman"/>
          <w:sz w:val="18"/>
          <w:szCs w:val="18"/>
          <w:i w:val="1"/>
          <w:iCs w:val="1"/>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and Earnings Per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for the three months ended June 30, 2019 decreased $0.5 million as compared with the same period in 2018. Basic earnings per share were $0.49 and $0.53 for the three months ended June 30, 2019 and 2018, respectively. Diluted earnings per share were $0.49 and $0.52 for the three months ended June 30, 2019 and 2018,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Six Months Ended June 30,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color w:val="auto"/>
                <w:w w:val="98"/>
              </w:rPr>
              <w:t>(In Thousands)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60" w:type="dxa"/>
            <w:vAlign w:val="bottom"/>
          </w:tcPr>
          <w:p>
            <w:pPr>
              <w:spacing w:after="0"/>
              <w:rPr>
                <w:sz w:val="20"/>
                <w:szCs w:val="20"/>
                <w:color w:val="auto"/>
              </w:rPr>
            </w:pPr>
          </w:p>
        </w:tc>
        <w:tc>
          <w:tcPr>
            <w:tcW w:w="9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w w:val="97"/>
              </w:rPr>
              <w:t>Non-</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rPr>
              <w:t>Non-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Regulated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Regulated</w:t>
            </w:r>
          </w:p>
        </w:tc>
        <w:tc>
          <w:tcPr>
            <w:tcW w:w="16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Regulated</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Regulated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64,090</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maintenance expenses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3,527</w:t>
            </w:r>
          </w:p>
        </w:tc>
        <w:tc>
          <w:tcPr>
            <w:tcW w:w="16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28,626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7,254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taxes</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6,923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7,042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6,823</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13,936</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2,041</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15,977</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15,613</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1,486</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13,290</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14,696</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12,134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w:t>
            </w:r>
          </w:p>
        </w:tc>
        <w:tc>
          <w:tcPr>
            <w:tcW w:w="360" w:type="dxa"/>
            <w:vAlign w:val="bottom"/>
            <w:tcBorders>
              <w:bottom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13,169</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revenues for the six months ended June 30, 2019 decreased $2.0 million from the same period in 2018. This decrease was related to the following factors:</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Middlesex System revenues decreased $0.1 million due to the following:</w:t>
      </w:r>
    </w:p>
    <w:p>
      <w:pPr>
        <w:spacing w:after="0" w:line="27" w:lineRule="exact"/>
        <w:rPr>
          <w:sz w:val="20"/>
          <w:szCs w:val="20"/>
          <w:color w:val="auto"/>
        </w:rPr>
      </w:pPr>
    </w:p>
    <w:p>
      <w:pPr>
        <w:ind w:left="1300" w:right="20" w:hanging="320"/>
        <w:spacing w:after="0" w:line="261"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weather reduced water demand from our general meter service and wholesale contract customers, resulting in reduced revenues of $1.1 million and $0.2 million, respectively; and;</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5" w:name="page26"/>
    <w:bookmarkEnd w:id="25"/>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9" w:lineRule="exact"/>
        <w:rPr>
          <w:sz w:val="20"/>
          <w:szCs w:val="20"/>
          <w:color w:val="auto"/>
        </w:rPr>
      </w:pP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 2018, a NJBPU-approved base rate increase resulted in higher revenues of $1.2 million;</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Tidewater System revenues remained consistent primarily due to additional customers, which was tempered by lower weather related water demand and reduced base tariff rates. The reduction in base rates was approved by the DEPSC and became effective March 1, 2019, and was prompted by the lower corporate income tax rate enacted under the Tax Act. There is a corresponding decrease in income tax expense;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Non-regulated revenues decreased by $2.0 million primarily due to changes resulting from USA-PA’s new 10 year contract with Perth Amboy. Under the new contract, effective January 1, 2019, USA-PA has direct management control for wastewater services, for which USA-PA is compensated. Under the prior contract, USA-PA utilized, and was compensated for, a sub-contractor. This results in a corresponding decrease in operations and maintenance expense.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 and Maintenance Expense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Operation and maintenance expenses for the six months ended June 30, 2019 decreased $1.8 million from the same period in 2018, primarily related to the following factors:</w:t>
      </w:r>
    </w:p>
    <w:p>
      <w:pPr>
        <w:spacing w:after="0" w:line="162" w:lineRule="exact"/>
        <w:rPr>
          <w:sz w:val="20"/>
          <w:szCs w:val="20"/>
          <w:color w:val="auto"/>
        </w:rPr>
      </w:pPr>
    </w:p>
    <w:p>
      <w:pPr>
        <w:jc w:val="both"/>
        <w:ind w:left="660" w:hanging="328"/>
        <w:spacing w:after="0" w:line="25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and maintenance expenses in our non-regulated subsidiaries decreased $2.5 million, primarily due to our new Perth Amboy operating contract, effective January 1, 2019, under which USA-PA no longer incurs sub-contractor fees for wastewater services. This results in a corresponding decrease in operating revenues;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production costs decreased $0.2 million due to lower customer demand;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in our regulated subsidiaries increased $0.3 million due to increased headcount and increased average labor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costs increased $0.2 million due to the January 2019 commencement of our lease of new corporate administrative office space;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costs increased $0.2 million due to increased premiums and headcount;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operation and maintenance expense categories increased $0.2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for the six months ended June 30, 2019 increased $0.8 million from the same period in 2018 due to a higher level of utility plant in service.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taxes for the six months ended June 30, 2019 remained consistent with the same period in 2018 primarily due to lower revenue related taxes on lower revenues in our Middlesex system offset by higher payroll taxes.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net for the six months ended June 30, 2019 decreased $0.2 million from the same period in 2018, primarily due to higher actuarially-determined postretirement benefit plan non-service expense and the sale of wastewater franchise rights by our TESI subsidiary in the second quarter of 2018. This decrease was partially offset by higher Allowance for Funds Used During Construction resulting from a higher level of capital construction projects in progress.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Charges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charges for the six months ended June 30, 2019 decreased $0.2 million from the same period in 2018 due to lower interest associated with IRS examinations of the Company’s federal income tax returns. This decrease was partially offset by higher average short-term debt outstanding at increased interest rates in 2019 as compared to 2018.</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6" w:name="page27"/>
    <w:bookmarkEnd w:id="26"/>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for the six months ended June 30, 2019 decreased $2.6 million from the same period in 2018, primarily due to the regulatory accounting treatment of tax benefits associated with the adoption of the tangible property regulations, prescribed by the IRS, which was approved in Middlesex’s 2018 base rate case decision, and lower pre-tax income. In addition, Tidewater’s effective income tax rate was decreased in March 2019, reflecting the rate reduction approved by the DEPSC to reflect the lower corporate income tax rate resulting from implementation of the Tax Act. This has resulted in a corresponding decrease in operating revenues</w:t>
      </w:r>
      <w:r>
        <w:rPr>
          <w:rFonts w:ascii="Times New Roman" w:cs="Times New Roman" w:eastAsia="Times New Roman" w:hAnsi="Times New Roman"/>
          <w:sz w:val="18"/>
          <w:szCs w:val="18"/>
          <w:i w:val="1"/>
          <w:iCs w:val="1"/>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and Earnings Per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for the six months ended June 30, 2019 increased $1.5 million as compared with the same period in 2018. Basic earnings per share were $0.89 and $0.80 for the six months ended June 30, 2019 and 2018, respectively. Diluted earnings per share were $0.88 and $0.80 for the six months ended June 30, 2019 and 2018,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Cash Flows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from operations are largely based on four factors: weather, adequate and timely rate increases, effective cost management and growth. The effect of those factors on net income is discussed in “Results of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cash flows from operating activities decreased $7.6 million to $11.6 million from the same period in 2018. The decrease in cash flows from operating activities primarily resulted from the timing of payments to vendors and increased income tax payments. Utility plant expenditures for the period were primarily funded by financing activities.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Cash Flows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2019, cash flows used in investing activities increased $7.3 million to $35.7 million from the same period in 2018. The increase in cash flows used in investing activities resulted from increased utility plant expenditures.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on the Company’s future capital expenditures and expected funding sources, see “</w:t>
      </w: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Cash Flows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cash flows from financing activities increased $14.0 million to $22.6 million from the same period in 2018. The majority of the increase in cash flows provided by financing activities is due to the net increase in long-term debt funding and increased proceeds from the issuance of common stock under the Middlesex Water Company Investment Plan (the Investment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 and Commitments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fund our capital program, we may use internally generated funds, short-term and long-term debt borrowings, proceeds from sales of common stock under the Investment Plan and proceeds from new offerings to the public of our common stock. See below for a more detailed discussion regarding the funding of our capital program.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capital investment program for 2019 is currently estimated to be approximately $116 million. Through June 30, 2019, we have expended $36 million and expect to incur approximately $80 million for capital projects for the remainder of 2019.</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7" w:name="page28"/>
    <w:bookmarkEnd w:id="27"/>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We currently project that we may expend approximately $204 million for capital projects in 2020 and 2021. The actual amount and timing of capital expenditures is dependent on project scheduling and refinement of engineering estimates for certain capital projects. To pay for our capital program for the remainder of 2019, we plan on utilizing:</w:t>
      </w:r>
    </w:p>
    <w:p>
      <w:pPr>
        <w:spacing w:after="0" w:line="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generated funds;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Investment Plan. which includes a 5% discount purchase program for 2019 (see discussion under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Note 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w:t>
      </w: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New Jersey and Delaware State Revolving Fund (SRF). SRF programs provide low cost financing for projects that meet certain water quality and system improvement benchmarks (see discussion under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Note 3 - Capitalization</w:t>
      </w:r>
      <w:r>
        <w:rPr>
          <w:rFonts w:ascii="Times New Roman" w:cs="Times New Roman" w:eastAsia="Times New Roman" w:hAnsi="Times New Roman"/>
          <w:sz w:val="18"/>
          <w:szCs w:val="18"/>
          <w:color w:val="auto"/>
        </w:rPr>
        <w:t>);</w:t>
      </w: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issuance and sale of First Mortgage Bonds through the New Jersey Economic Development Authority (see discussion under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Note 3 - Capitalization</w:t>
      </w:r>
      <w:r>
        <w:rPr>
          <w:rFonts w:ascii="Times New Roman" w:cs="Times New Roman" w:eastAsia="Times New Roman" w:hAnsi="Times New Roman"/>
          <w:sz w:val="18"/>
          <w:szCs w:val="18"/>
          <w:color w:val="auto"/>
        </w:rPr>
        <w:t>);</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necessary, proceeds from a common stock offering (see discussion under “</w:t>
      </w:r>
      <w:r>
        <w:rPr>
          <w:rFonts w:ascii="Times New Roman" w:cs="Times New Roman" w:eastAsia="Times New Roman" w:hAnsi="Times New Roman"/>
          <w:sz w:val="18"/>
          <w:szCs w:val="18"/>
          <w:i w:val="1"/>
          <w:iCs w:val="1"/>
          <w:color w:val="auto"/>
        </w:rPr>
        <w:t>Common Stock Offering</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xml:space="preserve"> above); and</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borrowings through $100.0 million of active lines of credit with several financial institutions. As of June 30, 2019, there remains $40.6 million of available credit under these lines.</w:t>
      </w:r>
    </w:p>
    <w:p>
      <w:pPr>
        <w:spacing w:after="0" w:line="17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 See Note 1 of the Notes to Unaudited Condensed Consolidated Financial Statements for a discussion of recent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pronouncements and guidance.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of Market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2019 to 2047. Over the next twelve months, approximately $7.4 million of the current portion of existing long-term debt instruments will mature. Applying a hypothetical change in the rate of interest charged by 10% on those borrowings, would not have a material effect on our earnings.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risks associated with commodity price increases for chemicals, electricity and other commodities are reduced through contractual arrangements and the ability to recover price increases through rates. Non-performance by these commodity suppliers could have a material adverse impact on our results of operations, financial position and cash flows.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rates.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retirement benefit plan assets are exposed to fluctuating market prices of debt and equity securities. Changes to the Company's retirement benefit plan asset values can impact the Company's retirement benefit plan expense, funded status and future minimum funding requirements. Our risk is mitigated by our ability to recover retirement benefit plan costs through rates for regulated utility services charged to our customers.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8" w:name="page29"/>
    <w:bookmarkEnd w:id="28"/>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required by Rule 13a-15 under the Securities and Exchange Act of 1934 (the Exchange Act), an evaluation of the effectiveness of the design and operation of the Company’s disclosure controls and procedures was conducted by the Company’s Chief Executive Officer along with the Company’s Chief Financial Officer. Based upon that evaluation, the Company’s Chief Executive Officer and the Company’s Chief Financial Officer concluded that the Company’s disclosure controls and procedures are effective as of the end of the period covered by this Report. There were no changes in our internal control over financial reporting that occurred during our most recent fiscal quarter that have materially affected, or are reasonably likely to materially affect, our internal control over financial reporting.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about risk factors does not differ materially from those set forth in Part I, Item 1A. of the Company’s Annual Report on Form 10-K for the year ended December 31, 2018.</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9" w:name="page30"/>
    <w:bookmarkEnd w:id="29"/>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600" w:type="dxa"/>
            <w:vAlign w:val="bottom"/>
            <w:gridSpan w:val="5"/>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Section 302 Certification by Dennis W. Doll pursuant to Rules 13a-14 and 15d-14 of the Securities Exchange Act of 1934.</w:t>
              </w:r>
            </w:hyperlink>
          </w:p>
        </w:tc>
      </w:tr>
      <w:tr>
        <w:trPr>
          <w:trHeight w:val="20"/>
        </w:trPr>
        <w:tc>
          <w:tcPr>
            <w:tcW w:w="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1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Section 302 Certification by A. Bruce O’Connor pursuant to Rules 13a-14 and 15d-14 of the Securities Exchange Act of 1934.</w:t>
              </w:r>
            </w:hyperlink>
          </w:p>
        </w:tc>
        <w:tc>
          <w:tcPr>
            <w:tcW w:w="1460" w:type="dxa"/>
            <w:vAlign w:val="bottom"/>
            <w:gridSpan w:val="2"/>
          </w:tcPr>
          <w:p>
            <w:pPr>
              <w:spacing w:after="0"/>
              <w:rPr>
                <w:sz w:val="24"/>
                <w:szCs w:val="24"/>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600" w:type="dxa"/>
            <w:vAlign w:val="bottom"/>
            <w:gridSpan w:val="5"/>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Section 906 Certification by Dennis W. Doll pursuant to 18 U.S.C. §1350, as adopted pursuant to Section 302 of the Sarbanes-Oxley Act of 2002.</w:t>
              </w:r>
            </w:hyperlink>
          </w:p>
        </w:tc>
      </w:tr>
      <w:tr>
        <w:trPr>
          <w:trHeight w:val="20"/>
        </w:trPr>
        <w:tc>
          <w:tcPr>
            <w:tcW w:w="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1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6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Section 906 Certification by A. Bruce O’Connor pursuant to 18 U.S.C. §1350, as adopted pursuant to Section 302 of the Sarbanes-Oxley Act of</w:t>
              </w:r>
            </w:hyperlink>
          </w:p>
        </w:tc>
      </w:tr>
      <w:tr>
        <w:trPr>
          <w:trHeight w:val="196"/>
        </w:trPr>
        <w:tc>
          <w:tcPr>
            <w:tcW w:w="82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w:anchor="page35">
              <w:r>
                <w:rPr>
                  <w:rFonts w:ascii="Times New Roman" w:cs="Times New Roman" w:eastAsia="Times New Roman" w:hAnsi="Times New Roman"/>
                  <w:sz w:val="18"/>
                  <w:szCs w:val="18"/>
                  <w:color w:val="0000EE"/>
                  <w:w w:val="93"/>
                </w:rPr>
                <w:t>2002.</w:t>
              </w:r>
            </w:hyperlink>
          </w:p>
        </w:tc>
        <w:tc>
          <w:tcPr>
            <w:tcW w:w="8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6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6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6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6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6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6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885"/>
        </w:trPr>
        <w:tc>
          <w:tcPr>
            <w:tcW w:w="82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gridSpan w:val="2"/>
          </w:tcPr>
          <w:p>
            <w:pPr>
              <w:ind w:left="4780"/>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16" w:right="239" w:bottom="1440" w:gutter="0" w:footer="0" w:header="0"/>
        </w:sectPr>
      </w:pPr>
    </w:p>
    <w:bookmarkStart w:id="30" w:name="page31"/>
    <w:bookmarkEnd w:id="30"/>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MIDDLESEX WATER COMPANY</w:t>
      </w:r>
    </w:p>
    <w:p>
      <w:pPr>
        <w:spacing w:after="0" w:line="225" w:lineRule="exact"/>
        <w:rPr>
          <w:sz w:val="20"/>
          <w:szCs w:val="20"/>
          <w:color w:val="auto"/>
        </w:rPr>
      </w:pPr>
    </w:p>
    <w:p>
      <w:pPr>
        <w:ind w:left="4460"/>
        <w:spacing w:after="0"/>
        <w:tabs>
          <w:tab w:leader="none" w:pos="5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-7620</wp:posOffset>
            </wp:positionV>
            <wp:extent cx="1355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55725" cy="8890"/>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Senior Vice President, Treasurer and</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July 31, 2019</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216" w:right="29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302 CERTIFICATION PURSUANT TO RULES 13a-14</w:t>
      </w:r>
    </w:p>
    <w:p>
      <w:pPr>
        <w:spacing w:after="0" w:line="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AND 15d-14 OF THE SECURITIES EXCHANGE ACT OF 1934</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 Dennis W. Doll, certify that:</w:t>
      </w:r>
    </w:p>
    <w:p>
      <w:pPr>
        <w:spacing w:after="0" w:line="225" w:lineRule="exact"/>
        <w:rPr>
          <w:sz w:val="20"/>
          <w:szCs w:val="20"/>
          <w:color w:val="auto"/>
        </w:rPr>
      </w:pPr>
    </w:p>
    <w:p>
      <w:pPr>
        <w:ind w:left="328" w:hanging="328"/>
        <w:spacing w:after="0"/>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Middlesex Water Company;</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388"/>
        <w:spacing w:after="0"/>
        <w:rPr>
          <w:sz w:val="20"/>
          <w:szCs w:val="20"/>
          <w:color w:val="auto"/>
        </w:rPr>
      </w:pPr>
      <w:r>
        <w:rPr>
          <w:rFonts w:ascii="Times New Roman" w:cs="Times New Roman" w:eastAsia="Times New Roman" w:hAnsi="Times New Roman"/>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-7620</wp:posOffset>
            </wp:positionV>
            <wp:extent cx="10464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7" w:lineRule="exact"/>
        <w:rPr>
          <w:sz w:val="20"/>
          <w:szCs w:val="20"/>
          <w:color w:val="auto"/>
        </w:rPr>
      </w:pPr>
    </w:p>
    <w:p>
      <w:pPr>
        <w:ind w:left="5568"/>
        <w:spacing w:after="0"/>
        <w:rPr>
          <w:sz w:val="20"/>
          <w:szCs w:val="20"/>
          <w:color w:val="auto"/>
        </w:rPr>
      </w:pPr>
      <w:r>
        <w:rPr>
          <w:rFonts w:ascii="Times New Roman" w:cs="Times New Roman" w:eastAsia="Times New Roman" w:hAnsi="Times New Roman"/>
          <w:sz w:val="18"/>
          <w:szCs w:val="18"/>
          <w:color w:val="auto"/>
        </w:rPr>
        <w:t>Dennis W. Doll</w:t>
      </w:r>
    </w:p>
    <w:p>
      <w:pPr>
        <w:spacing w:after="0" w:line="9" w:lineRule="exact"/>
        <w:rPr>
          <w:sz w:val="20"/>
          <w:szCs w:val="20"/>
          <w:color w:val="auto"/>
        </w:rPr>
      </w:pPr>
    </w:p>
    <w:p>
      <w:pPr>
        <w:ind w:left="5388"/>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Date: July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297180</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088"/>
          </w:cols>
          <w:pgMar w:left="572" w:top="117"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302 CERTIFICATION PURSUANT TO RULES 13a-14</w:t>
      </w:r>
    </w:p>
    <w:p>
      <w:pPr>
        <w:spacing w:after="0" w:line="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AND 15d-14 OF THE SECURITIES EXCHANGE ACT OF 1934</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 A. Bruce O’Connor, certify that:</w:t>
      </w:r>
    </w:p>
    <w:p>
      <w:pPr>
        <w:spacing w:after="0" w:line="225" w:lineRule="exact"/>
        <w:rPr>
          <w:sz w:val="20"/>
          <w:szCs w:val="20"/>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Middlesex Water Company;</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76"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388"/>
        <w:spacing w:after="0"/>
        <w:rPr>
          <w:sz w:val="20"/>
          <w:szCs w:val="20"/>
          <w:color w:val="auto"/>
        </w:rPr>
      </w:pPr>
      <w:r>
        <w:rPr>
          <w:rFonts w:ascii="Times New Roman" w:cs="Times New Roman" w:eastAsia="Times New Roman" w:hAnsi="Times New Roman"/>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-7620</wp:posOffset>
            </wp:positionV>
            <wp:extent cx="12985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98575" cy="8890"/>
                    </a:xfrm>
                    <a:prstGeom prst="rect">
                      <a:avLst/>
                    </a:prstGeom>
                    <a:noFill/>
                  </pic:spPr>
                </pic:pic>
              </a:graphicData>
            </a:graphic>
          </wp:anchor>
        </w:drawing>
      </w:r>
    </w:p>
    <w:p>
      <w:pPr>
        <w:spacing w:after="0" w:line="7" w:lineRule="exact"/>
        <w:rPr>
          <w:sz w:val="20"/>
          <w:szCs w:val="20"/>
          <w:color w:val="auto"/>
        </w:rPr>
      </w:pPr>
    </w:p>
    <w:p>
      <w:pPr>
        <w:ind w:left="5648"/>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ind w:left="5668"/>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Date: July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297180</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088"/>
          </w:cols>
          <w:pgMar w:left="572" w:top="117"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PURSUANT TO 18 U.S.C.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Dennis W. Doll,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39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-7620</wp:posOffset>
            </wp:positionV>
            <wp:extent cx="12179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Dennis W. Doll</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2019</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PURSUANT TO 18 U.S.C.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4060"/>
        <w:spacing w:after="0"/>
        <w:rPr>
          <w:sz w:val="20"/>
          <w:szCs w:val="20"/>
          <w:color w:val="auto"/>
        </w:rPr>
      </w:pPr>
      <w:r>
        <w:rPr>
          <w:rFonts w:ascii="Times New Roman" w:cs="Times New Roman" w:eastAsia="Times New Roman" w:hAnsi="Times New Roman"/>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-7620</wp:posOffset>
            </wp:positionV>
            <wp:extent cx="1155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55700" cy="8890"/>
                    </a:xfrm>
                    <a:prstGeom prst="rect">
                      <a:avLst/>
                    </a:prstGeom>
                    <a:noFill/>
                  </pic:spPr>
                </pic:pic>
              </a:graphicData>
            </a:graphic>
          </wp:anchor>
        </w:drawing>
      </w:r>
    </w:p>
    <w:p>
      <w:pPr>
        <w:spacing w:after="0" w:line="7" w:lineRule="exact"/>
        <w:rPr>
          <w:sz w:val="20"/>
          <w:szCs w:val="20"/>
          <w:color w:val="auto"/>
        </w:rPr>
      </w:pPr>
    </w:p>
    <w:p>
      <w:pPr>
        <w:jc w:val="right"/>
        <w:ind w:right="4020"/>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jc w:val="right"/>
        <w:ind w:right="40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þ"/>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lvl w:ilvl="1">
      <w:lvlJc w:val="left"/>
      <w:lvlText w:val="o"/>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o"/>
      <w:numFmt w:val="bullet"/>
      <w:start w:val="1"/>
    </w:lvl>
  </w:abstractNum>
  <w:abstractNum w:abstractNumId="14">
    <w:nsid w:val="25E45D32"/>
    <w:multiLevelType w:val="hybridMultilevel"/>
    <w:lvl w:ilvl="0">
      <w:lvlJc w:val="left"/>
      <w:lvlText w:val="·"/>
      <w:numFmt w:val="bullet"/>
      <w:start w:val="1"/>
    </w:lvl>
    <w:lvl w:ilvl="1">
      <w:lvlJc w:val="left"/>
      <w:lvlText w:val="o"/>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2019-12-28T09:38:00Z</dcterms:created>
  <dcterms:modified xsi:type="dcterms:W3CDTF">2019-12-28T09:38:00Z</dcterms:modified>
</cp:coreProperties>
</file>