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409"/>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82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ind w:left="2680" w:right="1900" w:hanging="2429"/>
        <w:spacing w:after="0" w:line="391" w:lineRule="auto"/>
        <w:tabs>
          <w:tab w:leader="none" w:pos="65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 to______________________</w:t>
      </w:r>
    </w:p>
    <w:p>
      <w:pPr>
        <w:spacing w:after="0" w:line="1" w:lineRule="exact"/>
        <w:rPr>
          <w:sz w:val="24"/>
          <w:szCs w:val="24"/>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0-422</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MIDDLESEX WATER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63" w:right="339" w:bottom="1440" w:gutter="0" w:footer="0" w:header="0"/>
        </w:sectPr>
      </w:pPr>
    </w:p>
    <w:p>
      <w:pPr>
        <w:spacing w:after="0" w:line="10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22-1114430</w:t>
      </w:r>
    </w:p>
    <w:p>
      <w:pPr>
        <w:spacing w:after="0" w:line="3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563"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485C Route One South, Iselin, New Jersey 08830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634-1500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338"/>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MSEX</w:t>
            </w:r>
          </w:p>
        </w:tc>
        <w:tc>
          <w:tcPr>
            <w:tcW w:w="4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85" w:lineRule="exact"/>
        <w:rPr>
          <w:sz w:val="24"/>
          <w:szCs w:val="24"/>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104" w:lineRule="exact"/>
        <w:rPr>
          <w:sz w:val="24"/>
          <w:szCs w:val="24"/>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2" w:lineRule="exact"/>
        <w:rPr>
          <w:sz w:val="24"/>
          <w:szCs w:val="24"/>
          <w:color w:val="auto"/>
        </w:rPr>
      </w:pPr>
    </w:p>
    <w:p>
      <w:pPr>
        <w:jc w:val="center"/>
        <w:ind w:righ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563" w:right="339" w:bottom="1440" w:gutter="0" w:footer="0" w:header="0"/>
          <w:type w:val="continuous"/>
        </w:sectPr>
      </w:pPr>
    </w:p>
    <w:p>
      <w:pPr>
        <w:spacing w:after="0" w:line="27" w:lineRule="exact"/>
        <w:rPr>
          <w:sz w:val="24"/>
          <w:szCs w:val="24"/>
          <w:color w:val="auto"/>
        </w:rPr>
      </w:pPr>
    </w:p>
    <w:p>
      <w:pPr>
        <w:ind w:left="13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22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1360" w:firstLine="1384"/>
        <w:spacing w:after="0" w:line="259"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63" w:lineRule="exact"/>
        <w:rPr>
          <w:sz w:val="24"/>
          <w:szCs w:val="24"/>
          <w:color w:val="auto"/>
        </w:rPr>
      </w:pPr>
    </w:p>
    <w:p>
      <w:pPr>
        <w:sectPr>
          <w:pgSz w:w="11900" w:h="16838" w:orient="portrait"/>
          <w:cols w:equalWidth="0" w:num="3">
            <w:col w:w="4420" w:space="520"/>
            <w:col w:w="1400" w:space="420"/>
            <w:col w:w="4480"/>
          </w:cols>
          <w:pgMar w:left="320" w:top="563" w:right="339" w:bottom="144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4"/>
          <w:szCs w:val="24"/>
          <w:color w:val="auto"/>
        </w:rPr>
      </w:pPr>
    </w:p>
    <w:p>
      <w:pPr>
        <w:ind w:left="51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May 8, 2024: Common Stock, No Par Value: 17,828,604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48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8"/>
              </w:rPr>
              <w:t>FINANCIAL INFORMATION</w:t>
            </w:r>
          </w:p>
        </w:tc>
        <w:tc>
          <w:tcPr>
            <w:tcW w:w="7380" w:type="dxa"/>
            <w:vAlign w:val="bottom"/>
            <w:gridSpan w:val="11"/>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 (Unaudited)</w:t>
            </w:r>
            <w:r>
              <w:rPr>
                <w:rFonts w:ascii="Times New Roman" w:cs="Times New Roman" w:eastAsia="Times New Roman" w:hAnsi="Times New Roman"/>
                <w:sz w:val="18"/>
                <w:szCs w:val="18"/>
                <w:color w:val="000000"/>
              </w:rPr>
              <w:t>:</w:t>
            </w:r>
          </w:p>
        </w:tc>
        <w:tc>
          <w:tcPr>
            <w:tcW w:w="4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98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60" w:type="dxa"/>
            <w:vAlign w:val="bottom"/>
            <w:tcBorders>
              <w:top w:val="single" w:sz="8" w:color="0000EE"/>
            </w:tcBorders>
          </w:tcPr>
          <w:p>
            <w:pPr>
              <w:spacing w:after="0"/>
              <w:rPr>
                <w:sz w:val="24"/>
                <w:szCs w:val="24"/>
                <w:color w:val="auto"/>
              </w:rPr>
            </w:pPr>
          </w:p>
        </w:tc>
        <w:tc>
          <w:tcPr>
            <w:tcW w:w="63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98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606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98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Capital Stock and Long-Term Debt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980" w:type="dxa"/>
            <w:vAlign w:val="bottom"/>
          </w:tcPr>
          <w:p>
            <w:pPr>
              <w:spacing w:after="0"/>
              <w:rPr>
                <w:sz w:val="24"/>
                <w:szCs w:val="24"/>
                <w:color w:val="auto"/>
              </w:rPr>
            </w:pPr>
          </w:p>
        </w:tc>
        <w:tc>
          <w:tcPr>
            <w:tcW w:w="54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Common Stockholders’ Equity</w:t>
            </w:r>
          </w:p>
        </w:tc>
        <w:tc>
          <w:tcPr>
            <w:tcW w:w="438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980" w:type="dxa"/>
            <w:vAlign w:val="bottom"/>
          </w:tcPr>
          <w:p>
            <w:pPr>
              <w:spacing w:after="0"/>
              <w:rPr>
                <w:sz w:val="24"/>
                <w:szCs w:val="24"/>
                <w:color w:val="auto"/>
              </w:rPr>
            </w:pPr>
          </w:p>
        </w:tc>
        <w:tc>
          <w:tcPr>
            <w:tcW w:w="51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68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of Market Risk</w:t>
            </w:r>
          </w:p>
        </w:tc>
        <w:tc>
          <w:tcPr>
            <w:tcW w:w="572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800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4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3"/>
          </w:tcPr>
          <w:p>
            <w:pPr>
              <w:spacing w:after="0"/>
              <w:rPr>
                <w:sz w:val="24"/>
                <w:szCs w:val="24"/>
                <w:color w:val="auto"/>
              </w:rPr>
            </w:pPr>
          </w:p>
        </w:tc>
        <w:tc>
          <w:tcPr>
            <w:tcW w:w="776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44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50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4"/>
                <w:szCs w:val="24"/>
                <w:color w:val="auto"/>
              </w:rPr>
            </w:pPr>
          </w:p>
        </w:tc>
        <w:tc>
          <w:tcPr>
            <w:tcW w:w="8020" w:type="dxa"/>
            <w:vAlign w:val="bottom"/>
            <w:gridSpan w:val="15"/>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9180" w:type="dxa"/>
            <w:vAlign w:val="bottom"/>
            <w:gridSpan w:val="19"/>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53"/>
        </w:trPr>
        <w:tc>
          <w:tcPr>
            <w:tcW w:w="107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560"/>
        </w:trPr>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54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58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16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40,524</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38,156</w:t>
            </w:r>
          </w:p>
        </w:tc>
      </w:tr>
      <w:tr>
        <w:trPr>
          <w:trHeight w:val="209"/>
        </w:trPr>
        <w:tc>
          <w:tcPr>
            <w:tcW w:w="5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1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20,465</w:t>
            </w:r>
          </w:p>
        </w:tc>
        <w:tc>
          <w:tcPr>
            <w:tcW w:w="4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20,257</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5,396</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5,986</w:t>
            </w:r>
          </w:p>
        </w:tc>
      </w:tr>
      <w:tr>
        <w:trPr>
          <w:trHeight w:val="216"/>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Taxes</w:t>
            </w:r>
          </w:p>
        </w:tc>
        <w:tc>
          <w:tcPr>
            <w:tcW w:w="3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4,798</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4,423</w:t>
            </w:r>
          </w:p>
        </w:tc>
      </w:tr>
      <w:tr>
        <w:trPr>
          <w:trHeight w:val="209"/>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30,659</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30,666</w:t>
            </w:r>
          </w:p>
        </w:tc>
      </w:tr>
      <w:tr>
        <w:trPr>
          <w:trHeight w:val="210"/>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9,865</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7,490</w:t>
            </w:r>
          </w:p>
        </w:tc>
      </w:tr>
      <w:tr>
        <w:trPr>
          <w:trHeight w:val="209"/>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5,189</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r>
      <w:tr>
        <w:trPr>
          <w:trHeight w:val="209"/>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3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5,365</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1,711</w:t>
            </w:r>
          </w:p>
        </w:tc>
      </w:tr>
      <w:tr>
        <w:trPr>
          <w:trHeight w:val="210"/>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3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3,269</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2,595</w:t>
            </w:r>
          </w:p>
        </w:tc>
      </w:tr>
      <w:tr>
        <w:trPr>
          <w:trHeight w:val="209"/>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11,961</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6,606</w:t>
            </w:r>
          </w:p>
        </w:tc>
      </w:tr>
      <w:tr>
        <w:trPr>
          <w:trHeight w:val="210"/>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1,279</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r>
      <w:tr>
        <w:trPr>
          <w:trHeight w:val="210"/>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1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10,682</w:t>
            </w:r>
          </w:p>
        </w:tc>
        <w:tc>
          <w:tcPr>
            <w:tcW w:w="4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5,868</w:t>
            </w:r>
          </w:p>
        </w:tc>
      </w:tr>
      <w:tr>
        <w:trPr>
          <w:trHeight w:val="216"/>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Preferred Stock Dividend Requirements</w:t>
            </w:r>
          </w:p>
        </w:tc>
        <w:tc>
          <w:tcPr>
            <w:tcW w:w="3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1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10,652</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5,838</w:t>
            </w:r>
          </w:p>
        </w:tc>
      </w:tr>
      <w:tr>
        <w:trPr>
          <w:trHeight w:val="210"/>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3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1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0.60</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1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0.59</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58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 Common Shares Outstanding:</w:t>
            </w:r>
          </w:p>
        </w:tc>
        <w:tc>
          <w:tcPr>
            <w:tcW w:w="3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17,819</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w:t>
            </w:r>
          </w:p>
        </w:tc>
      </w:tr>
      <w:tr>
        <w:trPr>
          <w:trHeight w:val="238"/>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1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17,934</w:t>
            </w:r>
          </w:p>
        </w:tc>
        <w:tc>
          <w:tcPr>
            <w:tcW w:w="4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17,767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66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MIDDLESEX WATER COMPANY</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p>
        </w:tc>
        <w:tc>
          <w:tcPr>
            <w:tcW w:w="66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10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Production</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306,884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303,791</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and Distribution</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816,933</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809,862</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101,047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100,593</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24,056</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19,636</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1,248,920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1,233,882</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239,630</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235,540</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PLANT - NET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1,009,290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998,342</w:t>
            </w:r>
          </w:p>
        </w:tc>
        <w:tc>
          <w:tcPr>
            <w:tcW w:w="0" w:type="dxa"/>
            <w:vAlign w:val="bottom"/>
          </w:tcPr>
          <w:p>
            <w:pPr>
              <w:spacing w:after="0"/>
              <w:rPr>
                <w:sz w:val="1"/>
                <w:szCs w:val="1"/>
                <w:color w:val="auto"/>
              </w:rPr>
            </w:pPr>
          </w:p>
        </w:tc>
      </w:tr>
      <w:tr>
        <w:trPr>
          <w:trHeight w:val="121"/>
        </w:trPr>
        <w:tc>
          <w:tcPr>
            <w:tcW w:w="1960" w:type="dxa"/>
            <w:vAlign w:val="bottom"/>
            <w:tcBorders>
              <w:bottom w:val="single" w:sz="8" w:color="auto"/>
            </w:tcBorders>
          </w:tcPr>
          <w:p>
            <w:pPr>
              <w:spacing w:after="0"/>
              <w:rPr>
                <w:sz w:val="10"/>
                <w:szCs w:val="10"/>
                <w:color w:val="auto"/>
              </w:rPr>
            </w:pPr>
          </w:p>
        </w:tc>
        <w:tc>
          <w:tcPr>
            <w:tcW w:w="6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$2,134 and $2,137, respectively</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15,732</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18,172</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Settlement Receivable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69,872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69,872</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Revenues</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11,312</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9,297</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 (at average cost)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7,072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6,972</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4,371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111,214</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108,536</w:t>
            </w:r>
          </w:p>
        </w:tc>
        <w:tc>
          <w:tcPr>
            <w:tcW w:w="0" w:type="dxa"/>
            <w:vAlign w:val="bottom"/>
          </w:tcPr>
          <w:p>
            <w:pPr>
              <w:spacing w:after="0"/>
              <w:rPr>
                <w:sz w:val="1"/>
                <w:szCs w:val="1"/>
                <w:color w:val="auto"/>
              </w:rPr>
            </w:pPr>
          </w:p>
        </w:tc>
      </w:tr>
      <w:tr>
        <w:trPr>
          <w:trHeight w:val="122"/>
        </w:trPr>
        <w:tc>
          <w:tcPr>
            <w:tcW w:w="1960" w:type="dxa"/>
            <w:vAlign w:val="bottom"/>
            <w:tcBorders>
              <w:bottom w:val="single" w:sz="8" w:color="auto"/>
            </w:tcBorders>
          </w:tcPr>
          <w:p>
            <w:pPr>
              <w:spacing w:after="0"/>
              <w:rPr>
                <w:sz w:val="10"/>
                <w:szCs w:val="10"/>
                <w:color w:val="auto"/>
              </w:rPr>
            </w:pPr>
          </w:p>
        </w:tc>
        <w:tc>
          <w:tcPr>
            <w:tcW w:w="6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3,027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Preliminary Survey and Investigation Charges</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1,952</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90,046</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90,694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Non-utility Assets - Net</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11,780</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Plans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22,757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21,779</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18"/>
                <w:szCs w:val="18"/>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129,601</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129,174</w:t>
            </w: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FF"/>
            </w:tcBorders>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1,250,105</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1,236,052</w:t>
            </w:r>
          </w:p>
        </w:tc>
        <w:tc>
          <w:tcPr>
            <w:tcW w:w="0" w:type="dxa"/>
            <w:vAlign w:val="bottom"/>
          </w:tcPr>
          <w:p>
            <w:pPr>
              <w:spacing w:after="0"/>
              <w:rPr>
                <w:sz w:val="1"/>
                <w:szCs w:val="1"/>
                <w:color w:val="auto"/>
              </w:rPr>
            </w:pPr>
          </w:p>
        </w:tc>
      </w:tr>
      <w:tr>
        <w:trPr>
          <w:trHeight w:val="115"/>
        </w:trPr>
        <w:tc>
          <w:tcPr>
            <w:tcW w:w="1960" w:type="dxa"/>
            <w:vAlign w:val="bottom"/>
            <w:shd w:val="clear" w:color="auto" w:fill="CCEEFF"/>
          </w:tcPr>
          <w:p>
            <w:pPr>
              <w:spacing w:after="0"/>
              <w:rPr>
                <w:sz w:val="10"/>
                <w:szCs w:val="10"/>
                <w:color w:val="auto"/>
              </w:rPr>
            </w:pPr>
          </w:p>
        </w:tc>
        <w:tc>
          <w:tcPr>
            <w:tcW w:w="6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246,551</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246,764</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181,141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176,227</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18"/>
                <w:szCs w:val="18"/>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EQUITY</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427,692</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422,991</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2,084</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356,960</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358,153</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786,736</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783,228</w:t>
            </w:r>
          </w:p>
        </w:tc>
        <w:tc>
          <w:tcPr>
            <w:tcW w:w="0" w:type="dxa"/>
            <w:vAlign w:val="bottom"/>
          </w:tcPr>
          <w:p>
            <w:pPr>
              <w:spacing w:after="0"/>
              <w:rPr>
                <w:sz w:val="1"/>
                <w:szCs w:val="1"/>
                <w:color w:val="auto"/>
              </w:rPr>
            </w:pPr>
          </w:p>
        </w:tc>
      </w:tr>
      <w:tr>
        <w:trPr>
          <w:trHeight w:val="122"/>
        </w:trPr>
        <w:tc>
          <w:tcPr>
            <w:tcW w:w="1960" w:type="dxa"/>
            <w:vAlign w:val="bottom"/>
            <w:tcBorders>
              <w:bottom w:val="single" w:sz="8" w:color="auto"/>
            </w:tcBorders>
            <w:shd w:val="clear" w:color="auto" w:fill="CCEEFF"/>
          </w:tcPr>
          <w:p>
            <w:pPr>
              <w:spacing w:after="0"/>
              <w:rPr>
                <w:sz w:val="10"/>
                <w:szCs w:val="10"/>
                <w:color w:val="auto"/>
              </w:rPr>
            </w:pPr>
          </w:p>
        </w:tc>
        <w:tc>
          <w:tcPr>
            <w:tcW w:w="662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7,831</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7,740</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58,000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42,750</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23,243</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27,618</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Settlement Payable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6,237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14,719</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10,535</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Revenues and Advanced Service Fees</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1,365</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3,111</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117,156</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103,829</w:t>
            </w:r>
          </w:p>
        </w:tc>
        <w:tc>
          <w:tcPr>
            <w:tcW w:w="0" w:type="dxa"/>
            <w:vAlign w:val="bottom"/>
          </w:tcPr>
          <w:p>
            <w:pPr>
              <w:spacing w:after="0"/>
              <w:rPr>
                <w:sz w:val="1"/>
                <w:szCs w:val="1"/>
                <w:color w:val="auto"/>
              </w:rPr>
            </w:pPr>
          </w:p>
        </w:tc>
      </w:tr>
      <w:tr>
        <w:trPr>
          <w:trHeight w:val="121"/>
        </w:trPr>
        <w:tc>
          <w:tcPr>
            <w:tcW w:w="8580" w:type="dxa"/>
            <w:vAlign w:val="bottom"/>
            <w:tcBorders>
              <w:bottom w:val="single" w:sz="8" w:color="auto"/>
            </w:tcBorders>
            <w:gridSpan w:val="2"/>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 (Note 7)</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8580" w:type="dxa"/>
            <w:vAlign w:val="bottom"/>
            <w:tcBorders>
              <w:bottom w:val="single" w:sz="8" w:color="auto"/>
            </w:tcBorders>
            <w:gridSpan w:val="2"/>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OTHER LIABILITIES: </w:t>
            </w:r>
            <w:r>
              <w:rPr>
                <w:rFonts w:ascii="Times New Roman" w:cs="Times New Roman" w:eastAsia="Times New Roman" w:hAnsi="Times New Roman"/>
                <w:sz w:val="18"/>
                <w:szCs w:val="18"/>
                <w:color w:val="auto"/>
              </w:rPr>
              <w:t>Customer Advances for Construction</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21,091</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21,313</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2,904</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Deferred Income Taxes</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89,693</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88,736</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Liabilities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57,818</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113,021</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498</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LIABILITIES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172,004</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226,725</w:t>
            </w:r>
          </w:p>
        </w:tc>
        <w:tc>
          <w:tcPr>
            <w:tcW w:w="0" w:type="dxa"/>
            <w:vAlign w:val="bottom"/>
          </w:tcPr>
          <w:p>
            <w:pPr>
              <w:spacing w:after="0"/>
              <w:rPr>
                <w:sz w:val="1"/>
                <w:szCs w:val="1"/>
                <w:color w:val="auto"/>
              </w:rPr>
            </w:pPr>
          </w:p>
        </w:tc>
      </w:tr>
      <w:tr>
        <w:trPr>
          <w:trHeight w:val="121"/>
        </w:trPr>
        <w:tc>
          <w:tcPr>
            <w:tcW w:w="8580" w:type="dxa"/>
            <w:vAlign w:val="bottom"/>
            <w:tcBorders>
              <w:bottom w:val="single" w:sz="8" w:color="auto"/>
            </w:tcBorders>
            <w:gridSpan w:val="2"/>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174,209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122,270</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6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CAPITALIZATION AND LIABILITIES</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1,250,105</w:t>
            </w: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1,236,052</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7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10,682</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5,868</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5,979</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7,201</w:t>
            </w: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Deferred Income Taxes and Investment Tax Credits</w:t>
            </w:r>
          </w:p>
        </w:tc>
        <w:tc>
          <w:tcPr>
            <w:tcW w:w="3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1,382</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Portion of Allowance for Funds Used During Construction (AFUDC)</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Revenues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Materials &amp; Supplies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(2,538)</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(4,375)</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2,776</w:t>
            </w: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Taxes</w:t>
            </w:r>
          </w:p>
        </w:tc>
        <w:tc>
          <w:tcPr>
            <w:tcW w:w="3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4,184</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3,834</w:t>
            </w: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Benefit Plans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Unearned Revenue &amp; Advanced Service Fees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Recovered Costs - Litigation Settlement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(6,027)</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16"/>
        </w:trPr>
        <w:tc>
          <w:tcPr>
            <w:tcW w:w="7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6,652</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15,970</w:t>
            </w: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Utility Plant Expenditures, Including AFUDC of $74 in 2024, $367 in 2023</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(14,389)</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w:t>
            </w:r>
          </w:p>
        </w:tc>
      </w:tr>
      <w:tr>
        <w:trPr>
          <w:trHeight w:val="216"/>
        </w:trPr>
        <w:tc>
          <w:tcPr>
            <w:tcW w:w="7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9"/>
        </w:trPr>
        <w:tc>
          <w:tcPr>
            <w:tcW w:w="7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(14,389)</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w:t>
            </w: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Long-term Debt</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425</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40,972</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Short-term Bank Borrowings (Payments)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15,250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Debt Issuance Expense</w:t>
            </w:r>
          </w:p>
        </w:tc>
        <w:tc>
          <w:tcPr>
            <w:tcW w:w="3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Grantee Withholding Taxes in Exchange for Restricted Stock</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2,342</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Common Dividends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(5,738)</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Preferred Dividends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Advances and Contributions-Net</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7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8,202</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9,579</w:t>
            </w:r>
          </w:p>
        </w:tc>
      </w:tr>
      <w:tr>
        <w:trPr>
          <w:trHeight w:val="209"/>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CHANGES IN CASH, CASH EQUIVALENTS AND RESTRICTED CASH</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465</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2,390</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3,828</w:t>
            </w:r>
          </w:p>
        </w:tc>
      </w:tr>
      <w:tr>
        <w:trPr>
          <w:trHeight w:val="210"/>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2,855</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4,862</w:t>
            </w:r>
          </w:p>
        </w:tc>
      </w:tr>
      <w:tr>
        <w:trPr>
          <w:trHeight w:val="210"/>
        </w:trPr>
        <w:tc>
          <w:tcPr>
            <w:tcW w:w="7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ACTIVITY:</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Utility Plant received as Construction Advances and Contributions</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2,143</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2,234</w:t>
            </w:r>
          </w:p>
        </w:tc>
      </w:tr>
      <w:tr>
        <w:trPr>
          <w:trHeight w:val="216"/>
        </w:trPr>
        <w:tc>
          <w:tcPr>
            <w:tcW w:w="7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FLOWS INFORMATION:</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During the 3 Months for:</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3,943</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2,812</w:t>
            </w:r>
          </w:p>
        </w:tc>
      </w:tr>
      <w:tr>
        <w:trPr>
          <w:trHeight w:val="216"/>
        </w:trPr>
        <w:tc>
          <w:tcPr>
            <w:tcW w:w="7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Capitalized</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 - 40,000</w:t>
            </w:r>
          </w:p>
        </w:tc>
        <w:tc>
          <w:tcPr>
            <w:tcW w:w="2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- 2024 - 17,814; 2023 - 17,821</w:t>
            </w: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246,551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246,764</w:t>
            </w:r>
          </w:p>
        </w:tc>
      </w:tr>
      <w:tr>
        <w:trPr>
          <w:trHeight w:val="21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181,141</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176,227</w:t>
            </w:r>
          </w:p>
        </w:tc>
      </w:tr>
      <w:tr>
        <w:trPr>
          <w:trHeight w:val="209"/>
        </w:trPr>
        <w:tc>
          <w:tcPr>
            <w:tcW w:w="6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COMMON EQUITY</w:t>
            </w: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427,692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422,991</w:t>
            </w:r>
          </w:p>
        </w:tc>
      </w:tr>
      <w:tr>
        <w:trPr>
          <w:trHeight w:val="210"/>
        </w:trPr>
        <w:tc>
          <w:tcPr>
            <w:tcW w:w="6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Preferred Stock, No Par Value:</w:t>
            </w:r>
          </w:p>
        </w:tc>
        <w:tc>
          <w:tcPr>
            <w:tcW w:w="2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 - 120</w:t>
            </w:r>
          </w:p>
        </w:tc>
        <w:tc>
          <w:tcPr>
            <w:tcW w:w="2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- 20</w:t>
            </w:r>
          </w:p>
        </w:tc>
        <w:tc>
          <w:tcPr>
            <w:tcW w:w="2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w:t>
            </w:r>
          </w:p>
        </w:tc>
        <w:tc>
          <w:tcPr>
            <w:tcW w:w="2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$7.00 Series - 10</w:t>
            </w:r>
          </w:p>
        </w:tc>
        <w:tc>
          <w:tcPr>
            <w:tcW w:w="2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Nonredeemable:</w:t>
            </w:r>
          </w:p>
        </w:tc>
        <w:tc>
          <w:tcPr>
            <w:tcW w:w="2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$7.00 Series -  1</w:t>
            </w:r>
          </w:p>
        </w:tc>
        <w:tc>
          <w:tcPr>
            <w:tcW w:w="20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Outstanding, $4.75 Series - 10</w:t>
            </w:r>
          </w:p>
        </w:tc>
        <w:tc>
          <w:tcPr>
            <w:tcW w:w="20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6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PREFERRED STOCK</w:t>
            </w: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r>
      <w:tr>
        <w:trPr>
          <w:trHeight w:val="209"/>
        </w:trPr>
        <w:tc>
          <w:tcPr>
            <w:tcW w:w="6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Mortgage Bonds, 0.00%-5.50%, due 2024-2059</w:t>
            </w: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277,619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278,374</w:t>
            </w: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Amortizing Secured Notes, 3.94%-7.05%, due 2028-2046</w:t>
            </w:r>
          </w:p>
        </w:tc>
        <w:tc>
          <w:tcPr>
            <w:tcW w:w="20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69,049</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69,724</w:t>
            </w:r>
          </w:p>
        </w:tc>
      </w:tr>
      <w:tr>
        <w:trPr>
          <w:trHeight w:val="216"/>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State Revolving Trust Notes, 2.00%-4.03%, due 2025-2044</w:t>
            </w:r>
          </w:p>
        </w:tc>
        <w:tc>
          <w:tcPr>
            <w:tcW w:w="20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16,954</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16,638</w:t>
            </w:r>
          </w:p>
        </w:tc>
      </w:tr>
      <w:tr>
        <w:trPr>
          <w:trHeight w:val="20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 LONG-TERM DEBT</w:t>
            </w:r>
          </w:p>
        </w:tc>
        <w:tc>
          <w:tcPr>
            <w:tcW w:w="20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363,622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364,736</w:t>
            </w:r>
          </w:p>
        </w:tc>
      </w:tr>
      <w:tr>
        <w:trPr>
          <w:trHeight w:val="216"/>
        </w:trPr>
        <w:tc>
          <w:tcPr>
            <w:tcW w:w="6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Add: Premium on Issuance of Long-term Debt</w:t>
            </w:r>
          </w:p>
        </w:tc>
        <w:tc>
          <w:tcPr>
            <w:tcW w:w="20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6,481</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6,529</w:t>
            </w:r>
          </w:p>
        </w:tc>
      </w:tr>
      <w:tr>
        <w:trPr>
          <w:trHeight w:val="216"/>
        </w:trPr>
        <w:tc>
          <w:tcPr>
            <w:tcW w:w="6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Less: Unamortized Debt Expense</w:t>
            </w:r>
          </w:p>
        </w:tc>
        <w:tc>
          <w:tcPr>
            <w:tcW w:w="20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r>
      <w:tr>
        <w:trPr>
          <w:trHeight w:val="216"/>
        </w:trPr>
        <w:tc>
          <w:tcPr>
            <w:tcW w:w="6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(7,831)</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r>
      <w:tr>
        <w:trPr>
          <w:trHeight w:val="210"/>
        </w:trPr>
        <w:tc>
          <w:tcPr>
            <w:tcW w:w="62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DEBT</w:t>
            </w:r>
          </w:p>
        </w:tc>
        <w:tc>
          <w:tcPr>
            <w:tcW w:w="2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356,960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358,153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Stock</w:t>
            </w:r>
          </w:p>
        </w:tc>
        <w:tc>
          <w:tcPr>
            <w:tcW w:w="3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Stock</w:t>
            </w:r>
          </w:p>
        </w:tc>
        <w:tc>
          <w:tcPr>
            <w:tcW w:w="3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Retained</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1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Shares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Amount</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Earnings</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17,642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233,054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167,274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400,328</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5,868</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5,868</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2,342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2,342</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360</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($0.3125 per share)</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r>
      <w:tr>
        <w:trPr>
          <w:trHeight w:val="216"/>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17,671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235,756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167,599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403,355</w:t>
            </w:r>
          </w:p>
        </w:tc>
      </w:tr>
      <w:tr>
        <w:trPr>
          <w:trHeight w:val="210"/>
        </w:trPr>
        <w:tc>
          <w:tcPr>
            <w:tcW w:w="5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17,821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246,764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176,227</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422,991</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10,682</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10,682</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($0.3250 per share)</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17,814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246,551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181,141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427,692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Recent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notes within the 2023 Annual Report on Form 10-K (the 2023 Form 10-K) are applicable to these financial statements and, in the opinion of the Company, the accompanying unaudited condensed consolidated financial statements contain all adjustments necessary (including normal recurring accruals) to present fairly the financial position as of March 31, 2024, the results of operations for the three month periods ended March 31, 2024 and 2023 and cash flows for the three month periods ended March 31, 2024 and 2023. Information included in the Condensed Consolidated Balance Sheet as of December 31, 2023, has been derived from the Company’s December 31, 2023 audited financial statements included in the 2023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United States Environmental Protection Agency (USEPA) Issues Final Perfluoroalkyl Substances (PFAS) Regulations </w:t>
      </w:r>
      <w:r>
        <w:rPr>
          <w:rFonts w:ascii="Times New Roman" w:cs="Times New Roman" w:eastAsia="Times New Roman" w:hAnsi="Times New Roman"/>
          <w:sz w:val="18"/>
          <w:szCs w:val="18"/>
          <w:color w:val="auto"/>
        </w:rPr>
        <w:t>- In April 2024, the USEPA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April 2029, water systems that have Regulated PFAS in drinking water which exceeds one or more of these MCLs must take action to reduce levels of these PFAS compounds in their drinking water and must provide notification to the public of the violation.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anticipation of these new USEPA standards, in 2023, the Company began implementing its strategy to meet these lower MCLs for Regulated PFAS and is currently performing preliminary engineering studies to ensure that effective PFAS treatment approaches are implemented.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Guidance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new adopted or proposed accounting guidance that the Company is aware of that could have a material impact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Rate and Regulatory Matters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Middlesex </w:t>
      </w:r>
      <w:r>
        <w:rPr>
          <w:rFonts w:ascii="Times New Roman" w:cs="Times New Roman" w:eastAsia="Times New Roman" w:hAnsi="Times New Roman"/>
          <w:sz w:val="18"/>
          <w:szCs w:val="18"/>
          <w:color w:val="auto"/>
        </w:rPr>
        <w:t>– The approval by the New Jersey Board of Public Utilities (NJBPU) in February 2024 of the negotiated settlement of the Middlesex 2023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case is expected to increase annual 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 In August 2023, Middlesex and 3M Company (3M) executed a settlement agreement (Settlement Agreement) to resolve a lawsuit Middlesex previously initiated claiming 3M introduced PFAS, which includes Perfluorooctanoic Acid (PFOA), into the Company’s water supply for its Park Avenue Wellfield Treatment Plant (Park Avenue Plant). The rate case settlement provides that the net proceeds from the 3M Settlement Agreement were to be used to mitigate the increase in customer rates and reimburse Middlesex for previously incurred costs for the construction of the Park Avenue Plant PFAS treatment upgrades, including depreciation and carrying costs. This resulted in the reclassification of $48.3 million from Regulatory Liabilities to Contributions in Aid of Construction on the March 31, 2024 balance sheet. The Company also recognized for the quarter ended March 31, 2024 the recovery of $0.9 million for depreciation and $3.2 million for carrying costs associated with the Park Avenue Plant PFAS treatment upgrades, as well as the recovery of $1.4 million of previously incurred operating treatment costs while the Park Avenue Plant PFAS treatment upgrades were in process.</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The Middlesex Lead Service Line Replacement (LSLR) Plan, which was approved by the NJBPU in January 2024, has commenced and Middlesex expects to submit a customer surcharge filing with the NJBPU in July 2024 to recover costs incurred replacing Middlesex customer-owned lead service lines. The surcharge is for costs to be incurred through June 2024 and is required to be reset every six months over the life of the LSLR Plan. The current estimates for replacement of Middlesex and Middlesex customer-owned lead service lines under the LSLR Plan are approximately $46 million to $77 million over a nine-year period. Cost recovery for replacing Company-owned lead service lines are recoverable through traditional base rate case filings.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allowed under its NJBPU approved Distribution System Improvement Charge (DSIC) Foundation Filing, in April 2024, Middlesex filed a petition with the NJBPU, seeking to establish a DSIC tariff rate that would result in $0.5 million of annual revenues. The tariff rate, if approved, would apply to General Service customers and would be based on meter size. We cannot predict when and whether the NJBPU will ultimately approve, deny, or reduce the amount of the request.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Tidewater - </w:t>
      </w:r>
      <w:r>
        <w:rPr>
          <w:rFonts w:ascii="Times New Roman" w:cs="Times New Roman" w:eastAsia="Times New Roman" w:hAnsi="Times New Roman"/>
          <w:sz w:val="18"/>
          <w:szCs w:val="18"/>
          <w:color w:val="auto"/>
        </w:rPr>
        <w:t>In December 2023, the Delaware Public Service Commission (DEPSC) approved Tidewater’s application to implement a new DSIC.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2024, Tidewater implemented a DSIC rate of 3.71%, which is expected to generate revenue of approximately $1.3 million annually. A Delaware DISC is subject to a semi-annual reset with an overall maximum rate of 7.5%.</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Twin Lakes Utilities, Inc. (Twin Lakes) – </w:t>
      </w:r>
      <w:r>
        <w:rPr>
          <w:rFonts w:ascii="Times New Roman" w:cs="Times New Roman" w:eastAsia="Times New Roman" w:hAnsi="Times New Roman"/>
          <w:sz w:val="18"/>
          <w:szCs w:val="18"/>
          <w:color w:val="auto"/>
        </w:rPr>
        <w:t>Twin Lakes provides water services to approximately 115 residential customers in Shohola, Pennsylvania.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the parent company of Twin Lakes, to submit $1.7 million into an escrow account within 30 days. Twin Lakes immediately filed a Petition For Review (PFR) with the Commonwealth Court of Pennsylvania (the Commonwealth Court) seeking reversal and vacation of the escrow requirement on the grounds that it violates the Pennsylvania Public Utility Code as well as the United States Constitution. In addition, Twin Lakes filed an emergency petition for stay of the PAPUC Order pending the Commonwealth Court’s review of the merits arguments contained in Twin Lakes’ PFR. In December 2021, the Commonwealth Court granted Twin Lakes’ emergency petition, pending its review. In August 2022, the Commonwealth Court issued an opinion upholding PAPUC’s November 2021 Order in its entirety. In September 2022, Twin Lakes filed a Petition For Allowance of Appeal (Appeal Petition) to the Supreme Court of Pennsylvania seeking reversal of the Commonwealth Court’s decision to uphold the escrow requirement on the grounds that the Commonwealth Court erred in failing to address Twin Lakes’ claims that because the $1.7 million escrow requirement placed on Middlesex violated Middlesex’s constitutional rights, Middlesex’s refusal to submit this escrow payment would jeopardize the relief Twin Lakes was otherwise entitled to in the appointment of the Receiver Utility. In March 2023, the Supreme Court of Pennsylvania issued a decision denying Twin Lakes’ Appeal Petition without addressing this claim on the merits. As a result of the Pennsylvania Courts’ failure to address Twin Lakes’ claim, Middlesex has subsequently filed a Complaint with the United States District Court for the Middle District of Pennsylvania (US District Court) to address the issue of whether the PAPUC’s Order violated Middlesex’s rights under the United States Constitution. On January 18, 2024, the US District Court issued a decision dismissing Middlesex’s complaint without addressing Middlesex’s claims on the merits. On January 31, 2024, Middlesex filed a Notice of Appeal of the US District Court’s decision with the United States Court of Appeals for the Third Circuit (Third Circuit Court). The Third Circuit Court has issued a briefing schedule that will extend into July 2024 and it is expected that oral arguments will be scheduled before a three-judge panel of the Third Circuit Court following the completion of the briefing schedule.</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financial results, total assets and financial obligations of Twin Lakes are not material to Middlesex.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Capitalization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 During the three months ended March 31, 2024 and 2023, there were 4,775 common shares (approximately $0.3 million) and 29,810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(approximately $2.3 million) respectively, issued under the Middlesex Water Company Investment Plan.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Middlesex has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 As described below in “Long-term Debt”, the NJBPU also approved the debt funding component of the financing plan.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Long-term Debt – </w:t>
      </w:r>
      <w:r>
        <w:rPr>
          <w:rFonts w:ascii="Times New Roman" w:cs="Times New Roman" w:eastAsia="Times New Roman" w:hAnsi="Times New Roman"/>
          <w:sz w:val="18"/>
          <w:szCs w:val="18"/>
          <w:color w:val="auto"/>
        </w:rPr>
        <w:t>Subject to regulatory approval, the Company periodically issues long-term debt to fund its investments in utility plant.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Middlesex has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New Jersey SRF program, borrowers first enter into a construction loan agreement with the New Jersey Infrastructure Bank (NJIB) at a below market interest rate.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Delaware SRF program, borrowers 1) enter into a long-term note agreement for a term not to exceed twenty years, 2) submit requisitions for cost reimbursements during the construction period for up to two years after the agreement is executed and 3) as the proceeds are received from the requisitions, borrowers record a corresponding debt obligation amount.</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April 2024, the DEPSC approved four Tidewater Delaware SRF loans totaling $6.6 million. These loans are for the construction, relocation, improvement, and/or interconnection of transmission mains and construction of a water treatment facility. Tidewater expects to close on these loans in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quarter of 2024. Each project has its own construction timetable with the last spending set to occur in 2026.</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Tidewater has three active construction projects funded by prior year Delaware SRF loans totaling $13.3 million with remaining availability of funds for borrowing. These loans are for the construction of a one million gallon elevated storage tank and construction, relocation, improvement, and/or interconnection of transmission mains. Tidewater has drawn a total of $9.7 million through March 31, 2024 and expects that the requisitions will continue through mid-2025.</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 </w:t>
      </w:r>
      <w:r>
        <w:rPr>
          <w:rFonts w:ascii="Times New Roman" w:cs="Times New Roman" w:eastAsia="Times New Roman" w:hAnsi="Times New Roman"/>
          <w:sz w:val="18"/>
          <w:szCs w:val="18"/>
          <w:color w:val="auto"/>
        </w:rPr>
        <w:t>The following methods and assumptions were used by the Company in estimating its fair value disclosure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First Mortgage Bonds (FMBs) and SRF Bonds (collectively, the Bonds) issued by Middlesex is based on quoted market prices for similar issues. Under the fair value hierarchy, the fair value of cash and cash equivalents is classified as a Level 1 measurement and the fair value of notes payable and the FMBs in the table below are classified as Level 2 measurements. The carrying amount and fair value of the FMBs were as follows: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1"/>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340" w:type="dxa"/>
            <w:vAlign w:val="bottom"/>
          </w:tcPr>
          <w:p>
            <w:pPr>
              <w:spacing w:after="0"/>
              <w:rPr>
                <w:sz w:val="16"/>
                <w:szCs w:val="16"/>
                <w:color w:val="auto"/>
              </w:rPr>
            </w:pPr>
          </w:p>
        </w:tc>
        <w:tc>
          <w:tcPr>
            <w:tcW w:w="9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280" w:type="dxa"/>
            <w:vAlign w:val="bottom"/>
          </w:tcPr>
          <w:p>
            <w:pPr>
              <w:spacing w:after="0"/>
              <w:rPr>
                <w:sz w:val="16"/>
                <w:szCs w:val="16"/>
                <w:color w:val="auto"/>
              </w:rPr>
            </w:pPr>
          </w:p>
        </w:tc>
        <w:tc>
          <w:tcPr>
            <w:tcW w:w="102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320" w:type="dxa"/>
            <w:vAlign w:val="bottom"/>
          </w:tcPr>
          <w:p>
            <w:pPr>
              <w:spacing w:after="0"/>
              <w:rPr>
                <w:sz w:val="16"/>
                <w:szCs w:val="16"/>
                <w:color w:val="auto"/>
              </w:rPr>
            </w:pPr>
          </w:p>
        </w:tc>
        <w:tc>
          <w:tcPr>
            <w:tcW w:w="96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4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Value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FMBs</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132,619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129,092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133,374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131,745</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was not practicable to estimate the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Notes” and “State Revolving Trust Notes” on the Condensed Consolidated Statements of Capital Stock and Long-Term Debt. The carrying amount of these instruments was $231.0 million and $231.3 million at March 31, 2024 and December 31, 2023, respectively. Customer advances for construction have carrying amounts of $21.1 million and $21.3 million at March 31, 2024 and December 31, 2023, respectively. Their relative fair values cannot be accurately estimated since future refund payments depend on several variables, including new customer connections, customer consumption levels and future rate increases.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are computed on the basis of the weighted average number of shares outstanding during the period presented. Diluted EPS assumes the conversion of the Convertible Preferred Stock $7.00 Series.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Income</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10,682</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17,819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5,868</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Dividend</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10,652</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17,819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5,838</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0.60</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0.33</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10,652</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17,819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5,838</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Series Preferred Dividend</w:t>
            </w:r>
          </w:p>
        </w:tc>
        <w:tc>
          <w:tcPr>
            <w:tcW w:w="3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 Applicable to Common Stock</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10,669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17,934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5,855</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17,767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0.59</w:t>
            </w:r>
          </w:p>
        </w:tc>
        <w:tc>
          <w:tcPr>
            <w:tcW w:w="9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0.33</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Business Segment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third-party lender.</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6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6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10"/>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Operations by Segments:</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34,953</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3,204</w:t>
            </w:r>
          </w:p>
        </w:tc>
        <w:tc>
          <w:tcPr>
            <w:tcW w:w="1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3,342</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40,524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38,156</w:t>
            </w:r>
          </w:p>
        </w:tc>
      </w:tr>
      <w:tr>
        <w:trPr>
          <w:trHeight w:val="209"/>
        </w:trPr>
        <w:tc>
          <w:tcPr>
            <w:tcW w:w="6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6,715</w:t>
            </w:r>
          </w:p>
        </w:tc>
      </w:tr>
      <w:tr>
        <w:trPr>
          <w:trHeight w:val="216"/>
        </w:trPr>
        <w:tc>
          <w:tcPr>
            <w:tcW w:w="6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7,490</w:t>
            </w:r>
          </w:p>
        </w:tc>
      </w:tr>
      <w:tr>
        <w:trPr>
          <w:trHeight w:val="210"/>
        </w:trPr>
        <w:tc>
          <w:tcPr>
            <w:tcW w:w="6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5,324</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r>
      <w:tr>
        <w:trPr>
          <w:trHeight w:val="21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10,682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5,868</w:t>
            </w:r>
          </w:p>
        </w:tc>
      </w:tr>
      <w:tr>
        <w:trPr>
          <w:trHeight w:val="209"/>
        </w:trPr>
        <w:tc>
          <w:tcPr>
            <w:tcW w:w="6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24,465</w:t>
            </w:r>
          </w:p>
        </w:tc>
      </w:tr>
      <w:tr>
        <w:trPr>
          <w:trHeight w:val="216"/>
        </w:trPr>
        <w:tc>
          <w:tcPr>
            <w:tcW w:w="6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24,515</w:t>
            </w:r>
          </w:p>
        </w:tc>
      </w:tr>
      <w:tr>
        <w:trPr>
          <w:trHeight w:val="623"/>
        </w:trPr>
        <w:tc>
          <w:tcPr>
            <w:tcW w:w="6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24"/>
                <w:szCs w:val="24"/>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6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March 31, 2024</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December 31, 2023</w:t>
            </w: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1,247,041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1,235,549</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8,264</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8,068</w:t>
            </w:r>
          </w:p>
        </w:tc>
      </w:tr>
      <w:tr>
        <w:trPr>
          <w:trHeight w:val="21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Assets</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1,250,105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1,236,052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Short-term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lines of credit aggregating $140.0 million.</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As of March 31, 2024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1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Available</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Maximum</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Credit Type</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Renewal Date</w:t>
            </w:r>
          </w:p>
        </w:tc>
      </w:tr>
      <w:tr>
        <w:trPr>
          <w:trHeight w:val="209"/>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Uncommitted</w:t>
            </w:r>
          </w:p>
        </w:tc>
        <w:tc>
          <w:tcPr>
            <w:tcW w:w="1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January 24, 2025</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PNC Bank</w:t>
            </w: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Committed</w:t>
            </w:r>
          </w:p>
        </w:tc>
        <w:tc>
          <w:tcPr>
            <w:tcW w:w="1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January 31, 2026</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CoBank, ACB</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Committed</w:t>
            </w:r>
          </w:p>
        </w:tc>
        <w:tc>
          <w:tcPr>
            <w:tcW w:w="1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10"/>
        </w:trPr>
        <w:tc>
          <w:tcPr>
            <w:tcW w:w="1920" w:type="dxa"/>
            <w:vAlign w:val="bottom"/>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140.0</w:t>
            </w:r>
          </w:p>
        </w:tc>
        <w:tc>
          <w:tcPr>
            <w:tcW w:w="17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rates are set for borrowings under the Bank of America and PNC Bank lines of credit using the Secured Overnight Financing Rate (SOFR) and then adding a specific financial institution credit spread. The interest rate for borrowings under the CoBank, ACB (CoBank) line of credit are set weekly using CoBank’s internal cost of funds index that is similar to the SOFR and adding a credit spread. There is no requirement for a compensating balance under any of the established lines of credit.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weighted average interest rate on the outstanding borrowings at March 31, 2024 under these credit lines is 6.46%.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daily amounts of borrowings outstanding under these credit lines and the weighted average interest rates on those amounts were as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16"/>
        </w:trPr>
        <w:tc>
          <w:tcPr>
            <w:tcW w:w="6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March 31,</w:t>
            </w:r>
          </w:p>
        </w:tc>
        <w:tc>
          <w:tcPr>
            <w:tcW w:w="920" w:type="dxa"/>
            <w:vAlign w:val="bottom"/>
          </w:tcPr>
          <w:p>
            <w:pPr>
              <w:spacing w:after="0"/>
              <w:rPr>
                <w:sz w:val="18"/>
                <w:szCs w:val="18"/>
                <w:color w:val="auto"/>
              </w:rPr>
            </w:pPr>
          </w:p>
        </w:tc>
      </w:tr>
      <w:tr>
        <w:trPr>
          <w:trHeight w:val="234"/>
        </w:trPr>
        <w:tc>
          <w:tcPr>
            <w:tcW w:w="6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Amounts Outstanding</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49,992</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54,561</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borrowings outstanding under the lines of credit as of March 31, 2024 mature daily and are currently being rolled over on a daily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Contingent Liabilities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Water Supply – </w:t>
      </w:r>
      <w:r>
        <w:rPr>
          <w:rFonts w:ascii="Times New Roman" w:cs="Times New Roman" w:eastAsia="Times New Roman" w:hAnsi="Times New Roman"/>
          <w:sz w:val="18"/>
          <w:szCs w:val="18"/>
          <w:color w:val="auto"/>
        </w:rPr>
        <w:t>Middlesex has an agreement with the New Jersey Water Supply Authority (NJWSA) for the purchase of untreated water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30, 2048. This agreement with the NJWSA provides for an average purchase of 27 million gallons a day (mgd). with a peak up to 47.0 mgd. Pricing is set annually by the NJWSA through a public rate making process. The agreement has provisions for additional pricing in the event Middlesex overdrafts or exceeds certain monthly and annual thresholds.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Middlesex also has an agreement with a non-affiliated NJBPU-regulated water utility for the purchase of treated water. This agreement, which expires February 27, 2026, provides for the minimum purchase of 3.0 mgd of treated water with provisions for additional purchases if needed.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Tidewater contracts with the City of Dover, Delaware to purchase treated water of up to 60.0 million gallons annually.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water costs are shown below:</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March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Treated</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Untreated</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The Company determines if an arrangement is a lease at inception. Generally, a lease agreement exists if the Company determines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gives the Company control over the use of an identified asset and obtains substantially all of the benefits from the identified asset.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the commencement date based on the present value of lease payments over the lease term. The Company’s operating lease does not provide an implicit discount rate and as such the Company used an estimated incremental borrowing rate (4.03%) based on the information available at the commencement date in determining the present value of lease payments.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Given the impacts of accounting for regulated operations, and the resulting recognition of expense at the amounts recovered in customer rates, expenditures for operating leases are consistent with lease expense and were $0.2 million for each of the three months ended March 31, 2024 and 2023,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Information related to operating lease ROU assets and lease liabilities is as follows: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Millions)</w:t>
            </w:r>
          </w:p>
        </w:tc>
        <w:tc>
          <w:tcPr>
            <w:tcW w:w="7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As of</w:t>
            </w:r>
          </w:p>
        </w:tc>
        <w:tc>
          <w:tcPr>
            <w:tcW w:w="7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9"/>
              </w:rPr>
              <w:t>March 31, 2024</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December 31, 2023</w:t>
            </w:r>
          </w:p>
        </w:tc>
      </w:tr>
      <w:tr>
        <w:trPr>
          <w:trHeight w:val="216"/>
        </w:trPr>
        <w:tc>
          <w:tcPr>
            <w:tcW w:w="5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 at Lease Inception</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80" w:type="dxa"/>
            <w:vAlign w:val="bottom"/>
          </w:tcPr>
          <w:p>
            <w:pPr>
              <w:spacing w:after="0"/>
              <w:rPr>
                <w:sz w:val="18"/>
                <w:szCs w:val="18"/>
                <w:color w:val="auto"/>
              </w:rPr>
            </w:pPr>
          </w:p>
        </w:tc>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5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ROU Asset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7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426"/>
        </w:trPr>
        <w:tc>
          <w:tcPr>
            <w:tcW w:w="7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Company’s future minimum operating lease commitments as of March 31, 2024 are as follows:</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color w:val="auto"/>
              </w:rPr>
              <w:t>(In Millions)</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2820" w:type="dxa"/>
            <w:vAlign w:val="bottom"/>
            <w:gridSpan w:val="2"/>
          </w:tcPr>
          <w:p>
            <w:pPr>
              <w:spacing w:after="0"/>
              <w:rPr>
                <w:sz w:val="18"/>
                <w:szCs w:val="18"/>
                <w:color w:val="auto"/>
              </w:rPr>
            </w:pPr>
          </w:p>
        </w:tc>
        <w:tc>
          <w:tcPr>
            <w:tcW w:w="4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4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4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4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4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4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4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4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19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-119380</wp:posOffset>
            </wp:positionV>
            <wp:extent cx="3566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Construction – </w:t>
      </w:r>
      <w:r>
        <w:rPr>
          <w:rFonts w:ascii="Times New Roman" w:cs="Times New Roman" w:eastAsia="Times New Roman" w:hAnsi="Times New Roman"/>
          <w:sz w:val="18"/>
          <w:szCs w:val="18"/>
          <w:color w:val="auto"/>
        </w:rPr>
        <w:t>The Company expects to spend approximately $78 million for its construction program in 2024. The Company has entered into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contracts that, in the aggregate, obligate expenditure of an estimated $14 million in the future. The actual amount and timing of capital expenditures is dependent on the need for upgrade or replacement of existing infrastructure, customer growth, residential new home construction and sales, project scheduling, supply chain issues and continued refinement of project scope and costs. With continued upward pressure on mortgage interest rates, as well as other financial market uncertainties, there is no assurance that projected customer growth and residential new home construction and sales will occur.</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PFOA Matter – </w:t>
      </w:r>
      <w:r>
        <w:rPr>
          <w:rFonts w:ascii="Times New Roman" w:cs="Times New Roman" w:eastAsia="Times New Roman" w:hAnsi="Times New Roman"/>
          <w:sz w:val="18"/>
          <w:szCs w:val="18"/>
          <w:color w:val="auto"/>
        </w:rPr>
        <w:t>In November 2021, the Company was served with two PFOA-related class action lawsuits seeking restitution for medical, 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replacement and other related costs and economic damages. Middlesex and 3M agreed to enter into a joint mediation on these lawsuits and their ultimate resolution is not known at this time. For further information on the 3M Settlement Agreement, see Note 2, </w:t>
      </w:r>
      <w:r>
        <w:rPr>
          <w:rFonts w:ascii="Times New Roman" w:cs="Times New Roman" w:eastAsia="Times New Roman" w:hAnsi="Times New Roman"/>
          <w:sz w:val="18"/>
          <w:szCs w:val="18"/>
          <w:i w:val="1"/>
          <w:iCs w:val="1"/>
          <w:color w:val="auto"/>
        </w:rPr>
        <w:t>Rate and Regulatory Matters, Middlesex</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Contingencies – </w:t>
      </w:r>
      <w:r>
        <w:rPr>
          <w:rFonts w:ascii="Times New Roman" w:cs="Times New Roman" w:eastAsia="Times New Roman" w:hAnsi="Times New Roman"/>
          <w:sz w:val="18"/>
          <w:szCs w:val="18"/>
          <w:color w:val="auto"/>
        </w:rPr>
        <w:t>Based on our operations in the heavily-regulated water and wastewater industries, the Company is routinely involved in disputes,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 in Control Agreements – </w:t>
      </w:r>
      <w:r>
        <w:rPr>
          <w:rFonts w:ascii="Times New Roman" w:cs="Times New Roman" w:eastAsia="Times New Roman" w:hAnsi="Times New Roman"/>
          <w:sz w:val="18"/>
          <w:szCs w:val="18"/>
          <w:color w:val="auto"/>
        </w:rPr>
        <w:t>The Company has Change in Control Agreements with its executive officers that provide compensation and benefits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of termination of employment under certain conditions in connection with a change in control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Benefit Plans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Pension Benefits – </w:t>
      </w:r>
      <w:r>
        <w:rPr>
          <w:rFonts w:ascii="Times New Roman" w:cs="Times New Roman" w:eastAsia="Times New Roman" w:hAnsi="Times New Roman"/>
          <w:sz w:val="18"/>
          <w:szCs w:val="18"/>
          <w:color w:val="auto"/>
        </w:rPr>
        <w:t>The Company’s defined benefit pension plan (Pension Plan) covers all active employees hired prior to April 1, 2007. Employees hired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March 31, 2007 are not eligible to participate in this plan, but do participate in a defined contribution plan that provides for a potential annual contribution in an amount at the discretion of the Company, based upon a percentage of the participants’ annual paid compensation. For each of the three month periods ended March 31, 2024 and 2023, the Company did not make cash contributions to the Pension Plan. The Company expects to make cash contributions of approximately $0.9 million over the remainder of the current year.</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Benefits – </w:t>
      </w:r>
      <w:r>
        <w:rPr>
          <w:rFonts w:ascii="Times New Roman" w:cs="Times New Roman" w:eastAsia="Times New Roman" w:hAnsi="Times New Roman"/>
          <w:sz w:val="18"/>
          <w:szCs w:val="18"/>
          <w:color w:val="auto"/>
        </w:rPr>
        <w:t>The Company’s retirement plan other than pensions (Other Benefits Plan) covers substantially all currently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retired employees. Employees hired after March 31, 2007 are not eligible to participate in this plan. Coverage includes healthcare and life insurance. For each of the three month periods ended March 31, 2024 and 2023, the Company did not make cash contributions to its Other Benefits Plan. The Company expects to make additional Other Benefits Plan cash contributions of $0.9 million over the remainder of the current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information relating to the Company’s periodic costs (benefit) for its employee retirement benefit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0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Pension Benefits</w:t>
            </w:r>
          </w:p>
        </w:tc>
        <w:tc>
          <w:tcPr>
            <w:tcW w:w="17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Other Benefits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Three Months Ended March 31,</w:t>
            </w: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1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318</w:t>
            </w:r>
          </w:p>
        </w:tc>
        <w:tc>
          <w:tcPr>
            <w:tcW w:w="10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16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1,070</w:t>
            </w:r>
          </w:p>
        </w:tc>
        <w:tc>
          <w:tcPr>
            <w:tcW w:w="10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1,067</w:t>
            </w:r>
          </w:p>
        </w:tc>
        <w:tc>
          <w:tcPr>
            <w:tcW w:w="1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6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(1,580)</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Unrecognized Losses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(Benefit)*</w:t>
            </w:r>
          </w:p>
        </w:tc>
        <w:tc>
          <w:tcPr>
            <w:tcW w:w="1120" w:type="dxa"/>
            <w:vAlign w:val="bottom"/>
            <w:tcBorders>
              <w:bottom w:val="single" w:sz="8" w:color="auto"/>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8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16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*Service cost is included Operations and Maintenance expense on the consolidated statements of income; all other amounts are included in Other Income (Expense),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Recognition from Contracts with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regulated revenue from contracts with customers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2032 and contain remaining performance obligations for which the Company expects to recognize revenue in the future. These contracts also contain termination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amounts included in operating revenues and accounts receivable are from contracts with customers. The Company records its allowance for credit losses based on historical write-offs combined with an evaluation of current economic conditions within its service territories.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contracts do not contain any significant financing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operating revenues are comprised of the following:</w:t>
            </w: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62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Regulated Tariff Sales</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2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20,331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19,004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5,976</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Industrial</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3,133</w:t>
            </w:r>
          </w:p>
        </w:tc>
        <w:tc>
          <w:tcPr>
            <w:tcW w:w="5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Fire Protection</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3,292</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4,673</w:t>
            </w:r>
          </w:p>
        </w:tc>
        <w:tc>
          <w:tcPr>
            <w:tcW w:w="5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4,553</w:t>
            </w:r>
          </w:p>
        </w:tc>
        <w:tc>
          <w:tcPr>
            <w:tcW w:w="56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Non-Regulated Contract Operations</w:t>
            </w:r>
          </w:p>
        </w:tc>
        <w:tc>
          <w:tcPr>
            <w:tcW w:w="2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3,088</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3,229</w:t>
            </w: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244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40,493</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38,108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Regulated Revenues</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Non-Regulated Revenues</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5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56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2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40" w:type="dxa"/>
            <w:vAlign w:val="bottom"/>
          </w:tcPr>
          <w:p>
            <w:pPr>
              <w:spacing w:after="0"/>
              <w:rPr>
                <w:sz w:val="18"/>
                <w:szCs w:val="18"/>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40,524</w:t>
            </w:r>
          </w:p>
        </w:tc>
        <w:tc>
          <w:tcPr>
            <w:tcW w:w="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38,156</w:t>
            </w:r>
          </w:p>
        </w:tc>
        <w:tc>
          <w:tcPr>
            <w:tcW w:w="560" w:type="dxa"/>
            <w:vAlign w:val="bottom"/>
          </w:tcPr>
          <w:p>
            <w:pPr>
              <w:spacing w:after="0"/>
              <w:rPr>
                <w:sz w:val="18"/>
                <w:szCs w:val="18"/>
                <w:color w:val="auto"/>
              </w:rPr>
            </w:pPr>
          </w:p>
        </w:tc>
      </w:tr>
      <w:tr>
        <w:trPr>
          <w:trHeight w:val="554"/>
        </w:trPr>
        <w:tc>
          <w:tcPr>
            <w:tcW w:w="5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7" w:name="page18"/>
    <w:bookmarkEnd w:id="17"/>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18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financial condition, performance, prospects and earnings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plans for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rate increases and other regulatory matters, including the recovery of certain costs recorded as regulatory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customer rates, consumption volumes, service fees, revenues, margins, expenses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amount of cash contributions to fund the Company’s retirement benefit plans, anticipated discount rates and rates of return on plan assets;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pay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environmental laws and regulations and estimations of the materiality of any 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reliability of the Company’s equipment, facilities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plans to renew municipal franchises and consents in the territories it 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quality of our water supply.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general economic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competition for growth in non-franchised markets to be potentially served by the Company;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supplies of quality water;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government regulators, including decisions on rate increase requests;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modified water quality standards and compliance with related legal and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including climate variability, and other natural phenomena impacting utility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risks associated with acquisitions and/or privatizations;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pace of new housing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materials and supplies for operations and critical infrastructure projects;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pandemics;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report.</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additional discussion of factors that may affect the Company’s business and results of operations, see Item 1A. - Risk Factors in the Company’s Annual Report on Form 10-K for the fiscal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New Jersey water utility system (the Middlesex System) provides water services to approximately 60,000 retail customers, primarily in central New Jersey. The Middlesex System also provides water sales under contract to municipalities in central New Jersey with a total population of over 0.2 million.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Delaware subsidiaries, Tidewater and Southern Shores Water Company, LLC, provide water services to approximately 60,000 retail customers in New Castle, Kent and Sussex Counties, Delaware. Tidewater’s subsidiary, White Marsh, services approximately 4,300 households in Kent and Sussex Counties through various operations and maintenance contracts.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Middlesex Base Water Rate Increase Approval </w:t>
      </w:r>
      <w:r>
        <w:rPr>
          <w:rFonts w:ascii="Times New Roman" w:cs="Times New Roman" w:eastAsia="Times New Roman" w:hAnsi="Times New Roman"/>
          <w:sz w:val="18"/>
          <w:szCs w:val="18"/>
          <w:color w:val="auto"/>
        </w:rPr>
        <w:t>- The approval by the New Jersey Board of Public Utilities (NJBPU) in February 2024 of the negotiated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of the Middlesex 2023 base rate case is expected to increase annual 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 In August 2023, Middlesex and 3M Company (3M) executed a settlement agreement (Settlement Agreement) to resolve a lawsuit Middlesex previously initiated claiming 3M introduced Perfluoroalkyl Substances (PFAS), which includes Perfluorooctanoic Acid, into the Company’s water supply for its Park Avenue Wellfield Treatment Plant (Park Avenue Plant). The rate case settlement provides that the net proceeds from the 3M Settlement Agreement were to be used to mitigate the increase in customer rates and reimburse Middlesex for previously incurred costs for the construction of the Park Avenue Plant PFAS treatment upgrades, including depreciation and carrying costs. This resulted in the reclassification of $48.3 million from Regulatory Liabilities to Contributions in Aid of Construction on the March 31, 2024 balance sheet. The Company also recognized for the quarter ended March 31, 2024 the recovery of $0.9 million for depreciation and $3.2 million for carrying costs associated with the Park Avenue Plant PFAS treatment upgrades, as well as the recovery of $1.4 million of previously incurred operating treatment costs while the Park Avenue Plant PFAS treatment upgrades were in process.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Middlesex Distribution System Improvement Charge (DSIC) </w:t>
      </w:r>
      <w:r>
        <w:rPr>
          <w:rFonts w:ascii="Times New Roman" w:cs="Times New Roman" w:eastAsia="Times New Roman" w:hAnsi="Times New Roman"/>
          <w:sz w:val="18"/>
          <w:szCs w:val="18"/>
          <w:color w:val="auto"/>
        </w:rPr>
        <w:t>- As allowed under its NJBPU approved Distribution System Improvement 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(DSIC) Foundation Filing, in April 2024, Middlesex filed a petition with the NJBPU, seeking to establish a DSIC tariff rate that would result in $0.5 million of annual revenues. The tariff rate, if approved, would apply to General Service customers and would be based on meter size. We cannot predict when and whether the NJBPU will ultimately approve, deny, or reduce the amount of the request.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Tidewater DSIC- </w:t>
      </w:r>
      <w:r>
        <w:rPr>
          <w:rFonts w:ascii="Times New Roman" w:cs="Times New Roman" w:eastAsia="Times New Roman" w:hAnsi="Times New Roman"/>
          <w:sz w:val="18"/>
          <w:szCs w:val="18"/>
          <w:color w:val="auto"/>
        </w:rPr>
        <w:t>In December 2023, the Delaware Public Service Commission (DEPSC) approved Tidewater’s application to implement a new DSIC.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January 1, 2024, Tidewater implemented a DSIC rate of 3.71%, which is expected to generate revenue of approximately $1.3 million annually. A Delaware DISC is subject to a semi-annual reset with an overall maximum rate of 7.5%.</w:t>
      </w:r>
    </w:p>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United States Environmental Protection Agency (USEPA) Issues Final PFAS Regulations </w:t>
      </w:r>
      <w:r>
        <w:rPr>
          <w:rFonts w:ascii="Times New Roman" w:cs="Times New Roman" w:eastAsia="Times New Roman" w:hAnsi="Times New Roman"/>
          <w:sz w:val="17"/>
          <w:szCs w:val="17"/>
          <w:color w:val="auto"/>
        </w:rPr>
        <w:t>- In April 2024, the USEPA finalized drinking water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April 2029, water systems that have Regulated PFAS in drinking water which exceeds one or more of these MCLs must take action to reduce levels of these PFAS compounds in their drinking water and must provide notification to the public of the violation.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anticipation of these new USEPA standards, in 2023, the Company began implementing its strategy to meet these lower MCLs for Regulated PFAS and is currently performing preliminary engineering studies to ensure that effective PFAS treatment approaches are implemented.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Tidewater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April 2024, the DEPSC approved four Tidewater Delaware State Revolving Fund (SRF) loans totaling $6.6 million. These loans are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relocation, improvement, and/or interconnection of transmission mains and construction of a water treatment facility. Tidewater expects to close on these loans in the 2nd quarter of 2024. Each project has its own construction timetable with the last spending set to occur in 2026.</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Capital Construction Program - </w:t>
      </w:r>
      <w:r>
        <w:rPr>
          <w:rFonts w:ascii="Times New Roman" w:cs="Times New Roman" w:eastAsia="Times New Roman" w:hAnsi="Times New Roman"/>
          <w:sz w:val="18"/>
          <w:szCs w:val="18"/>
          <w:color w:val="auto"/>
        </w:rPr>
        <w:t>The Company’s multi-year capital construction program encompasses numerous projects designed to upgrade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 utility infrastructure as well as enhance the integrity and reliability of assets to maintain and improve service for the current and future generations of water and wastewater customers. The Company plans to invest approximately $78 million in 2024 in connection with projects that include, but are not limited to:</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approximately 17,000 linear feet of cast iron 6" water main in the Port Reading and Carteret sections of Woodbridge, New Jersey;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control room and electrical distribution equipment at our Carl J. Olsen Surface Water Treatment Plant (CJO Plant);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storage improvements and installation of emergency generators at several of our Tidewater Delaware facilities;</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residual removal equipment and chemical feed improvements, pumps and a surge mitigation tank as well as other improvements and upgrades at our Park Avenue Plant;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Upgrades and improvements to our Enterprise Resource Planning System;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water main replacements and improvements.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and timing of capital expenditures is dependent on project scheduling and refinement of engineering estimates for certain capital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increase operating income and net income is based significantly on four factors: weather, adequate and timely rate relief, effective cost management and customer growth. These factors are discussed in the Results of Operations section below. Unfavorable weather patterns may occur at any time, which can result in lower customer demand for water.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make investments in system infrastructure and our operating costs continue to increase in 2024 in a variety of categories. These factors, among others, may require base rate increase request filings for Tidewater, Pinelands Water and Pinelands Wastewater later in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organic residential customer growth continues in our Tidewater system (approximately 4% in 2023). However, current and evolving economic market conditions may challenge that growth.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projected to spend approximately $226 million for the 2024-2026 capital investment program, including approximately $15 million for replacement of a thirty inch main in our Middlesex System, $9 million for Lead Service Line Replacement compliance in the Middlesex System, $34 million on the RENEW Program, which is our ongoing initiative to replace water mains in the Middlesex System, $6 million for evaluation of PFAS treatment at our CJO Plant and $7 million for control room and electrical distribution equipment at our CJO Plant.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Our strategy for profitable growth is focused on the following key areas: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projects, products and services that complement our core water and wastewater competencies;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adequate recovery of infrastructure investments and other costs to maintain service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acquisitions of investor and municipally-owned water and wastewater utilities;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municipal and industrial water and wastewater systems on a contract basis which meet our risk profile.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segments in the tables included below consist of the following companies: Regulated-Middlesex, Tidewater, Pinelands and Southern Shores; Non-Regulated-USA, USA-PA, and White Marsh.</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0"/>
                <w:szCs w:val="20"/>
                <w:color w:val="auto"/>
              </w:rPr>
            </w:pPr>
          </w:p>
        </w:tc>
        <w:tc>
          <w:tcPr>
            <w:tcW w:w="2600" w:type="dxa"/>
            <w:vAlign w:val="bottom"/>
            <w:gridSpan w:val="8"/>
          </w:tcPr>
          <w:p>
            <w:pPr>
              <w:jc w:val="right"/>
              <w:ind w:right="2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20"/>
                <w:szCs w:val="20"/>
                <w:color w:val="auto"/>
              </w:rPr>
            </w:pPr>
          </w:p>
        </w:tc>
        <w:tc>
          <w:tcPr>
            <w:tcW w:w="8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rPr>
              <w:t>Non-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Regulated</w:t>
            </w:r>
          </w:p>
        </w:tc>
        <w:tc>
          <w:tcPr>
            <w:tcW w:w="12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Regulated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Regulated</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Regulated</w:t>
            </w:r>
          </w:p>
        </w:tc>
        <w:tc>
          <w:tcPr>
            <w:tcW w:w="2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40,524</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18,364</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17,930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5,329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5,986</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4,744</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4,798</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4,360</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4,423</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w:t>
            </w:r>
          </w:p>
        </w:tc>
        <w:tc>
          <w:tcPr>
            <w:tcW w:w="3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9,865</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7,490</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0"/>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10,049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c>
          <w:tcPr>
            <w:tcW w:w="3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10,682</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for the three months ended March 31, 2024 increased $2.4 million from the same period in 2023 due to the following factors:</w:t>
      </w:r>
    </w:p>
    <w:p>
      <w:pPr>
        <w:spacing w:after="0" w:line="225" w:lineRule="exact"/>
        <w:rPr>
          <w:sz w:val="20"/>
          <w:szCs w:val="20"/>
          <w:color w:val="auto"/>
        </w:rPr>
      </w:pPr>
    </w:p>
    <w:p>
      <w:pPr>
        <w:ind w:left="500" w:hanging="330"/>
        <w:spacing w:after="0" w:line="261"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increased $1.6 million due to the approved base rate increase effective March 1, 2024 and higher commercial and industrial customer billings; and</w:t>
      </w: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increased $0.8 million due to increased customers and higher customer demand.</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Operation and Maintenance Expense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expenses for the three months ended March 31, 2024 increased $0.2 million from the same period in 2023 due to the following factors:</w:t>
      </w:r>
    </w:p>
    <w:p>
      <w:pPr>
        <w:spacing w:after="0" w:line="162" w:lineRule="exact"/>
        <w:rPr>
          <w:sz w:val="20"/>
          <w:szCs w:val="20"/>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enhanced water treatment process at Middlesex’s Park Avenue Plant resulted in $0.4 million of increased costs;</w:t>
      </w:r>
    </w:p>
    <w:p>
      <w:pPr>
        <w:spacing w:after="0" w:line="27" w:lineRule="exact"/>
        <w:rPr>
          <w:rFonts w:ascii="Times New Roman" w:cs="Times New Roman" w:eastAsia="Times New Roman" w:hAnsi="Times New Roman"/>
          <w:sz w:val="18"/>
          <w:szCs w:val="18"/>
          <w:color w:val="auto"/>
        </w:rPr>
      </w:pPr>
    </w:p>
    <w:p>
      <w:pPr>
        <w:ind w:left="500" w:hanging="330"/>
        <w:spacing w:after="0" w:line="250"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employee benefit cost increased $1.1 million due to wage and 401k Plan contribution increases and executive management transition costs;</w:t>
      </w: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professional support service costs for legal, finance and regulatory matters rose by $0.2 million;</w:t>
      </w:r>
    </w:p>
    <w:p>
      <w:pPr>
        <w:spacing w:after="0" w:line="9" w:lineRule="exact"/>
        <w:rPr>
          <w:rFonts w:ascii="Times New Roman" w:cs="Times New Roman" w:eastAsia="Times New Roman" w:hAnsi="Times New Roman"/>
          <w:sz w:val="18"/>
          <w:szCs w:val="18"/>
          <w:color w:val="auto"/>
        </w:rPr>
      </w:pPr>
    </w:p>
    <w:p>
      <w:pPr>
        <w:jc w:val="both"/>
        <w:ind w:left="500" w:hanging="330"/>
        <w:spacing w:after="0" w:line="250"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Recovery of prior year water treatment operating costs at the Park Avenue Plant and amortization of proceeds from the 3M Settlement Agreement reduced costs $1.6 million. The conclusion of Middlesex’s 2023 base rate increase request allowed Middlesex to recover costs, including certain prior year operating expenses, from the proceeds from the 3M Settlement Agreement. For further information on the 3M Settlement Agreement and Middlesex’s 2023 base rate matter, see Note 2, </w:t>
      </w:r>
      <w:r>
        <w:rPr>
          <w:rFonts w:ascii="Times New Roman" w:cs="Times New Roman" w:eastAsia="Times New Roman" w:hAnsi="Times New Roman"/>
          <w:sz w:val="18"/>
          <w:szCs w:val="18"/>
          <w:i w:val="1"/>
          <w:iCs w:val="1"/>
          <w:color w:val="auto"/>
        </w:rPr>
        <w:t>Rate and Regulatory Matters, Middlesex</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operation and maintenance expense categories increased $0.1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Depreciation expense for the three months ended March 31, 2024 decreased $0.6 million from the same period in 2023 due to the recovery of prior year depreciation related to upgrades at Middlesex’s Park Avenue Plant partially offset by a higher level of utility plant in service. The conclusion of Middlesex’s 2023 base rate increase request allowed Middlesex to recover costs, including deprecation, from the proceeds from the 3M Settlement Agreement. For further information on the 3M Settlement Agreement and Middlesex’s 2023 base rate matter, see Note 2, </w:t>
      </w:r>
      <w:r>
        <w:rPr>
          <w:rFonts w:ascii="Times New Roman" w:cs="Times New Roman" w:eastAsia="Times New Roman" w:hAnsi="Times New Roman"/>
          <w:sz w:val="18"/>
          <w:szCs w:val="18"/>
          <w:i w:val="1"/>
          <w:iCs w:val="1"/>
          <w:color w:val="auto"/>
        </w:rPr>
        <w:t>Rate and Regulatory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Middlesex</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taxes for the three months ended March 31, 2024 increased $0.4 million from the same period in 2023 primarily due to higher gross receipts taxes on higher revenues in our Middlesex System and higher payroll related taxes on increased labor costs in our Middlesex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Other Income, net for the three months ended March 31, 2024 increased $3.7 million from the same period in 2023 due primarily to the recovery of carrying costs on the PFAS treatment upgrades at Middlesex’s Park Avenue Plant and higher actuarially-determined retirement benefit plans non-service benefit. Lower Allowance for Funds Used During Construction resulting from a lower level of capital projects in progress partially offset these increases. The conclusion of Middlesex’s 2023 base rate increase request allowed Middlesex to recover costs, including carrying costs, from the proceeds from the 3M Settlement Agreement. For further information on the 3M Settlement Agreement and Middlesex’s 2023 base rate matter, see Note 2, </w:t>
      </w:r>
      <w:r>
        <w:rPr>
          <w:rFonts w:ascii="Times New Roman" w:cs="Times New Roman" w:eastAsia="Times New Roman" w:hAnsi="Times New Roman"/>
          <w:sz w:val="18"/>
          <w:szCs w:val="18"/>
          <w:i w:val="1"/>
          <w:iCs w:val="1"/>
          <w:color w:val="auto"/>
        </w:rPr>
        <w:t>Rate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Matters, Middlesex</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charges for the three months ended March 31, 2024 increased $0.7 million from the same period in 2023 due to higher average debt outstanding and an increase in average borrowing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Income taxes for the three months ended March 31, 2024 increased by $0.5 million from the same period in 2023, primarily due to higher pre-tax income and lower income tax benefits associated with decreased repair expenditures on tangible property in the Middlesex System offset by the recovery of income taxes on the taxable portion of the proceeds from the 3M Settlement Agreement. For further information on the 3M Settlement Agreement and Middlesex’s 2023 base rate matter, see Note 2, </w:t>
      </w:r>
      <w:r>
        <w:rPr>
          <w:rFonts w:ascii="Times New Roman" w:cs="Times New Roman" w:eastAsia="Times New Roman" w:hAnsi="Times New Roman"/>
          <w:sz w:val="18"/>
          <w:szCs w:val="18"/>
          <w:i w:val="1"/>
          <w:iCs w:val="1"/>
          <w:color w:val="auto"/>
        </w:rPr>
        <w:t>Rate and Regulatory Matters, Middlesex</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Net Income and 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three months ended March 31, 2024 increased $4.8 million as compared with the same period in 2023. Basic earnings per share were $0.60 and $0.33 for the three months ended March 31, 2024 and 2023, respectively. Diluted earnings per share were $0.59 and $0.33 for the three months ended March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operations are largely based on four factors: weather, adequate and timely rate increases, effective cost management and customer growth. The effect of those factors on net income is discussed in “Results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cash flows from operating activities decreased $9.3 million to $6.7 million. The decrease in cash flows from operating activities primarily resulted from timing of vendor payments and higher interest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cash flows used in investing activities decreased $10.1 million to $14.4 million due to decreased utility plant expenditures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on the Company’s future capital expenditures and expected funding sources, see “</w:t>
      </w: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cash flows from financing activities decreased $1.4 million to $8.2 million. The decrease in cash flows provided by financing activities is due to lower proceeds from the issuance of common stock under the Middlesex Water Company Investment Plan (Investment Plan) offset by higher net borrowings.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Commitments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 for the current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 investment program for 2024 is currently estimated to be approximately $78 million. Through March 31, 2024, we have expended $14.4 million and expect to incur approximately $64 million for capital projects for the remainder of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project that we may expend approximately $149 million for capital projects in 2025 and 2026. The actual amount and timing of capital expenditures is dependent on the need for replacement of existing infrastructure, customer growth, residential new home construction and sales, project scheduling and continued refinement of project scope and costs.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To pay for our capital program for the remainder of 2024, we plan on utilizing some or all of the following:</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generated funds;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Short-term borrowings, as needed, through $140 million of bank lines of credit established with multiple financial institutions. As of March 31, 2024, there was $82.0 million of available credit under these lines (for further discussion on Company lines of credit, see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Short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Proceeds from long-term borrowing arrangements, including loans from private placement, CoBank, ACB and/or the Delaware SRF Program, which provides cost-effective financing for projects that meet certain water quality-related and/or system improvement criteria (for further discussion on long-term borrowings, see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Financings above</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sales of common stock under the Investment Plan;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Proceeds from 3M Settlement Agreement. For further information on the 3M Settlement Agreement, see Note 2, </w:t>
      </w:r>
      <w:r>
        <w:rPr>
          <w:rFonts w:ascii="Times New Roman" w:cs="Times New Roman" w:eastAsia="Times New Roman" w:hAnsi="Times New Roman"/>
          <w:sz w:val="18"/>
          <w:szCs w:val="18"/>
          <w:i w:val="1"/>
          <w:iCs w:val="1"/>
          <w:color w:val="auto"/>
        </w:rPr>
        <w:t>Rate and Regulatory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Middlesex.</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Middlesex has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the DEPSC approved four Tidewater Delaware SRF loans totaling $6.6 million. These loans are for the construction, relocation, improvement, and/or interconnection of transmission mains and construction of a water treatment facility. Tidewater expects to close on these loans in the 2nd quarter of 2024. Each project has its own construction timetable with the last spending set to occur in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approved by the NJBPU, the Company is authorized to issue and sell up to 1.0 million shares of its common stock in one or more transactions through December 31, 2025.</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See Note 1 of the Notes to Unaudited Condensed Consolidated Financial Statements for a discussion of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pronouncements and guidance.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of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2024 to 2059. Over the next twelve months, approximately $7.8 million of the current portion of existing long-term debt instruments will mature. Applying a hypothetical change in the rate of interest charged by 10% on those borrowings, would not have a material effect on our earnings.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risks associated with price increases for chemicals, electricity and other commodities are reduced through contractual arrangements and the ability to recover price increases through rates charged to the Company’s regulated utility customers. Non-performance by these commodity suppliers could have a material adverse impact on our results of operations, financial position and cash flows.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Risk is mitigated by our ability to recover retirement benefit plan costs through rates for regulated utility services charged to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an evaluation of the effectiveness of the design and operation of the Company’s disclosure controls and procedures was conducted by the Company’s Chief Executive Officer along with the Company’s Chief Financial Officer for the quarter ended March 31, 2024. Based upon that evaluation, the Company’s Chief Executive Officer and the Company’s Chief Financial Officer concluded that no changes in internal control over financial reporting occurred during the quarter ended March 31, 2024 that has materially affected, or are reasonably likely to materially affect, internal control over financial reporting and that our disclosure controls and procedures were not effective as of March 31, 2024 due to the material weakness described below.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2023, the Company’s independent registered public accounting firm, Baker Tilly US, LLP (Baker Tilly), conducted a routine internal quality review of its integrated audit of the Company’s 2022 consolidated financial statements and internal control over financial reporting as of December 31, 2022. As a result of this review, Baker Tilly re-examined the Company’s information technology general controls (ITGCs) in the areas of user access and change management over certain information technology (IT) systems that support the Company’s financial reporting processes. Certain of those controls were found to be deficient because of a lack of sufficient IT control processes designed to prevent or detect unauthorized changes in applications and data in selected IT environments. These ineffective controls create a possibility that material misstatements in financial reporting processes and financial statement accounts in our consolidated financial statements will not be prevented or detected on a timely basis and, therefore, based on the assessment, management has concluded that they represent a material weakness in our internal control over financial reporting and that the Company’s internal control over financial reporting was not effective as of March 31, 2024.</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material weakness referred to above, Management, including our Principal Executive Officer and Principal Financial Officer, believe that the financial statements contained in this Quarterly Report on Form 10-Q for the quarter ended March 31, 2024 fairly present, in all material respects, the financial condition, results of operations and cash flows of the Company for all periods presented in accordance with accounting principles generally accepted in the United States of America.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committed to remediating the material weakness in a timely manner. Our remediation process includes, but is not limited to, enhancements to our ITGCs and automated auditing features of our IT systems as well increased monitoring of IT system changes made through certain user accounts. Since the material weakness was first identified, Management has implemented various auditing and monitoring solutions that provide greater transparency into changes made within our information technology (IT) systems. These control solutions are supported by a timely review process that focuses on the proper authorization and approval of IT system changes. We expect to implement additional internal controls during the second quarter of 2024 to further remediate the material weakness.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and Company Management will continue to closely monitor the remediation efforts discussed in this section, including any additional remediation efforts that our Management identifies as necessary. When they are completed, tested and determined effective, we will be able to conclude that the material weakness has been remediated.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updates and amends the information provided in the Company’s Annual Report on Form 10-K for the year ended December 31, 2023 in Part I, Item 3—Legal Proceedings. Capitalized terms used but not otherwise defined herein have the meanings set forth in the Company’s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PFOA Regulatory Notice of Non-Compliance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Vera et al. v. Middlesex Water Company </w:t>
      </w:r>
      <w:r>
        <w:rPr>
          <w:rFonts w:ascii="Times New Roman" w:cs="Times New Roman" w:eastAsia="Times New Roman" w:hAnsi="Times New Roman"/>
          <w:sz w:val="18"/>
          <w:szCs w:val="18"/>
          <w:color w:val="auto"/>
        </w:rPr>
        <w:t>– The deadline of February 29, 2024 set by the Superior Court of New Jersey for the parties to submit a final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settlement agreement with the Court was cancelled to allow the parties additional time to reach a settlement.</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Lonsk et al. v. Middlesex Water Company and 3M Company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deadline of March 4, 2024 set by the Superior Court of New Jersey for the parties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submit a final settlement agreement with the Court was cancelled to allow the parties additional time to reach a settlement.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about risk factors does not differ materially from those set forth in Part I, Item 1A. of the Company’s Annual Report on Form 10-K for the year ended December 31, 2023.</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3"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Insider Trading Arrangements and Policies - </w:t>
      </w:r>
      <w:r>
        <w:rPr>
          <w:rFonts w:ascii="Times New Roman" w:cs="Times New Roman" w:eastAsia="Times New Roman" w:hAnsi="Times New Roman"/>
          <w:sz w:val="18"/>
          <w:szCs w:val="18"/>
          <w:color w:val="auto"/>
        </w:rPr>
        <w:t>During the three months ended March 31, 2024, no director or officer of the Company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a “Rule 10b5-1 trading arrangement” or “non-Rule 10b5-1 trading arrangement,” as each term is defined in Item 408(a) of Regulation S-K.</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34"/>
        </w:trPr>
        <w:tc>
          <w:tcPr>
            <w:tcW w:w="980" w:type="dxa"/>
            <w:vAlign w:val="bottom"/>
          </w:tcPr>
          <w:p>
            <w:pPr>
              <w:spacing w:after="0"/>
              <w:rPr>
                <w:sz w:val="20"/>
                <w:szCs w:val="20"/>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Exhibits designated with a dagger (t) are management contracts or compensatory plans.</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(t)10.12</w:t>
            </w:r>
          </w:p>
        </w:tc>
        <w:tc>
          <w:tcPr>
            <w:tcW w:w="96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Employment Agreement, dated as of March 1, 2024, between the Company and Nadine Duchemin-Leslie, filed as Exhibit 99.2 of the</w:t>
              </w:r>
            </w:hyperlink>
          </w:p>
        </w:tc>
        <w:tc>
          <w:tcPr>
            <w:tcW w:w="64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Company’s Current Report on Form 8-K dated January 23, 2024.</w:t>
              </w:r>
            </w:hyperlink>
          </w:p>
        </w:tc>
        <w:tc>
          <w:tcPr>
            <w:tcW w:w="5560" w:type="dxa"/>
            <w:vAlign w:val="bottom"/>
            <w:gridSpan w:val="7"/>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(t)10.12(a)</w:t>
            </w:r>
          </w:p>
        </w:tc>
        <w:tc>
          <w:tcPr>
            <w:tcW w:w="10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Change in Control Termination Agreement, dated as of March 1, 2024, between the Company and Nadine Duchemin-Leslie, filed as Exhibit</w:t>
              </w:r>
            </w:hyperlink>
          </w:p>
        </w:tc>
        <w:tc>
          <w:tcPr>
            <w:tcW w:w="14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99.</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of the Company’s Current Report on Form 8-K dated January 23, 2024.</w:t>
              </w:r>
            </w:hyperlink>
          </w:p>
        </w:tc>
        <w:tc>
          <w:tcPr>
            <w:tcW w:w="474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2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Consulting Agreement, dated March 1, 2024, between the Company and Dennis W. Doll, filed as Exhibit 99.4 of the Company’s Current</w:t>
              </w:r>
            </w:hyperlink>
          </w:p>
        </w:tc>
      </w:tr>
      <w:tr>
        <w:trPr>
          <w:trHeight w:val="196"/>
        </w:trPr>
        <w:tc>
          <w:tcPr>
            <w:tcW w:w="980" w:type="dxa"/>
            <w:vAlign w:val="bottom"/>
          </w:tcPr>
          <w:p>
            <w:pPr>
              <w:spacing w:after="0"/>
              <w:rPr>
                <w:sz w:val="17"/>
                <w:szCs w:val="17"/>
                <w:color w:val="auto"/>
              </w:rPr>
            </w:pPr>
          </w:p>
        </w:tc>
        <w:tc>
          <w:tcPr>
            <w:tcW w:w="32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Report on Form 8-K dated January 23, 2024.</w:t>
              </w:r>
            </w:hyperlink>
          </w:p>
        </w:tc>
        <w:tc>
          <w:tcPr>
            <w:tcW w:w="702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Section 302 Certification by Nadine Leslie pursuant to Rules 13a-14 and 15d-14 of the Securities Exchange Act of 1934.</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10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Section 302 Certification by A. Bruce O’Connor pursuant to Rules 13a-14 and 15d-14 of the Securities Exchange Act of 1934.</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520" w:type="dxa"/>
            <w:vAlign w:val="bottom"/>
            <w:gridSpan w:val="5"/>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Section 906 Certification by Nadine Leslie pursuant to 18 U.S.C. §1350, as adopted pursuant to Section 302 of the Sarbanes-Oxley Act of</w:t>
            </w:r>
          </w:p>
        </w:tc>
      </w:tr>
      <w:tr>
        <w:trPr>
          <w:trHeight w:val="196"/>
        </w:trPr>
        <w:tc>
          <w:tcPr>
            <w:tcW w:w="9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20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2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Section 906 Certification by A. Bruce O’Connor pursuant to 18 U.S.C. §1350, as adopted pursuant to Section 302 of the Sarbanes-Oxley Act</w:t>
            </w:r>
          </w:p>
        </w:tc>
      </w:tr>
      <w:tr>
        <w:trPr>
          <w:trHeight w:val="196"/>
        </w:trPr>
        <w:tc>
          <w:tcPr>
            <w:tcW w:w="98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660" w:type="dxa"/>
            <w:vAlign w:val="bottom"/>
            <w:gridSpan w:val="9"/>
          </w:tcPr>
          <w:p>
            <w:pPr>
              <w:spacing w:after="0"/>
              <w:rPr>
                <w:sz w:val="17"/>
                <w:szCs w:val="17"/>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bl>
    <w:p>
      <w:pPr>
        <w:spacing w:after="0" w:line="198" w:lineRule="exact"/>
        <w:rPr>
          <w:sz w:val="20"/>
          <w:szCs w:val="20"/>
          <w:color w:val="auto"/>
        </w:rPr>
      </w:pPr>
    </w:p>
    <w:p>
      <w:pPr>
        <w:ind w:left="980" w:right="140" w:hanging="972"/>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212" w:lineRule="exact"/>
        <w:rPr>
          <w:sz w:val="20"/>
          <w:szCs w:val="20"/>
          <w:color w:val="auto"/>
        </w:rPr>
      </w:pPr>
    </w:p>
    <w:tbl>
      <w:tblPr>
        <w:tblLayout w:type="fixed"/>
        <w:tblInd w:w="540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 Bruce O’Connor</w:t>
            </w:r>
          </w:p>
        </w:tc>
        <w:tc>
          <w:tcPr>
            <w:tcW w:w="720" w:type="dxa"/>
            <w:vAlign w:val="bottom"/>
          </w:tcPr>
          <w:p>
            <w:pPr>
              <w:spacing w:after="0"/>
              <w:rPr>
                <w:sz w:val="17"/>
                <w:szCs w:val="17"/>
                <w:color w:val="auto"/>
              </w:rPr>
            </w:pPr>
          </w:p>
        </w:tc>
      </w:tr>
      <w:tr>
        <w:trPr>
          <w:trHeight w:val="218"/>
        </w:trPr>
        <w:tc>
          <w:tcPr>
            <w:tcW w:w="64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Bruce O’Connor</w:t>
            </w:r>
          </w:p>
        </w:tc>
      </w:tr>
      <w:tr>
        <w:trPr>
          <w:trHeight w:val="216"/>
        </w:trPr>
        <w:tc>
          <w:tcPr>
            <w:tcW w:w="64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Treasurer and</w:t>
            </w:r>
          </w:p>
        </w:tc>
      </w:tr>
      <w:tr>
        <w:trPr>
          <w:trHeight w:val="216"/>
        </w:trPr>
        <w:tc>
          <w:tcPr>
            <w:tcW w:w="64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40" w:type="dxa"/>
            <w:vAlign w:val="bottom"/>
          </w:tcPr>
          <w:p>
            <w:pPr>
              <w:spacing w:after="0"/>
              <w:rPr>
                <w:sz w:val="20"/>
                <w:szCs w:val="20"/>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33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980" w:top="765" w:right="6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9"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Nadine Leslie, certify that:</w:t>
      </w:r>
    </w:p>
    <w:p>
      <w:pPr>
        <w:spacing w:after="0" w:line="225" w:lineRule="exact"/>
        <w:rPr>
          <w:sz w:val="20"/>
          <w:szCs w:val="20"/>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568"/>
        <w:spacing w:after="0"/>
        <w:rPr>
          <w:sz w:val="20"/>
          <w:szCs w:val="20"/>
          <w:color w:val="auto"/>
        </w:rPr>
      </w:pPr>
      <w:r>
        <w:rPr>
          <w:rFonts w:ascii="Times New Roman" w:cs="Times New Roman" w:eastAsia="Times New Roman" w:hAnsi="Times New Roman"/>
          <w:sz w:val="18"/>
          <w:szCs w:val="18"/>
          <w:color w:val="auto"/>
        </w:rPr>
        <w:t>/s/ Nadine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-7620</wp:posOffset>
            </wp:positionV>
            <wp:extent cx="916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7"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8"/>
          <w:szCs w:val="18"/>
          <w:color w:val="auto"/>
        </w:rPr>
        <w:t>Nadine Leslie</w:t>
      </w:r>
    </w:p>
    <w:p>
      <w:pPr>
        <w:spacing w:after="0" w:line="9" w:lineRule="exact"/>
        <w:rPr>
          <w:sz w:val="20"/>
          <w:szCs w:val="20"/>
          <w:color w:val="auto"/>
        </w:rPr>
      </w:pPr>
    </w:p>
    <w:p>
      <w:pPr>
        <w:ind w:left="4428"/>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237490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9"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A. Bruce O’Connor, certify that:</w:t>
      </w:r>
    </w:p>
    <w:p>
      <w:pPr>
        <w:spacing w:after="0" w:line="225" w:lineRule="exact"/>
        <w:rPr>
          <w:sz w:val="20"/>
          <w:szCs w:val="20"/>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ind w:right="492"/>
        <w:spacing w:after="0"/>
        <w:rPr>
          <w:sz w:val="20"/>
          <w:szCs w:val="20"/>
          <w:color w:val="auto"/>
        </w:rPr>
      </w:pPr>
      <w:r>
        <w:rPr>
          <w:rFonts w:ascii="Times New Roman" w:cs="Times New Roman" w:eastAsia="Times New Roman" w:hAnsi="Times New Roman"/>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-7620</wp:posOffset>
            </wp:positionV>
            <wp:extent cx="1155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237490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39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Nadine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-7620</wp:posOffset>
            </wp:positionV>
            <wp:extent cx="916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Nadine Leslie</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rPr>
        <w:t>/s/ A. Bruce O’Connor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37" Type="http://schemas.openxmlformats.org/officeDocument/2006/relationships/hyperlink" Target="http://www.sec.gov/Archives/edgar/data/66004/000117494724000110/ex99-2.htm" TargetMode="External"/><Relationship Id="rId38" Type="http://schemas.openxmlformats.org/officeDocument/2006/relationships/hyperlink" Target="http://www.sec.gov/Archives/edgar/data/66004/000117494724000110/ex99-3.htm" TargetMode="External"/><Relationship Id="rId39" Type="http://schemas.openxmlformats.org/officeDocument/2006/relationships/hyperlink" Target="http://www.sec.gov/Archives/edgar/data/66004/000117494724000110/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2024-05-08T16:35:54Z</dcterms:created>
  <dcterms:modified xsi:type="dcterms:W3CDTF">2024-05-08T16:35:54Z</dcterms:modified>
</cp:coreProperties>
</file>